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الاصول بحوث فی اصول القانون و مبانی الدلاله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9560_1468164448">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299562_1468164448">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3299564_1468164448">
            <w:r>
              <w:rPr>
                <w:webHidden/>
                <w:rStyle w:val="IndexLink"/>
                <w:rtl w:val="true"/>
              </w:rPr>
              <w:t>مباحث الظن</w:t>
            </w:r>
            <w:r>
              <w:rPr>
                <w:rStyle w:val="IndexLink"/>
                <w:rtl w:val="true"/>
              </w:rPr>
              <w:tab/>
            </w:r>
            <w:r>
              <w:rPr>
                <w:rStyle w:val="IndexLink"/>
              </w:rPr>
              <w:t>21</w:t>
            </w:r>
          </w:hyperlink>
        </w:p>
        <w:p>
          <w:pPr>
            <w:pStyle w:val="Contents3"/>
            <w:tabs>
              <w:tab w:val="clear" w:pos="8459"/>
              <w:tab w:val="right" w:pos="9026" w:leader="dot"/>
            </w:tabs>
            <w:rPr/>
          </w:pPr>
          <w:hyperlink w:anchor="__RefHeading___Toc3299566_1468164448">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299568_1468164448">
            <w:r>
              <w:rPr>
                <w:webHidden/>
                <w:rStyle w:val="IndexLink"/>
              </w:rPr>
              <w:t>1</w:t>
            </w:r>
            <w:r>
              <w:rPr>
                <w:rStyle w:val="IndexLink"/>
                <w:rtl w:val="true"/>
              </w:rPr>
              <w:t xml:space="preserve"> . </w:t>
            </w:r>
            <w:r>
              <w:rPr>
                <w:rStyle w:val="IndexLink"/>
                <w:rtl w:val="true"/>
              </w:rPr>
              <w:t>الإعتبار</w:t>
            </w:r>
            <w:r>
              <w:rPr>
                <w:rStyle w:val="IndexLink"/>
                <w:rtl w:val="true"/>
              </w:rPr>
              <w:tab/>
            </w:r>
            <w:r>
              <w:rPr>
                <w:rStyle w:val="IndexLink"/>
              </w:rPr>
              <w:t>22</w:t>
            </w:r>
          </w:hyperlink>
        </w:p>
        <w:p>
          <w:pPr>
            <w:pStyle w:val="Contents4"/>
            <w:tabs>
              <w:tab w:val="clear" w:pos="8176"/>
              <w:tab w:val="right" w:pos="9026" w:leader="dot"/>
            </w:tabs>
            <w:rPr/>
          </w:pPr>
          <w:hyperlink w:anchor="__RefHeading___Toc3299570_1468164448">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299572_1468164448">
            <w:r>
              <w:rPr>
                <w:webHidden/>
                <w:rStyle w:val="IndexLink"/>
              </w:rPr>
              <w:t>1</w:t>
            </w:r>
            <w:r>
              <w:rPr>
                <w:rStyle w:val="IndexLink"/>
                <w:rtl w:val="true"/>
              </w:rPr>
              <w:t xml:space="preserve"> . </w:t>
            </w:r>
            <w:r>
              <w:rPr>
                <w:rStyle w:val="IndexLink"/>
                <w:rtl w:val="true"/>
              </w:rPr>
              <w:t>المنهج الصحیح فی ترتیب مباحث الأصول</w:t>
            </w:r>
            <w:r>
              <w:rPr>
                <w:rStyle w:val="IndexLink"/>
                <w:rtl w:val="true"/>
              </w:rPr>
              <w:tab/>
            </w:r>
            <w:r>
              <w:rPr>
                <w:rStyle w:val="IndexLink"/>
              </w:rPr>
              <w:t>23</w:t>
            </w:r>
          </w:hyperlink>
        </w:p>
        <w:p>
          <w:pPr>
            <w:pStyle w:val="Contents5"/>
            <w:tabs>
              <w:tab w:val="clear" w:pos="7892"/>
              <w:tab w:val="right" w:pos="9026" w:leader="dot"/>
            </w:tabs>
            <w:rPr/>
          </w:pPr>
          <w:hyperlink w:anchor="__RefHeading___Toc3299574_1468164448">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3299576_1468164448">
            <w:r>
              <w:rPr>
                <w:webHidden/>
                <w:rStyle w:val="IndexLink"/>
                <w:rtl w:val="true"/>
              </w:rPr>
              <w:t>موقع باب الحجج</w:t>
            </w:r>
            <w:r>
              <w:rPr>
                <w:rStyle w:val="IndexLink"/>
                <w:rtl w:val="true"/>
              </w:rPr>
              <w:tab/>
            </w:r>
            <w:r>
              <w:rPr>
                <w:rStyle w:val="IndexLink"/>
              </w:rPr>
              <w:t>23</w:t>
            </w:r>
          </w:hyperlink>
        </w:p>
        <w:p>
          <w:pPr>
            <w:pStyle w:val="Contents6"/>
            <w:tabs>
              <w:tab w:val="clear" w:pos="7609"/>
              <w:tab w:val="right" w:pos="9026" w:leader="dot"/>
            </w:tabs>
            <w:rPr/>
          </w:pPr>
          <w:hyperlink w:anchor="__RefHeading___Toc3299578_1468164448">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3299580_1468164448">
            <w:r>
              <w:rPr>
                <w:webHidden/>
                <w:rStyle w:val="IndexLink"/>
                <w:rtl w:val="true"/>
              </w:rPr>
              <w:t>صغرویة مباحث الحجج لکبری الإعتبار</w:t>
            </w:r>
            <w:r>
              <w:rPr>
                <w:rStyle w:val="IndexLink"/>
                <w:rtl w:val="true"/>
              </w:rPr>
              <w:tab/>
            </w:r>
            <w:r>
              <w:rPr>
                <w:rStyle w:val="IndexLink"/>
              </w:rPr>
              <w:t>24</w:t>
            </w:r>
          </w:hyperlink>
        </w:p>
        <w:p>
          <w:pPr>
            <w:pStyle w:val="Contents5"/>
            <w:tabs>
              <w:tab w:val="clear" w:pos="7892"/>
              <w:tab w:val="right" w:pos="9026" w:leader="dot"/>
            </w:tabs>
            <w:rPr/>
          </w:pPr>
          <w:hyperlink w:anchor="__RefHeading___Toc3299582_1468164448">
            <w:r>
              <w:rPr>
                <w:webHidden/>
                <w:rStyle w:val="IndexLink"/>
                <w:rtl w:val="true"/>
              </w:rPr>
              <w:t>السیر المنهجی الصحیح لمباحث الأصول</w:t>
            </w:r>
            <w:r>
              <w:rPr>
                <w:rStyle w:val="IndexLink"/>
                <w:rtl w:val="true"/>
              </w:rPr>
              <w:tab/>
            </w:r>
            <w:r>
              <w:rPr>
                <w:rStyle w:val="IndexLink"/>
              </w:rPr>
              <w:t>24</w:t>
            </w:r>
          </w:hyperlink>
        </w:p>
        <w:p>
          <w:pPr>
            <w:pStyle w:val="Contents6"/>
            <w:tabs>
              <w:tab w:val="clear" w:pos="7609"/>
              <w:tab w:val="right" w:pos="9026" w:leader="dot"/>
            </w:tabs>
            <w:rPr/>
          </w:pPr>
          <w:hyperlink w:anchor="__RefHeading___Toc3299584_1468164448">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3299586_1468164448">
            <w:r>
              <w:rPr>
                <w:webHidden/>
                <w:rStyle w:val="IndexLink"/>
                <w:rtl w:val="true"/>
              </w:rPr>
              <w:t>سرّ تقدیم بحث الإعتبار</w:t>
            </w:r>
            <w:r>
              <w:rPr>
                <w:rStyle w:val="IndexLink"/>
                <w:rtl w:val="true"/>
              </w:rPr>
              <w:tab/>
            </w:r>
            <w:r>
              <w:rPr>
                <w:rStyle w:val="IndexLink"/>
              </w:rPr>
              <w:t>25</w:t>
            </w:r>
          </w:hyperlink>
        </w:p>
        <w:p>
          <w:pPr>
            <w:pStyle w:val="Contents4"/>
            <w:tabs>
              <w:tab w:val="clear" w:pos="8176"/>
              <w:tab w:val="right" w:pos="9026" w:leader="dot"/>
            </w:tabs>
            <w:rPr/>
          </w:pPr>
          <w:hyperlink w:anchor="__RefHeading___Toc3299588_1468164448">
            <w:r>
              <w:rPr>
                <w:webHidden/>
                <w:rStyle w:val="IndexLink"/>
              </w:rPr>
              <w:t>2</w:t>
            </w:r>
            <w:r>
              <w:rPr>
                <w:rStyle w:val="IndexLink"/>
                <w:rtl w:val="true"/>
              </w:rPr>
              <w:t xml:space="preserve"> . </w:t>
            </w:r>
            <w:r>
              <w:rPr>
                <w:rStyle w:val="IndexLink"/>
                <w:rtl w:val="true"/>
              </w:rPr>
              <w:t>المنهج المقترح فی البحث عن الإعتبار</w:t>
            </w:r>
            <w:r>
              <w:rPr>
                <w:rStyle w:val="IndexLink"/>
                <w:rtl w:val="true"/>
              </w:rPr>
              <w:tab/>
            </w:r>
            <w:r>
              <w:rPr>
                <w:rStyle w:val="IndexLink"/>
              </w:rPr>
              <w:t>28</w:t>
            </w:r>
          </w:hyperlink>
        </w:p>
        <w:p>
          <w:pPr>
            <w:pStyle w:val="Contents5"/>
            <w:tabs>
              <w:tab w:val="clear" w:pos="7892"/>
              <w:tab w:val="right" w:pos="9026" w:leader="dot"/>
            </w:tabs>
            <w:rPr/>
          </w:pPr>
          <w:hyperlink w:anchor="__RefHeading___Toc3299590_1468164448">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3299592_1468164448">
            <w:r>
              <w:rPr>
                <w:webHidden/>
                <w:rStyle w:val="IndexLink"/>
                <w:rtl w:val="true"/>
              </w:rPr>
              <w:t>المرحلة الأولی</w:t>
            </w:r>
            <w:r>
              <w:rPr>
                <w:rStyle w:val="IndexLink"/>
                <w:rtl w:val="true"/>
              </w:rPr>
              <w:t xml:space="preserve">: </w:t>
            </w:r>
            <w:r>
              <w:rPr>
                <w:rStyle w:val="IndexLink"/>
                <w:rtl w:val="true"/>
              </w:rPr>
              <w:t>البحث فی حقیقة الإعتبار</w:t>
            </w:r>
            <w:r>
              <w:rPr>
                <w:rStyle w:val="IndexLink"/>
                <w:rtl w:val="true"/>
              </w:rPr>
              <w:tab/>
            </w:r>
            <w:r>
              <w:rPr>
                <w:rStyle w:val="IndexLink"/>
              </w:rPr>
              <w:t>28</w:t>
            </w:r>
          </w:hyperlink>
        </w:p>
        <w:p>
          <w:pPr>
            <w:pStyle w:val="Contents5"/>
            <w:tabs>
              <w:tab w:val="clear" w:pos="7892"/>
              <w:tab w:val="right" w:pos="9026" w:leader="dot"/>
            </w:tabs>
            <w:rPr/>
          </w:pPr>
          <w:hyperlink w:anchor="__RefHeading___Toc3299594_1468164448">
            <w:r>
              <w:rPr>
                <w:webHidden/>
                <w:rStyle w:val="IndexLink"/>
                <w:rtl w:val="true"/>
              </w:rPr>
              <w:t>المرحلة الثانیة</w:t>
            </w:r>
            <w:r>
              <w:rPr>
                <w:rStyle w:val="IndexLink"/>
                <w:rtl w:val="true"/>
              </w:rPr>
              <w:t xml:space="preserve">: </w:t>
            </w:r>
            <w:r>
              <w:rPr>
                <w:rStyle w:val="IndexLink"/>
                <w:rtl w:val="true"/>
              </w:rPr>
              <w:t>البحث فی الإعتبار العقلائی</w:t>
            </w:r>
            <w:r>
              <w:rPr>
                <w:rStyle w:val="IndexLink"/>
                <w:rtl w:val="true"/>
              </w:rPr>
              <w:tab/>
            </w:r>
            <w:r>
              <w:rPr>
                <w:rStyle w:val="IndexLink"/>
              </w:rPr>
              <w:t>29</w:t>
            </w:r>
          </w:hyperlink>
        </w:p>
        <w:p>
          <w:pPr>
            <w:pStyle w:val="Contents6"/>
            <w:tabs>
              <w:tab w:val="clear" w:pos="7609"/>
              <w:tab w:val="right" w:pos="9026" w:leader="dot"/>
            </w:tabs>
            <w:rPr/>
          </w:pPr>
          <w:hyperlink w:anchor="__RefHeading___Toc3299596_1468164448">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3299598_1468164448">
            <w:r>
              <w:rPr>
                <w:webHidden/>
                <w:rStyle w:val="IndexLink"/>
                <w:rtl w:val="true"/>
              </w:rPr>
              <w:t>النقطة الأولی</w:t>
            </w:r>
            <w:r>
              <w:rPr>
                <w:rStyle w:val="IndexLink"/>
                <w:rtl w:val="true"/>
              </w:rPr>
              <w:t xml:space="preserve">: </w:t>
            </w:r>
            <w:r>
              <w:rPr>
                <w:rStyle w:val="IndexLink"/>
                <w:rtl w:val="true"/>
              </w:rPr>
              <w:t>تعریف الإعتبار العقلائی</w:t>
            </w:r>
            <w:r>
              <w:rPr>
                <w:rStyle w:val="IndexLink"/>
                <w:rtl w:val="true"/>
              </w:rPr>
              <w:tab/>
            </w:r>
            <w:r>
              <w:rPr>
                <w:rStyle w:val="IndexLink"/>
              </w:rPr>
              <w:t>29</w:t>
            </w:r>
          </w:hyperlink>
        </w:p>
        <w:p>
          <w:pPr>
            <w:pStyle w:val="Contents6"/>
            <w:tabs>
              <w:tab w:val="clear" w:pos="7609"/>
              <w:tab w:val="right" w:pos="9026" w:leader="dot"/>
            </w:tabs>
            <w:rPr/>
          </w:pPr>
          <w:hyperlink w:anchor="__RefHeading___Toc3299600_1468164448">
            <w:r>
              <w:rPr>
                <w:webHidden/>
                <w:rStyle w:val="IndexLink"/>
                <w:rtl w:val="true"/>
              </w:rPr>
              <w:t>تعدد التسمیات</w:t>
            </w:r>
            <w:r>
              <w:rPr>
                <w:rStyle w:val="IndexLink"/>
                <w:rtl w:val="true"/>
              </w:rPr>
              <w:tab/>
            </w:r>
            <w:r>
              <w:rPr>
                <w:rStyle w:val="IndexLink"/>
              </w:rPr>
              <w:t>29</w:t>
            </w:r>
          </w:hyperlink>
        </w:p>
        <w:p>
          <w:pPr>
            <w:pStyle w:val="Contents6"/>
            <w:tabs>
              <w:tab w:val="clear" w:pos="7609"/>
              <w:tab w:val="right" w:pos="9026" w:leader="dot"/>
            </w:tabs>
            <w:rPr/>
          </w:pPr>
          <w:hyperlink w:anchor="__RefHeading___Toc3299602_1468164448">
            <w:r>
              <w:rPr>
                <w:webHidden/>
                <w:rStyle w:val="IndexLink"/>
                <w:rtl w:val="true"/>
              </w:rPr>
              <w:t>النقطة الثانیة</w:t>
            </w:r>
            <w:r>
              <w:rPr>
                <w:rStyle w:val="IndexLink"/>
                <w:rtl w:val="true"/>
              </w:rPr>
              <w:t xml:space="preserve">: </w:t>
            </w:r>
            <w:r>
              <w:rPr>
                <w:rStyle w:val="IndexLink"/>
                <w:rtl w:val="true"/>
              </w:rPr>
              <w:t>وجه الحاجة إلی الإعتبار العقلائی وموقعه من التشریع والعقل</w:t>
            </w:r>
            <w:r>
              <w:rPr>
                <w:rStyle w:val="IndexLink"/>
                <w:rtl w:val="true"/>
              </w:rPr>
              <w:tab/>
            </w:r>
            <w:r>
              <w:rPr>
                <w:rStyle w:val="IndexLink"/>
              </w:rPr>
              <w:t>30</w:t>
            </w:r>
          </w:hyperlink>
        </w:p>
        <w:p>
          <w:pPr>
            <w:pStyle w:val="Contents6"/>
            <w:tabs>
              <w:tab w:val="clear" w:pos="7609"/>
              <w:tab w:val="right" w:pos="9026" w:leader="dot"/>
            </w:tabs>
            <w:rPr/>
          </w:pPr>
          <w:hyperlink w:anchor="__RefHeading___Toc3299604_1468164448">
            <w:r>
              <w:rPr>
                <w:webHidden/>
                <w:rStyle w:val="IndexLink"/>
                <w:rtl w:val="true"/>
              </w:rPr>
              <w:t>النقطة الثالثة</w:t>
            </w:r>
            <w:r>
              <w:rPr>
                <w:rStyle w:val="IndexLink"/>
                <w:rtl w:val="true"/>
              </w:rPr>
              <w:t xml:space="preserve">: </w:t>
            </w:r>
            <w:r>
              <w:rPr>
                <w:rStyle w:val="IndexLink"/>
                <w:rtl w:val="true"/>
              </w:rPr>
              <w:t>تقسیمات الإعتبار العقلائی</w:t>
            </w:r>
            <w:r>
              <w:rPr>
                <w:rStyle w:val="IndexLink"/>
                <w:rtl w:val="true"/>
              </w:rPr>
              <w:tab/>
            </w:r>
            <w:r>
              <w:rPr>
                <w:rStyle w:val="IndexLink"/>
              </w:rPr>
              <w:t>32</w:t>
            </w:r>
          </w:hyperlink>
        </w:p>
        <w:p>
          <w:pPr>
            <w:pStyle w:val="Contents6"/>
            <w:tabs>
              <w:tab w:val="clear" w:pos="7609"/>
              <w:tab w:val="right" w:pos="9026" w:leader="dot"/>
            </w:tabs>
            <w:rPr/>
          </w:pPr>
          <w:hyperlink w:anchor="__RefHeading___Toc3299606_1468164448">
            <w:r>
              <w:rPr>
                <w:webHidden/>
                <w:rStyle w:val="IndexLink"/>
                <w:rtl w:val="true"/>
              </w:rPr>
              <w:t>الفوارق بین الإعتبار الأدبی والإعتبار القانونی</w:t>
            </w:r>
            <w:r>
              <w:rPr>
                <w:rStyle w:val="IndexLink"/>
                <w:rtl w:val="true"/>
              </w:rPr>
              <w:tab/>
            </w:r>
            <w:r>
              <w:rPr>
                <w:rStyle w:val="IndexLink"/>
              </w:rPr>
              <w:t>35</w:t>
            </w:r>
          </w:hyperlink>
        </w:p>
        <w:p>
          <w:pPr>
            <w:pStyle w:val="Contents6"/>
            <w:tabs>
              <w:tab w:val="clear" w:pos="7609"/>
              <w:tab w:val="right" w:pos="9026" w:leader="dot"/>
            </w:tabs>
            <w:rPr/>
          </w:pPr>
          <w:hyperlink w:anchor="__RefHeading___Toc3299608_1468164448">
            <w:r>
              <w:rPr>
                <w:webHidden/>
                <w:rStyle w:val="IndexLink"/>
                <w:rtl w:val="true"/>
              </w:rPr>
              <w:t>اقتصار العامة علی البُعد الأدبی</w:t>
            </w:r>
            <w:r>
              <w:rPr>
                <w:rStyle w:val="IndexLink"/>
                <w:rtl w:val="true"/>
              </w:rPr>
              <w:tab/>
            </w:r>
            <w:r>
              <w:rPr>
                <w:rStyle w:val="IndexLink"/>
              </w:rPr>
              <w:t>35</w:t>
            </w:r>
          </w:hyperlink>
        </w:p>
        <w:p>
          <w:pPr>
            <w:pStyle w:val="Contents6"/>
            <w:tabs>
              <w:tab w:val="clear" w:pos="7609"/>
              <w:tab w:val="right" w:pos="9026" w:leader="dot"/>
            </w:tabs>
            <w:rPr/>
          </w:pPr>
          <w:hyperlink w:anchor="__RefHeading___Toc3299610_1468164448">
            <w:r>
              <w:rPr>
                <w:webHidden/>
                <w:rStyle w:val="IndexLink"/>
                <w:rtl w:val="true"/>
              </w:rPr>
              <w:t>دور علم المعانی فی علم الأصول</w:t>
            </w:r>
            <w:r>
              <w:rPr>
                <w:rStyle w:val="IndexLink"/>
                <w:rtl w:val="true"/>
              </w:rPr>
              <w:tab/>
            </w:r>
            <w:r>
              <w:rPr>
                <w:rStyle w:val="IndexLink"/>
              </w:rPr>
              <w:t>36</w:t>
            </w:r>
          </w:hyperlink>
        </w:p>
        <w:p>
          <w:pPr>
            <w:pStyle w:val="Contents6"/>
            <w:tabs>
              <w:tab w:val="clear" w:pos="7609"/>
              <w:tab w:val="right" w:pos="9026" w:leader="dot"/>
            </w:tabs>
            <w:rPr/>
          </w:pPr>
          <w:hyperlink w:anchor="__RefHeading___Toc3299612_1468164448">
            <w:r>
              <w:rPr>
                <w:webHidden/>
                <w:rStyle w:val="IndexLink"/>
                <w:rtl w:val="true"/>
              </w:rPr>
              <w:t>مبرّرات منهج الأصول السائد فی تصدیر مباحث الألفاظ‌</w:t>
            </w:r>
            <w:r>
              <w:rPr>
                <w:rStyle w:val="IndexLink"/>
                <w:rtl w:val="true"/>
              </w:rPr>
              <w:tab/>
            </w:r>
            <w:r>
              <w:rPr>
                <w:rStyle w:val="IndexLink"/>
              </w:rPr>
              <w:t>36</w:t>
            </w:r>
          </w:hyperlink>
        </w:p>
        <w:p>
          <w:pPr>
            <w:pStyle w:val="Contents6"/>
            <w:tabs>
              <w:tab w:val="clear" w:pos="7609"/>
              <w:tab w:val="right" w:pos="9026" w:leader="dot"/>
            </w:tabs>
            <w:rPr/>
          </w:pPr>
          <w:hyperlink w:anchor="__RefHeading___Toc3299614_1468164448">
            <w:r>
              <w:rPr>
                <w:webHidden/>
                <w:rStyle w:val="IndexLink"/>
                <w:rtl w:val="true"/>
              </w:rPr>
              <w:t>ثمرة تقسیم الإعتبار إلی أدبی وقانونی</w:t>
            </w:r>
            <w:r>
              <w:rPr>
                <w:rStyle w:val="IndexLink"/>
                <w:rtl w:val="true"/>
              </w:rPr>
              <w:tab/>
            </w:r>
            <w:r>
              <w:rPr>
                <w:rStyle w:val="IndexLink"/>
              </w:rPr>
              <w:t>36</w:t>
            </w:r>
          </w:hyperlink>
        </w:p>
        <w:p>
          <w:pPr>
            <w:pStyle w:val="Contents6"/>
            <w:tabs>
              <w:tab w:val="clear" w:pos="7609"/>
              <w:tab w:val="right" w:pos="9026" w:leader="dot"/>
            </w:tabs>
            <w:rPr/>
          </w:pPr>
          <w:hyperlink w:anchor="__RefHeading___Toc3299616_1468164448">
            <w:r>
              <w:rPr>
                <w:webHidden/>
                <w:rStyle w:val="IndexLink"/>
                <w:rtl w:val="true"/>
              </w:rPr>
              <w:t>علم المعصوم بالحکم الشرعی</w:t>
            </w:r>
            <w:r>
              <w:rPr>
                <w:rStyle w:val="IndexLink"/>
                <w:rtl w:val="true"/>
              </w:rPr>
              <w:tab/>
            </w:r>
            <w:r>
              <w:rPr>
                <w:rStyle w:val="IndexLink"/>
              </w:rPr>
              <w:t>37</w:t>
            </w:r>
          </w:hyperlink>
        </w:p>
        <w:p>
          <w:pPr>
            <w:pStyle w:val="Contents5"/>
            <w:tabs>
              <w:tab w:val="clear" w:pos="7892"/>
              <w:tab w:val="right" w:pos="9026" w:leader="dot"/>
            </w:tabs>
            <w:rPr/>
          </w:pPr>
          <w:hyperlink w:anchor="__RefHeading___Toc3299618_1468164448">
            <w:r>
              <w:rPr>
                <w:webHidden/>
                <w:rStyle w:val="IndexLink"/>
                <w:rtl w:val="true"/>
              </w:rPr>
              <w:t>المرحلة الثالثة</w:t>
            </w:r>
            <w:r>
              <w:rPr>
                <w:rStyle w:val="IndexLink"/>
                <w:rtl w:val="true"/>
              </w:rPr>
              <w:t xml:space="preserve">: </w:t>
            </w:r>
            <w:r>
              <w:rPr>
                <w:rStyle w:val="IndexLink"/>
                <w:rtl w:val="true"/>
              </w:rPr>
              <w:t>فی الإمضاء الشرعی للاعتبار العقلائی</w:t>
            </w:r>
            <w:r>
              <w:rPr>
                <w:rStyle w:val="IndexLink"/>
                <w:rtl w:val="true"/>
              </w:rPr>
              <w:tab/>
            </w:r>
            <w:r>
              <w:rPr>
                <w:rStyle w:val="IndexLink"/>
              </w:rPr>
              <w:t>38</w:t>
            </w:r>
          </w:hyperlink>
        </w:p>
        <w:p>
          <w:pPr>
            <w:pStyle w:val="Contents4"/>
            <w:tabs>
              <w:tab w:val="clear" w:pos="8176"/>
              <w:tab w:val="right" w:pos="9026" w:leader="dot"/>
            </w:tabs>
            <w:rPr/>
          </w:pPr>
          <w:hyperlink w:anchor="__RefHeading___Toc3299620_1468164448">
            <w:r>
              <w:rPr>
                <w:webHidden/>
                <w:rStyle w:val="IndexLink"/>
              </w:rPr>
              <w:t>3</w:t>
            </w:r>
            <w:r>
              <w:rPr>
                <w:rStyle w:val="IndexLink"/>
                <w:rtl w:val="true"/>
              </w:rPr>
              <w:t xml:space="preserve"> . </w:t>
            </w:r>
            <w:r>
              <w:rPr>
                <w:rStyle w:val="IndexLink"/>
                <w:rtl w:val="true"/>
              </w:rPr>
              <w:t>عرض أدلّة الإمضاء</w:t>
            </w:r>
            <w:r>
              <w:rPr>
                <w:rStyle w:val="IndexLink"/>
                <w:rtl w:val="true"/>
              </w:rPr>
              <w:tab/>
            </w:r>
            <w:r>
              <w:rPr>
                <w:rStyle w:val="IndexLink"/>
              </w:rPr>
              <w:t>41</w:t>
            </w:r>
          </w:hyperlink>
        </w:p>
        <w:p>
          <w:pPr>
            <w:pStyle w:val="Contents5"/>
            <w:tabs>
              <w:tab w:val="clear" w:pos="7892"/>
              <w:tab w:val="right" w:pos="9026" w:leader="dot"/>
            </w:tabs>
            <w:rPr/>
          </w:pPr>
          <w:hyperlink w:anchor="__RefHeading___Toc3299622_1468164448">
            <w:r>
              <w:rPr>
                <w:webHidden/>
                <w:rStyle w:val="IndexLink"/>
                <w:rtl w:val="true"/>
              </w:rPr>
              <w:t>الدلیل الأول</w:t>
            </w:r>
            <w:r>
              <w:rPr>
                <w:rStyle w:val="IndexLink"/>
                <w:rtl w:val="true"/>
              </w:rPr>
              <w:t xml:space="preserve">: </w:t>
            </w:r>
            <w:r>
              <w:rPr>
                <w:rStyle w:val="IndexLink"/>
                <w:rtl w:val="true"/>
              </w:rPr>
              <w:t>درک العقل</w:t>
            </w:r>
            <w:r>
              <w:rPr>
                <w:rStyle w:val="IndexLink"/>
                <w:rtl w:val="true"/>
              </w:rPr>
              <w:tab/>
            </w:r>
            <w:r>
              <w:rPr>
                <w:rStyle w:val="IndexLink"/>
              </w:rPr>
              <w:t>41</w:t>
            </w:r>
          </w:hyperlink>
        </w:p>
        <w:p>
          <w:pPr>
            <w:pStyle w:val="Contents6"/>
            <w:tabs>
              <w:tab w:val="clear" w:pos="7609"/>
              <w:tab w:val="right" w:pos="9026" w:leader="dot"/>
            </w:tabs>
            <w:rPr/>
          </w:pPr>
          <w:hyperlink w:anchor="__RefHeading___Toc3299624_1468164448">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3299626_1468164448">
            <w:r>
              <w:rPr>
                <w:webHidden/>
                <w:rStyle w:val="IndexLink"/>
                <w:rtl w:val="true"/>
              </w:rPr>
              <w:t>نقد الدلیل الأول</w:t>
            </w:r>
            <w:r>
              <w:rPr>
                <w:rStyle w:val="IndexLink"/>
                <w:rtl w:val="true"/>
              </w:rPr>
              <w:tab/>
            </w:r>
            <w:r>
              <w:rPr>
                <w:rStyle w:val="IndexLink"/>
              </w:rPr>
              <w:t>41</w:t>
            </w:r>
          </w:hyperlink>
        </w:p>
        <w:p>
          <w:pPr>
            <w:pStyle w:val="Contents5"/>
            <w:tabs>
              <w:tab w:val="clear" w:pos="7892"/>
              <w:tab w:val="right" w:pos="9026" w:leader="dot"/>
            </w:tabs>
            <w:rPr/>
          </w:pPr>
          <w:hyperlink w:anchor="__RefHeading___Toc3299628_1468164448">
            <w:r>
              <w:rPr>
                <w:webHidden/>
                <w:rStyle w:val="IndexLink"/>
                <w:rtl w:val="true"/>
              </w:rPr>
              <w:t>الدلیل الثانی</w:t>
            </w:r>
            <w:r>
              <w:rPr>
                <w:rStyle w:val="IndexLink"/>
                <w:rtl w:val="true"/>
              </w:rPr>
              <w:t xml:space="preserve">: </w:t>
            </w:r>
            <w:r>
              <w:rPr>
                <w:rStyle w:val="IndexLink"/>
                <w:rtl w:val="true"/>
              </w:rPr>
              <w:t>دلیل الإنسداد</w:t>
            </w:r>
            <w:r>
              <w:rPr>
                <w:rStyle w:val="IndexLink"/>
                <w:rtl w:val="true"/>
              </w:rPr>
              <w:tab/>
            </w:r>
            <w:r>
              <w:rPr>
                <w:rStyle w:val="IndexLink"/>
              </w:rPr>
              <w:t>42</w:t>
            </w:r>
          </w:hyperlink>
        </w:p>
        <w:p>
          <w:pPr>
            <w:pStyle w:val="Contents6"/>
            <w:tabs>
              <w:tab w:val="clear" w:pos="7609"/>
              <w:tab w:val="right" w:pos="9026" w:leader="dot"/>
            </w:tabs>
            <w:rPr/>
          </w:pPr>
          <w:hyperlink w:anchor="__RefHeading___Toc3299630_1468164448">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3299632_1468164448">
            <w:r>
              <w:rPr>
                <w:webHidden/>
                <w:rStyle w:val="IndexLink"/>
                <w:rtl w:val="true"/>
              </w:rPr>
              <w:t>ساحة حجّیة الإعتبارات فی ضوء دلیل الإنسداد</w:t>
            </w:r>
            <w:r>
              <w:rPr>
                <w:rStyle w:val="IndexLink"/>
                <w:rtl w:val="true"/>
              </w:rPr>
              <w:tab/>
            </w:r>
            <w:r>
              <w:rPr>
                <w:rStyle w:val="IndexLink"/>
              </w:rPr>
              <w:t>43</w:t>
            </w:r>
          </w:hyperlink>
        </w:p>
        <w:p>
          <w:pPr>
            <w:pStyle w:val="Contents6"/>
            <w:tabs>
              <w:tab w:val="clear" w:pos="7609"/>
              <w:tab w:val="right" w:pos="9026" w:leader="dot"/>
            </w:tabs>
            <w:rPr/>
          </w:pPr>
          <w:hyperlink w:anchor="__RefHeading___Toc3299634_1468164448">
            <w:r>
              <w:rPr>
                <w:webHidden/>
                <w:rStyle w:val="IndexLink"/>
                <w:rtl w:val="true"/>
              </w:rPr>
              <w:t>شمول الإنسداد للإعتبارات المستجدة</w:t>
            </w:r>
            <w:r>
              <w:rPr>
                <w:rStyle w:val="IndexLink"/>
                <w:rtl w:val="true"/>
              </w:rPr>
              <w:tab/>
            </w:r>
            <w:r>
              <w:rPr>
                <w:rStyle w:val="IndexLink"/>
              </w:rPr>
              <w:t>43</w:t>
            </w:r>
          </w:hyperlink>
        </w:p>
        <w:p>
          <w:pPr>
            <w:pStyle w:val="Contents6"/>
            <w:tabs>
              <w:tab w:val="clear" w:pos="7609"/>
              <w:tab w:val="right" w:pos="9026" w:leader="dot"/>
            </w:tabs>
            <w:rPr/>
          </w:pPr>
          <w:hyperlink w:anchor="__RefHeading___Toc3299636_1468164448">
            <w:r>
              <w:rPr>
                <w:webHidden/>
                <w:rStyle w:val="IndexLink"/>
                <w:rtl w:val="true"/>
              </w:rPr>
              <w:t>رتبة دلیل الإنسداد فی جنب سائر الأدلّة</w:t>
            </w:r>
            <w:r>
              <w:rPr>
                <w:rStyle w:val="IndexLink"/>
                <w:rtl w:val="true"/>
              </w:rPr>
              <w:tab/>
            </w:r>
            <w:r>
              <w:rPr>
                <w:rStyle w:val="IndexLink"/>
              </w:rPr>
              <w:t>44</w:t>
            </w:r>
          </w:hyperlink>
        </w:p>
        <w:p>
          <w:pPr>
            <w:pStyle w:val="Contents5"/>
            <w:tabs>
              <w:tab w:val="clear" w:pos="7892"/>
              <w:tab w:val="right" w:pos="9026" w:leader="dot"/>
            </w:tabs>
            <w:rPr/>
          </w:pPr>
          <w:hyperlink w:anchor="__RefHeading___Toc3299638_1468164448">
            <w:r>
              <w:rPr>
                <w:webHidden/>
                <w:rStyle w:val="IndexLink"/>
                <w:rtl w:val="true"/>
              </w:rPr>
              <w:t>الدلیل الثالث</w:t>
            </w:r>
            <w:r>
              <w:rPr>
                <w:rStyle w:val="IndexLink"/>
                <w:rtl w:val="true"/>
              </w:rPr>
              <w:t xml:space="preserve">: </w:t>
            </w:r>
            <w:r>
              <w:rPr>
                <w:rStyle w:val="IndexLink"/>
                <w:rtl w:val="true"/>
              </w:rPr>
              <w:t>العرف</w:t>
            </w:r>
            <w:r>
              <w:rPr>
                <w:rStyle w:val="IndexLink"/>
                <w:rtl w:val="true"/>
              </w:rPr>
              <w:tab/>
            </w:r>
            <w:r>
              <w:rPr>
                <w:rStyle w:val="IndexLink"/>
              </w:rPr>
              <w:t>44</w:t>
            </w:r>
          </w:hyperlink>
        </w:p>
        <w:p>
          <w:pPr>
            <w:pStyle w:val="Contents6"/>
            <w:tabs>
              <w:tab w:val="clear" w:pos="7609"/>
              <w:tab w:val="right" w:pos="9026" w:leader="dot"/>
            </w:tabs>
            <w:rPr/>
          </w:pPr>
          <w:hyperlink w:anchor="__RefHeading___Toc3299640_1468164448">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299642_1468164448">
            <w:r>
              <w:rPr>
                <w:webHidden/>
                <w:rStyle w:val="IndexLink"/>
                <w:rtl w:val="true"/>
              </w:rPr>
              <w:t>تفسیر آخر للآیة</w:t>
            </w:r>
            <w:r>
              <w:rPr>
                <w:rStyle w:val="IndexLink"/>
                <w:rtl w:val="true"/>
              </w:rPr>
              <w:tab/>
            </w:r>
            <w:r>
              <w:rPr>
                <w:rStyle w:val="IndexLink"/>
              </w:rPr>
              <w:t>44</w:t>
            </w:r>
          </w:hyperlink>
        </w:p>
        <w:p>
          <w:pPr>
            <w:pStyle w:val="Contents6"/>
            <w:tabs>
              <w:tab w:val="clear" w:pos="7609"/>
              <w:tab w:val="right" w:pos="9026" w:leader="dot"/>
            </w:tabs>
            <w:rPr/>
          </w:pPr>
          <w:hyperlink w:anchor="__RefHeading___Toc3299644_1468164448">
            <w:r>
              <w:rPr>
                <w:webHidden/>
                <w:rStyle w:val="IndexLink"/>
                <w:rtl w:val="true"/>
              </w:rPr>
              <w:t>ترجیح التفسیر الأول</w:t>
            </w:r>
            <w:r>
              <w:rPr>
                <w:rStyle w:val="IndexLink"/>
                <w:rtl w:val="true"/>
              </w:rPr>
              <w:tab/>
            </w:r>
            <w:r>
              <w:rPr>
                <w:rStyle w:val="IndexLink"/>
              </w:rPr>
              <w:t>45</w:t>
            </w:r>
          </w:hyperlink>
        </w:p>
        <w:p>
          <w:pPr>
            <w:pStyle w:val="Contents6"/>
            <w:tabs>
              <w:tab w:val="clear" w:pos="7609"/>
              <w:tab w:val="right" w:pos="9026" w:leader="dot"/>
            </w:tabs>
            <w:rPr/>
          </w:pPr>
          <w:hyperlink w:anchor="__RefHeading___Toc3299646_1468164448">
            <w:r>
              <w:rPr>
                <w:webHidden/>
                <w:rStyle w:val="IndexLink"/>
                <w:rtl w:val="true"/>
              </w:rPr>
              <w:t>ظهور الآیة فی وظیفة الحاکم</w:t>
            </w:r>
            <w:r>
              <w:rPr>
                <w:rStyle w:val="IndexLink"/>
                <w:rtl w:val="true"/>
              </w:rPr>
              <w:tab/>
            </w:r>
            <w:r>
              <w:rPr>
                <w:rStyle w:val="IndexLink"/>
              </w:rPr>
              <w:t>45</w:t>
            </w:r>
          </w:hyperlink>
        </w:p>
        <w:p>
          <w:pPr>
            <w:pStyle w:val="Contents6"/>
            <w:tabs>
              <w:tab w:val="clear" w:pos="7609"/>
              <w:tab w:val="right" w:pos="9026" w:leader="dot"/>
            </w:tabs>
            <w:rPr/>
          </w:pPr>
          <w:hyperlink w:anchor="__RefHeading___Toc3299648_1468164448">
            <w:r>
              <w:rPr>
                <w:webHidden/>
                <w:rStyle w:val="IndexLink"/>
                <w:rtl w:val="true"/>
              </w:rPr>
              <w:t>عدم دلالة الآیة علی إمضاء الإعتبار</w:t>
            </w:r>
            <w:r>
              <w:rPr>
                <w:rStyle w:val="IndexLink"/>
                <w:rtl w:val="true"/>
              </w:rPr>
              <w:tab/>
            </w:r>
            <w:r>
              <w:rPr>
                <w:rStyle w:val="IndexLink"/>
              </w:rPr>
              <w:t>46</w:t>
            </w:r>
          </w:hyperlink>
        </w:p>
        <w:p>
          <w:pPr>
            <w:pStyle w:val="Contents5"/>
            <w:tabs>
              <w:tab w:val="clear" w:pos="7892"/>
              <w:tab w:val="right" w:pos="9026" w:leader="dot"/>
            </w:tabs>
            <w:rPr/>
          </w:pPr>
          <w:hyperlink w:anchor="__RefHeading___Toc3299650_1468164448">
            <w:r>
              <w:rPr>
                <w:webHidden/>
                <w:rStyle w:val="IndexLink"/>
                <w:rtl w:val="true"/>
              </w:rPr>
              <w:t>الدلیل الرابع</w:t>
            </w:r>
            <w:r>
              <w:rPr>
                <w:rStyle w:val="IndexLink"/>
                <w:rtl w:val="true"/>
              </w:rPr>
              <w:t xml:space="preserve">: </w:t>
            </w:r>
            <w:r>
              <w:rPr>
                <w:rStyle w:val="IndexLink"/>
                <w:rtl w:val="true"/>
              </w:rPr>
              <w:t>إنها صغریات لاعتبارات شرعیة</w:t>
            </w:r>
            <w:r>
              <w:rPr>
                <w:rStyle w:val="IndexLink"/>
                <w:rtl w:val="true"/>
              </w:rPr>
              <w:tab/>
            </w:r>
            <w:r>
              <w:rPr>
                <w:rStyle w:val="IndexLink"/>
              </w:rPr>
              <w:t>46</w:t>
            </w:r>
          </w:hyperlink>
        </w:p>
        <w:p>
          <w:pPr>
            <w:pStyle w:val="Contents6"/>
            <w:tabs>
              <w:tab w:val="clear" w:pos="7609"/>
              <w:tab w:val="right" w:pos="9026" w:leader="dot"/>
            </w:tabs>
            <w:rPr/>
          </w:pPr>
          <w:hyperlink w:anchor="__RefHeading___Toc3299652_1468164448">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3299654_1468164448">
            <w:r>
              <w:rPr>
                <w:webHidden/>
                <w:rStyle w:val="IndexLink"/>
                <w:rtl w:val="true"/>
              </w:rPr>
              <w:t>مشکلة هذا التصویر</w:t>
            </w:r>
            <w:r>
              <w:rPr>
                <w:rStyle w:val="IndexLink"/>
                <w:rtl w:val="true"/>
              </w:rPr>
              <w:tab/>
            </w:r>
            <w:r>
              <w:rPr>
                <w:rStyle w:val="IndexLink"/>
              </w:rPr>
              <w:t>47</w:t>
            </w:r>
          </w:hyperlink>
        </w:p>
        <w:p>
          <w:pPr>
            <w:pStyle w:val="Contents6"/>
            <w:tabs>
              <w:tab w:val="clear" w:pos="7609"/>
              <w:tab w:val="right" w:pos="9026" w:leader="dot"/>
            </w:tabs>
            <w:rPr/>
          </w:pPr>
          <w:hyperlink w:anchor="__RefHeading___Toc3299656_1468164448">
            <w:r>
              <w:rPr>
                <w:webHidden/>
                <w:rStyle w:val="IndexLink"/>
                <w:rtl w:val="true"/>
              </w:rPr>
              <w:t>تقریب لصلاحیة الإمضاء للطبیعی</w:t>
            </w:r>
            <w:r>
              <w:rPr>
                <w:rStyle w:val="IndexLink"/>
                <w:rtl w:val="true"/>
              </w:rPr>
              <w:tab/>
            </w:r>
            <w:r>
              <w:rPr>
                <w:rStyle w:val="IndexLink"/>
              </w:rPr>
              <w:t>47</w:t>
            </w:r>
          </w:hyperlink>
        </w:p>
        <w:p>
          <w:pPr>
            <w:pStyle w:val="Contents5"/>
            <w:tabs>
              <w:tab w:val="clear" w:pos="7892"/>
              <w:tab w:val="right" w:pos="9026" w:leader="dot"/>
            </w:tabs>
            <w:rPr/>
          </w:pPr>
          <w:hyperlink w:anchor="__RefHeading___Toc3299658_1468164448">
            <w:r>
              <w:rPr>
                <w:webHidden/>
                <w:rStyle w:val="IndexLink"/>
                <w:rtl w:val="true"/>
              </w:rPr>
              <w:t>الدلیل الخامس</w:t>
            </w:r>
            <w:r>
              <w:rPr>
                <w:rStyle w:val="IndexLink"/>
                <w:rtl w:val="true"/>
              </w:rPr>
              <w:t xml:space="preserve">: </w:t>
            </w:r>
            <w:r>
              <w:rPr>
                <w:rStyle w:val="IndexLink"/>
                <w:rtl w:val="true"/>
              </w:rPr>
              <w:t>کونها صغریات لکبریات شرعیة</w:t>
            </w:r>
            <w:r>
              <w:rPr>
                <w:rStyle w:val="IndexLink"/>
                <w:rtl w:val="true"/>
              </w:rPr>
              <w:tab/>
            </w:r>
            <w:r>
              <w:rPr>
                <w:rStyle w:val="IndexLink"/>
              </w:rPr>
              <w:t>49</w:t>
            </w:r>
          </w:hyperlink>
        </w:p>
        <w:p>
          <w:pPr>
            <w:pStyle w:val="Contents6"/>
            <w:tabs>
              <w:tab w:val="clear" w:pos="7609"/>
              <w:tab w:val="right" w:pos="9026" w:leader="dot"/>
            </w:tabs>
            <w:rPr/>
          </w:pPr>
          <w:hyperlink w:anchor="__RefHeading___Toc3299660_1468164448">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299662_1468164448">
            <w:r>
              <w:rPr>
                <w:webHidden/>
                <w:rStyle w:val="IndexLink"/>
                <w:rtl w:val="true"/>
              </w:rPr>
              <w:t>الخبرویة الموضوعیة</w:t>
            </w:r>
            <w:r>
              <w:rPr>
                <w:rStyle w:val="IndexLink"/>
                <w:rtl w:val="true"/>
              </w:rPr>
              <w:tab/>
            </w:r>
            <w:r>
              <w:rPr>
                <w:rStyle w:val="IndexLink"/>
              </w:rPr>
              <w:t>50</w:t>
            </w:r>
          </w:hyperlink>
        </w:p>
        <w:p>
          <w:pPr>
            <w:pStyle w:val="Contents5"/>
            <w:tabs>
              <w:tab w:val="clear" w:pos="7892"/>
              <w:tab w:val="right" w:pos="9026" w:leader="dot"/>
            </w:tabs>
            <w:rPr/>
          </w:pPr>
          <w:hyperlink w:anchor="__RefHeading___Toc3299664_1468164448">
            <w:r>
              <w:rPr>
                <w:webHidden/>
                <w:rStyle w:val="IndexLink"/>
                <w:rtl w:val="true"/>
              </w:rPr>
              <w:t>الدلیل السادس</w:t>
            </w:r>
            <w:r>
              <w:rPr>
                <w:rStyle w:val="IndexLink"/>
                <w:rtl w:val="true"/>
              </w:rPr>
              <w:t xml:space="preserve">: </w:t>
            </w:r>
            <w:r>
              <w:rPr>
                <w:rStyle w:val="IndexLink"/>
                <w:rtl w:val="true"/>
              </w:rPr>
              <w:t>ایکال الأمر إلی العقلاء</w:t>
            </w:r>
            <w:r>
              <w:rPr>
                <w:rStyle w:val="IndexLink"/>
                <w:rtl w:val="true"/>
              </w:rPr>
              <w:tab/>
            </w:r>
            <w:r>
              <w:rPr>
                <w:rStyle w:val="IndexLink"/>
              </w:rPr>
              <w:t>50</w:t>
            </w:r>
          </w:hyperlink>
        </w:p>
        <w:p>
          <w:pPr>
            <w:pStyle w:val="Contents6"/>
            <w:tabs>
              <w:tab w:val="clear" w:pos="7609"/>
              <w:tab w:val="right" w:pos="9026" w:leader="dot"/>
            </w:tabs>
            <w:rPr/>
          </w:pPr>
          <w:hyperlink w:anchor="__RefHeading___Toc3299666_1468164448">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299668_1468164448">
            <w:r>
              <w:rPr>
                <w:webHidden/>
                <w:rStyle w:val="IndexLink"/>
                <w:rtl w:val="true"/>
              </w:rPr>
              <w:t>حقیقة الإمضاء</w:t>
            </w:r>
            <w:r>
              <w:rPr>
                <w:rStyle w:val="IndexLink"/>
                <w:rtl w:val="true"/>
              </w:rPr>
              <w:tab/>
            </w:r>
            <w:r>
              <w:rPr>
                <w:rStyle w:val="IndexLink"/>
              </w:rPr>
              <w:t>51</w:t>
            </w:r>
          </w:hyperlink>
        </w:p>
        <w:p>
          <w:pPr>
            <w:pStyle w:val="Contents6"/>
            <w:tabs>
              <w:tab w:val="clear" w:pos="7609"/>
              <w:tab w:val="right" w:pos="9026" w:leader="dot"/>
            </w:tabs>
            <w:rPr/>
          </w:pPr>
          <w:hyperlink w:anchor="__RefHeading___Toc3299670_1468164448">
            <w:r>
              <w:rPr>
                <w:webHidden/>
                <w:rStyle w:val="IndexLink"/>
                <w:rtl w:val="true"/>
              </w:rPr>
              <w:t>الفرق بین التأسیس والإمضاء</w:t>
            </w:r>
            <w:r>
              <w:rPr>
                <w:rStyle w:val="IndexLink"/>
                <w:rtl w:val="true"/>
              </w:rPr>
              <w:tab/>
            </w:r>
            <w:r>
              <w:rPr>
                <w:rStyle w:val="IndexLink"/>
              </w:rPr>
              <w:t>52</w:t>
            </w:r>
          </w:hyperlink>
        </w:p>
        <w:p>
          <w:pPr>
            <w:pStyle w:val="Contents6"/>
            <w:tabs>
              <w:tab w:val="clear" w:pos="7609"/>
              <w:tab w:val="right" w:pos="9026" w:leader="dot"/>
            </w:tabs>
            <w:rPr/>
          </w:pPr>
          <w:hyperlink w:anchor="__RefHeading___Toc3299672_1468164448">
            <w:r>
              <w:rPr>
                <w:webHidden/>
                <w:rStyle w:val="IndexLink"/>
                <w:rtl w:val="true"/>
              </w:rPr>
              <w:t>کاشفیة السکوت عن الإمضاء</w:t>
            </w:r>
            <w:r>
              <w:rPr>
                <w:rStyle w:val="IndexLink"/>
                <w:rtl w:val="true"/>
              </w:rPr>
              <w:tab/>
            </w:r>
            <w:r>
              <w:rPr>
                <w:rStyle w:val="IndexLink"/>
              </w:rPr>
              <w:t>53</w:t>
            </w:r>
          </w:hyperlink>
        </w:p>
        <w:p>
          <w:pPr>
            <w:pStyle w:val="Contents6"/>
            <w:tabs>
              <w:tab w:val="clear" w:pos="7609"/>
              <w:tab w:val="right" w:pos="9026" w:leader="dot"/>
            </w:tabs>
            <w:rPr/>
          </w:pPr>
          <w:hyperlink w:anchor="__RefHeading___Toc3299674_1468164448">
            <w:r>
              <w:rPr>
                <w:webHidden/>
                <w:rStyle w:val="IndexLink"/>
                <w:rtl w:val="true"/>
              </w:rPr>
              <w:t>المقصود من الإیکال</w:t>
            </w:r>
            <w:r>
              <w:rPr>
                <w:rStyle w:val="IndexLink"/>
                <w:rtl w:val="true"/>
              </w:rPr>
              <w:tab/>
            </w:r>
            <w:r>
              <w:rPr>
                <w:rStyle w:val="IndexLink"/>
              </w:rPr>
              <w:t>53</w:t>
            </w:r>
          </w:hyperlink>
        </w:p>
        <w:p>
          <w:pPr>
            <w:pStyle w:val="Contents5"/>
            <w:tabs>
              <w:tab w:val="clear" w:pos="7892"/>
              <w:tab w:val="right" w:pos="9026" w:leader="dot"/>
            </w:tabs>
            <w:rPr/>
          </w:pPr>
          <w:hyperlink w:anchor="__RefHeading___Toc3299676_1468164448">
            <w:r>
              <w:rPr>
                <w:webHidden/>
                <w:rStyle w:val="IndexLink"/>
                <w:rtl w:val="true"/>
              </w:rPr>
              <w:t>الدلیل السابع</w:t>
            </w:r>
            <w:r>
              <w:rPr>
                <w:rStyle w:val="IndexLink"/>
                <w:rtl w:val="true"/>
              </w:rPr>
              <w:t xml:space="preserve">: </w:t>
            </w:r>
            <w:r>
              <w:rPr>
                <w:rStyle w:val="IndexLink"/>
                <w:rtl w:val="true"/>
              </w:rPr>
              <w:t>حجّیتها من باب الإطمئنان</w:t>
            </w:r>
            <w:r>
              <w:rPr>
                <w:rStyle w:val="IndexLink"/>
                <w:rtl w:val="true"/>
              </w:rPr>
              <w:tab/>
            </w:r>
            <w:r>
              <w:rPr>
                <w:rStyle w:val="IndexLink"/>
              </w:rPr>
              <w:t>55</w:t>
            </w:r>
          </w:hyperlink>
        </w:p>
        <w:p>
          <w:pPr>
            <w:pStyle w:val="Contents6"/>
            <w:tabs>
              <w:tab w:val="clear" w:pos="7609"/>
              <w:tab w:val="right" w:pos="9026" w:leader="dot"/>
            </w:tabs>
            <w:rPr/>
          </w:pPr>
          <w:hyperlink w:anchor="__RefHeading___Toc3299678_1468164448">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299680_1468164448">
            <w:r>
              <w:rPr>
                <w:webHidden/>
                <w:rStyle w:val="IndexLink"/>
                <w:rtl w:val="true"/>
              </w:rPr>
              <w:t>وقفة فی هذا الدلیل</w:t>
            </w:r>
            <w:r>
              <w:rPr>
                <w:rStyle w:val="IndexLink"/>
                <w:rtl w:val="true"/>
              </w:rPr>
              <w:tab/>
            </w:r>
            <w:r>
              <w:rPr>
                <w:rStyle w:val="IndexLink"/>
              </w:rPr>
              <w:t>55</w:t>
            </w:r>
          </w:hyperlink>
        </w:p>
        <w:p>
          <w:pPr>
            <w:pStyle w:val="Contents6"/>
            <w:tabs>
              <w:tab w:val="clear" w:pos="7609"/>
              <w:tab w:val="right" w:pos="9026" w:leader="dot"/>
            </w:tabs>
            <w:rPr/>
          </w:pPr>
          <w:hyperlink w:anchor="__RefHeading___Toc3299682_1468164448">
            <w:r>
              <w:rPr>
                <w:webHidden/>
                <w:rStyle w:val="IndexLink"/>
                <w:rtl w:val="true"/>
              </w:rPr>
              <w:t>دور الإطمئنان الشخصی فی حصول النوعی</w:t>
            </w:r>
            <w:r>
              <w:rPr>
                <w:rStyle w:val="IndexLink"/>
                <w:rtl w:val="true"/>
              </w:rPr>
              <w:tab/>
            </w:r>
            <w:r>
              <w:rPr>
                <w:rStyle w:val="IndexLink"/>
              </w:rPr>
              <w:t>56</w:t>
            </w:r>
          </w:hyperlink>
        </w:p>
        <w:p>
          <w:pPr>
            <w:pStyle w:val="Contents6"/>
            <w:tabs>
              <w:tab w:val="clear" w:pos="7609"/>
              <w:tab w:val="right" w:pos="9026" w:leader="dot"/>
            </w:tabs>
            <w:rPr/>
          </w:pPr>
          <w:hyperlink w:anchor="__RefHeading___Toc3299684_1468164448">
            <w:r>
              <w:rPr>
                <w:webHidden/>
                <w:rStyle w:val="IndexLink"/>
                <w:rtl w:val="true"/>
              </w:rPr>
              <w:t>خلل أخری فی دلیل الإطمئنان</w:t>
            </w:r>
            <w:r>
              <w:rPr>
                <w:rStyle w:val="IndexLink"/>
                <w:rtl w:val="true"/>
              </w:rPr>
              <w:tab/>
            </w:r>
            <w:r>
              <w:rPr>
                <w:rStyle w:val="IndexLink"/>
              </w:rPr>
              <w:t>57</w:t>
            </w:r>
          </w:hyperlink>
        </w:p>
        <w:p>
          <w:pPr>
            <w:pStyle w:val="Contents6"/>
            <w:tabs>
              <w:tab w:val="clear" w:pos="7609"/>
              <w:tab w:val="right" w:pos="9026" w:leader="dot"/>
            </w:tabs>
            <w:rPr/>
          </w:pPr>
          <w:hyperlink w:anchor="__RefHeading___Toc3299686_1468164448">
            <w:r>
              <w:rPr>
                <w:webHidden/>
                <w:rStyle w:val="IndexLink"/>
                <w:rtl w:val="true"/>
              </w:rPr>
              <w:t>عدم انضباط الإطمئنان الشخصی</w:t>
            </w:r>
            <w:r>
              <w:rPr>
                <w:rStyle w:val="IndexLink"/>
                <w:rtl w:val="true"/>
              </w:rPr>
              <w:tab/>
            </w:r>
            <w:r>
              <w:rPr>
                <w:rStyle w:val="IndexLink"/>
              </w:rPr>
              <w:t>57</w:t>
            </w:r>
          </w:hyperlink>
        </w:p>
        <w:p>
          <w:pPr>
            <w:pStyle w:val="Contents6"/>
            <w:tabs>
              <w:tab w:val="clear" w:pos="7609"/>
              <w:tab w:val="right" w:pos="9026" w:leader="dot"/>
            </w:tabs>
            <w:rPr/>
          </w:pPr>
          <w:hyperlink w:anchor="__RefHeading___Toc3299688_1468164448">
            <w:r>
              <w:rPr>
                <w:webHidden/>
                <w:rStyle w:val="IndexLink"/>
                <w:rtl w:val="true"/>
              </w:rPr>
              <w:t>حجّیة الإطمئنان النوعی</w:t>
            </w:r>
            <w:r>
              <w:rPr>
                <w:rStyle w:val="IndexLink"/>
                <w:rtl w:val="true"/>
              </w:rPr>
              <w:tab/>
            </w:r>
            <w:r>
              <w:rPr>
                <w:rStyle w:val="IndexLink"/>
              </w:rPr>
              <w:t>58</w:t>
            </w:r>
          </w:hyperlink>
        </w:p>
        <w:p>
          <w:pPr>
            <w:pStyle w:val="Contents6"/>
            <w:tabs>
              <w:tab w:val="clear" w:pos="7609"/>
              <w:tab w:val="right" w:pos="9026" w:leader="dot"/>
            </w:tabs>
            <w:rPr/>
          </w:pPr>
          <w:hyperlink w:anchor="__RefHeading___Toc3299690_1468164448">
            <w:r>
              <w:rPr>
                <w:webHidden/>
                <w:rStyle w:val="IndexLink"/>
                <w:rtl w:val="true"/>
              </w:rPr>
              <w:t>جریان سیرة العقلاء علی العمل بالإطمئنان الشخصی وتحلیل هذه السیرة</w:t>
            </w:r>
            <w:r>
              <w:rPr>
                <w:rStyle w:val="IndexLink"/>
                <w:rtl w:val="true"/>
              </w:rPr>
              <w:tab/>
            </w:r>
            <w:r>
              <w:rPr>
                <w:rStyle w:val="IndexLink"/>
              </w:rPr>
              <w:t>58</w:t>
            </w:r>
          </w:hyperlink>
        </w:p>
        <w:p>
          <w:pPr>
            <w:pStyle w:val="Contents6"/>
            <w:tabs>
              <w:tab w:val="clear" w:pos="7609"/>
              <w:tab w:val="right" w:pos="9026" w:leader="dot"/>
            </w:tabs>
            <w:rPr/>
          </w:pPr>
          <w:hyperlink w:anchor="__RefHeading___Toc3299692_1468164448">
            <w:r>
              <w:rPr>
                <w:webHidden/>
                <w:rStyle w:val="IndexLink"/>
                <w:rtl w:val="true"/>
              </w:rPr>
              <w:t>النتائج التی انتهینا إلیها من أدلّة الإمضاء</w:t>
            </w:r>
            <w:r>
              <w:rPr>
                <w:rStyle w:val="IndexLink"/>
                <w:rtl w:val="true"/>
              </w:rPr>
              <w:tab/>
            </w:r>
            <w:r>
              <w:rPr>
                <w:rStyle w:val="IndexLink"/>
              </w:rPr>
              <w:t>59</w:t>
            </w:r>
          </w:hyperlink>
        </w:p>
        <w:p>
          <w:pPr>
            <w:pStyle w:val="Contents6"/>
            <w:tabs>
              <w:tab w:val="clear" w:pos="7609"/>
              <w:tab w:val="right" w:pos="9026" w:leader="dot"/>
            </w:tabs>
            <w:rPr/>
          </w:pPr>
          <w:hyperlink w:anchor="__RefHeading___Toc3299694_1468164448">
            <w:r>
              <w:rPr>
                <w:webHidden/>
                <w:rStyle w:val="IndexLink"/>
                <w:rtl w:val="true"/>
              </w:rPr>
              <w:t>الإعتبار الشرعی بنحو الإقتضاء</w:t>
            </w:r>
            <w:r>
              <w:rPr>
                <w:rStyle w:val="IndexLink"/>
                <w:rtl w:val="true"/>
              </w:rPr>
              <w:tab/>
            </w:r>
            <w:r>
              <w:rPr>
                <w:rStyle w:val="IndexLink"/>
              </w:rPr>
              <w:t>60</w:t>
            </w:r>
          </w:hyperlink>
        </w:p>
        <w:p>
          <w:pPr>
            <w:pStyle w:val="Contents4"/>
            <w:tabs>
              <w:tab w:val="clear" w:pos="8176"/>
              <w:tab w:val="right" w:pos="9026" w:leader="dot"/>
            </w:tabs>
            <w:rPr/>
          </w:pPr>
          <w:hyperlink w:anchor="__RefHeading___Toc3299696_1468164448">
            <w:r>
              <w:rPr>
                <w:webHidden/>
                <w:rStyle w:val="IndexLink"/>
              </w:rPr>
              <w:t>4</w:t>
            </w:r>
            <w:r>
              <w:rPr>
                <w:rStyle w:val="IndexLink"/>
                <w:rtl w:val="true"/>
              </w:rPr>
              <w:t xml:space="preserve"> . </w:t>
            </w:r>
            <w:r>
              <w:rPr>
                <w:rStyle w:val="IndexLink"/>
                <w:rtl w:val="true"/>
              </w:rPr>
              <w:t>فی الردع الشرعی وعدمه</w:t>
            </w:r>
            <w:r>
              <w:rPr>
                <w:rStyle w:val="IndexLink"/>
                <w:rtl w:val="true"/>
              </w:rPr>
              <w:tab/>
            </w:r>
            <w:r>
              <w:rPr>
                <w:rStyle w:val="IndexLink"/>
              </w:rPr>
              <w:t>61</w:t>
            </w:r>
          </w:hyperlink>
        </w:p>
        <w:p>
          <w:pPr>
            <w:pStyle w:val="Contents5"/>
            <w:tabs>
              <w:tab w:val="clear" w:pos="7892"/>
              <w:tab w:val="right" w:pos="9026" w:leader="dot"/>
            </w:tabs>
            <w:rPr/>
          </w:pPr>
          <w:hyperlink w:anchor="__RefHeading___Toc3299698_1468164448">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299700_1468164448">
            <w:r>
              <w:rPr>
                <w:webHidden/>
                <w:rStyle w:val="IndexLink"/>
                <w:rtl w:val="true"/>
              </w:rPr>
              <w:t>النقطة الأولی</w:t>
            </w:r>
            <w:r>
              <w:rPr>
                <w:rStyle w:val="IndexLink"/>
                <w:rtl w:val="true"/>
              </w:rPr>
              <w:t xml:space="preserve">: </w:t>
            </w:r>
            <w:r>
              <w:rPr>
                <w:rStyle w:val="IndexLink"/>
                <w:rtl w:val="true"/>
              </w:rPr>
              <w:t>الحدیث عن عدم الردع فی الأصول</w:t>
            </w:r>
            <w:r>
              <w:rPr>
                <w:rStyle w:val="IndexLink"/>
                <w:rtl w:val="true"/>
              </w:rPr>
              <w:tab/>
            </w:r>
            <w:r>
              <w:rPr>
                <w:rStyle w:val="IndexLink"/>
              </w:rPr>
              <w:t>61</w:t>
            </w:r>
          </w:hyperlink>
        </w:p>
        <w:p>
          <w:pPr>
            <w:pStyle w:val="Contents5"/>
            <w:tabs>
              <w:tab w:val="clear" w:pos="7892"/>
              <w:tab w:val="right" w:pos="9026" w:leader="dot"/>
            </w:tabs>
            <w:rPr/>
          </w:pPr>
          <w:hyperlink w:anchor="__RefHeading___Toc3299702_1468164448">
            <w:r>
              <w:rPr>
                <w:webHidden/>
                <w:rStyle w:val="IndexLink"/>
                <w:rtl w:val="true"/>
              </w:rPr>
              <w:t>النقطة الثانیة</w:t>
            </w:r>
            <w:r>
              <w:rPr>
                <w:rStyle w:val="IndexLink"/>
                <w:rtl w:val="true"/>
              </w:rPr>
              <w:t xml:space="preserve">: </w:t>
            </w:r>
            <w:r>
              <w:rPr>
                <w:rStyle w:val="IndexLink"/>
                <w:rtl w:val="true"/>
              </w:rPr>
              <w:t>البُعد المشترک بین المسائل الأربعة</w:t>
            </w:r>
            <w:r>
              <w:rPr>
                <w:rStyle w:val="IndexLink"/>
                <w:rtl w:val="true"/>
              </w:rPr>
              <w:tab/>
            </w:r>
            <w:r>
              <w:rPr>
                <w:rStyle w:val="IndexLink"/>
              </w:rPr>
              <w:t>61</w:t>
            </w:r>
          </w:hyperlink>
        </w:p>
        <w:p>
          <w:pPr>
            <w:pStyle w:val="Contents6"/>
            <w:tabs>
              <w:tab w:val="clear" w:pos="7609"/>
              <w:tab w:val="right" w:pos="9026" w:leader="dot"/>
            </w:tabs>
            <w:rPr/>
          </w:pPr>
          <w:hyperlink w:anchor="__RefHeading___Toc3299704_1468164448">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299706_1468164448">
            <w:r>
              <w:rPr>
                <w:webHidden/>
                <w:rStyle w:val="IndexLink"/>
                <w:rtl w:val="true"/>
              </w:rPr>
              <w:t>هیمنة الکتاب والسنّة</w:t>
            </w:r>
            <w:r>
              <w:rPr>
                <w:rStyle w:val="IndexLink"/>
                <w:rtl w:val="true"/>
              </w:rPr>
              <w:tab/>
            </w:r>
            <w:r>
              <w:rPr>
                <w:rStyle w:val="IndexLink"/>
              </w:rPr>
              <w:t>63</w:t>
            </w:r>
          </w:hyperlink>
        </w:p>
        <w:p>
          <w:pPr>
            <w:pStyle w:val="Contents6"/>
            <w:tabs>
              <w:tab w:val="clear" w:pos="7609"/>
              <w:tab w:val="right" w:pos="9026" w:leader="dot"/>
            </w:tabs>
            <w:rPr/>
          </w:pPr>
          <w:hyperlink w:anchor="__RefHeading___Toc3299708_1468164448">
            <w:r>
              <w:rPr>
                <w:webHidden/>
                <w:rStyle w:val="IndexLink"/>
                <w:rtl w:val="true"/>
              </w:rPr>
              <w:t>قوة الدلالة وأهمیة الحکم</w:t>
            </w:r>
            <w:r>
              <w:rPr>
                <w:rStyle w:val="IndexLink"/>
                <w:rtl w:val="true"/>
              </w:rPr>
              <w:tab/>
            </w:r>
            <w:r>
              <w:rPr>
                <w:rStyle w:val="IndexLink"/>
              </w:rPr>
              <w:t>63</w:t>
            </w:r>
          </w:hyperlink>
        </w:p>
        <w:p>
          <w:pPr>
            <w:pStyle w:val="Contents6"/>
            <w:tabs>
              <w:tab w:val="clear" w:pos="7609"/>
              <w:tab w:val="right" w:pos="9026" w:leader="dot"/>
            </w:tabs>
            <w:rPr/>
          </w:pPr>
          <w:hyperlink w:anchor="__RefHeading___Toc3299710_1468164448">
            <w:r>
              <w:rPr>
                <w:webHidden/>
                <w:rStyle w:val="IndexLink"/>
                <w:rtl w:val="true"/>
              </w:rPr>
              <w:t>ثمرات قاعدة التناسب الطردی</w:t>
            </w:r>
            <w:r>
              <w:rPr>
                <w:rStyle w:val="IndexLink"/>
                <w:rtl w:val="true"/>
              </w:rPr>
              <w:tab/>
            </w:r>
            <w:r>
              <w:rPr>
                <w:rStyle w:val="IndexLink"/>
              </w:rPr>
              <w:t>63</w:t>
            </w:r>
          </w:hyperlink>
        </w:p>
        <w:p>
          <w:pPr>
            <w:pStyle w:val="Contents6"/>
            <w:tabs>
              <w:tab w:val="clear" w:pos="7609"/>
              <w:tab w:val="right" w:pos="9026" w:leader="dot"/>
            </w:tabs>
            <w:rPr/>
          </w:pPr>
          <w:hyperlink w:anchor="__RefHeading___Toc3299712_1468164448">
            <w:r>
              <w:rPr>
                <w:webHidden/>
                <w:rStyle w:val="IndexLink"/>
                <w:rtl w:val="true"/>
              </w:rPr>
              <w:t>ضوابط المخالفة</w:t>
            </w:r>
            <w:r>
              <w:rPr>
                <w:rStyle w:val="IndexLink"/>
                <w:rtl w:val="true"/>
              </w:rPr>
              <w:tab/>
            </w:r>
            <w:r>
              <w:rPr>
                <w:rStyle w:val="IndexLink"/>
              </w:rPr>
              <w:t>64</w:t>
            </w:r>
          </w:hyperlink>
        </w:p>
        <w:p>
          <w:pPr>
            <w:pStyle w:val="Contents5"/>
            <w:tabs>
              <w:tab w:val="clear" w:pos="7892"/>
              <w:tab w:val="right" w:pos="9026" w:leader="dot"/>
            </w:tabs>
            <w:rPr/>
          </w:pPr>
          <w:hyperlink w:anchor="__RefHeading___Toc3299714_1468164448">
            <w:r>
              <w:rPr>
                <w:webHidden/>
                <w:rStyle w:val="IndexLink"/>
                <w:rtl w:val="true"/>
              </w:rPr>
              <w:t>النقطة الثالثة</w:t>
            </w:r>
            <w:r>
              <w:rPr>
                <w:rStyle w:val="IndexLink"/>
                <w:rtl w:val="true"/>
              </w:rPr>
              <w:t xml:space="preserve">: </w:t>
            </w:r>
            <w:r>
              <w:rPr>
                <w:rStyle w:val="IndexLink"/>
                <w:rtl w:val="true"/>
              </w:rPr>
              <w:t>بیان المائز بین المسائل الأربعة</w:t>
            </w:r>
            <w:r>
              <w:rPr>
                <w:rStyle w:val="IndexLink"/>
                <w:rtl w:val="true"/>
              </w:rPr>
              <w:tab/>
            </w:r>
            <w:r>
              <w:rPr>
                <w:rStyle w:val="IndexLink"/>
              </w:rPr>
              <w:t>66</w:t>
            </w:r>
          </w:hyperlink>
        </w:p>
        <w:p>
          <w:pPr>
            <w:pStyle w:val="Contents6"/>
            <w:tabs>
              <w:tab w:val="clear" w:pos="7609"/>
              <w:tab w:val="right" w:pos="9026" w:leader="dot"/>
            </w:tabs>
            <w:rPr/>
          </w:pPr>
          <w:hyperlink w:anchor="__RefHeading___Toc3299716_1468164448">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3299718_1468164448">
            <w:r>
              <w:rPr>
                <w:webHidden/>
                <w:rStyle w:val="IndexLink"/>
                <w:rtl w:val="true"/>
              </w:rPr>
              <w:t>المائز بین المسألة الثانیة والمسائل الأخری</w:t>
            </w:r>
            <w:r>
              <w:rPr>
                <w:rStyle w:val="IndexLink"/>
                <w:rtl w:val="true"/>
              </w:rPr>
              <w:tab/>
            </w:r>
            <w:r>
              <w:rPr>
                <w:rStyle w:val="IndexLink"/>
              </w:rPr>
              <w:t>66</w:t>
            </w:r>
          </w:hyperlink>
        </w:p>
        <w:p>
          <w:pPr>
            <w:pStyle w:val="Contents6"/>
            <w:tabs>
              <w:tab w:val="clear" w:pos="7609"/>
              <w:tab w:val="right" w:pos="9026" w:leader="dot"/>
            </w:tabs>
            <w:rPr/>
          </w:pPr>
          <w:hyperlink w:anchor="__RefHeading___Toc3299720_1468164448">
            <w:r>
              <w:rPr>
                <w:webHidden/>
                <w:rStyle w:val="IndexLink"/>
                <w:rtl w:val="true"/>
              </w:rPr>
              <w:t>التناسب بین قوة دلیل الردع ودرجة التجذر</w:t>
            </w:r>
            <w:r>
              <w:rPr>
                <w:rStyle w:val="IndexLink"/>
                <w:rtl w:val="true"/>
              </w:rPr>
              <w:tab/>
            </w:r>
            <w:r>
              <w:rPr>
                <w:rStyle w:val="IndexLink"/>
              </w:rPr>
              <w:t>66</w:t>
            </w:r>
          </w:hyperlink>
        </w:p>
        <w:p>
          <w:pPr>
            <w:pStyle w:val="Contents6"/>
            <w:tabs>
              <w:tab w:val="clear" w:pos="7609"/>
              <w:tab w:val="right" w:pos="9026" w:leader="dot"/>
            </w:tabs>
            <w:rPr/>
          </w:pPr>
          <w:hyperlink w:anchor="__RefHeading___Toc3299722_1468164448">
            <w:r>
              <w:rPr>
                <w:webHidden/>
                <w:rStyle w:val="IndexLink"/>
                <w:rtl w:val="true"/>
              </w:rPr>
              <w:t>مائز المسألة الثالثة عن الرابعة</w:t>
            </w:r>
            <w:r>
              <w:rPr>
                <w:rStyle w:val="IndexLink"/>
                <w:rtl w:val="true"/>
              </w:rPr>
              <w:tab/>
            </w:r>
            <w:r>
              <w:rPr>
                <w:rStyle w:val="IndexLink"/>
              </w:rPr>
              <w:t>67</w:t>
            </w:r>
          </w:hyperlink>
        </w:p>
        <w:p>
          <w:pPr>
            <w:pStyle w:val="Contents6"/>
            <w:tabs>
              <w:tab w:val="clear" w:pos="7609"/>
              <w:tab w:val="right" w:pos="9026" w:leader="dot"/>
            </w:tabs>
            <w:rPr/>
          </w:pPr>
          <w:hyperlink w:anchor="__RefHeading___Toc3299724_1468164448">
            <w:r>
              <w:rPr>
                <w:webHidden/>
                <w:rStyle w:val="IndexLink"/>
                <w:rtl w:val="true"/>
              </w:rPr>
              <w:t>المائز بین المسألة الثالثة و الرابعة وبین المسألة الأولی</w:t>
            </w:r>
            <w:r>
              <w:rPr>
                <w:rStyle w:val="IndexLink"/>
                <w:rtl w:val="true"/>
              </w:rPr>
              <w:tab/>
            </w:r>
            <w:r>
              <w:rPr>
                <w:rStyle w:val="IndexLink"/>
              </w:rPr>
              <w:t>67</w:t>
            </w:r>
          </w:hyperlink>
        </w:p>
        <w:p>
          <w:pPr>
            <w:pStyle w:val="Contents6"/>
            <w:tabs>
              <w:tab w:val="clear" w:pos="7609"/>
              <w:tab w:val="right" w:pos="9026" w:leader="dot"/>
            </w:tabs>
            <w:rPr/>
          </w:pPr>
          <w:hyperlink w:anchor="__RefHeading___Toc3299726_1468164448">
            <w:r>
              <w:rPr>
                <w:webHidden/>
                <w:rStyle w:val="IndexLink"/>
                <w:rtl w:val="true"/>
              </w:rPr>
              <w:t>الإمضاء وعدم الردع</w:t>
            </w:r>
            <w:r>
              <w:rPr>
                <w:rStyle w:val="IndexLink"/>
                <w:rtl w:val="true"/>
              </w:rPr>
              <w:tab/>
            </w:r>
            <w:r>
              <w:rPr>
                <w:rStyle w:val="IndexLink"/>
              </w:rPr>
              <w:t>67</w:t>
            </w:r>
          </w:hyperlink>
        </w:p>
        <w:p>
          <w:pPr>
            <w:pStyle w:val="Contents4"/>
            <w:tabs>
              <w:tab w:val="clear" w:pos="8176"/>
              <w:tab w:val="right" w:pos="9026" w:leader="dot"/>
            </w:tabs>
            <w:rPr/>
          </w:pPr>
          <w:hyperlink w:anchor="__RefHeading___Toc3299728_1468164448">
            <w:r>
              <w:rPr>
                <w:webHidden/>
                <w:rStyle w:val="IndexLink"/>
              </w:rPr>
              <w:t>5</w:t>
            </w:r>
            <w:r>
              <w:rPr>
                <w:rStyle w:val="IndexLink"/>
                <w:rtl w:val="true"/>
              </w:rPr>
              <w:t xml:space="preserve"> . </w:t>
            </w:r>
            <w:r>
              <w:rPr>
                <w:rStyle w:val="IndexLink"/>
                <w:rtl w:val="true"/>
              </w:rPr>
              <w:t>سریان الإمضاء فی عمود الزمان</w:t>
            </w:r>
            <w:r>
              <w:rPr>
                <w:rStyle w:val="IndexLink"/>
                <w:rtl w:val="true"/>
              </w:rPr>
              <w:tab/>
            </w:r>
            <w:r>
              <w:rPr>
                <w:rStyle w:val="IndexLink"/>
              </w:rPr>
              <w:t>69</w:t>
            </w:r>
          </w:hyperlink>
        </w:p>
        <w:p>
          <w:pPr>
            <w:pStyle w:val="Contents5"/>
            <w:tabs>
              <w:tab w:val="clear" w:pos="7892"/>
              <w:tab w:val="right" w:pos="9026" w:leader="dot"/>
            </w:tabs>
            <w:rPr/>
          </w:pPr>
          <w:hyperlink w:anchor="__RefHeading___Toc3299730_1468164448">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299732_1468164448">
            <w:r>
              <w:rPr>
                <w:webHidden/>
                <w:rStyle w:val="IndexLink"/>
                <w:rtl w:val="true"/>
              </w:rPr>
              <w:t>زوایا بحث إمضاء الإعتبارات العقلائیة أو ردعها</w:t>
            </w:r>
            <w:r>
              <w:rPr>
                <w:rStyle w:val="IndexLink"/>
                <w:rtl w:val="true"/>
              </w:rPr>
              <w:tab/>
            </w:r>
            <w:r>
              <w:rPr>
                <w:rStyle w:val="IndexLink"/>
              </w:rPr>
              <w:t>69</w:t>
            </w:r>
          </w:hyperlink>
        </w:p>
        <w:p>
          <w:pPr>
            <w:pStyle w:val="Contents5"/>
            <w:tabs>
              <w:tab w:val="clear" w:pos="7892"/>
              <w:tab w:val="right" w:pos="9026" w:leader="dot"/>
            </w:tabs>
            <w:rPr/>
          </w:pPr>
          <w:hyperlink w:anchor="__RefHeading___Toc3299734_1468164448">
            <w:r>
              <w:rPr>
                <w:webHidden/>
                <w:rStyle w:val="IndexLink"/>
                <w:rtl w:val="true"/>
              </w:rPr>
              <w:t>مناط الإمضاء الشرعی للإعتبار العقلائی</w:t>
            </w:r>
            <w:r>
              <w:rPr>
                <w:rStyle w:val="IndexLink"/>
                <w:rtl w:val="true"/>
              </w:rPr>
              <w:tab/>
            </w:r>
            <w:r>
              <w:rPr>
                <w:rStyle w:val="IndexLink"/>
              </w:rPr>
              <w:t>70</w:t>
            </w:r>
          </w:hyperlink>
        </w:p>
        <w:p>
          <w:pPr>
            <w:pStyle w:val="Contents6"/>
            <w:tabs>
              <w:tab w:val="clear" w:pos="7609"/>
              <w:tab w:val="right" w:pos="9026" w:leader="dot"/>
            </w:tabs>
            <w:rPr/>
          </w:pPr>
          <w:hyperlink w:anchor="__RefHeading___Toc3299736_1468164448">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299738_1468164448">
            <w:r>
              <w:rPr>
                <w:webHidden/>
                <w:rStyle w:val="IndexLink"/>
                <w:rtl w:val="true"/>
              </w:rPr>
              <w:t>فقه المقاصد</w:t>
            </w:r>
            <w:r>
              <w:rPr>
                <w:rStyle w:val="IndexLink"/>
                <w:rtl w:val="true"/>
              </w:rPr>
              <w:tab/>
            </w:r>
            <w:r>
              <w:rPr>
                <w:rStyle w:val="IndexLink"/>
              </w:rPr>
              <w:t>72</w:t>
            </w:r>
          </w:hyperlink>
        </w:p>
        <w:p>
          <w:pPr>
            <w:pStyle w:val="Contents6"/>
            <w:tabs>
              <w:tab w:val="clear" w:pos="7609"/>
              <w:tab w:val="right" w:pos="9026" w:leader="dot"/>
            </w:tabs>
            <w:rPr/>
          </w:pPr>
          <w:hyperlink w:anchor="__RefHeading___Toc3299740_1468164448">
            <w:r>
              <w:rPr>
                <w:webHidden/>
                <w:rStyle w:val="IndexLink"/>
                <w:rtl w:val="true"/>
              </w:rPr>
              <w:t>الأصل الأولی هو الثبات</w:t>
            </w:r>
            <w:r>
              <w:rPr>
                <w:rStyle w:val="IndexLink"/>
                <w:rtl w:val="true"/>
              </w:rPr>
              <w:tab/>
            </w:r>
            <w:r>
              <w:rPr>
                <w:rStyle w:val="IndexLink"/>
              </w:rPr>
              <w:t>73</w:t>
            </w:r>
          </w:hyperlink>
        </w:p>
        <w:p>
          <w:pPr>
            <w:pStyle w:val="Contents5"/>
            <w:tabs>
              <w:tab w:val="clear" w:pos="7892"/>
              <w:tab w:val="right" w:pos="9026" w:leader="dot"/>
            </w:tabs>
            <w:rPr/>
          </w:pPr>
          <w:hyperlink w:anchor="__RefHeading___Toc3299742_1468164448">
            <w:r>
              <w:rPr>
                <w:webHidden/>
                <w:rStyle w:val="IndexLink"/>
                <w:rtl w:val="true"/>
              </w:rPr>
              <w:t>قرائن عدم عمومیة الإمضاء</w:t>
            </w:r>
            <w:r>
              <w:rPr>
                <w:rStyle w:val="IndexLink"/>
                <w:rtl w:val="true"/>
              </w:rPr>
              <w:tab/>
            </w:r>
            <w:r>
              <w:rPr>
                <w:rStyle w:val="IndexLink"/>
              </w:rPr>
              <w:t>73</w:t>
            </w:r>
          </w:hyperlink>
        </w:p>
        <w:p>
          <w:pPr>
            <w:pStyle w:val="Contents6"/>
            <w:tabs>
              <w:tab w:val="clear" w:pos="7609"/>
              <w:tab w:val="right" w:pos="9026" w:leader="dot"/>
            </w:tabs>
            <w:rPr/>
          </w:pPr>
          <w:hyperlink w:anchor="__RefHeading___Toc3299744_1468164448">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299746_1468164448">
            <w:r>
              <w:rPr>
                <w:webHidden/>
                <w:rStyle w:val="IndexLink"/>
                <w:rtl w:val="true"/>
              </w:rPr>
              <w:t>تقییم تلک القرائن</w:t>
            </w:r>
            <w:r>
              <w:rPr>
                <w:rStyle w:val="IndexLink"/>
                <w:rtl w:val="true"/>
              </w:rPr>
              <w:tab/>
            </w:r>
            <w:r>
              <w:rPr>
                <w:rStyle w:val="IndexLink"/>
              </w:rPr>
              <w:t>73</w:t>
            </w:r>
          </w:hyperlink>
        </w:p>
        <w:p>
          <w:pPr>
            <w:pStyle w:val="Contents6"/>
            <w:tabs>
              <w:tab w:val="clear" w:pos="7609"/>
              <w:tab w:val="right" w:pos="9026" w:leader="dot"/>
            </w:tabs>
            <w:rPr/>
          </w:pPr>
          <w:hyperlink w:anchor="__RefHeading___Toc3299748_1468164448">
            <w:r>
              <w:rPr>
                <w:webHidden/>
                <w:rStyle w:val="IndexLink"/>
                <w:rtl w:val="true"/>
              </w:rPr>
              <w:t>نتیجة ما تقدّم</w:t>
            </w:r>
            <w:r>
              <w:rPr>
                <w:rStyle w:val="IndexLink"/>
                <w:rtl w:val="true"/>
              </w:rPr>
              <w:tab/>
            </w:r>
            <w:r>
              <w:rPr>
                <w:rStyle w:val="IndexLink"/>
              </w:rPr>
              <w:t>75</w:t>
            </w:r>
          </w:hyperlink>
        </w:p>
        <w:p>
          <w:pPr>
            <w:pStyle w:val="Contents3"/>
            <w:tabs>
              <w:tab w:val="clear" w:pos="8459"/>
              <w:tab w:val="right" w:pos="9026" w:leader="dot"/>
            </w:tabs>
            <w:rPr/>
          </w:pPr>
          <w:hyperlink w:anchor="__RefHeading___Toc3299750_1468164448">
            <w:r>
              <w:rPr>
                <w:webHidden/>
                <w:rStyle w:val="IndexLink"/>
              </w:rPr>
              <w:t>2</w:t>
            </w:r>
            <w:r>
              <w:rPr>
                <w:rStyle w:val="IndexLink"/>
                <w:rtl w:val="true"/>
              </w:rPr>
              <w:t xml:space="preserve"> . </w:t>
            </w:r>
            <w:r>
              <w:rPr>
                <w:rStyle w:val="IndexLink"/>
                <w:rtl w:val="true"/>
              </w:rPr>
              <w:t>التعبد بالظن</w:t>
            </w:r>
            <w:r>
              <w:rPr>
                <w:rStyle w:val="IndexLink"/>
                <w:rtl w:val="true"/>
              </w:rPr>
              <w:tab/>
            </w:r>
            <w:r>
              <w:rPr>
                <w:rStyle w:val="IndexLink"/>
              </w:rPr>
              <w:t>76</w:t>
            </w:r>
          </w:hyperlink>
        </w:p>
        <w:p>
          <w:pPr>
            <w:pStyle w:val="Contents4"/>
            <w:tabs>
              <w:tab w:val="clear" w:pos="8176"/>
              <w:tab w:val="right" w:pos="9026" w:leader="dot"/>
            </w:tabs>
            <w:rPr/>
          </w:pPr>
          <w:hyperlink w:anchor="__RefHeading___Toc3299752_1468164448">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299754_1468164448">
            <w:r>
              <w:rPr>
                <w:webHidden/>
                <w:rStyle w:val="IndexLink"/>
              </w:rPr>
              <w:t>1</w:t>
            </w:r>
            <w:r>
              <w:rPr>
                <w:rStyle w:val="IndexLink"/>
                <w:rtl w:val="true"/>
              </w:rPr>
              <w:t xml:space="preserve"> . </w:t>
            </w:r>
            <w:r>
              <w:rPr>
                <w:rStyle w:val="IndexLink"/>
                <w:rtl w:val="true"/>
              </w:rPr>
              <w:t>معانی إقتضاء الحجّیة</w:t>
            </w:r>
            <w:r>
              <w:rPr>
                <w:rStyle w:val="IndexLink"/>
                <w:rtl w:val="true"/>
              </w:rPr>
              <w:tab/>
            </w:r>
            <w:r>
              <w:rPr>
                <w:rStyle w:val="IndexLink"/>
              </w:rPr>
              <w:t>77</w:t>
            </w:r>
          </w:hyperlink>
        </w:p>
        <w:p>
          <w:pPr>
            <w:pStyle w:val="Contents4"/>
            <w:tabs>
              <w:tab w:val="clear" w:pos="8176"/>
              <w:tab w:val="right" w:pos="9026" w:leader="dot"/>
            </w:tabs>
            <w:rPr/>
          </w:pPr>
          <w:hyperlink w:anchor="__RefHeading___Toc3299756_1468164448">
            <w:r>
              <w:rPr>
                <w:webHidden/>
                <w:rStyle w:val="IndexLink"/>
              </w:rPr>
              <w:t>2</w:t>
            </w:r>
            <w:r>
              <w:rPr>
                <w:rStyle w:val="IndexLink"/>
                <w:rtl w:val="true"/>
              </w:rPr>
              <w:t xml:space="preserve"> . </w:t>
            </w:r>
            <w:r>
              <w:rPr>
                <w:rStyle w:val="IndexLink"/>
                <w:rtl w:val="true"/>
              </w:rPr>
              <w:t>إمکان التعبد بالظن</w:t>
            </w:r>
            <w:r>
              <w:rPr>
                <w:rStyle w:val="IndexLink"/>
                <w:rtl w:val="true"/>
              </w:rPr>
              <w:tab/>
            </w:r>
            <w:r>
              <w:rPr>
                <w:rStyle w:val="IndexLink"/>
              </w:rPr>
              <w:t>79</w:t>
            </w:r>
          </w:hyperlink>
        </w:p>
        <w:p>
          <w:pPr>
            <w:pStyle w:val="Contents5"/>
            <w:tabs>
              <w:tab w:val="clear" w:pos="7892"/>
              <w:tab w:val="right" w:pos="9026" w:leader="dot"/>
            </w:tabs>
            <w:rPr/>
          </w:pPr>
          <w:hyperlink w:anchor="__RefHeading___Toc3299758_1468164448">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299760_1468164448">
            <w:r>
              <w:rPr>
                <w:webHidden/>
                <w:rStyle w:val="IndexLink"/>
                <w:rtl w:val="true"/>
              </w:rPr>
              <w:t>محاذیر ابن قبة</w:t>
            </w:r>
            <w:r>
              <w:rPr>
                <w:rStyle w:val="IndexLink"/>
                <w:rtl w:val="true"/>
              </w:rPr>
              <w:tab/>
            </w:r>
            <w:r>
              <w:rPr>
                <w:rStyle w:val="IndexLink"/>
              </w:rPr>
              <w:t>79</w:t>
            </w:r>
          </w:hyperlink>
        </w:p>
        <w:p>
          <w:pPr>
            <w:pStyle w:val="Contents6"/>
            <w:tabs>
              <w:tab w:val="clear" w:pos="7609"/>
              <w:tab w:val="right" w:pos="9026" w:leader="dot"/>
            </w:tabs>
            <w:rPr/>
          </w:pPr>
          <w:hyperlink w:anchor="__RefHeading___Toc3299762_1468164448">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299764_1468164448">
            <w:r>
              <w:rPr>
                <w:webHidden/>
                <w:rStyle w:val="IndexLink"/>
                <w:rtl w:val="true"/>
              </w:rPr>
              <w:t>جواب الشیخ الأعظم عن الإشکال الأول</w:t>
            </w:r>
            <w:r>
              <w:rPr>
                <w:rStyle w:val="IndexLink"/>
                <w:rtl w:val="true"/>
              </w:rPr>
              <w:tab/>
            </w:r>
            <w:r>
              <w:rPr>
                <w:rStyle w:val="IndexLink"/>
              </w:rPr>
              <w:t>79</w:t>
            </w:r>
          </w:hyperlink>
        </w:p>
        <w:p>
          <w:pPr>
            <w:pStyle w:val="Contents6"/>
            <w:tabs>
              <w:tab w:val="clear" w:pos="7609"/>
              <w:tab w:val="right" w:pos="9026" w:leader="dot"/>
            </w:tabs>
            <w:rPr/>
          </w:pPr>
          <w:hyperlink w:anchor="__RefHeading___Toc3299766_1468164448">
            <w:r>
              <w:rPr>
                <w:webHidden/>
                <w:rStyle w:val="IndexLink"/>
                <w:rtl w:val="true"/>
              </w:rPr>
              <w:t>جواب آخر من الشیخ</w:t>
            </w:r>
            <w:r>
              <w:rPr>
                <w:rStyle w:val="IndexLink"/>
                <w:rtl w:val="true"/>
              </w:rPr>
              <w:tab/>
            </w:r>
            <w:r>
              <w:rPr>
                <w:rStyle w:val="IndexLink"/>
              </w:rPr>
              <w:t>80</w:t>
            </w:r>
          </w:hyperlink>
        </w:p>
        <w:p>
          <w:pPr>
            <w:pStyle w:val="Contents5"/>
            <w:tabs>
              <w:tab w:val="clear" w:pos="7892"/>
              <w:tab w:val="right" w:pos="9026" w:leader="dot"/>
            </w:tabs>
            <w:rPr/>
          </w:pPr>
          <w:hyperlink w:anchor="__RefHeading___Toc3299768_1468164448">
            <w:r>
              <w:rPr>
                <w:webHidden/>
                <w:rStyle w:val="IndexLink"/>
                <w:rtl w:val="true"/>
              </w:rPr>
              <w:t>عرض آخر من البحث</w:t>
            </w:r>
            <w:r>
              <w:rPr>
                <w:rStyle w:val="IndexLink"/>
                <w:rtl w:val="true"/>
              </w:rPr>
              <w:tab/>
            </w:r>
            <w:r>
              <w:rPr>
                <w:rStyle w:val="IndexLink"/>
              </w:rPr>
              <w:t>80</w:t>
            </w:r>
          </w:hyperlink>
        </w:p>
        <w:p>
          <w:pPr>
            <w:pStyle w:val="Contents6"/>
            <w:tabs>
              <w:tab w:val="clear" w:pos="7609"/>
              <w:tab w:val="right" w:pos="9026" w:leader="dot"/>
            </w:tabs>
            <w:rPr/>
          </w:pPr>
          <w:hyperlink w:anchor="__RefHeading___Toc3299770_1468164448">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299772_1468164448">
            <w:r>
              <w:rPr>
                <w:webHidden/>
                <w:rStyle w:val="IndexLink"/>
                <w:rtl w:val="true"/>
              </w:rPr>
              <w:t>عرض الشبهة بلسان الفخر الرازی</w:t>
            </w:r>
            <w:r>
              <w:rPr>
                <w:rStyle w:val="IndexLink"/>
                <w:rtl w:val="true"/>
              </w:rPr>
              <w:tab/>
            </w:r>
            <w:r>
              <w:rPr>
                <w:rStyle w:val="IndexLink"/>
              </w:rPr>
              <w:t>81</w:t>
            </w:r>
          </w:hyperlink>
        </w:p>
        <w:p>
          <w:pPr>
            <w:pStyle w:val="Contents6"/>
            <w:tabs>
              <w:tab w:val="clear" w:pos="7609"/>
              <w:tab w:val="right" w:pos="9026" w:leader="dot"/>
            </w:tabs>
            <w:rPr/>
          </w:pPr>
          <w:hyperlink w:anchor="__RefHeading___Toc3299774_1468164448">
            <w:r>
              <w:rPr>
                <w:webHidden/>
                <w:rStyle w:val="IndexLink"/>
                <w:rtl w:val="true"/>
              </w:rPr>
              <w:t>الصیغة الحدیثة للشبهة</w:t>
            </w:r>
            <w:r>
              <w:rPr>
                <w:rStyle w:val="IndexLink"/>
                <w:rtl w:val="true"/>
              </w:rPr>
              <w:tab/>
            </w:r>
            <w:r>
              <w:rPr>
                <w:rStyle w:val="IndexLink"/>
              </w:rPr>
              <w:t>81</w:t>
            </w:r>
          </w:hyperlink>
        </w:p>
        <w:p>
          <w:pPr>
            <w:pStyle w:val="Contents6"/>
            <w:tabs>
              <w:tab w:val="clear" w:pos="7609"/>
              <w:tab w:val="right" w:pos="9026" w:leader="dot"/>
            </w:tabs>
            <w:rPr/>
          </w:pPr>
          <w:hyperlink w:anchor="__RefHeading___Toc3299776_1468164448">
            <w:r>
              <w:rPr>
                <w:webHidden/>
                <w:rStyle w:val="IndexLink"/>
                <w:rtl w:val="true"/>
              </w:rPr>
              <w:t>عمق الشبهة الأولی</w:t>
            </w:r>
            <w:r>
              <w:rPr>
                <w:rStyle w:val="IndexLink"/>
                <w:rtl w:val="true"/>
              </w:rPr>
              <w:tab/>
            </w:r>
            <w:r>
              <w:rPr>
                <w:rStyle w:val="IndexLink"/>
              </w:rPr>
              <w:t>82</w:t>
            </w:r>
          </w:hyperlink>
        </w:p>
        <w:p>
          <w:pPr>
            <w:pStyle w:val="Contents6"/>
            <w:tabs>
              <w:tab w:val="clear" w:pos="7609"/>
              <w:tab w:val="right" w:pos="9026" w:leader="dot"/>
            </w:tabs>
            <w:rPr/>
          </w:pPr>
          <w:hyperlink w:anchor="__RefHeading___Toc3299778_1468164448">
            <w:r>
              <w:rPr>
                <w:webHidden/>
                <w:rStyle w:val="IndexLink"/>
                <w:rtl w:val="true"/>
              </w:rPr>
              <w:t>تقییم الجواب الأول من الشیخ</w:t>
            </w:r>
            <w:r>
              <w:rPr>
                <w:rStyle w:val="IndexLink"/>
                <w:rtl w:val="true"/>
              </w:rPr>
              <w:tab/>
            </w:r>
            <w:r>
              <w:rPr>
                <w:rStyle w:val="IndexLink"/>
              </w:rPr>
              <w:t>82</w:t>
            </w:r>
          </w:hyperlink>
        </w:p>
        <w:p>
          <w:pPr>
            <w:pStyle w:val="Contents6"/>
            <w:tabs>
              <w:tab w:val="clear" w:pos="7609"/>
              <w:tab w:val="right" w:pos="9026" w:leader="dot"/>
            </w:tabs>
            <w:rPr/>
          </w:pPr>
          <w:hyperlink w:anchor="__RefHeading___Toc3299780_1468164448">
            <w:r>
              <w:rPr>
                <w:webHidden/>
                <w:rStyle w:val="IndexLink"/>
                <w:rtl w:val="true"/>
              </w:rPr>
              <w:t>تعلیق المحقق العراقی</w:t>
            </w:r>
            <w:r>
              <w:rPr>
                <w:rStyle w:val="IndexLink"/>
                <w:rtl w:val="true"/>
              </w:rPr>
              <w:tab/>
            </w:r>
            <w:r>
              <w:rPr>
                <w:rStyle w:val="IndexLink"/>
              </w:rPr>
              <w:t>82</w:t>
            </w:r>
          </w:hyperlink>
        </w:p>
        <w:p>
          <w:pPr>
            <w:pStyle w:val="Contents6"/>
            <w:tabs>
              <w:tab w:val="clear" w:pos="7609"/>
              <w:tab w:val="right" w:pos="9026" w:leader="dot"/>
            </w:tabs>
            <w:rPr/>
          </w:pPr>
          <w:hyperlink w:anchor="__RefHeading___Toc3299782_1468164448">
            <w:r>
              <w:rPr>
                <w:webHidden/>
                <w:rStyle w:val="IndexLink"/>
                <w:rtl w:val="true"/>
              </w:rPr>
              <w:t>تقییم الجواب الثانی للشیخ</w:t>
            </w:r>
            <w:r>
              <w:rPr>
                <w:rStyle w:val="IndexLink"/>
                <w:rtl w:val="true"/>
              </w:rPr>
              <w:tab/>
            </w:r>
            <w:r>
              <w:rPr>
                <w:rStyle w:val="IndexLink"/>
              </w:rPr>
              <w:t>83</w:t>
            </w:r>
          </w:hyperlink>
        </w:p>
        <w:p>
          <w:pPr>
            <w:pStyle w:val="Contents6"/>
            <w:tabs>
              <w:tab w:val="clear" w:pos="7609"/>
              <w:tab w:val="right" w:pos="9026" w:leader="dot"/>
            </w:tabs>
            <w:rPr/>
          </w:pPr>
          <w:hyperlink w:anchor="__RefHeading___Toc3299784_1468164448">
            <w:r>
              <w:rPr>
                <w:webHidden/>
                <w:rStyle w:val="IndexLink"/>
                <w:rtl w:val="true"/>
              </w:rPr>
              <w:t>إتقان جواب الشیخ</w:t>
            </w:r>
            <w:r>
              <w:rPr>
                <w:rStyle w:val="IndexLink"/>
                <w:rtl w:val="true"/>
              </w:rPr>
              <w:tab/>
            </w:r>
            <w:r>
              <w:rPr>
                <w:rStyle w:val="IndexLink"/>
              </w:rPr>
              <w:t>83</w:t>
            </w:r>
          </w:hyperlink>
        </w:p>
        <w:p>
          <w:pPr>
            <w:pStyle w:val="Contents6"/>
            <w:tabs>
              <w:tab w:val="clear" w:pos="7609"/>
              <w:tab w:val="right" w:pos="9026" w:leader="dot"/>
            </w:tabs>
            <w:rPr/>
          </w:pPr>
          <w:hyperlink w:anchor="__RefHeading___Toc3299786_1468164448">
            <w:r>
              <w:rPr>
                <w:webHidden/>
                <w:rStyle w:val="IndexLink"/>
                <w:rtl w:val="true"/>
              </w:rPr>
              <w:t>نتائج کلام الشیخ</w:t>
            </w:r>
            <w:r>
              <w:rPr>
                <w:rStyle w:val="IndexLink"/>
                <w:rtl w:val="true"/>
              </w:rPr>
              <w:tab/>
            </w:r>
            <w:r>
              <w:rPr>
                <w:rStyle w:val="IndexLink"/>
              </w:rPr>
              <w:t>84</w:t>
            </w:r>
          </w:hyperlink>
        </w:p>
        <w:p>
          <w:pPr>
            <w:pStyle w:val="Contents6"/>
            <w:tabs>
              <w:tab w:val="clear" w:pos="7609"/>
              <w:tab w:val="right" w:pos="9026" w:leader="dot"/>
            </w:tabs>
            <w:rPr/>
          </w:pPr>
          <w:hyperlink w:anchor="__RefHeading___Toc3299788_1468164448">
            <w:r>
              <w:rPr>
                <w:webHidden/>
                <w:rStyle w:val="IndexLink"/>
                <w:rtl w:val="true"/>
              </w:rPr>
              <w:t>تقییم الجواب الثالث من الشیخ</w:t>
            </w:r>
            <w:r>
              <w:rPr>
                <w:rStyle w:val="IndexLink"/>
                <w:rtl w:val="true"/>
              </w:rPr>
              <w:tab/>
            </w:r>
            <w:r>
              <w:rPr>
                <w:rStyle w:val="IndexLink"/>
              </w:rPr>
              <w:t>86</w:t>
            </w:r>
          </w:hyperlink>
        </w:p>
        <w:p>
          <w:pPr>
            <w:pStyle w:val="Contents6"/>
            <w:tabs>
              <w:tab w:val="clear" w:pos="7609"/>
              <w:tab w:val="right" w:pos="9026" w:leader="dot"/>
            </w:tabs>
            <w:rPr/>
          </w:pPr>
          <w:hyperlink w:anchor="__RefHeading___Toc3299790_1468164448">
            <w:r>
              <w:rPr>
                <w:webHidden/>
                <w:rStyle w:val="IndexLink"/>
                <w:rtl w:val="true"/>
              </w:rPr>
              <w:t>المائز بین الجواب الثانی والثالث</w:t>
            </w:r>
            <w:r>
              <w:rPr>
                <w:rStyle w:val="IndexLink"/>
                <w:rtl w:val="true"/>
              </w:rPr>
              <w:tab/>
            </w:r>
            <w:r>
              <w:rPr>
                <w:rStyle w:val="IndexLink"/>
              </w:rPr>
              <w:t>86</w:t>
            </w:r>
          </w:hyperlink>
        </w:p>
        <w:p>
          <w:pPr>
            <w:pStyle w:val="Contents6"/>
            <w:tabs>
              <w:tab w:val="clear" w:pos="7609"/>
              <w:tab w:val="right" w:pos="9026" w:leader="dot"/>
            </w:tabs>
            <w:rPr/>
          </w:pPr>
          <w:hyperlink w:anchor="__RefHeading___Toc3299792_1468164448">
            <w:r>
              <w:rPr>
                <w:webHidden/>
                <w:rStyle w:val="IndexLink"/>
                <w:rtl w:val="true"/>
              </w:rPr>
              <w:t xml:space="preserve">الإستدلال علی رأی الشیخ </w:t>
            </w:r>
            <w:r>
              <w:rPr>
                <w:rStyle w:val="IndexLink"/>
                <w:rtl w:val="true"/>
              </w:rPr>
              <w:t>(</w:t>
            </w:r>
            <w:r>
              <w:rPr>
                <w:rStyle w:val="IndexLink"/>
                <w:rtl w:val="true"/>
              </w:rPr>
              <w:t>قدس سره</w:t>
            </w:r>
            <w:r>
              <w:rPr>
                <w:rStyle w:val="IndexLink"/>
                <w:rtl w:val="true"/>
              </w:rPr>
              <w:t>)</w:t>
              <w:tab/>
            </w:r>
            <w:r>
              <w:rPr>
                <w:rStyle w:val="IndexLink"/>
              </w:rPr>
              <w:t>87</w:t>
            </w:r>
          </w:hyperlink>
        </w:p>
        <w:p>
          <w:pPr>
            <w:pStyle w:val="Contents6"/>
            <w:tabs>
              <w:tab w:val="clear" w:pos="7609"/>
              <w:tab w:val="right" w:pos="9026" w:leader="dot"/>
            </w:tabs>
            <w:rPr/>
          </w:pPr>
          <w:hyperlink w:anchor="__RefHeading___Toc3299794_1468164448">
            <w:r>
              <w:rPr>
                <w:webHidden/>
                <w:rStyle w:val="IndexLink"/>
                <w:rtl w:val="true"/>
              </w:rPr>
              <w:t>الإجابة عن الشبهة الرابعة</w:t>
            </w:r>
            <w:r>
              <w:rPr>
                <w:rStyle w:val="IndexLink"/>
                <w:rtl w:val="true"/>
              </w:rPr>
              <w:tab/>
            </w:r>
            <w:r>
              <w:rPr>
                <w:rStyle w:val="IndexLink"/>
              </w:rPr>
              <w:t>88</w:t>
            </w:r>
          </w:hyperlink>
        </w:p>
        <w:p>
          <w:pPr>
            <w:pStyle w:val="Contents6"/>
            <w:tabs>
              <w:tab w:val="clear" w:pos="7609"/>
              <w:tab w:val="right" w:pos="9026" w:leader="dot"/>
            </w:tabs>
            <w:rPr/>
          </w:pPr>
          <w:hyperlink w:anchor="__RefHeading___Toc3299796_1468164448">
            <w:r>
              <w:rPr>
                <w:webHidden/>
                <w:rStyle w:val="IndexLink"/>
                <w:rtl w:val="true"/>
              </w:rPr>
              <w:t>صیاغة أخری للشبهة</w:t>
            </w:r>
            <w:r>
              <w:rPr>
                <w:rStyle w:val="IndexLink"/>
                <w:rtl w:val="true"/>
              </w:rPr>
              <w:tab/>
            </w:r>
            <w:r>
              <w:rPr>
                <w:rStyle w:val="IndexLink"/>
              </w:rPr>
              <w:t>89</w:t>
            </w:r>
          </w:hyperlink>
        </w:p>
        <w:p>
          <w:pPr>
            <w:pStyle w:val="Contents6"/>
            <w:tabs>
              <w:tab w:val="clear" w:pos="7609"/>
              <w:tab w:val="right" w:pos="9026" w:leader="dot"/>
            </w:tabs>
            <w:rPr/>
          </w:pPr>
          <w:hyperlink w:anchor="__RefHeading___Toc3299798_1468164448">
            <w:r>
              <w:rPr>
                <w:webHidden/>
                <w:rStyle w:val="IndexLink"/>
                <w:rtl w:val="true"/>
              </w:rPr>
              <w:t>ردّ الشبهة</w:t>
            </w:r>
            <w:r>
              <w:rPr>
                <w:rStyle w:val="IndexLink"/>
                <w:rtl w:val="true"/>
              </w:rPr>
              <w:tab/>
            </w:r>
            <w:r>
              <w:rPr>
                <w:rStyle w:val="IndexLink"/>
              </w:rPr>
              <w:t>89</w:t>
            </w:r>
          </w:hyperlink>
        </w:p>
        <w:p>
          <w:pPr>
            <w:pStyle w:val="Contents6"/>
            <w:tabs>
              <w:tab w:val="clear" w:pos="7609"/>
              <w:tab w:val="right" w:pos="9026" w:leader="dot"/>
            </w:tabs>
            <w:rPr/>
          </w:pPr>
          <w:hyperlink w:anchor="__RefHeading___Toc3299800_1468164448">
            <w:r>
              <w:rPr>
                <w:webHidden/>
                <w:rStyle w:val="IndexLink"/>
                <w:rtl w:val="true"/>
              </w:rPr>
              <w:t>لزوم العصمة علماً وعملاً</w:t>
            </w:r>
            <w:r>
              <w:rPr>
                <w:rStyle w:val="IndexLink"/>
                <w:rtl w:val="true"/>
              </w:rPr>
              <w:tab/>
            </w:r>
            <w:r>
              <w:rPr>
                <w:rStyle w:val="IndexLink"/>
              </w:rPr>
              <w:t>90</w:t>
            </w:r>
          </w:hyperlink>
        </w:p>
        <w:p>
          <w:pPr>
            <w:pStyle w:val="Contents6"/>
            <w:tabs>
              <w:tab w:val="clear" w:pos="7609"/>
              <w:tab w:val="right" w:pos="9026" w:leader="dot"/>
            </w:tabs>
            <w:rPr/>
          </w:pPr>
          <w:hyperlink w:anchor="__RefHeading___Toc3299802_1468164448">
            <w:r>
              <w:rPr>
                <w:webHidden/>
                <w:rStyle w:val="IndexLink"/>
                <w:rtl w:val="true"/>
              </w:rPr>
              <w:t>تقییم جواب الشیخ المشترک عن إشکالی ابن قبة</w:t>
            </w:r>
            <w:r>
              <w:rPr>
                <w:rStyle w:val="IndexLink"/>
                <w:rtl w:val="true"/>
              </w:rPr>
              <w:tab/>
            </w:r>
            <w:r>
              <w:rPr>
                <w:rStyle w:val="IndexLink"/>
              </w:rPr>
              <w:t>90</w:t>
            </w:r>
          </w:hyperlink>
        </w:p>
        <w:p>
          <w:pPr>
            <w:pStyle w:val="Contents6"/>
            <w:tabs>
              <w:tab w:val="clear" w:pos="7609"/>
              <w:tab w:val="right" w:pos="9026" w:leader="dot"/>
            </w:tabs>
            <w:rPr/>
          </w:pPr>
          <w:hyperlink w:anchor="__RefHeading___Toc3299804_1468164448">
            <w:r>
              <w:rPr>
                <w:webHidden/>
                <w:rStyle w:val="IndexLink"/>
                <w:rtl w:val="true"/>
              </w:rPr>
              <w:t>مناقشة صاحب الکفایة</w:t>
            </w:r>
            <w:r>
              <w:rPr>
                <w:rStyle w:val="IndexLink"/>
                <w:rtl w:val="true"/>
              </w:rPr>
              <w:tab/>
            </w:r>
            <w:r>
              <w:rPr>
                <w:rStyle w:val="IndexLink"/>
              </w:rPr>
              <w:t>91</w:t>
            </w:r>
          </w:hyperlink>
        </w:p>
        <w:p>
          <w:pPr>
            <w:pStyle w:val="Contents6"/>
            <w:tabs>
              <w:tab w:val="clear" w:pos="7609"/>
              <w:tab w:val="right" w:pos="9026" w:leader="dot"/>
            </w:tabs>
            <w:rPr/>
          </w:pPr>
          <w:hyperlink w:anchor="__RefHeading___Toc3299806_1468164448">
            <w:r>
              <w:rPr>
                <w:webHidden/>
                <w:rStyle w:val="IndexLink"/>
                <w:rtl w:val="true"/>
              </w:rPr>
              <w:t>نقد المناقشة الثالثة</w:t>
            </w:r>
            <w:r>
              <w:rPr>
                <w:rStyle w:val="IndexLink"/>
                <w:rtl w:val="true"/>
              </w:rPr>
              <w:tab/>
            </w:r>
            <w:r>
              <w:rPr>
                <w:rStyle w:val="IndexLink"/>
              </w:rPr>
              <w:t>91</w:t>
            </w:r>
          </w:hyperlink>
        </w:p>
        <w:p>
          <w:pPr>
            <w:pStyle w:val="Contents6"/>
            <w:tabs>
              <w:tab w:val="clear" w:pos="7609"/>
              <w:tab w:val="right" w:pos="9026" w:leader="dot"/>
            </w:tabs>
            <w:rPr/>
          </w:pPr>
          <w:hyperlink w:anchor="__RefHeading___Toc3299808_1468164448">
            <w:r>
              <w:rPr>
                <w:webHidden/>
                <w:rStyle w:val="IndexLink"/>
                <w:rtl w:val="true"/>
              </w:rPr>
              <w:t>إتقان إثارة الشیخ</w:t>
            </w:r>
            <w:r>
              <w:rPr>
                <w:rStyle w:val="IndexLink"/>
                <w:rtl w:val="true"/>
              </w:rPr>
              <w:tab/>
            </w:r>
            <w:r>
              <w:rPr>
                <w:rStyle w:val="IndexLink"/>
              </w:rPr>
              <w:t>92</w:t>
            </w:r>
          </w:hyperlink>
        </w:p>
        <w:p>
          <w:pPr>
            <w:pStyle w:val="Contents6"/>
            <w:tabs>
              <w:tab w:val="clear" w:pos="7609"/>
              <w:tab w:val="right" w:pos="9026" w:leader="dot"/>
            </w:tabs>
            <w:rPr/>
          </w:pPr>
          <w:hyperlink w:anchor="__RefHeading___Toc3299810_1468164448">
            <w:r>
              <w:rPr>
                <w:webHidden/>
                <w:rStyle w:val="IndexLink"/>
                <w:rtl w:val="true"/>
              </w:rPr>
              <w:t>تقریب الإصفهانی لمختار الشیخ</w:t>
            </w:r>
            <w:r>
              <w:rPr>
                <w:rStyle w:val="IndexLink"/>
                <w:rtl w:val="true"/>
              </w:rPr>
              <w:tab/>
            </w:r>
            <w:r>
              <w:rPr>
                <w:rStyle w:val="IndexLink"/>
              </w:rPr>
              <w:t>93</w:t>
            </w:r>
          </w:hyperlink>
        </w:p>
        <w:p>
          <w:pPr>
            <w:pStyle w:val="Contents6"/>
            <w:tabs>
              <w:tab w:val="clear" w:pos="7609"/>
              <w:tab w:val="right" w:pos="9026" w:leader="dot"/>
            </w:tabs>
            <w:rPr/>
          </w:pPr>
          <w:hyperlink w:anchor="__RefHeading___Toc3299812_1468164448">
            <w:r>
              <w:rPr>
                <w:webHidden/>
                <w:rStyle w:val="IndexLink"/>
                <w:rtl w:val="true"/>
              </w:rPr>
              <w:t>تعمیق فی تقریب الإصفهانی</w:t>
            </w:r>
            <w:r>
              <w:rPr>
                <w:rStyle w:val="IndexLink"/>
                <w:rtl w:val="true"/>
              </w:rPr>
              <w:tab/>
            </w:r>
            <w:r>
              <w:rPr>
                <w:rStyle w:val="IndexLink"/>
              </w:rPr>
              <w:t>94</w:t>
            </w:r>
          </w:hyperlink>
        </w:p>
        <w:p>
          <w:pPr>
            <w:pStyle w:val="Contents6"/>
            <w:tabs>
              <w:tab w:val="clear" w:pos="7609"/>
              <w:tab w:val="right" w:pos="9026" w:leader="dot"/>
            </w:tabs>
            <w:rPr/>
          </w:pPr>
          <w:hyperlink w:anchor="__RefHeading___Toc3299814_1468164448">
            <w:r>
              <w:rPr>
                <w:webHidden/>
                <w:rStyle w:val="IndexLink"/>
                <w:rtl w:val="true"/>
              </w:rPr>
              <w:t>نقد المناقشة الثانیة للآخوند</w:t>
            </w:r>
            <w:r>
              <w:rPr>
                <w:rStyle w:val="IndexLink"/>
                <w:rtl w:val="true"/>
              </w:rPr>
              <w:tab/>
            </w:r>
            <w:r>
              <w:rPr>
                <w:rStyle w:val="IndexLink"/>
              </w:rPr>
              <w:t>95</w:t>
            </w:r>
          </w:hyperlink>
        </w:p>
        <w:p>
          <w:pPr>
            <w:pStyle w:val="Contents6"/>
            <w:tabs>
              <w:tab w:val="clear" w:pos="7609"/>
              <w:tab w:val="right" w:pos="9026" w:leader="dot"/>
            </w:tabs>
            <w:rPr/>
          </w:pPr>
          <w:hyperlink w:anchor="__RefHeading___Toc3299816_1468164448">
            <w:r>
              <w:rPr>
                <w:webHidden/>
                <w:rStyle w:val="IndexLink"/>
                <w:rtl w:val="true"/>
              </w:rPr>
              <w:t>قاعدة الإمکان ولیدة قاعدة التناسب</w:t>
            </w:r>
            <w:r>
              <w:rPr>
                <w:rStyle w:val="IndexLink"/>
                <w:rtl w:val="true"/>
              </w:rPr>
              <w:tab/>
            </w:r>
            <w:r>
              <w:rPr>
                <w:rStyle w:val="IndexLink"/>
              </w:rPr>
              <w:t>95</w:t>
            </w:r>
          </w:hyperlink>
        </w:p>
        <w:p>
          <w:pPr>
            <w:pStyle w:val="Contents6"/>
            <w:tabs>
              <w:tab w:val="clear" w:pos="7609"/>
              <w:tab w:val="right" w:pos="9026" w:leader="dot"/>
            </w:tabs>
            <w:rPr/>
          </w:pPr>
          <w:hyperlink w:anchor="__RefHeading___Toc3299818_1468164448">
            <w:r>
              <w:rPr>
                <w:webHidden/>
                <w:rStyle w:val="IndexLink"/>
                <w:rtl w:val="true"/>
              </w:rPr>
              <w:t>جریان قاعدة الإمکان فی العقیدة</w:t>
            </w:r>
            <w:r>
              <w:rPr>
                <w:rStyle w:val="IndexLink"/>
                <w:rtl w:val="true"/>
              </w:rPr>
              <w:tab/>
            </w:r>
            <w:r>
              <w:rPr>
                <w:rStyle w:val="IndexLink"/>
              </w:rPr>
              <w:t>95</w:t>
            </w:r>
          </w:hyperlink>
        </w:p>
        <w:p>
          <w:pPr>
            <w:pStyle w:val="Contents4"/>
            <w:tabs>
              <w:tab w:val="clear" w:pos="8176"/>
              <w:tab w:val="right" w:pos="9026" w:leader="dot"/>
            </w:tabs>
            <w:rPr/>
          </w:pPr>
          <w:hyperlink w:anchor="__RefHeading___Toc3299820_1468164448">
            <w:r>
              <w:rPr>
                <w:webHidden/>
                <w:rStyle w:val="IndexLink"/>
              </w:rPr>
              <w:t>3</w:t>
            </w:r>
            <w:r>
              <w:rPr>
                <w:rStyle w:val="IndexLink"/>
                <w:rtl w:val="true"/>
              </w:rPr>
              <w:t xml:space="preserve"> . </w:t>
            </w:r>
            <w:r>
              <w:rPr>
                <w:rStyle w:val="IndexLink"/>
                <w:rtl w:val="true"/>
              </w:rPr>
              <w:t>الجمع بین الحکم الظاهری والواقعی</w:t>
            </w:r>
            <w:r>
              <w:rPr>
                <w:rStyle w:val="IndexLink"/>
                <w:rtl w:val="true"/>
              </w:rPr>
              <w:tab/>
            </w:r>
            <w:r>
              <w:rPr>
                <w:rStyle w:val="IndexLink"/>
              </w:rPr>
              <w:t>97</w:t>
            </w:r>
          </w:hyperlink>
        </w:p>
        <w:p>
          <w:pPr>
            <w:pStyle w:val="Contents5"/>
            <w:tabs>
              <w:tab w:val="clear" w:pos="7892"/>
              <w:tab w:val="right" w:pos="9026" w:leader="dot"/>
            </w:tabs>
            <w:rPr/>
          </w:pPr>
          <w:hyperlink w:anchor="__RefHeading___Toc3299822_1468164448">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299824_1468164448">
            <w:r>
              <w:rPr>
                <w:webHidden/>
                <w:rStyle w:val="IndexLink"/>
                <w:rtl w:val="true"/>
              </w:rPr>
              <w:t>الأقوال فی حقیقة الحکم الظاهری</w:t>
            </w:r>
            <w:r>
              <w:rPr>
                <w:rStyle w:val="IndexLink"/>
                <w:rtl w:val="true"/>
              </w:rPr>
              <w:tab/>
            </w:r>
            <w:r>
              <w:rPr>
                <w:rStyle w:val="IndexLink"/>
              </w:rPr>
              <w:t>98</w:t>
            </w:r>
          </w:hyperlink>
        </w:p>
        <w:p>
          <w:pPr>
            <w:pStyle w:val="Contents6"/>
            <w:tabs>
              <w:tab w:val="clear" w:pos="7609"/>
              <w:tab w:val="right" w:pos="9026" w:leader="dot"/>
            </w:tabs>
            <w:rPr/>
          </w:pPr>
          <w:hyperlink w:anchor="__RefHeading___Toc3299826_1468164448">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3299828_1468164448">
            <w:r>
              <w:rPr>
                <w:webHidden/>
                <w:rStyle w:val="IndexLink"/>
                <w:rtl w:val="true"/>
              </w:rPr>
              <w:t>التصویب والتخطئة</w:t>
            </w:r>
            <w:r>
              <w:rPr>
                <w:rStyle w:val="IndexLink"/>
                <w:rtl w:val="true"/>
              </w:rPr>
              <w:tab/>
            </w:r>
            <w:r>
              <w:rPr>
                <w:rStyle w:val="IndexLink"/>
              </w:rPr>
              <w:t>99</w:t>
            </w:r>
          </w:hyperlink>
        </w:p>
        <w:p>
          <w:pPr>
            <w:pStyle w:val="Contents6"/>
            <w:tabs>
              <w:tab w:val="clear" w:pos="7609"/>
              <w:tab w:val="right" w:pos="9026" w:leader="dot"/>
            </w:tabs>
            <w:rPr/>
          </w:pPr>
          <w:hyperlink w:anchor="__RefHeading___Toc3299830_1468164448">
            <w:r>
              <w:rPr>
                <w:webHidden/>
                <w:rStyle w:val="IndexLink"/>
                <w:rtl w:val="true"/>
              </w:rPr>
              <w:t>التصویب المنسوب إلی جلّ الأشاعرة</w:t>
            </w:r>
            <w:r>
              <w:rPr>
                <w:rStyle w:val="IndexLink"/>
                <w:rtl w:val="true"/>
              </w:rPr>
              <w:tab/>
            </w:r>
            <w:r>
              <w:rPr>
                <w:rStyle w:val="IndexLink"/>
              </w:rPr>
              <w:t>99</w:t>
            </w:r>
          </w:hyperlink>
        </w:p>
        <w:p>
          <w:pPr>
            <w:pStyle w:val="Contents6"/>
            <w:tabs>
              <w:tab w:val="clear" w:pos="7609"/>
              <w:tab w:val="right" w:pos="9026" w:leader="dot"/>
            </w:tabs>
            <w:rPr/>
          </w:pPr>
          <w:hyperlink w:anchor="__RefHeading___Toc3299832_1468164448">
            <w:r>
              <w:rPr>
                <w:webHidden/>
                <w:rStyle w:val="IndexLink"/>
                <w:rtl w:val="true"/>
              </w:rPr>
              <w:t>التصویب المنسوب إلی المعتزلة</w:t>
            </w:r>
            <w:r>
              <w:rPr>
                <w:rStyle w:val="IndexLink"/>
                <w:rtl w:val="true"/>
              </w:rPr>
              <w:tab/>
            </w:r>
            <w:r>
              <w:rPr>
                <w:rStyle w:val="IndexLink"/>
              </w:rPr>
              <w:t>100</w:t>
            </w:r>
          </w:hyperlink>
        </w:p>
        <w:p>
          <w:pPr>
            <w:pStyle w:val="Contents6"/>
            <w:tabs>
              <w:tab w:val="clear" w:pos="7609"/>
              <w:tab w:val="right" w:pos="9026" w:leader="dot"/>
            </w:tabs>
            <w:rPr/>
          </w:pPr>
          <w:hyperlink w:anchor="__RefHeading___Toc3299834_1468164448">
            <w:r>
              <w:rPr>
                <w:webHidden/>
                <w:rStyle w:val="IndexLink"/>
                <w:rtl w:val="true"/>
              </w:rPr>
              <w:t>نظریة الشیخ فی الحکم الظاهری</w:t>
            </w:r>
            <w:r>
              <w:rPr>
                <w:rStyle w:val="IndexLink"/>
                <w:rtl w:val="true"/>
              </w:rPr>
              <w:tab/>
            </w:r>
            <w:r>
              <w:rPr>
                <w:rStyle w:val="IndexLink"/>
              </w:rPr>
              <w:t>102</w:t>
            </w:r>
          </w:hyperlink>
        </w:p>
        <w:p>
          <w:pPr>
            <w:pStyle w:val="Contents6"/>
            <w:tabs>
              <w:tab w:val="clear" w:pos="7609"/>
              <w:tab w:val="right" w:pos="9026" w:leader="dot"/>
            </w:tabs>
            <w:rPr/>
          </w:pPr>
          <w:hyperlink w:anchor="__RefHeading___Toc3299836_1468164448">
            <w:r>
              <w:rPr>
                <w:webHidden/>
                <w:rStyle w:val="IndexLink"/>
                <w:rtl w:val="true"/>
              </w:rPr>
              <w:t>کنه المصلحة السلوکیة</w:t>
            </w:r>
            <w:r>
              <w:rPr>
                <w:rStyle w:val="IndexLink"/>
                <w:rtl w:val="true"/>
              </w:rPr>
              <w:tab/>
            </w:r>
            <w:r>
              <w:rPr>
                <w:rStyle w:val="IndexLink"/>
              </w:rPr>
              <w:t>102</w:t>
            </w:r>
          </w:hyperlink>
        </w:p>
        <w:p>
          <w:pPr>
            <w:pStyle w:val="Contents6"/>
            <w:tabs>
              <w:tab w:val="clear" w:pos="7609"/>
              <w:tab w:val="right" w:pos="9026" w:leader="dot"/>
            </w:tabs>
            <w:rPr/>
          </w:pPr>
          <w:hyperlink w:anchor="__RefHeading___Toc3299838_1468164448">
            <w:r>
              <w:rPr>
                <w:webHidden/>
                <w:rStyle w:val="IndexLink"/>
                <w:rtl w:val="true"/>
              </w:rPr>
              <w:t>المناقشة فی النظریة</w:t>
            </w:r>
            <w:r>
              <w:rPr>
                <w:rStyle w:val="IndexLink"/>
                <w:rtl w:val="true"/>
              </w:rPr>
              <w:tab/>
            </w:r>
            <w:r>
              <w:rPr>
                <w:rStyle w:val="IndexLink"/>
              </w:rPr>
              <w:t>102</w:t>
            </w:r>
          </w:hyperlink>
        </w:p>
        <w:p>
          <w:pPr>
            <w:pStyle w:val="Contents6"/>
            <w:tabs>
              <w:tab w:val="clear" w:pos="7609"/>
              <w:tab w:val="right" w:pos="9026" w:leader="dot"/>
            </w:tabs>
            <w:rPr/>
          </w:pPr>
          <w:hyperlink w:anchor="__RefHeading___Toc3299840_1468164448">
            <w:r>
              <w:rPr>
                <w:webHidden/>
                <w:rStyle w:val="IndexLink"/>
                <w:rtl w:val="true"/>
              </w:rPr>
              <w:t>جواب الشیخ عن المناقشة</w:t>
            </w:r>
            <w:r>
              <w:rPr>
                <w:rStyle w:val="IndexLink"/>
                <w:rtl w:val="true"/>
              </w:rPr>
              <w:tab/>
            </w:r>
            <w:r>
              <w:rPr>
                <w:rStyle w:val="IndexLink"/>
              </w:rPr>
              <w:t>103</w:t>
            </w:r>
          </w:hyperlink>
        </w:p>
        <w:p>
          <w:pPr>
            <w:pStyle w:val="Contents6"/>
            <w:tabs>
              <w:tab w:val="clear" w:pos="7609"/>
              <w:tab w:val="right" w:pos="9026" w:leader="dot"/>
            </w:tabs>
            <w:rPr/>
          </w:pPr>
          <w:hyperlink w:anchor="__RefHeading___Toc3299842_1468164448">
            <w:r>
              <w:rPr>
                <w:webHidden/>
                <w:rStyle w:val="IndexLink"/>
                <w:rtl w:val="true"/>
              </w:rPr>
              <w:t>نتائج البحث</w:t>
            </w:r>
            <w:r>
              <w:rPr>
                <w:rStyle w:val="IndexLink"/>
                <w:rtl w:val="true"/>
              </w:rPr>
              <w:tab/>
            </w:r>
            <w:r>
              <w:rPr>
                <w:rStyle w:val="IndexLink"/>
              </w:rPr>
              <w:t>105</w:t>
            </w:r>
          </w:hyperlink>
        </w:p>
        <w:p>
          <w:pPr>
            <w:pStyle w:val="Contents6"/>
            <w:tabs>
              <w:tab w:val="clear" w:pos="7609"/>
              <w:tab w:val="right" w:pos="9026" w:leader="dot"/>
            </w:tabs>
            <w:rPr/>
          </w:pPr>
          <w:hyperlink w:anchor="__RefHeading___Toc3299844_1468164448">
            <w:r>
              <w:rPr>
                <w:webHidden/>
                <w:rStyle w:val="IndexLink"/>
                <w:rtl w:val="true"/>
              </w:rPr>
              <w:t>الدلیل علی وقوع هذا التدارک</w:t>
            </w:r>
            <w:r>
              <w:rPr>
                <w:rStyle w:val="IndexLink"/>
                <w:rtl w:val="true"/>
              </w:rPr>
              <w:tab/>
            </w:r>
            <w:r>
              <w:rPr>
                <w:rStyle w:val="IndexLink"/>
              </w:rPr>
              <w:t>105</w:t>
            </w:r>
          </w:hyperlink>
        </w:p>
        <w:p>
          <w:pPr>
            <w:pStyle w:val="Contents6"/>
            <w:tabs>
              <w:tab w:val="clear" w:pos="7609"/>
              <w:tab w:val="right" w:pos="9026" w:leader="dot"/>
            </w:tabs>
            <w:rPr/>
          </w:pPr>
          <w:hyperlink w:anchor="__RefHeading___Toc3299846_1468164448">
            <w:r>
              <w:rPr>
                <w:webHidden/>
                <w:rStyle w:val="IndexLink"/>
                <w:rtl w:val="true"/>
              </w:rPr>
              <w:t>العرض الصحیح للمصلحة السلوکیة</w:t>
            </w:r>
            <w:r>
              <w:rPr>
                <w:rStyle w:val="IndexLink"/>
                <w:rtl w:val="true"/>
              </w:rPr>
              <w:tab/>
            </w:r>
            <w:r>
              <w:rPr>
                <w:rStyle w:val="IndexLink"/>
              </w:rPr>
              <w:t>107</w:t>
            </w:r>
          </w:hyperlink>
        </w:p>
        <w:p>
          <w:pPr>
            <w:pStyle w:val="Contents6"/>
            <w:tabs>
              <w:tab w:val="clear" w:pos="7609"/>
              <w:tab w:val="right" w:pos="9026" w:leader="dot"/>
            </w:tabs>
            <w:rPr/>
          </w:pPr>
          <w:hyperlink w:anchor="__RefHeading___Toc3299848_1468164448">
            <w:r>
              <w:rPr>
                <w:webHidden/>
                <w:rStyle w:val="IndexLink"/>
                <w:rtl w:val="true"/>
              </w:rPr>
              <w:t>نتائج العرض الصحیح</w:t>
            </w:r>
            <w:r>
              <w:rPr>
                <w:rStyle w:val="IndexLink"/>
                <w:rtl w:val="true"/>
              </w:rPr>
              <w:tab/>
            </w:r>
            <w:r>
              <w:rPr>
                <w:rStyle w:val="IndexLink"/>
              </w:rPr>
              <w:t>108</w:t>
            </w:r>
          </w:hyperlink>
        </w:p>
        <w:p>
          <w:pPr>
            <w:pStyle w:val="Contents6"/>
            <w:tabs>
              <w:tab w:val="clear" w:pos="7609"/>
              <w:tab w:val="right" w:pos="9026" w:leader="dot"/>
            </w:tabs>
            <w:rPr/>
          </w:pPr>
          <w:hyperlink w:anchor="__RefHeading___Toc3299850_1468164448">
            <w:r>
              <w:rPr>
                <w:webHidden/>
                <w:rStyle w:val="IndexLink"/>
                <w:rtl w:val="true"/>
              </w:rPr>
              <w:t>الأمر الأول</w:t>
            </w:r>
            <w:r>
              <w:rPr>
                <w:rStyle w:val="IndexLink"/>
                <w:rtl w:val="true"/>
              </w:rPr>
              <w:t xml:space="preserve">: </w:t>
            </w:r>
            <w:r>
              <w:rPr>
                <w:rStyle w:val="IndexLink"/>
                <w:rtl w:val="true"/>
              </w:rPr>
              <w:t>الفرق بین الصیاغتین</w:t>
            </w:r>
            <w:r>
              <w:rPr>
                <w:rStyle w:val="IndexLink"/>
                <w:rtl w:val="true"/>
              </w:rPr>
              <w:tab/>
            </w:r>
            <w:r>
              <w:rPr>
                <w:rStyle w:val="IndexLink"/>
              </w:rPr>
              <w:t>108</w:t>
            </w:r>
          </w:hyperlink>
        </w:p>
        <w:p>
          <w:pPr>
            <w:pStyle w:val="Contents6"/>
            <w:tabs>
              <w:tab w:val="clear" w:pos="7609"/>
              <w:tab w:val="right" w:pos="9026" w:leader="dot"/>
            </w:tabs>
            <w:rPr/>
          </w:pPr>
          <w:hyperlink w:anchor="__RefHeading___Toc3299852_1468164448">
            <w:r>
              <w:rPr>
                <w:webHidden/>
                <w:rStyle w:val="IndexLink"/>
                <w:rtl w:val="true"/>
              </w:rPr>
              <w:t>الأمر الثانی</w:t>
            </w:r>
            <w:r>
              <w:rPr>
                <w:rStyle w:val="IndexLink"/>
                <w:rtl w:val="true"/>
              </w:rPr>
              <w:t xml:space="preserve">: </w:t>
            </w:r>
            <w:r>
              <w:rPr>
                <w:rStyle w:val="IndexLink"/>
                <w:rtl w:val="true"/>
              </w:rPr>
              <w:t>تصویر الإنقیاد فی صورة الخطأ</w:t>
            </w:r>
            <w:r>
              <w:rPr>
                <w:rStyle w:val="IndexLink"/>
                <w:rtl w:val="true"/>
              </w:rPr>
              <w:tab/>
            </w:r>
            <w:r>
              <w:rPr>
                <w:rStyle w:val="IndexLink"/>
              </w:rPr>
              <w:t>109</w:t>
            </w:r>
          </w:hyperlink>
        </w:p>
        <w:p>
          <w:pPr>
            <w:pStyle w:val="Contents6"/>
            <w:tabs>
              <w:tab w:val="clear" w:pos="7609"/>
              <w:tab w:val="right" w:pos="9026" w:leader="dot"/>
            </w:tabs>
            <w:rPr/>
          </w:pPr>
          <w:hyperlink w:anchor="__RefHeading___Toc3299854_1468164448">
            <w:r>
              <w:rPr>
                <w:webHidden/>
                <w:rStyle w:val="IndexLink"/>
                <w:rtl w:val="true"/>
              </w:rPr>
              <w:t>عرض نظریة صاحب الکفایة</w:t>
            </w:r>
            <w:r>
              <w:rPr>
                <w:rStyle w:val="IndexLink"/>
                <w:rtl w:val="true"/>
              </w:rPr>
              <w:tab/>
            </w:r>
            <w:r>
              <w:rPr>
                <w:rStyle w:val="IndexLink"/>
              </w:rPr>
              <w:t>110</w:t>
            </w:r>
          </w:hyperlink>
        </w:p>
        <w:p>
          <w:pPr>
            <w:pStyle w:val="Contents6"/>
            <w:tabs>
              <w:tab w:val="clear" w:pos="7609"/>
              <w:tab w:val="right" w:pos="9026" w:leader="dot"/>
            </w:tabs>
            <w:rPr/>
          </w:pPr>
          <w:hyperlink w:anchor="__RefHeading___Toc3299856_1468164448">
            <w:r>
              <w:rPr>
                <w:webHidden/>
                <w:rStyle w:val="IndexLink"/>
                <w:rtl w:val="true"/>
              </w:rPr>
              <w:t>اختلاف کلمات الآخوند فی تفسیر الحکم الظاهری</w:t>
            </w:r>
            <w:r>
              <w:rPr>
                <w:rStyle w:val="IndexLink"/>
                <w:rtl w:val="true"/>
              </w:rPr>
              <w:tab/>
            </w:r>
            <w:r>
              <w:rPr>
                <w:rStyle w:val="IndexLink"/>
              </w:rPr>
              <w:t>111</w:t>
            </w:r>
          </w:hyperlink>
        </w:p>
        <w:p>
          <w:pPr>
            <w:pStyle w:val="Contents6"/>
            <w:tabs>
              <w:tab w:val="clear" w:pos="7609"/>
              <w:tab w:val="right" w:pos="9026" w:leader="dot"/>
            </w:tabs>
            <w:rPr/>
          </w:pPr>
          <w:hyperlink w:anchor="__RefHeading___Toc3299858_1468164448">
            <w:r>
              <w:rPr>
                <w:webHidden/>
                <w:rStyle w:val="IndexLink"/>
                <w:rtl w:val="true"/>
              </w:rPr>
              <w:t>نتائج التفسیرات علی صعید اجتماع الحکمین</w:t>
            </w:r>
            <w:r>
              <w:rPr>
                <w:rStyle w:val="IndexLink"/>
                <w:rtl w:val="true"/>
              </w:rPr>
              <w:tab/>
            </w:r>
            <w:r>
              <w:rPr>
                <w:rStyle w:val="IndexLink"/>
              </w:rPr>
              <w:t>111</w:t>
            </w:r>
          </w:hyperlink>
        </w:p>
        <w:p>
          <w:pPr>
            <w:pStyle w:val="Contents6"/>
            <w:tabs>
              <w:tab w:val="clear" w:pos="7609"/>
              <w:tab w:val="right" w:pos="9026" w:leader="dot"/>
            </w:tabs>
            <w:rPr/>
          </w:pPr>
          <w:hyperlink w:anchor="__RefHeading___Toc3299860_1468164448">
            <w:r>
              <w:rPr>
                <w:webHidden/>
                <w:rStyle w:val="IndexLink"/>
                <w:rtl w:val="true"/>
              </w:rPr>
              <w:t>نتائج التفسیرات علی صعید التنافی فی الإرادة</w:t>
            </w:r>
            <w:r>
              <w:rPr>
                <w:rStyle w:val="IndexLink"/>
                <w:rtl w:val="true"/>
              </w:rPr>
              <w:tab/>
            </w:r>
            <w:r>
              <w:rPr>
                <w:rStyle w:val="IndexLink"/>
              </w:rPr>
              <w:t>111</w:t>
            </w:r>
          </w:hyperlink>
        </w:p>
        <w:p>
          <w:pPr>
            <w:pStyle w:val="Contents6"/>
            <w:tabs>
              <w:tab w:val="clear" w:pos="7609"/>
              <w:tab w:val="right" w:pos="9026" w:leader="dot"/>
            </w:tabs>
            <w:rPr/>
          </w:pPr>
          <w:hyperlink w:anchor="__RefHeading___Toc3299862_1468164448">
            <w:r>
              <w:rPr>
                <w:webHidden/>
                <w:rStyle w:val="IndexLink"/>
                <w:rtl w:val="true"/>
              </w:rPr>
              <w:t>رفع التنافی بذکر حلّین</w:t>
            </w:r>
            <w:r>
              <w:rPr>
                <w:rStyle w:val="IndexLink"/>
                <w:rtl w:val="true"/>
              </w:rPr>
              <w:tab/>
            </w:r>
            <w:r>
              <w:rPr>
                <w:rStyle w:val="IndexLink"/>
              </w:rPr>
              <w:t>112</w:t>
            </w:r>
          </w:hyperlink>
        </w:p>
        <w:p>
          <w:pPr>
            <w:pStyle w:val="Contents6"/>
            <w:tabs>
              <w:tab w:val="clear" w:pos="7609"/>
              <w:tab w:val="right" w:pos="9026" w:leader="dot"/>
            </w:tabs>
            <w:rPr/>
          </w:pPr>
          <w:hyperlink w:anchor="__RefHeading___Toc3299864_1468164448">
            <w:r>
              <w:rPr>
                <w:webHidden/>
                <w:rStyle w:val="IndexLink"/>
                <w:rtl w:val="true"/>
              </w:rPr>
              <w:t>سرّ عدوله من الحلّ الأول إلی الثانی</w:t>
            </w:r>
            <w:r>
              <w:rPr>
                <w:rStyle w:val="IndexLink"/>
                <w:rtl w:val="true"/>
              </w:rPr>
              <w:tab/>
            </w:r>
            <w:r>
              <w:rPr>
                <w:rStyle w:val="IndexLink"/>
              </w:rPr>
              <w:t>112</w:t>
            </w:r>
          </w:hyperlink>
        </w:p>
        <w:p>
          <w:pPr>
            <w:pStyle w:val="Contents6"/>
            <w:tabs>
              <w:tab w:val="clear" w:pos="7609"/>
              <w:tab w:val="right" w:pos="9026" w:leader="dot"/>
            </w:tabs>
            <w:rPr/>
          </w:pPr>
          <w:hyperlink w:anchor="__RefHeading___Toc3299866_1468164448">
            <w:r>
              <w:rPr>
                <w:webHidden/>
                <w:rStyle w:val="IndexLink"/>
                <w:rtl w:val="true"/>
              </w:rPr>
              <w:t xml:space="preserve">أطروحة المحقق الإصفهانی </w:t>
            </w:r>
            <w:r>
              <w:rPr>
                <w:rStyle w:val="IndexLink"/>
                <w:rtl w:val="true"/>
              </w:rPr>
              <w:t>(</w:t>
            </w:r>
            <w:r>
              <w:rPr>
                <w:rStyle w:val="IndexLink"/>
                <w:rtl w:val="true"/>
              </w:rPr>
              <w:t>قدس سره</w:t>
            </w:r>
            <w:r>
              <w:rPr>
                <w:rStyle w:val="IndexLink"/>
                <w:rtl w:val="true"/>
              </w:rPr>
              <w:t xml:space="preserve">) </w:t>
            </w:r>
            <w:r>
              <w:rPr>
                <w:rStyle w:val="IndexLink"/>
                <w:rtl w:val="true"/>
              </w:rPr>
              <w:t>فی حلّ التنافی</w:t>
            </w:r>
            <w:r>
              <w:rPr>
                <w:rStyle w:val="IndexLink"/>
                <w:rtl w:val="true"/>
              </w:rPr>
              <w:tab/>
            </w:r>
            <w:r>
              <w:rPr>
                <w:rStyle w:val="IndexLink"/>
              </w:rPr>
              <w:t>113</w:t>
            </w:r>
          </w:hyperlink>
        </w:p>
        <w:p>
          <w:pPr>
            <w:pStyle w:val="Contents6"/>
            <w:tabs>
              <w:tab w:val="clear" w:pos="7609"/>
              <w:tab w:val="right" w:pos="9026" w:leader="dot"/>
            </w:tabs>
            <w:rPr/>
          </w:pPr>
          <w:hyperlink w:anchor="__RefHeading___Toc3299868_1468164448">
            <w:r>
              <w:rPr>
                <w:webHidden/>
                <w:rStyle w:val="IndexLink"/>
                <w:rtl w:val="true"/>
              </w:rPr>
              <w:t xml:space="preserve">حقیقة الحکم الظاهری عند الإصفهانی </w:t>
            </w:r>
            <w:r>
              <w:rPr>
                <w:rStyle w:val="IndexLink"/>
                <w:rtl w:val="true"/>
              </w:rPr>
              <w:t>(</w:t>
            </w:r>
            <w:r>
              <w:rPr>
                <w:rStyle w:val="IndexLink"/>
                <w:rtl w:val="true"/>
              </w:rPr>
              <w:t>قدس سره</w:t>
            </w:r>
            <w:r>
              <w:rPr>
                <w:rStyle w:val="IndexLink"/>
                <w:rtl w:val="true"/>
              </w:rPr>
              <w:t>)</w:t>
              <w:tab/>
            </w:r>
            <w:r>
              <w:rPr>
                <w:rStyle w:val="IndexLink"/>
              </w:rPr>
              <w:t>113</w:t>
            </w:r>
          </w:hyperlink>
        </w:p>
        <w:p>
          <w:pPr>
            <w:pStyle w:val="Contents6"/>
            <w:tabs>
              <w:tab w:val="clear" w:pos="7609"/>
              <w:tab w:val="right" w:pos="9026" w:leader="dot"/>
            </w:tabs>
            <w:rPr/>
          </w:pPr>
          <w:hyperlink w:anchor="__RefHeading___Toc3299870_1468164448">
            <w:r>
              <w:rPr>
                <w:webHidden/>
                <w:rStyle w:val="IndexLink"/>
                <w:rtl w:val="true"/>
              </w:rPr>
              <w:t>اختلاف ألسنة الأدلّة علی حجّیة خبر الواحد</w:t>
            </w:r>
            <w:r>
              <w:rPr>
                <w:rStyle w:val="IndexLink"/>
                <w:rtl w:val="true"/>
              </w:rPr>
              <w:tab/>
            </w:r>
            <w:r>
              <w:rPr>
                <w:rStyle w:val="IndexLink"/>
              </w:rPr>
              <w:t>113</w:t>
            </w:r>
          </w:hyperlink>
        </w:p>
        <w:p>
          <w:pPr>
            <w:pStyle w:val="Contents6"/>
            <w:tabs>
              <w:tab w:val="clear" w:pos="7609"/>
              <w:tab w:val="right" w:pos="9026" w:leader="dot"/>
            </w:tabs>
            <w:rPr/>
          </w:pPr>
          <w:hyperlink w:anchor="__RefHeading___Toc3299872_1468164448">
            <w:r>
              <w:rPr>
                <w:webHidden/>
                <w:rStyle w:val="IndexLink"/>
                <w:rtl w:val="true"/>
              </w:rPr>
              <w:t>وجه اتخاذ القول بجعل الحکم المماثل عند الإصفهانی</w:t>
            </w:r>
            <w:r>
              <w:rPr>
                <w:rStyle w:val="IndexLink"/>
                <w:rtl w:val="true"/>
              </w:rPr>
              <w:tab/>
            </w:r>
            <w:r>
              <w:rPr>
                <w:rStyle w:val="IndexLink"/>
              </w:rPr>
              <w:t>114</w:t>
            </w:r>
          </w:hyperlink>
        </w:p>
        <w:p>
          <w:pPr>
            <w:pStyle w:val="Contents6"/>
            <w:tabs>
              <w:tab w:val="clear" w:pos="7609"/>
              <w:tab w:val="right" w:pos="9026" w:leader="dot"/>
            </w:tabs>
            <w:rPr/>
          </w:pPr>
          <w:hyperlink w:anchor="__RefHeading___Toc3299874_1468164448">
            <w:r>
              <w:rPr>
                <w:webHidden/>
                <w:rStyle w:val="IndexLink"/>
                <w:rtl w:val="true"/>
              </w:rPr>
              <w:t>أطروحة النائینی فی الجمع بین الحکم الواقعی والظاهری</w:t>
            </w:r>
            <w:r>
              <w:rPr>
                <w:rStyle w:val="IndexLink"/>
                <w:rtl w:val="true"/>
              </w:rPr>
              <w:tab/>
            </w:r>
            <w:r>
              <w:rPr>
                <w:rStyle w:val="IndexLink"/>
              </w:rPr>
              <w:t>114</w:t>
            </w:r>
          </w:hyperlink>
        </w:p>
        <w:p>
          <w:pPr>
            <w:pStyle w:val="Contents6"/>
            <w:tabs>
              <w:tab w:val="clear" w:pos="7609"/>
              <w:tab w:val="right" w:pos="9026" w:leader="dot"/>
            </w:tabs>
            <w:rPr/>
          </w:pPr>
          <w:hyperlink w:anchor="__RefHeading___Toc3299876_1468164448">
            <w:r>
              <w:rPr>
                <w:webHidden/>
                <w:rStyle w:val="IndexLink"/>
                <w:rtl w:val="true"/>
              </w:rPr>
              <w:t>مقدمة فی خصائص العلم التکوینی</w:t>
            </w:r>
            <w:r>
              <w:rPr>
                <w:rStyle w:val="IndexLink"/>
                <w:rtl w:val="true"/>
              </w:rPr>
              <w:tab/>
            </w:r>
            <w:r>
              <w:rPr>
                <w:rStyle w:val="IndexLink"/>
              </w:rPr>
              <w:t>115</w:t>
            </w:r>
          </w:hyperlink>
        </w:p>
        <w:p>
          <w:pPr>
            <w:pStyle w:val="Contents6"/>
            <w:tabs>
              <w:tab w:val="clear" w:pos="7609"/>
              <w:tab w:val="right" w:pos="9026" w:leader="dot"/>
            </w:tabs>
            <w:rPr/>
          </w:pPr>
          <w:hyperlink w:anchor="__RefHeading___Toc3299878_1468164448">
            <w:r>
              <w:rPr>
                <w:webHidden/>
                <w:rStyle w:val="IndexLink"/>
                <w:rtl w:val="true"/>
              </w:rPr>
              <w:t>معنی اعتبار الشیء علماً</w:t>
            </w:r>
            <w:r>
              <w:rPr>
                <w:rStyle w:val="IndexLink"/>
                <w:rtl w:val="true"/>
              </w:rPr>
              <w:tab/>
            </w:r>
            <w:r>
              <w:rPr>
                <w:rStyle w:val="IndexLink"/>
              </w:rPr>
              <w:t>115</w:t>
            </w:r>
          </w:hyperlink>
        </w:p>
        <w:p>
          <w:pPr>
            <w:pStyle w:val="Contents6"/>
            <w:tabs>
              <w:tab w:val="clear" w:pos="7609"/>
              <w:tab w:val="right" w:pos="9026" w:leader="dot"/>
            </w:tabs>
            <w:rPr/>
          </w:pPr>
          <w:hyperlink w:anchor="__RefHeading___Toc3299880_1468164448">
            <w:r>
              <w:rPr>
                <w:webHidden/>
                <w:rStyle w:val="IndexLink"/>
                <w:rtl w:val="true"/>
              </w:rPr>
              <w:t>المائز بین الأمارة والأصل المحرز</w:t>
            </w:r>
            <w:r>
              <w:rPr>
                <w:rStyle w:val="IndexLink"/>
                <w:rtl w:val="true"/>
              </w:rPr>
              <w:tab/>
            </w:r>
            <w:r>
              <w:rPr>
                <w:rStyle w:val="IndexLink"/>
              </w:rPr>
              <w:t>117</w:t>
            </w:r>
          </w:hyperlink>
        </w:p>
        <w:p>
          <w:pPr>
            <w:pStyle w:val="Contents6"/>
            <w:tabs>
              <w:tab w:val="clear" w:pos="7609"/>
              <w:tab w:val="right" w:pos="9026" w:leader="dot"/>
            </w:tabs>
            <w:rPr/>
          </w:pPr>
          <w:hyperlink w:anchor="__RefHeading___Toc3299882_1468164448">
            <w:r>
              <w:rPr>
                <w:webHidden/>
                <w:rStyle w:val="IndexLink"/>
                <w:rtl w:val="true"/>
              </w:rPr>
              <w:t>الأصل المحرز عند الآخوند</w:t>
            </w:r>
            <w:r>
              <w:rPr>
                <w:rStyle w:val="IndexLink"/>
                <w:rtl w:val="true"/>
              </w:rPr>
              <w:tab/>
            </w:r>
            <w:r>
              <w:rPr>
                <w:rStyle w:val="IndexLink"/>
              </w:rPr>
              <w:t>117</w:t>
            </w:r>
          </w:hyperlink>
        </w:p>
        <w:p>
          <w:pPr>
            <w:pStyle w:val="Contents6"/>
            <w:tabs>
              <w:tab w:val="clear" w:pos="7609"/>
              <w:tab w:val="right" w:pos="9026" w:leader="dot"/>
            </w:tabs>
            <w:rPr/>
          </w:pPr>
          <w:hyperlink w:anchor="__RefHeading___Toc3299884_1468164448">
            <w:r>
              <w:rPr>
                <w:webHidden/>
                <w:rStyle w:val="IndexLink"/>
                <w:rtl w:val="true"/>
              </w:rPr>
              <w:t>مناقشة العراقی فی الأصل التنزیلی</w:t>
            </w:r>
            <w:r>
              <w:rPr>
                <w:rStyle w:val="IndexLink"/>
                <w:rtl w:val="true"/>
              </w:rPr>
              <w:tab/>
            </w:r>
            <w:r>
              <w:rPr>
                <w:rStyle w:val="IndexLink"/>
              </w:rPr>
              <w:t>117</w:t>
            </w:r>
          </w:hyperlink>
        </w:p>
        <w:p>
          <w:pPr>
            <w:pStyle w:val="Contents6"/>
            <w:tabs>
              <w:tab w:val="clear" w:pos="7609"/>
              <w:tab w:val="right" w:pos="9026" w:leader="dot"/>
            </w:tabs>
            <w:rPr/>
          </w:pPr>
          <w:hyperlink w:anchor="__RefHeading___Toc3299886_1468164448">
            <w:r>
              <w:rPr>
                <w:webHidden/>
                <w:rStyle w:val="IndexLink"/>
                <w:rtl w:val="true"/>
              </w:rPr>
              <w:t>الإجابة عن مناقشة العراقی</w:t>
            </w:r>
            <w:r>
              <w:rPr>
                <w:rStyle w:val="IndexLink"/>
                <w:rtl w:val="true"/>
              </w:rPr>
              <w:tab/>
            </w:r>
            <w:r>
              <w:rPr>
                <w:rStyle w:val="IndexLink"/>
              </w:rPr>
              <w:t>118</w:t>
            </w:r>
          </w:hyperlink>
        </w:p>
        <w:p>
          <w:pPr>
            <w:pStyle w:val="Contents6"/>
            <w:tabs>
              <w:tab w:val="clear" w:pos="7609"/>
              <w:tab w:val="right" w:pos="9026" w:leader="dot"/>
            </w:tabs>
            <w:rPr/>
          </w:pPr>
          <w:hyperlink w:anchor="__RefHeading___Toc3299888_1468164448">
            <w:r>
              <w:rPr>
                <w:webHidden/>
                <w:rStyle w:val="IndexLink"/>
                <w:rtl w:val="true"/>
              </w:rPr>
              <w:t xml:space="preserve">تقریر الشاهرودی لمبنی النائینی </w:t>
            </w:r>
            <w:r>
              <w:rPr>
                <w:rStyle w:val="IndexLink"/>
                <w:rtl w:val="true"/>
              </w:rPr>
              <w:t>(</w:t>
            </w:r>
            <w:r>
              <w:rPr>
                <w:rStyle w:val="IndexLink"/>
                <w:rtl w:val="true"/>
              </w:rPr>
              <w:t>قدس سرهما</w:t>
            </w:r>
            <w:r>
              <w:rPr>
                <w:rStyle w:val="IndexLink"/>
                <w:rtl w:val="true"/>
              </w:rPr>
              <w:t>)</w:t>
              <w:tab/>
            </w:r>
            <w:r>
              <w:rPr>
                <w:rStyle w:val="IndexLink"/>
              </w:rPr>
              <w:t>118</w:t>
            </w:r>
          </w:hyperlink>
        </w:p>
        <w:p>
          <w:pPr>
            <w:pStyle w:val="Contents6"/>
            <w:tabs>
              <w:tab w:val="clear" w:pos="7609"/>
              <w:tab w:val="right" w:pos="9026" w:leader="dot"/>
            </w:tabs>
            <w:rPr/>
          </w:pPr>
          <w:hyperlink w:anchor="__RefHeading___Toc3299890_1468164448">
            <w:r>
              <w:rPr>
                <w:webHidden/>
                <w:rStyle w:val="IndexLink"/>
                <w:rtl w:val="true"/>
              </w:rPr>
              <w:t>علم تعبدی أو علم وجدانی حاصل من التعبد</w:t>
            </w:r>
            <w:r>
              <w:rPr>
                <w:rStyle w:val="IndexLink"/>
                <w:rtl w:val="true"/>
              </w:rPr>
              <w:tab/>
            </w:r>
            <w:r>
              <w:rPr>
                <w:rStyle w:val="IndexLink"/>
              </w:rPr>
              <w:t>119</w:t>
            </w:r>
          </w:hyperlink>
        </w:p>
        <w:p>
          <w:pPr>
            <w:pStyle w:val="Contents6"/>
            <w:tabs>
              <w:tab w:val="clear" w:pos="7609"/>
              <w:tab w:val="right" w:pos="9026" w:leader="dot"/>
            </w:tabs>
            <w:rPr/>
          </w:pPr>
          <w:hyperlink w:anchor="__RefHeading___Toc3299892_1468164448">
            <w:r>
              <w:rPr>
                <w:webHidden/>
                <w:rStyle w:val="IndexLink"/>
                <w:rtl w:val="true"/>
              </w:rPr>
              <w:t>تساؤلات حول تقریر الشاهرودی لمبنی النائینی</w:t>
            </w:r>
            <w:r>
              <w:rPr>
                <w:rStyle w:val="IndexLink"/>
                <w:rtl w:val="true"/>
              </w:rPr>
              <w:tab/>
            </w:r>
            <w:r>
              <w:rPr>
                <w:rStyle w:val="IndexLink"/>
              </w:rPr>
              <w:t>119</w:t>
            </w:r>
          </w:hyperlink>
        </w:p>
        <w:p>
          <w:pPr>
            <w:pStyle w:val="Contents6"/>
            <w:tabs>
              <w:tab w:val="clear" w:pos="7609"/>
              <w:tab w:val="right" w:pos="9026" w:leader="dot"/>
            </w:tabs>
            <w:rPr/>
          </w:pPr>
          <w:hyperlink w:anchor="__RefHeading___Toc3299894_1468164448">
            <w:r>
              <w:rPr>
                <w:webHidden/>
                <w:rStyle w:val="IndexLink"/>
                <w:rtl w:val="true"/>
              </w:rPr>
              <w:t>اعتبار الأمارة حکم تکلیفی</w:t>
            </w:r>
            <w:r>
              <w:rPr>
                <w:rStyle w:val="IndexLink"/>
                <w:rtl w:val="true"/>
              </w:rPr>
              <w:tab/>
            </w:r>
            <w:r>
              <w:rPr>
                <w:rStyle w:val="IndexLink"/>
              </w:rPr>
              <w:t>120</w:t>
            </w:r>
          </w:hyperlink>
        </w:p>
        <w:p>
          <w:pPr>
            <w:pStyle w:val="Contents6"/>
            <w:tabs>
              <w:tab w:val="clear" w:pos="7609"/>
              <w:tab w:val="right" w:pos="9026" w:leader="dot"/>
            </w:tabs>
            <w:rPr/>
          </w:pPr>
          <w:hyperlink w:anchor="__RefHeading___Toc3299896_1468164448">
            <w:r>
              <w:rPr>
                <w:webHidden/>
                <w:rStyle w:val="IndexLink"/>
                <w:rtl w:val="true"/>
              </w:rPr>
              <w:t>صیاغات للتساؤل الثالث</w:t>
            </w:r>
            <w:r>
              <w:rPr>
                <w:rStyle w:val="IndexLink"/>
                <w:rtl w:val="true"/>
              </w:rPr>
              <w:tab/>
            </w:r>
            <w:r>
              <w:rPr>
                <w:rStyle w:val="IndexLink"/>
              </w:rPr>
              <w:t>120</w:t>
            </w:r>
          </w:hyperlink>
        </w:p>
        <w:p>
          <w:pPr>
            <w:pStyle w:val="Contents6"/>
            <w:tabs>
              <w:tab w:val="clear" w:pos="7609"/>
              <w:tab w:val="right" w:pos="9026" w:leader="dot"/>
            </w:tabs>
            <w:rPr/>
          </w:pPr>
          <w:hyperlink w:anchor="__RefHeading___Toc3299898_1468164448">
            <w:r>
              <w:rPr>
                <w:webHidden/>
                <w:rStyle w:val="IndexLink"/>
                <w:rtl w:val="true"/>
              </w:rPr>
              <w:t>ملاحظات علی التساؤل الثالث</w:t>
            </w:r>
            <w:r>
              <w:rPr>
                <w:rStyle w:val="IndexLink"/>
                <w:rtl w:val="true"/>
              </w:rPr>
              <w:tab/>
            </w:r>
            <w:r>
              <w:rPr>
                <w:rStyle w:val="IndexLink"/>
              </w:rPr>
              <w:t>121</w:t>
            </w:r>
          </w:hyperlink>
        </w:p>
        <w:p>
          <w:pPr>
            <w:pStyle w:val="Contents6"/>
            <w:tabs>
              <w:tab w:val="clear" w:pos="7609"/>
              <w:tab w:val="right" w:pos="9026" w:leader="dot"/>
            </w:tabs>
            <w:rPr/>
          </w:pPr>
          <w:hyperlink w:anchor="__RefHeading___Toc3299900_1468164448">
            <w:r>
              <w:rPr>
                <w:webHidden/>
                <w:rStyle w:val="IndexLink"/>
                <w:rtl w:val="true"/>
              </w:rPr>
              <w:t>أقسام التنزیل</w:t>
            </w:r>
            <w:r>
              <w:rPr>
                <w:rStyle w:val="IndexLink"/>
                <w:rtl w:val="true"/>
              </w:rPr>
              <w:tab/>
            </w:r>
            <w:r>
              <w:rPr>
                <w:rStyle w:val="IndexLink"/>
              </w:rPr>
              <w:t>121</w:t>
            </w:r>
          </w:hyperlink>
        </w:p>
        <w:p>
          <w:pPr>
            <w:pStyle w:val="Contents6"/>
            <w:tabs>
              <w:tab w:val="clear" w:pos="7609"/>
              <w:tab w:val="right" w:pos="9026" w:leader="dot"/>
            </w:tabs>
            <w:rPr/>
          </w:pPr>
          <w:hyperlink w:anchor="__RefHeading___Toc3299902_1468164448">
            <w:r>
              <w:rPr>
                <w:webHidden/>
                <w:rStyle w:val="IndexLink"/>
                <w:rtl w:val="true"/>
              </w:rPr>
              <w:t>اعتبار الأمارة من أیّ أقسام التنزیل؟</w:t>
            </w:r>
            <w:r>
              <w:rPr>
                <w:rStyle w:val="IndexLink"/>
                <w:rtl w:val="true"/>
              </w:rPr>
              <w:tab/>
            </w:r>
            <w:r>
              <w:rPr>
                <w:rStyle w:val="IndexLink"/>
              </w:rPr>
              <w:t>122</w:t>
            </w:r>
          </w:hyperlink>
        </w:p>
        <w:p>
          <w:pPr>
            <w:pStyle w:val="Contents6"/>
            <w:tabs>
              <w:tab w:val="clear" w:pos="7609"/>
              <w:tab w:val="right" w:pos="9026" w:leader="dot"/>
            </w:tabs>
            <w:rPr/>
          </w:pPr>
          <w:hyperlink w:anchor="__RefHeading___Toc3299904_1468164448">
            <w:r>
              <w:rPr>
                <w:webHidden/>
                <w:rStyle w:val="IndexLink"/>
                <w:rtl w:val="true"/>
              </w:rPr>
              <w:t>الفرق بین مصحّح الجعل وأثره</w:t>
            </w:r>
            <w:r>
              <w:rPr>
                <w:rStyle w:val="IndexLink"/>
                <w:rtl w:val="true"/>
              </w:rPr>
              <w:tab/>
            </w:r>
            <w:r>
              <w:rPr>
                <w:rStyle w:val="IndexLink"/>
              </w:rPr>
              <w:t>123</w:t>
            </w:r>
          </w:hyperlink>
        </w:p>
        <w:p>
          <w:pPr>
            <w:pStyle w:val="Contents6"/>
            <w:tabs>
              <w:tab w:val="clear" w:pos="7609"/>
              <w:tab w:val="right" w:pos="9026" w:leader="dot"/>
            </w:tabs>
            <w:rPr/>
          </w:pPr>
          <w:hyperlink w:anchor="__RefHeading___Toc3299906_1468164448">
            <w:r>
              <w:rPr>
                <w:webHidden/>
                <w:rStyle w:val="IndexLink"/>
                <w:rtl w:val="true"/>
              </w:rPr>
              <w:t>المختار فی المسألة</w:t>
            </w:r>
            <w:r>
              <w:rPr>
                <w:rStyle w:val="IndexLink"/>
                <w:rtl w:val="true"/>
              </w:rPr>
              <w:tab/>
            </w:r>
            <w:r>
              <w:rPr>
                <w:rStyle w:val="IndexLink"/>
              </w:rPr>
              <w:t>123</w:t>
            </w:r>
          </w:hyperlink>
        </w:p>
        <w:p>
          <w:pPr>
            <w:pStyle w:val="Contents6"/>
            <w:tabs>
              <w:tab w:val="clear" w:pos="7609"/>
              <w:tab w:val="right" w:pos="9026" w:leader="dot"/>
            </w:tabs>
            <w:rPr/>
          </w:pPr>
          <w:hyperlink w:anchor="__RefHeading___Toc3299908_1468164448">
            <w:r>
              <w:rPr>
                <w:webHidden/>
                <w:rStyle w:val="IndexLink"/>
                <w:rtl w:val="true"/>
              </w:rPr>
              <w:t>عدم إمکان تصرف الشارع فی موضوع القضیة العقلیة</w:t>
            </w:r>
            <w:r>
              <w:rPr>
                <w:rStyle w:val="IndexLink"/>
                <w:rtl w:val="true"/>
              </w:rPr>
              <w:tab/>
            </w:r>
            <w:r>
              <w:rPr>
                <w:rStyle w:val="IndexLink"/>
              </w:rPr>
              <w:t>124</w:t>
            </w:r>
          </w:hyperlink>
        </w:p>
        <w:p>
          <w:pPr>
            <w:pStyle w:val="Contents6"/>
            <w:tabs>
              <w:tab w:val="clear" w:pos="7609"/>
              <w:tab w:val="right" w:pos="9026" w:leader="dot"/>
            </w:tabs>
            <w:rPr/>
          </w:pPr>
          <w:hyperlink w:anchor="__RefHeading___Toc3299910_1468164448">
            <w:r>
              <w:rPr>
                <w:webHidden/>
                <w:rStyle w:val="IndexLink"/>
                <w:rtl w:val="true"/>
              </w:rPr>
              <w:t>جواب الأعلام</w:t>
            </w:r>
            <w:r>
              <w:rPr>
                <w:rStyle w:val="IndexLink"/>
                <w:rtl w:val="true"/>
              </w:rPr>
              <w:tab/>
            </w:r>
            <w:r>
              <w:rPr>
                <w:rStyle w:val="IndexLink"/>
              </w:rPr>
              <w:t>124</w:t>
            </w:r>
          </w:hyperlink>
        </w:p>
        <w:p>
          <w:pPr>
            <w:pStyle w:val="Contents6"/>
            <w:tabs>
              <w:tab w:val="clear" w:pos="7609"/>
              <w:tab w:val="right" w:pos="9026" w:leader="dot"/>
            </w:tabs>
            <w:rPr/>
          </w:pPr>
          <w:hyperlink w:anchor="__RefHeading___Toc3299912_1468164448">
            <w:r>
              <w:rPr>
                <w:webHidden/>
                <w:rStyle w:val="IndexLink"/>
                <w:rtl w:val="true"/>
              </w:rPr>
              <w:t>منجّزیة الإحتمال</w:t>
            </w:r>
            <w:r>
              <w:rPr>
                <w:rStyle w:val="IndexLink"/>
                <w:rtl w:val="true"/>
              </w:rPr>
              <w:tab/>
            </w:r>
            <w:r>
              <w:rPr>
                <w:rStyle w:val="IndexLink"/>
              </w:rPr>
              <w:t>125</w:t>
            </w:r>
          </w:hyperlink>
        </w:p>
        <w:p>
          <w:pPr>
            <w:pStyle w:val="Contents6"/>
            <w:tabs>
              <w:tab w:val="clear" w:pos="7609"/>
              <w:tab w:val="right" w:pos="9026" w:leader="dot"/>
            </w:tabs>
            <w:rPr/>
          </w:pPr>
          <w:hyperlink w:anchor="__RefHeading___Toc3299914_1468164448">
            <w:r>
              <w:rPr>
                <w:webHidden/>
                <w:rStyle w:val="IndexLink"/>
                <w:rtl w:val="true"/>
              </w:rPr>
              <w:t>ثمرات هذا المبنی</w:t>
            </w:r>
            <w:r>
              <w:rPr>
                <w:rStyle w:val="IndexLink"/>
                <w:rtl w:val="true"/>
              </w:rPr>
              <w:tab/>
            </w:r>
            <w:r>
              <w:rPr>
                <w:rStyle w:val="IndexLink"/>
              </w:rPr>
              <w:t>126</w:t>
            </w:r>
          </w:hyperlink>
        </w:p>
        <w:p>
          <w:pPr>
            <w:pStyle w:val="Contents6"/>
            <w:tabs>
              <w:tab w:val="clear" w:pos="7609"/>
              <w:tab w:val="right" w:pos="9026" w:leader="dot"/>
            </w:tabs>
            <w:rPr/>
          </w:pPr>
          <w:hyperlink w:anchor="__RefHeading___Toc3299916_1468164448">
            <w:r>
              <w:rPr>
                <w:webHidden/>
                <w:rStyle w:val="IndexLink"/>
                <w:rtl w:val="true"/>
              </w:rPr>
              <w:t>تساؤلات حول مبنی منجّزیة الإحتمال</w:t>
            </w:r>
            <w:r>
              <w:rPr>
                <w:rStyle w:val="IndexLink"/>
                <w:rtl w:val="true"/>
              </w:rPr>
              <w:tab/>
            </w:r>
            <w:r>
              <w:rPr>
                <w:rStyle w:val="IndexLink"/>
              </w:rPr>
              <w:t>126</w:t>
            </w:r>
          </w:hyperlink>
        </w:p>
        <w:p>
          <w:pPr>
            <w:pStyle w:val="Contents6"/>
            <w:tabs>
              <w:tab w:val="clear" w:pos="7609"/>
              <w:tab w:val="right" w:pos="9026" w:leader="dot"/>
            </w:tabs>
            <w:rPr/>
          </w:pPr>
          <w:hyperlink w:anchor="__RefHeading___Toc3299918_1468164448">
            <w:r>
              <w:rPr>
                <w:webHidden/>
                <w:rStyle w:val="IndexLink"/>
                <w:rtl w:val="true"/>
              </w:rPr>
              <w:t>الفرق بین نظریة حق الطاعة ونظریة منجّزیة الإحتمال</w:t>
            </w:r>
            <w:r>
              <w:rPr>
                <w:rStyle w:val="IndexLink"/>
                <w:rtl w:val="true"/>
              </w:rPr>
              <w:tab/>
            </w:r>
            <w:r>
              <w:rPr>
                <w:rStyle w:val="IndexLink"/>
              </w:rPr>
              <w:t>127</w:t>
            </w:r>
          </w:hyperlink>
        </w:p>
        <w:p>
          <w:pPr>
            <w:pStyle w:val="Contents6"/>
            <w:tabs>
              <w:tab w:val="clear" w:pos="7609"/>
              <w:tab w:val="right" w:pos="9026" w:leader="dot"/>
            </w:tabs>
            <w:rPr/>
          </w:pPr>
          <w:hyperlink w:anchor="__RefHeading___Toc3299920_1468164448">
            <w:r>
              <w:rPr>
                <w:webHidden/>
                <w:rStyle w:val="IndexLink"/>
                <w:rtl w:val="true"/>
              </w:rPr>
              <w:t>بیان نظریة حق الطاعة</w:t>
            </w:r>
            <w:r>
              <w:rPr>
                <w:rStyle w:val="IndexLink"/>
                <w:rtl w:val="true"/>
              </w:rPr>
              <w:tab/>
            </w:r>
            <w:r>
              <w:rPr>
                <w:rStyle w:val="IndexLink"/>
              </w:rPr>
              <w:t>127</w:t>
            </w:r>
          </w:hyperlink>
        </w:p>
        <w:p>
          <w:pPr>
            <w:pStyle w:val="Contents6"/>
            <w:tabs>
              <w:tab w:val="clear" w:pos="7609"/>
              <w:tab w:val="right" w:pos="9026" w:leader="dot"/>
            </w:tabs>
            <w:rPr/>
          </w:pPr>
          <w:hyperlink w:anchor="__RefHeading___Toc3299922_1468164448">
            <w:r>
              <w:rPr>
                <w:webHidden/>
                <w:rStyle w:val="IndexLink"/>
                <w:rtl w:val="true"/>
              </w:rPr>
              <w:t>المناقشة فی نظریة حق الطاعة</w:t>
            </w:r>
            <w:r>
              <w:rPr>
                <w:rStyle w:val="IndexLink"/>
                <w:rtl w:val="true"/>
              </w:rPr>
              <w:tab/>
            </w:r>
            <w:r>
              <w:rPr>
                <w:rStyle w:val="IndexLink"/>
              </w:rPr>
              <w:t>128</w:t>
            </w:r>
          </w:hyperlink>
        </w:p>
        <w:p>
          <w:pPr>
            <w:pStyle w:val="Contents6"/>
            <w:tabs>
              <w:tab w:val="clear" w:pos="7609"/>
              <w:tab w:val="right" w:pos="9026" w:leader="dot"/>
            </w:tabs>
            <w:rPr/>
          </w:pPr>
          <w:hyperlink w:anchor="__RefHeading___Toc3299924_1468164448">
            <w:r>
              <w:rPr>
                <w:webHidden/>
                <w:rStyle w:val="IndexLink"/>
                <w:rtl w:val="true"/>
              </w:rPr>
              <w:t>منشأ نظریة حق الطاعة</w:t>
            </w:r>
            <w:r>
              <w:rPr>
                <w:rStyle w:val="IndexLink"/>
                <w:rtl w:val="true"/>
              </w:rPr>
              <w:tab/>
            </w:r>
            <w:r>
              <w:rPr>
                <w:rStyle w:val="IndexLink"/>
              </w:rPr>
              <w:t>128</w:t>
            </w:r>
          </w:hyperlink>
        </w:p>
        <w:p>
          <w:pPr>
            <w:pStyle w:val="Contents6"/>
            <w:tabs>
              <w:tab w:val="clear" w:pos="7609"/>
              <w:tab w:val="right" w:pos="9026" w:leader="dot"/>
            </w:tabs>
            <w:rPr/>
          </w:pPr>
          <w:hyperlink w:anchor="__RefHeading___Toc3299926_1468164448">
            <w:r>
              <w:rPr>
                <w:webHidden/>
                <w:rStyle w:val="IndexLink"/>
                <w:rtl w:val="true"/>
              </w:rPr>
              <w:t>مدّعیاتنا</w:t>
            </w:r>
            <w:r>
              <w:rPr>
                <w:rStyle w:val="IndexLink"/>
                <w:rtl w:val="true"/>
              </w:rPr>
              <w:tab/>
            </w:r>
            <w:r>
              <w:rPr>
                <w:rStyle w:val="IndexLink"/>
              </w:rPr>
              <w:t>130</w:t>
            </w:r>
          </w:hyperlink>
        </w:p>
        <w:p>
          <w:pPr>
            <w:pStyle w:val="Contents6"/>
            <w:tabs>
              <w:tab w:val="clear" w:pos="7609"/>
              <w:tab w:val="right" w:pos="9026" w:leader="dot"/>
            </w:tabs>
            <w:rPr/>
          </w:pPr>
          <w:hyperlink w:anchor="__RefHeading___Toc3299928_1468164448">
            <w:r>
              <w:rPr>
                <w:webHidden/>
                <w:rStyle w:val="IndexLink"/>
                <w:rtl w:val="true"/>
              </w:rPr>
              <w:t>الإستدلال علی المدّعیات</w:t>
            </w:r>
            <w:r>
              <w:rPr>
                <w:rStyle w:val="IndexLink"/>
                <w:rtl w:val="true"/>
              </w:rPr>
              <w:tab/>
            </w:r>
            <w:r>
              <w:rPr>
                <w:rStyle w:val="IndexLink"/>
              </w:rPr>
              <w:t>130</w:t>
            </w:r>
          </w:hyperlink>
        </w:p>
        <w:p>
          <w:pPr>
            <w:pStyle w:val="Contents6"/>
            <w:tabs>
              <w:tab w:val="clear" w:pos="7609"/>
              <w:tab w:val="right" w:pos="9026" w:leader="dot"/>
            </w:tabs>
            <w:rPr/>
          </w:pPr>
          <w:hyperlink w:anchor="__RefHeading___Toc3299930_1468164448">
            <w:r>
              <w:rPr>
                <w:webHidden/>
                <w:rStyle w:val="IndexLink"/>
                <w:rtl w:val="true"/>
              </w:rPr>
              <w:t>الجمع بین إدراک العقل للبراء وإدراکه لمنجّزیة الإحتمال</w:t>
            </w:r>
            <w:r>
              <w:rPr>
                <w:rStyle w:val="IndexLink"/>
                <w:rtl w:val="true"/>
              </w:rPr>
              <w:tab/>
            </w:r>
            <w:r>
              <w:rPr>
                <w:rStyle w:val="IndexLink"/>
              </w:rPr>
              <w:t>131</w:t>
            </w:r>
          </w:hyperlink>
        </w:p>
        <w:p>
          <w:pPr>
            <w:pStyle w:val="Contents6"/>
            <w:tabs>
              <w:tab w:val="clear" w:pos="7609"/>
              <w:tab w:val="right" w:pos="9026" w:leader="dot"/>
            </w:tabs>
            <w:rPr/>
          </w:pPr>
          <w:hyperlink w:anchor="__RefHeading___Toc3299932_1468164448">
            <w:r>
              <w:rPr>
                <w:webHidden/>
                <w:rStyle w:val="IndexLink"/>
                <w:rtl w:val="true"/>
              </w:rPr>
              <w:t>المقصود من البیان</w:t>
            </w:r>
            <w:r>
              <w:rPr>
                <w:rStyle w:val="IndexLink"/>
                <w:rtl w:val="true"/>
              </w:rPr>
              <w:tab/>
            </w:r>
            <w:r>
              <w:rPr>
                <w:rStyle w:val="IndexLink"/>
              </w:rPr>
              <w:t>131</w:t>
            </w:r>
          </w:hyperlink>
        </w:p>
        <w:p>
          <w:pPr>
            <w:pStyle w:val="Contents6"/>
            <w:tabs>
              <w:tab w:val="clear" w:pos="7609"/>
              <w:tab w:val="right" w:pos="9026" w:leader="dot"/>
            </w:tabs>
            <w:rPr/>
          </w:pPr>
          <w:hyperlink w:anchor="__RefHeading___Toc3299934_1468164448">
            <w:r>
              <w:rPr>
                <w:webHidden/>
                <w:rStyle w:val="IndexLink"/>
                <w:rtl w:val="true"/>
              </w:rPr>
              <w:t>ثمرات نظریتنا</w:t>
            </w:r>
            <w:r>
              <w:rPr>
                <w:rStyle w:val="IndexLink"/>
                <w:rtl w:val="true"/>
              </w:rPr>
              <w:tab/>
            </w:r>
            <w:r>
              <w:rPr>
                <w:rStyle w:val="IndexLink"/>
              </w:rPr>
              <w:t>133</w:t>
            </w:r>
          </w:hyperlink>
        </w:p>
        <w:p>
          <w:pPr>
            <w:pStyle w:val="Contents6"/>
            <w:tabs>
              <w:tab w:val="clear" w:pos="7609"/>
              <w:tab w:val="right" w:pos="9026" w:leader="dot"/>
            </w:tabs>
            <w:rPr/>
          </w:pPr>
          <w:hyperlink w:anchor="__RefHeading___Toc3299936_1468164448">
            <w:r>
              <w:rPr>
                <w:webHidden/>
                <w:rStyle w:val="IndexLink"/>
                <w:rtl w:val="true"/>
              </w:rPr>
              <w:t>عود إلی شبهة ابن قبة</w:t>
            </w:r>
            <w:r>
              <w:rPr>
                <w:rStyle w:val="IndexLink"/>
                <w:rtl w:val="true"/>
              </w:rPr>
              <w:tab/>
            </w:r>
            <w:r>
              <w:rPr>
                <w:rStyle w:val="IndexLink"/>
              </w:rPr>
              <w:t>134</w:t>
            </w:r>
          </w:hyperlink>
        </w:p>
        <w:p>
          <w:pPr>
            <w:pStyle w:val="Contents6"/>
            <w:tabs>
              <w:tab w:val="clear" w:pos="7609"/>
              <w:tab w:val="right" w:pos="9026" w:leader="dot"/>
            </w:tabs>
            <w:rPr/>
          </w:pPr>
          <w:hyperlink w:anchor="__RefHeading___Toc3299938_1468164448">
            <w:r>
              <w:rPr>
                <w:webHidden/>
                <w:rStyle w:val="IndexLink"/>
                <w:rtl w:val="true"/>
              </w:rPr>
              <w:t>أقسام التزاحم</w:t>
            </w:r>
            <w:r>
              <w:rPr>
                <w:rStyle w:val="IndexLink"/>
                <w:rtl w:val="true"/>
              </w:rPr>
              <w:tab/>
            </w:r>
            <w:r>
              <w:rPr>
                <w:rStyle w:val="IndexLink"/>
              </w:rPr>
              <w:t>134</w:t>
            </w:r>
          </w:hyperlink>
        </w:p>
        <w:p>
          <w:pPr>
            <w:pStyle w:val="Contents6"/>
            <w:tabs>
              <w:tab w:val="clear" w:pos="7609"/>
              <w:tab w:val="right" w:pos="9026" w:leader="dot"/>
            </w:tabs>
            <w:rPr/>
          </w:pPr>
          <w:hyperlink w:anchor="__RefHeading___Toc3299940_1468164448">
            <w:r>
              <w:rPr>
                <w:webHidden/>
                <w:rStyle w:val="IndexLink"/>
                <w:rtl w:val="true"/>
              </w:rPr>
              <w:t>التشکیک فی التنجیز</w:t>
            </w:r>
            <w:r>
              <w:rPr>
                <w:rStyle w:val="IndexLink"/>
                <w:rtl w:val="true"/>
              </w:rPr>
              <w:tab/>
            </w:r>
            <w:r>
              <w:rPr>
                <w:rStyle w:val="IndexLink"/>
              </w:rPr>
              <w:t>136</w:t>
            </w:r>
          </w:hyperlink>
        </w:p>
        <w:p>
          <w:pPr>
            <w:pStyle w:val="Contents6"/>
            <w:tabs>
              <w:tab w:val="clear" w:pos="7609"/>
              <w:tab w:val="right" w:pos="9026" w:leader="dot"/>
            </w:tabs>
            <w:rPr/>
          </w:pPr>
          <w:hyperlink w:anchor="__RefHeading___Toc3299942_1468164448">
            <w:r>
              <w:rPr>
                <w:webHidden/>
                <w:rStyle w:val="IndexLink"/>
                <w:rtl w:val="true"/>
              </w:rPr>
              <w:t>الحکم الصوری</w:t>
            </w:r>
            <w:r>
              <w:rPr>
                <w:rStyle w:val="IndexLink"/>
                <w:rtl w:val="true"/>
              </w:rPr>
              <w:tab/>
            </w:r>
            <w:r>
              <w:rPr>
                <w:rStyle w:val="IndexLink"/>
              </w:rPr>
              <w:t>136</w:t>
            </w:r>
          </w:hyperlink>
        </w:p>
        <w:p>
          <w:pPr>
            <w:pStyle w:val="Contents6"/>
            <w:tabs>
              <w:tab w:val="clear" w:pos="7609"/>
              <w:tab w:val="right" w:pos="9026" w:leader="dot"/>
            </w:tabs>
            <w:rPr/>
          </w:pPr>
          <w:hyperlink w:anchor="__RefHeading___Toc3299944_1468164448">
            <w:r>
              <w:rPr>
                <w:webHidden/>
                <w:rStyle w:val="IndexLink"/>
                <w:rtl w:val="true"/>
              </w:rPr>
              <w:t>خلاصة ما تقدّم</w:t>
            </w:r>
            <w:r>
              <w:rPr>
                <w:rStyle w:val="IndexLink"/>
                <w:rtl w:val="true"/>
              </w:rPr>
              <w:tab/>
            </w:r>
            <w:r>
              <w:rPr>
                <w:rStyle w:val="IndexLink"/>
              </w:rPr>
              <w:t>137</w:t>
            </w:r>
          </w:hyperlink>
        </w:p>
        <w:p>
          <w:pPr>
            <w:pStyle w:val="Contents6"/>
            <w:tabs>
              <w:tab w:val="clear" w:pos="7609"/>
              <w:tab w:val="right" w:pos="9026" w:leader="dot"/>
            </w:tabs>
            <w:rPr/>
          </w:pPr>
          <w:hyperlink w:anchor="__RefHeading___Toc3299946_1468164448">
            <w:r>
              <w:rPr>
                <w:webHidden/>
                <w:rStyle w:val="IndexLink"/>
                <w:rtl w:val="true"/>
              </w:rPr>
              <w:t>مشکلة الإسناد فی الأمارات</w:t>
            </w:r>
            <w:r>
              <w:rPr>
                <w:rStyle w:val="IndexLink"/>
                <w:rtl w:val="true"/>
              </w:rPr>
              <w:tab/>
            </w:r>
            <w:r>
              <w:rPr>
                <w:rStyle w:val="IndexLink"/>
              </w:rPr>
              <w:t>138</w:t>
            </w:r>
          </w:hyperlink>
        </w:p>
        <w:p>
          <w:pPr>
            <w:pStyle w:val="Contents6"/>
            <w:tabs>
              <w:tab w:val="clear" w:pos="7609"/>
              <w:tab w:val="right" w:pos="9026" w:leader="dot"/>
            </w:tabs>
            <w:rPr/>
          </w:pPr>
          <w:hyperlink w:anchor="__RefHeading___Toc3299948_1468164448">
            <w:r>
              <w:rPr>
                <w:webHidden/>
                <w:rStyle w:val="IndexLink"/>
                <w:rtl w:val="true"/>
              </w:rPr>
              <w:t>الفروق بین الحکم الظاهری والتخیلی</w:t>
            </w:r>
            <w:r>
              <w:rPr>
                <w:rStyle w:val="IndexLink"/>
                <w:rtl w:val="true"/>
              </w:rPr>
              <w:tab/>
            </w:r>
            <w:r>
              <w:rPr>
                <w:rStyle w:val="IndexLink"/>
              </w:rPr>
              <w:t>139</w:t>
            </w:r>
          </w:hyperlink>
        </w:p>
        <w:p>
          <w:pPr>
            <w:pStyle w:val="Contents4"/>
            <w:tabs>
              <w:tab w:val="clear" w:pos="8176"/>
              <w:tab w:val="right" w:pos="9026" w:leader="dot"/>
            </w:tabs>
            <w:rPr/>
          </w:pPr>
          <w:hyperlink w:anchor="__RefHeading___Toc3299950_1468164448">
            <w:r>
              <w:rPr>
                <w:webHidden/>
                <w:rStyle w:val="IndexLink"/>
              </w:rPr>
              <w:t>4</w:t>
            </w:r>
            <w:r>
              <w:rPr>
                <w:rStyle w:val="IndexLink"/>
                <w:rtl w:val="true"/>
              </w:rPr>
              <w:t xml:space="preserve"> . </w:t>
            </w:r>
            <w:r>
              <w:rPr>
                <w:rStyle w:val="IndexLink"/>
                <w:rtl w:val="true"/>
              </w:rPr>
              <w:t>الشک فی الحجّیة</w:t>
            </w:r>
            <w:r>
              <w:rPr>
                <w:rStyle w:val="IndexLink"/>
                <w:rtl w:val="true"/>
              </w:rPr>
              <w:tab/>
            </w:r>
            <w:r>
              <w:rPr>
                <w:rStyle w:val="IndexLink"/>
              </w:rPr>
              <w:t>142</w:t>
            </w:r>
          </w:hyperlink>
        </w:p>
        <w:p>
          <w:pPr>
            <w:pStyle w:val="Contents5"/>
            <w:tabs>
              <w:tab w:val="clear" w:pos="7892"/>
              <w:tab w:val="right" w:pos="9026" w:leader="dot"/>
            </w:tabs>
            <w:rPr/>
          </w:pPr>
          <w:hyperlink w:anchor="__RefHeading___Toc3299952_1468164448">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3299954_1468164448">
            <w:r>
              <w:rPr>
                <w:webHidden/>
                <w:rStyle w:val="IndexLink"/>
                <w:rtl w:val="true"/>
              </w:rPr>
              <w:t>نظریة مدرسة الوحید</w:t>
            </w:r>
            <w:r>
              <w:rPr>
                <w:rStyle w:val="IndexLink"/>
                <w:rtl w:val="true"/>
              </w:rPr>
              <w:tab/>
            </w:r>
            <w:r>
              <w:rPr>
                <w:rStyle w:val="IndexLink"/>
              </w:rPr>
              <w:t>142</w:t>
            </w:r>
          </w:hyperlink>
        </w:p>
        <w:p>
          <w:pPr>
            <w:pStyle w:val="Contents5"/>
            <w:tabs>
              <w:tab w:val="clear" w:pos="7892"/>
              <w:tab w:val="right" w:pos="9026" w:leader="dot"/>
            </w:tabs>
            <w:rPr/>
          </w:pPr>
          <w:hyperlink w:anchor="__RefHeading___Toc3299956_1468164448">
            <w:r>
              <w:rPr>
                <w:webHidden/>
                <w:rStyle w:val="IndexLink"/>
                <w:rtl w:val="true"/>
              </w:rPr>
              <w:t>نظریة أخری</w:t>
            </w:r>
            <w:r>
              <w:rPr>
                <w:rStyle w:val="IndexLink"/>
                <w:rtl w:val="true"/>
              </w:rPr>
              <w:tab/>
            </w:r>
            <w:r>
              <w:rPr>
                <w:rStyle w:val="IndexLink"/>
              </w:rPr>
              <w:t>142</w:t>
            </w:r>
          </w:hyperlink>
        </w:p>
        <w:p>
          <w:pPr>
            <w:pStyle w:val="Contents6"/>
            <w:tabs>
              <w:tab w:val="clear" w:pos="7609"/>
              <w:tab w:val="right" w:pos="9026" w:leader="dot"/>
            </w:tabs>
            <w:rPr/>
          </w:pPr>
          <w:hyperlink w:anchor="__RefHeading___Toc3299958_1468164448">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3299960_1468164448">
            <w:r>
              <w:rPr>
                <w:webHidden/>
                <w:rStyle w:val="IndexLink"/>
                <w:rtl w:val="true"/>
              </w:rPr>
              <w:t>تحدید دائرة العلم</w:t>
            </w:r>
            <w:r>
              <w:rPr>
                <w:rStyle w:val="IndexLink"/>
                <w:rtl w:val="true"/>
              </w:rPr>
              <w:tab/>
            </w:r>
            <w:r>
              <w:rPr>
                <w:rStyle w:val="IndexLink"/>
              </w:rPr>
              <w:t>143</w:t>
            </w:r>
          </w:hyperlink>
        </w:p>
        <w:p>
          <w:pPr>
            <w:pStyle w:val="Contents5"/>
            <w:tabs>
              <w:tab w:val="clear" w:pos="7892"/>
              <w:tab w:val="right" w:pos="9026" w:leader="dot"/>
            </w:tabs>
            <w:rPr/>
          </w:pPr>
          <w:hyperlink w:anchor="__RefHeading___Toc3299962_1468164448">
            <w:r>
              <w:rPr>
                <w:webHidden/>
                <w:rStyle w:val="IndexLink"/>
                <w:rtl w:val="true"/>
              </w:rPr>
              <w:t>مختارنا فی شرط الفعلیة</w:t>
            </w:r>
            <w:r>
              <w:rPr>
                <w:rStyle w:val="IndexLink"/>
                <w:rtl w:val="true"/>
              </w:rPr>
              <w:tab/>
            </w:r>
            <w:r>
              <w:rPr>
                <w:rStyle w:val="IndexLink"/>
              </w:rPr>
              <w:t>144</w:t>
            </w:r>
          </w:hyperlink>
        </w:p>
        <w:p>
          <w:pPr>
            <w:pStyle w:val="Contents6"/>
            <w:tabs>
              <w:tab w:val="clear" w:pos="7609"/>
              <w:tab w:val="right" w:pos="9026" w:leader="dot"/>
            </w:tabs>
            <w:rPr/>
          </w:pPr>
          <w:hyperlink w:anchor="__RefHeading___Toc3299964_1468164448">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299966_1468164448">
            <w:r>
              <w:rPr>
                <w:webHidden/>
                <w:rStyle w:val="IndexLink"/>
                <w:rtl w:val="true"/>
              </w:rPr>
              <w:t>آثار الحکم الظاهری</w:t>
            </w:r>
            <w:r>
              <w:rPr>
                <w:rStyle w:val="IndexLink"/>
                <w:rtl w:val="true"/>
              </w:rPr>
              <w:tab/>
            </w:r>
            <w:r>
              <w:rPr>
                <w:rStyle w:val="IndexLink"/>
              </w:rPr>
              <w:t>146</w:t>
            </w:r>
          </w:hyperlink>
        </w:p>
        <w:p>
          <w:pPr>
            <w:pStyle w:val="Contents5"/>
            <w:tabs>
              <w:tab w:val="clear" w:pos="7892"/>
              <w:tab w:val="right" w:pos="9026" w:leader="dot"/>
            </w:tabs>
            <w:rPr/>
          </w:pPr>
          <w:hyperlink w:anchor="__RefHeading___Toc3299968_1468164448">
            <w:r>
              <w:rPr>
                <w:webHidden/>
                <w:rStyle w:val="IndexLink"/>
                <w:rtl w:val="true"/>
              </w:rPr>
              <w:t>أدلّة تعلیق الحجّة علی العلم</w:t>
            </w:r>
            <w:r>
              <w:rPr>
                <w:rStyle w:val="IndexLink"/>
                <w:rtl w:val="true"/>
              </w:rPr>
              <w:tab/>
            </w:r>
            <w:r>
              <w:rPr>
                <w:rStyle w:val="IndexLink"/>
              </w:rPr>
              <w:t>146</w:t>
            </w:r>
          </w:hyperlink>
        </w:p>
        <w:p>
          <w:pPr>
            <w:pStyle w:val="Contents6"/>
            <w:tabs>
              <w:tab w:val="clear" w:pos="7609"/>
              <w:tab w:val="right" w:pos="9026" w:leader="dot"/>
            </w:tabs>
            <w:rPr/>
          </w:pPr>
          <w:hyperlink w:anchor="__RefHeading___Toc3299970_1468164448">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3299972_1468164448">
            <w:r>
              <w:rPr>
                <w:webHidden/>
                <w:rStyle w:val="IndexLink"/>
                <w:rtl w:val="true"/>
              </w:rPr>
              <w:t>الدلیل الأول</w:t>
            </w:r>
            <w:r>
              <w:rPr>
                <w:rStyle w:val="IndexLink"/>
                <w:rtl w:val="true"/>
              </w:rPr>
              <w:t xml:space="preserve">: </w:t>
            </w:r>
            <w:r>
              <w:rPr>
                <w:rStyle w:val="IndexLink"/>
                <w:rtl w:val="true"/>
              </w:rPr>
              <w:t>ذکره الشیخ الأنصاری</w:t>
            </w:r>
            <w:r>
              <w:rPr>
                <w:rStyle w:val="IndexLink"/>
                <w:rtl w:val="true"/>
              </w:rPr>
              <w:tab/>
            </w:r>
            <w:r>
              <w:rPr>
                <w:rStyle w:val="IndexLink"/>
              </w:rPr>
              <w:t>146</w:t>
            </w:r>
          </w:hyperlink>
        </w:p>
        <w:p>
          <w:pPr>
            <w:pStyle w:val="Contents6"/>
            <w:tabs>
              <w:tab w:val="clear" w:pos="7609"/>
              <w:tab w:val="right" w:pos="9026" w:leader="dot"/>
            </w:tabs>
            <w:rPr/>
          </w:pPr>
          <w:hyperlink w:anchor="__RefHeading___Toc3299974_1468164448">
            <w:r>
              <w:rPr>
                <w:webHidden/>
                <w:rStyle w:val="IndexLink"/>
                <w:rtl w:val="true"/>
              </w:rPr>
              <w:t>مناقشة الآخوند فی تقریب الشیخ</w:t>
            </w:r>
            <w:r>
              <w:rPr>
                <w:rStyle w:val="IndexLink"/>
                <w:rtl w:val="true"/>
              </w:rPr>
              <w:tab/>
            </w:r>
            <w:r>
              <w:rPr>
                <w:rStyle w:val="IndexLink"/>
              </w:rPr>
              <w:t>147</w:t>
            </w:r>
          </w:hyperlink>
        </w:p>
        <w:p>
          <w:pPr>
            <w:pStyle w:val="Contents6"/>
            <w:tabs>
              <w:tab w:val="clear" w:pos="7609"/>
              <w:tab w:val="right" w:pos="9026" w:leader="dot"/>
            </w:tabs>
            <w:rPr/>
          </w:pPr>
          <w:hyperlink w:anchor="__RefHeading___Toc3299976_1468164448">
            <w:r>
              <w:rPr>
                <w:webHidden/>
                <w:rStyle w:val="IndexLink"/>
                <w:rtl w:val="true"/>
              </w:rPr>
              <w:t>ملاحظة علی مناقشة الآخوند</w:t>
            </w:r>
            <w:r>
              <w:rPr>
                <w:rStyle w:val="IndexLink"/>
                <w:rtl w:val="true"/>
              </w:rPr>
              <w:tab/>
            </w:r>
            <w:r>
              <w:rPr>
                <w:rStyle w:val="IndexLink"/>
              </w:rPr>
              <w:t>148</w:t>
            </w:r>
          </w:hyperlink>
        </w:p>
        <w:p>
          <w:pPr>
            <w:pStyle w:val="Contents6"/>
            <w:tabs>
              <w:tab w:val="clear" w:pos="7609"/>
              <w:tab w:val="right" w:pos="9026" w:leader="dot"/>
            </w:tabs>
            <w:rPr/>
          </w:pPr>
          <w:hyperlink w:anchor="__RefHeading___Toc3299978_1468164448">
            <w:r>
              <w:rPr>
                <w:webHidden/>
                <w:rStyle w:val="IndexLink"/>
                <w:rtl w:val="true"/>
              </w:rPr>
              <w:t>الحق فی الإشکال علی الشیخ</w:t>
            </w:r>
            <w:r>
              <w:rPr>
                <w:rStyle w:val="IndexLink"/>
                <w:rtl w:val="true"/>
              </w:rPr>
              <w:tab/>
            </w:r>
            <w:r>
              <w:rPr>
                <w:rStyle w:val="IndexLink"/>
              </w:rPr>
              <w:t>148</w:t>
            </w:r>
          </w:hyperlink>
        </w:p>
        <w:p>
          <w:pPr>
            <w:pStyle w:val="Contents6"/>
            <w:tabs>
              <w:tab w:val="clear" w:pos="7609"/>
              <w:tab w:val="right" w:pos="9026" w:leader="dot"/>
            </w:tabs>
            <w:rPr/>
          </w:pPr>
          <w:hyperlink w:anchor="__RefHeading___Toc3299980_1468164448">
            <w:r>
              <w:rPr>
                <w:webHidden/>
                <w:rStyle w:val="IndexLink"/>
                <w:rtl w:val="true"/>
              </w:rPr>
              <w:t>تلخیص المطلب</w:t>
            </w:r>
            <w:r>
              <w:rPr>
                <w:rStyle w:val="IndexLink"/>
                <w:rtl w:val="true"/>
              </w:rPr>
              <w:tab/>
            </w:r>
            <w:r>
              <w:rPr>
                <w:rStyle w:val="IndexLink"/>
              </w:rPr>
              <w:t>149</w:t>
            </w:r>
          </w:hyperlink>
        </w:p>
        <w:p>
          <w:pPr>
            <w:pStyle w:val="Contents6"/>
            <w:tabs>
              <w:tab w:val="clear" w:pos="7609"/>
              <w:tab w:val="right" w:pos="9026" w:leader="dot"/>
            </w:tabs>
            <w:rPr/>
          </w:pPr>
          <w:hyperlink w:anchor="__RefHeading___Toc3299982_1468164448">
            <w:r>
              <w:rPr>
                <w:webHidden/>
                <w:rStyle w:val="IndexLink"/>
                <w:rtl w:val="true"/>
              </w:rPr>
              <w:t>العلاقة بین حرمة الإسناد وحرمة التشریع</w:t>
            </w:r>
            <w:r>
              <w:rPr>
                <w:rStyle w:val="IndexLink"/>
                <w:rtl w:val="true"/>
              </w:rPr>
              <w:tab/>
            </w:r>
            <w:r>
              <w:rPr>
                <w:rStyle w:val="IndexLink"/>
              </w:rPr>
              <w:t>150</w:t>
            </w:r>
          </w:hyperlink>
        </w:p>
        <w:p>
          <w:pPr>
            <w:pStyle w:val="Contents6"/>
            <w:tabs>
              <w:tab w:val="clear" w:pos="7609"/>
              <w:tab w:val="right" w:pos="9026" w:leader="dot"/>
            </w:tabs>
            <w:rPr/>
          </w:pPr>
          <w:hyperlink w:anchor="__RefHeading___Toc3299984_1468164448">
            <w:r>
              <w:rPr>
                <w:webHidden/>
                <w:rStyle w:val="IndexLink"/>
                <w:rtl w:val="true"/>
              </w:rPr>
              <w:t>الدلیل الثانی</w:t>
            </w:r>
            <w:r>
              <w:rPr>
                <w:rStyle w:val="IndexLink"/>
                <w:rtl w:val="true"/>
              </w:rPr>
              <w:t xml:space="preserve">: </w:t>
            </w:r>
            <w:r>
              <w:rPr>
                <w:rStyle w:val="IndexLink"/>
                <w:rtl w:val="true"/>
              </w:rPr>
              <w:t>ذکره الآخوند</w:t>
            </w:r>
            <w:r>
              <w:rPr>
                <w:rStyle w:val="IndexLink"/>
                <w:rtl w:val="true"/>
              </w:rPr>
              <w:tab/>
            </w:r>
            <w:r>
              <w:rPr>
                <w:rStyle w:val="IndexLink"/>
              </w:rPr>
              <w:t>150</w:t>
            </w:r>
          </w:hyperlink>
        </w:p>
        <w:p>
          <w:pPr>
            <w:pStyle w:val="Contents6"/>
            <w:tabs>
              <w:tab w:val="clear" w:pos="7609"/>
              <w:tab w:val="right" w:pos="9026" w:leader="dot"/>
            </w:tabs>
            <w:rPr/>
          </w:pPr>
          <w:hyperlink w:anchor="__RefHeading___Toc3299986_1468164448">
            <w:r>
              <w:rPr>
                <w:webHidden/>
                <w:rStyle w:val="IndexLink"/>
                <w:rtl w:val="true"/>
              </w:rPr>
              <w:t>المناقشة فی الدلیل الثانی</w:t>
            </w:r>
            <w:r>
              <w:rPr>
                <w:rStyle w:val="IndexLink"/>
                <w:rtl w:val="true"/>
              </w:rPr>
              <w:tab/>
            </w:r>
            <w:r>
              <w:rPr>
                <w:rStyle w:val="IndexLink"/>
              </w:rPr>
              <w:t>151</w:t>
            </w:r>
          </w:hyperlink>
        </w:p>
        <w:p>
          <w:pPr>
            <w:pStyle w:val="Contents6"/>
            <w:tabs>
              <w:tab w:val="clear" w:pos="7609"/>
              <w:tab w:val="right" w:pos="9026" w:leader="dot"/>
            </w:tabs>
            <w:rPr/>
          </w:pPr>
          <w:hyperlink w:anchor="__RefHeading___Toc3299988_1468164448">
            <w:r>
              <w:rPr>
                <w:webHidden/>
                <w:rStyle w:val="IndexLink"/>
                <w:rtl w:val="true"/>
              </w:rPr>
              <w:t>الدلیل الثالث</w:t>
            </w:r>
            <w:r>
              <w:rPr>
                <w:rStyle w:val="IndexLink"/>
                <w:rtl w:val="true"/>
              </w:rPr>
              <w:t xml:space="preserve">: </w:t>
            </w:r>
            <w:r>
              <w:rPr>
                <w:rStyle w:val="IndexLink"/>
                <w:rtl w:val="true"/>
              </w:rPr>
              <w:t>ذکره الشیخ</w:t>
            </w:r>
            <w:r>
              <w:rPr>
                <w:rStyle w:val="IndexLink"/>
                <w:rtl w:val="true"/>
              </w:rPr>
              <w:tab/>
            </w:r>
            <w:r>
              <w:rPr>
                <w:rStyle w:val="IndexLink"/>
              </w:rPr>
              <w:t>151</w:t>
            </w:r>
          </w:hyperlink>
        </w:p>
        <w:p>
          <w:pPr>
            <w:pStyle w:val="Contents6"/>
            <w:tabs>
              <w:tab w:val="clear" w:pos="7609"/>
              <w:tab w:val="right" w:pos="9026" w:leader="dot"/>
            </w:tabs>
            <w:rPr/>
          </w:pPr>
          <w:hyperlink w:anchor="__RefHeading___Toc3299990_1468164448">
            <w:r>
              <w:rPr>
                <w:webHidden/>
                <w:rStyle w:val="IndexLink"/>
                <w:rtl w:val="true"/>
              </w:rPr>
              <w:t>ملاحظة المیرزا علی الشیخ</w:t>
            </w:r>
            <w:r>
              <w:rPr>
                <w:rStyle w:val="IndexLink"/>
                <w:rtl w:val="true"/>
              </w:rPr>
              <w:tab/>
            </w:r>
            <w:r>
              <w:rPr>
                <w:rStyle w:val="IndexLink"/>
              </w:rPr>
              <w:t>151</w:t>
            </w:r>
          </w:hyperlink>
        </w:p>
        <w:p>
          <w:pPr>
            <w:pStyle w:val="Contents6"/>
            <w:tabs>
              <w:tab w:val="clear" w:pos="7609"/>
              <w:tab w:val="right" w:pos="9026" w:leader="dot"/>
            </w:tabs>
            <w:rPr/>
          </w:pPr>
          <w:hyperlink w:anchor="__RefHeading___Toc3299992_1468164448">
            <w:r>
              <w:rPr>
                <w:webHidden/>
                <w:rStyle w:val="IndexLink"/>
                <w:rtl w:val="true"/>
              </w:rPr>
              <w:t>تتابع الملاحظات</w:t>
            </w:r>
            <w:r>
              <w:rPr>
                <w:rStyle w:val="IndexLink"/>
                <w:rtl w:val="true"/>
              </w:rPr>
              <w:tab/>
            </w:r>
            <w:r>
              <w:rPr>
                <w:rStyle w:val="IndexLink"/>
              </w:rPr>
              <w:t>151</w:t>
            </w:r>
          </w:hyperlink>
        </w:p>
        <w:p>
          <w:pPr>
            <w:pStyle w:val="Contents6"/>
            <w:tabs>
              <w:tab w:val="clear" w:pos="7609"/>
              <w:tab w:val="right" w:pos="9026" w:leader="dot"/>
            </w:tabs>
            <w:rPr/>
          </w:pPr>
          <w:hyperlink w:anchor="__RefHeading___Toc3299994_1468164448">
            <w:r>
              <w:rPr>
                <w:webHidden/>
                <w:rStyle w:val="IndexLink"/>
                <w:rtl w:val="true"/>
              </w:rPr>
              <w:t>ملاحظات حول النقض الخامس</w:t>
            </w:r>
            <w:r>
              <w:rPr>
                <w:rStyle w:val="IndexLink"/>
                <w:rtl w:val="true"/>
              </w:rPr>
              <w:tab/>
            </w:r>
            <w:r>
              <w:rPr>
                <w:rStyle w:val="IndexLink"/>
              </w:rPr>
              <w:t>152</w:t>
            </w:r>
          </w:hyperlink>
        </w:p>
        <w:p>
          <w:pPr>
            <w:pStyle w:val="Contents6"/>
            <w:tabs>
              <w:tab w:val="clear" w:pos="7609"/>
              <w:tab w:val="right" w:pos="9026" w:leader="dot"/>
            </w:tabs>
            <w:rPr/>
          </w:pPr>
          <w:hyperlink w:anchor="__RefHeading___Toc3299996_1468164448">
            <w:r>
              <w:rPr>
                <w:webHidden/>
                <w:rStyle w:val="IndexLink"/>
                <w:rtl w:val="true"/>
              </w:rPr>
              <w:t>بعض الحدیث حول الحکم الطبعی والفعلی</w:t>
            </w:r>
            <w:r>
              <w:rPr>
                <w:rStyle w:val="IndexLink"/>
                <w:rtl w:val="true"/>
              </w:rPr>
              <w:tab/>
            </w:r>
            <w:r>
              <w:rPr>
                <w:rStyle w:val="IndexLink"/>
              </w:rPr>
              <w:t>153</w:t>
            </w:r>
          </w:hyperlink>
        </w:p>
        <w:p>
          <w:pPr>
            <w:pStyle w:val="Contents6"/>
            <w:tabs>
              <w:tab w:val="clear" w:pos="7609"/>
              <w:tab w:val="right" w:pos="9026" w:leader="dot"/>
            </w:tabs>
            <w:rPr/>
          </w:pPr>
          <w:hyperlink w:anchor="__RefHeading___Toc3299998_1468164448">
            <w:r>
              <w:rPr>
                <w:webHidden/>
                <w:rStyle w:val="IndexLink"/>
                <w:rtl w:val="true"/>
              </w:rPr>
              <w:t>الحکم المطلق والحکم الحیثی</w:t>
            </w:r>
            <w:r>
              <w:rPr>
                <w:rStyle w:val="IndexLink"/>
                <w:rtl w:val="true"/>
              </w:rPr>
              <w:tab/>
            </w:r>
            <w:r>
              <w:rPr>
                <w:rStyle w:val="IndexLink"/>
              </w:rPr>
              <w:t>154</w:t>
            </w:r>
          </w:hyperlink>
        </w:p>
        <w:p>
          <w:pPr>
            <w:pStyle w:val="Contents6"/>
            <w:tabs>
              <w:tab w:val="clear" w:pos="7609"/>
              <w:tab w:val="right" w:pos="9026" w:leader="dot"/>
            </w:tabs>
            <w:rPr/>
          </w:pPr>
          <w:hyperlink w:anchor="__RefHeading___Toc3300000_1468164448">
            <w:r>
              <w:rPr>
                <w:webHidden/>
                <w:rStyle w:val="IndexLink"/>
                <w:rtl w:val="true"/>
              </w:rPr>
              <w:t>العودة إلی البحث</w:t>
            </w:r>
            <w:r>
              <w:rPr>
                <w:rStyle w:val="IndexLink"/>
                <w:rtl w:val="true"/>
              </w:rPr>
              <w:tab/>
            </w:r>
            <w:r>
              <w:rPr>
                <w:rStyle w:val="IndexLink"/>
              </w:rPr>
              <w:t>154</w:t>
            </w:r>
          </w:hyperlink>
        </w:p>
        <w:p>
          <w:pPr>
            <w:pStyle w:val="Contents6"/>
            <w:tabs>
              <w:tab w:val="clear" w:pos="7609"/>
              <w:tab w:val="right" w:pos="9026" w:leader="dot"/>
            </w:tabs>
            <w:rPr/>
          </w:pPr>
          <w:hyperlink w:anchor="__RefHeading___Toc3300002_1468164448">
            <w:r>
              <w:rPr>
                <w:webHidden/>
                <w:rStyle w:val="IndexLink"/>
                <w:rtl w:val="true"/>
              </w:rPr>
              <w:t>جریان استصحاب عدم الحجّیة من دون محذور تحصیل الحاصل</w:t>
            </w:r>
            <w:r>
              <w:rPr>
                <w:rStyle w:val="IndexLink"/>
                <w:rtl w:val="true"/>
              </w:rPr>
              <w:tab/>
            </w:r>
            <w:r>
              <w:rPr>
                <w:rStyle w:val="IndexLink"/>
              </w:rPr>
              <w:t>156</w:t>
            </w:r>
          </w:hyperlink>
        </w:p>
        <w:p>
          <w:pPr>
            <w:pStyle w:val="Contents6"/>
            <w:tabs>
              <w:tab w:val="clear" w:pos="7609"/>
              <w:tab w:val="right" w:pos="9026" w:leader="dot"/>
            </w:tabs>
            <w:rPr/>
          </w:pPr>
          <w:hyperlink w:anchor="__RefHeading___Toc3300004_1468164448">
            <w:r>
              <w:rPr>
                <w:webHidden/>
                <w:rStyle w:val="IndexLink"/>
                <w:rtl w:val="true"/>
              </w:rPr>
              <w:t>الدلیل الرابع</w:t>
            </w:r>
            <w:r>
              <w:rPr>
                <w:rStyle w:val="IndexLink"/>
                <w:rtl w:val="true"/>
              </w:rPr>
              <w:t xml:space="preserve">: </w:t>
            </w:r>
            <w:r>
              <w:rPr>
                <w:rStyle w:val="IndexLink"/>
                <w:rtl w:val="true"/>
              </w:rPr>
              <w:t>جریان البراءة فی الحجّیة عند الشک فیها</w:t>
            </w:r>
            <w:r>
              <w:rPr>
                <w:rStyle w:val="IndexLink"/>
                <w:rtl w:val="true"/>
              </w:rPr>
              <w:tab/>
            </w:r>
            <w:r>
              <w:rPr>
                <w:rStyle w:val="IndexLink"/>
              </w:rPr>
              <w:t>157</w:t>
            </w:r>
          </w:hyperlink>
        </w:p>
        <w:p>
          <w:pPr>
            <w:pStyle w:val="Contents6"/>
            <w:tabs>
              <w:tab w:val="clear" w:pos="7609"/>
              <w:tab w:val="right" w:pos="9026" w:leader="dot"/>
            </w:tabs>
            <w:rPr/>
          </w:pPr>
          <w:hyperlink w:anchor="__RefHeading___Toc3300006_1468164448">
            <w:r>
              <w:rPr>
                <w:webHidden/>
                <w:rStyle w:val="IndexLink"/>
                <w:rtl w:val="true"/>
              </w:rPr>
              <w:t>عدم لغویة تنجّز المنجَّز ثانیاً</w:t>
            </w:r>
            <w:r>
              <w:rPr>
                <w:rStyle w:val="IndexLink"/>
                <w:rtl w:val="true"/>
              </w:rPr>
              <w:tab/>
            </w:r>
            <w:r>
              <w:rPr>
                <w:rStyle w:val="IndexLink"/>
              </w:rPr>
              <w:t>158</w:t>
            </w:r>
          </w:hyperlink>
        </w:p>
        <w:p>
          <w:pPr>
            <w:pStyle w:val="Contents6"/>
            <w:tabs>
              <w:tab w:val="clear" w:pos="7609"/>
              <w:tab w:val="right" w:pos="9026" w:leader="dot"/>
            </w:tabs>
            <w:rPr/>
          </w:pPr>
          <w:hyperlink w:anchor="__RefHeading___Toc3300008_1468164448">
            <w:r>
              <w:rPr>
                <w:webHidden/>
                <w:rStyle w:val="IndexLink"/>
                <w:rtl w:val="true"/>
              </w:rPr>
              <w:t>معنی التداخل الکبیر</w:t>
            </w:r>
            <w:r>
              <w:rPr>
                <w:rStyle w:val="IndexLink"/>
                <w:rtl w:val="true"/>
              </w:rPr>
              <w:tab/>
            </w:r>
            <w:r>
              <w:rPr>
                <w:rStyle w:val="IndexLink"/>
              </w:rPr>
              <w:t>158</w:t>
            </w:r>
          </w:hyperlink>
        </w:p>
        <w:p>
          <w:pPr>
            <w:pStyle w:val="Contents6"/>
            <w:tabs>
              <w:tab w:val="clear" w:pos="7609"/>
              <w:tab w:val="right" w:pos="9026" w:leader="dot"/>
            </w:tabs>
            <w:rPr/>
          </w:pPr>
          <w:hyperlink w:anchor="__RefHeading___Toc3300010_1468164448">
            <w:r>
              <w:rPr>
                <w:webHidden/>
                <w:rStyle w:val="IndexLink"/>
                <w:rtl w:val="true"/>
              </w:rPr>
              <w:t>التداخل الصغیر</w:t>
            </w:r>
            <w:r>
              <w:rPr>
                <w:rStyle w:val="IndexLink"/>
                <w:rtl w:val="true"/>
              </w:rPr>
              <w:tab/>
            </w:r>
            <w:r>
              <w:rPr>
                <w:rStyle w:val="IndexLink"/>
              </w:rPr>
              <w:t>158</w:t>
            </w:r>
          </w:hyperlink>
        </w:p>
        <w:p>
          <w:pPr>
            <w:pStyle w:val="Contents6"/>
            <w:tabs>
              <w:tab w:val="clear" w:pos="7609"/>
              <w:tab w:val="right" w:pos="9026" w:leader="dot"/>
            </w:tabs>
            <w:rPr/>
          </w:pPr>
          <w:hyperlink w:anchor="__RefHeading___Toc3300012_1468164448">
            <w:r>
              <w:rPr>
                <w:webHidden/>
                <w:rStyle w:val="IndexLink"/>
                <w:rtl w:val="true"/>
              </w:rPr>
              <w:t>معنی اشتداد التنجیز وعدم اشتداده</w:t>
            </w:r>
            <w:r>
              <w:rPr>
                <w:rStyle w:val="IndexLink"/>
                <w:rtl w:val="true"/>
              </w:rPr>
              <w:tab/>
            </w:r>
            <w:r>
              <w:rPr>
                <w:rStyle w:val="IndexLink"/>
              </w:rPr>
              <w:t>159</w:t>
            </w:r>
          </w:hyperlink>
        </w:p>
        <w:p>
          <w:pPr>
            <w:pStyle w:val="Contents6"/>
            <w:tabs>
              <w:tab w:val="clear" w:pos="7609"/>
              <w:tab w:val="right" w:pos="9026" w:leader="dot"/>
            </w:tabs>
            <w:rPr/>
          </w:pPr>
          <w:hyperlink w:anchor="__RefHeading___Toc3300014_1468164448">
            <w:r>
              <w:rPr>
                <w:webHidden/>
                <w:rStyle w:val="IndexLink"/>
                <w:rtl w:val="true"/>
              </w:rPr>
              <w:t>التعذیر مثل التنجیز یقبل الإشتداد</w:t>
            </w:r>
            <w:r>
              <w:rPr>
                <w:rStyle w:val="IndexLink"/>
                <w:rtl w:val="true"/>
              </w:rPr>
              <w:tab/>
            </w:r>
            <w:r>
              <w:rPr>
                <w:rStyle w:val="IndexLink"/>
              </w:rPr>
              <w:t>159</w:t>
            </w:r>
          </w:hyperlink>
        </w:p>
        <w:p>
          <w:pPr>
            <w:pStyle w:val="Contents6"/>
            <w:tabs>
              <w:tab w:val="clear" w:pos="7609"/>
              <w:tab w:val="right" w:pos="9026" w:leader="dot"/>
            </w:tabs>
            <w:rPr/>
          </w:pPr>
          <w:hyperlink w:anchor="__RefHeading___Toc3300016_1468164448">
            <w:r>
              <w:rPr>
                <w:webHidden/>
                <w:rStyle w:val="IndexLink"/>
                <w:rtl w:val="true"/>
              </w:rPr>
              <w:t>ملاحظة وجواب</w:t>
            </w:r>
            <w:r>
              <w:rPr>
                <w:rStyle w:val="IndexLink"/>
                <w:rtl w:val="true"/>
              </w:rPr>
              <w:tab/>
            </w:r>
            <w:r>
              <w:rPr>
                <w:rStyle w:val="IndexLink"/>
              </w:rPr>
              <w:t>160</w:t>
            </w:r>
          </w:hyperlink>
        </w:p>
        <w:p>
          <w:pPr>
            <w:pStyle w:val="Contents6"/>
            <w:tabs>
              <w:tab w:val="clear" w:pos="7609"/>
              <w:tab w:val="right" w:pos="9026" w:leader="dot"/>
            </w:tabs>
            <w:rPr/>
          </w:pPr>
          <w:hyperlink w:anchor="__RefHeading___Toc3300018_1468164448">
            <w:r>
              <w:rPr>
                <w:webHidden/>
                <w:rStyle w:val="IndexLink"/>
                <w:rtl w:val="true"/>
              </w:rPr>
              <w:t>الدلیل الخامس</w:t>
            </w:r>
            <w:r>
              <w:rPr>
                <w:rStyle w:val="IndexLink"/>
                <w:rtl w:val="true"/>
              </w:rPr>
              <w:t xml:space="preserve">: </w:t>
            </w:r>
            <w:r>
              <w:rPr>
                <w:rStyle w:val="IndexLink"/>
                <w:rtl w:val="true"/>
              </w:rPr>
              <w:t>دلالة البدائل علی عدم حجّیة المشکوک</w:t>
            </w:r>
            <w:r>
              <w:rPr>
                <w:rStyle w:val="IndexLink"/>
                <w:rtl w:val="true"/>
              </w:rPr>
              <w:tab/>
            </w:r>
            <w:r>
              <w:rPr>
                <w:rStyle w:val="IndexLink"/>
              </w:rPr>
              <w:t>162</w:t>
            </w:r>
          </w:hyperlink>
        </w:p>
        <w:p>
          <w:pPr>
            <w:pStyle w:val="Contents6"/>
            <w:tabs>
              <w:tab w:val="clear" w:pos="7609"/>
              <w:tab w:val="right" w:pos="9026" w:leader="dot"/>
            </w:tabs>
            <w:rPr/>
          </w:pPr>
          <w:hyperlink w:anchor="__RefHeading___Toc3300020_1468164448">
            <w:r>
              <w:rPr>
                <w:webHidden/>
                <w:rStyle w:val="IndexLink"/>
                <w:rtl w:val="true"/>
              </w:rPr>
              <w:t>ویلاحظ علی هذا الدلیل</w:t>
            </w:r>
            <w:r>
              <w:rPr>
                <w:rStyle w:val="IndexLink"/>
                <w:rtl w:val="true"/>
              </w:rPr>
              <w:tab/>
            </w:r>
            <w:r>
              <w:rPr>
                <w:rStyle w:val="IndexLink"/>
              </w:rPr>
              <w:t>162</w:t>
            </w:r>
          </w:hyperlink>
        </w:p>
        <w:p>
          <w:pPr>
            <w:pStyle w:val="Contents6"/>
            <w:tabs>
              <w:tab w:val="clear" w:pos="7609"/>
              <w:tab w:val="right" w:pos="9026" w:leader="dot"/>
            </w:tabs>
            <w:rPr/>
          </w:pPr>
          <w:hyperlink w:anchor="__RefHeading___Toc3300022_1468164448">
            <w:r>
              <w:rPr>
                <w:webHidden/>
                <w:rStyle w:val="IndexLink"/>
                <w:rtl w:val="true"/>
              </w:rPr>
              <w:t>الدلیل السادس</w:t>
            </w:r>
            <w:r>
              <w:rPr>
                <w:rStyle w:val="IndexLink"/>
                <w:rtl w:val="true"/>
              </w:rPr>
              <w:t xml:space="preserve">: </w:t>
            </w:r>
            <w:r>
              <w:rPr>
                <w:rStyle w:val="IndexLink"/>
                <w:rtl w:val="true"/>
              </w:rPr>
              <w:t>التمسک بالآیات الناهیة عن العمل بالظن</w:t>
            </w:r>
            <w:r>
              <w:rPr>
                <w:rStyle w:val="IndexLink"/>
                <w:rtl w:val="true"/>
              </w:rPr>
              <w:tab/>
            </w:r>
            <w:r>
              <w:rPr>
                <w:rStyle w:val="IndexLink"/>
              </w:rPr>
              <w:t>163</w:t>
            </w:r>
          </w:hyperlink>
        </w:p>
        <w:p>
          <w:pPr>
            <w:pStyle w:val="Contents6"/>
            <w:tabs>
              <w:tab w:val="clear" w:pos="7609"/>
              <w:tab w:val="right" w:pos="9026" w:leader="dot"/>
            </w:tabs>
            <w:rPr/>
          </w:pPr>
          <w:hyperlink w:anchor="__RefHeading___Toc3300024_1468164448">
            <w:r>
              <w:rPr>
                <w:webHidden/>
                <w:rStyle w:val="IndexLink"/>
                <w:rtl w:val="true"/>
              </w:rPr>
              <w:t>الفرق بین الشک فی الخاص والشک فی الحاکم</w:t>
            </w:r>
            <w:r>
              <w:rPr>
                <w:rStyle w:val="IndexLink"/>
                <w:rtl w:val="true"/>
              </w:rPr>
              <w:tab/>
            </w:r>
            <w:r>
              <w:rPr>
                <w:rStyle w:val="IndexLink"/>
              </w:rPr>
              <w:t>163</w:t>
            </w:r>
          </w:hyperlink>
        </w:p>
        <w:p>
          <w:pPr>
            <w:pStyle w:val="Contents6"/>
            <w:tabs>
              <w:tab w:val="clear" w:pos="7609"/>
              <w:tab w:val="right" w:pos="9026" w:leader="dot"/>
            </w:tabs>
            <w:rPr/>
          </w:pPr>
          <w:hyperlink w:anchor="__RefHeading___Toc3300026_1468164448">
            <w:r>
              <w:rPr>
                <w:webHidden/>
                <w:rStyle w:val="IndexLink"/>
                <w:rtl w:val="true"/>
              </w:rPr>
              <w:t xml:space="preserve">جواب النائینی </w:t>
            </w:r>
            <w:r>
              <w:rPr>
                <w:rStyle w:val="IndexLink"/>
                <w:rtl w:val="true"/>
              </w:rPr>
              <w:t>(</w:t>
            </w:r>
            <w:r>
              <w:rPr>
                <w:rStyle w:val="IndexLink"/>
                <w:rtl w:val="true"/>
              </w:rPr>
              <w:t>قدس سره</w:t>
            </w:r>
            <w:r>
              <w:rPr>
                <w:rStyle w:val="IndexLink"/>
                <w:rtl w:val="true"/>
              </w:rPr>
              <w:t>)</w:t>
              <w:tab/>
            </w:r>
            <w:r>
              <w:rPr>
                <w:rStyle w:val="IndexLink"/>
              </w:rPr>
              <w:t>163</w:t>
            </w:r>
          </w:hyperlink>
        </w:p>
        <w:p>
          <w:pPr>
            <w:pStyle w:val="Contents6"/>
            <w:tabs>
              <w:tab w:val="clear" w:pos="7609"/>
              <w:tab w:val="right" w:pos="9026" w:leader="dot"/>
            </w:tabs>
            <w:rPr/>
          </w:pPr>
          <w:hyperlink w:anchor="__RefHeading___Toc3300028_1468164448">
            <w:r>
              <w:rPr>
                <w:webHidden/>
                <w:rStyle w:val="IndexLink"/>
                <w:rtl w:val="true"/>
              </w:rPr>
              <w:t xml:space="preserve">جواب السیّد الخوئی </w:t>
            </w:r>
            <w:r>
              <w:rPr>
                <w:rStyle w:val="IndexLink"/>
                <w:rtl w:val="true"/>
              </w:rPr>
              <w:t>(</w:t>
            </w:r>
            <w:r>
              <w:rPr>
                <w:rStyle w:val="IndexLink"/>
                <w:rtl w:val="true"/>
              </w:rPr>
              <w:t>رحمه الله</w:t>
            </w:r>
            <w:r>
              <w:rPr>
                <w:rStyle w:val="IndexLink"/>
                <w:rtl w:val="true"/>
              </w:rPr>
              <w:t>)</w:t>
              <w:tab/>
            </w:r>
            <w:r>
              <w:rPr>
                <w:rStyle w:val="IndexLink"/>
              </w:rPr>
              <w:t>164</w:t>
            </w:r>
          </w:hyperlink>
        </w:p>
        <w:p>
          <w:pPr>
            <w:pStyle w:val="Contents6"/>
            <w:tabs>
              <w:tab w:val="clear" w:pos="7609"/>
              <w:tab w:val="right" w:pos="9026" w:leader="dot"/>
            </w:tabs>
            <w:rPr/>
          </w:pPr>
          <w:hyperlink w:anchor="__RefHeading___Toc3300030_1468164448">
            <w:r>
              <w:rPr>
                <w:webHidden/>
                <w:rStyle w:val="IndexLink"/>
                <w:rtl w:val="true"/>
              </w:rPr>
              <w:t xml:space="preserve">جواب السیّد الصدر </w:t>
            </w:r>
            <w:r>
              <w:rPr>
                <w:rStyle w:val="IndexLink"/>
                <w:rtl w:val="true"/>
              </w:rPr>
              <w:t>(</w:t>
            </w:r>
            <w:r>
              <w:rPr>
                <w:rStyle w:val="IndexLink"/>
                <w:rtl w:val="true"/>
              </w:rPr>
              <w:t>قدس سره</w:t>
            </w:r>
            <w:r>
              <w:rPr>
                <w:rStyle w:val="IndexLink"/>
                <w:rtl w:val="true"/>
              </w:rPr>
              <w:t>)</w:t>
              <w:tab/>
            </w:r>
            <w:r>
              <w:rPr>
                <w:rStyle w:val="IndexLink"/>
              </w:rPr>
              <w:t>164</w:t>
            </w:r>
          </w:hyperlink>
        </w:p>
        <w:p>
          <w:pPr>
            <w:pStyle w:val="Contents6"/>
            <w:tabs>
              <w:tab w:val="clear" w:pos="7609"/>
              <w:tab w:val="right" w:pos="9026" w:leader="dot"/>
            </w:tabs>
            <w:rPr/>
          </w:pPr>
          <w:hyperlink w:anchor="__RefHeading___Toc3300032_1468164448">
            <w:r>
              <w:rPr>
                <w:webHidden/>
                <w:rStyle w:val="IndexLink"/>
                <w:rtl w:val="true"/>
              </w:rPr>
              <w:t>مختارنا فی الجواب</w:t>
            </w:r>
            <w:r>
              <w:rPr>
                <w:rStyle w:val="IndexLink"/>
                <w:rtl w:val="true"/>
              </w:rPr>
              <w:tab/>
            </w:r>
            <w:r>
              <w:rPr>
                <w:rStyle w:val="IndexLink"/>
              </w:rPr>
              <w:t>165</w:t>
            </w:r>
          </w:hyperlink>
        </w:p>
        <w:p>
          <w:pPr>
            <w:pStyle w:val="Contents3"/>
            <w:tabs>
              <w:tab w:val="clear" w:pos="8459"/>
              <w:tab w:val="right" w:pos="9026" w:leader="dot"/>
            </w:tabs>
            <w:rPr/>
          </w:pPr>
          <w:hyperlink w:anchor="__RefHeading___Toc3300034_1468164448">
            <w:r>
              <w:rPr>
                <w:webHidden/>
                <w:rStyle w:val="IndexLink"/>
              </w:rPr>
              <w:t>3</w:t>
            </w:r>
            <w:r>
              <w:rPr>
                <w:rStyle w:val="IndexLink"/>
                <w:rtl w:val="true"/>
              </w:rPr>
              <w:t xml:space="preserve"> . </w:t>
            </w:r>
            <w:r>
              <w:rPr>
                <w:rStyle w:val="IndexLink"/>
                <w:rtl w:val="true"/>
              </w:rPr>
              <w:t>الظهورات</w:t>
            </w:r>
            <w:r>
              <w:rPr>
                <w:rStyle w:val="IndexLink"/>
                <w:rtl w:val="true"/>
              </w:rPr>
              <w:tab/>
            </w:r>
            <w:r>
              <w:rPr>
                <w:rStyle w:val="IndexLink"/>
              </w:rPr>
              <w:t>166</w:t>
            </w:r>
          </w:hyperlink>
        </w:p>
        <w:p>
          <w:pPr>
            <w:pStyle w:val="Contents4"/>
            <w:tabs>
              <w:tab w:val="clear" w:pos="8176"/>
              <w:tab w:val="right" w:pos="9026" w:leader="dot"/>
            </w:tabs>
            <w:rPr/>
          </w:pPr>
          <w:hyperlink w:anchor="__RefHeading___Toc3300036_1468164448">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3300038_1468164448">
            <w:r>
              <w:rPr>
                <w:webHidden/>
                <w:rStyle w:val="IndexLink"/>
                <w:rtl w:val="true"/>
              </w:rPr>
              <w:t>تمهید</w:t>
            </w:r>
            <w:r>
              <w:rPr>
                <w:rStyle w:val="IndexLink"/>
                <w:rtl w:val="true"/>
              </w:rPr>
              <w:tab/>
            </w:r>
            <w:r>
              <w:rPr>
                <w:rStyle w:val="IndexLink"/>
              </w:rPr>
              <w:t>167</w:t>
            </w:r>
          </w:hyperlink>
        </w:p>
        <w:p>
          <w:pPr>
            <w:pStyle w:val="Contents5"/>
            <w:tabs>
              <w:tab w:val="clear" w:pos="7892"/>
              <w:tab w:val="right" w:pos="9026" w:leader="dot"/>
            </w:tabs>
            <w:rPr/>
          </w:pPr>
          <w:hyperlink w:anchor="__RefHeading___Toc3300040_1468164448">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300042_1468164448">
            <w:r>
              <w:rPr>
                <w:webHidden/>
                <w:rStyle w:val="IndexLink"/>
                <w:rtl w:val="true"/>
              </w:rPr>
              <w:t>أصعدة البحث فی الظهور</w:t>
            </w:r>
            <w:r>
              <w:rPr>
                <w:rStyle w:val="IndexLink"/>
                <w:rtl w:val="true"/>
              </w:rPr>
              <w:tab/>
            </w:r>
            <w:r>
              <w:rPr>
                <w:rStyle w:val="IndexLink"/>
              </w:rPr>
              <w:t>167</w:t>
            </w:r>
          </w:hyperlink>
        </w:p>
        <w:p>
          <w:pPr>
            <w:pStyle w:val="Contents5"/>
            <w:tabs>
              <w:tab w:val="clear" w:pos="7892"/>
              <w:tab w:val="right" w:pos="9026" w:leader="dot"/>
            </w:tabs>
            <w:rPr/>
          </w:pPr>
          <w:hyperlink w:anchor="__RefHeading___Toc3300044_1468164448">
            <w:r>
              <w:rPr>
                <w:webHidden/>
                <w:rStyle w:val="IndexLink"/>
                <w:rtl w:val="true"/>
              </w:rPr>
              <w:t>أقسام الظهور</w:t>
            </w:r>
            <w:r>
              <w:rPr>
                <w:rStyle w:val="IndexLink"/>
                <w:rtl w:val="true"/>
              </w:rPr>
              <w:tab/>
            </w:r>
            <w:r>
              <w:rPr>
                <w:rStyle w:val="IndexLink"/>
              </w:rPr>
              <w:t>167</w:t>
            </w:r>
          </w:hyperlink>
        </w:p>
        <w:p>
          <w:pPr>
            <w:pStyle w:val="Contents5"/>
            <w:tabs>
              <w:tab w:val="clear" w:pos="7892"/>
              <w:tab w:val="right" w:pos="9026" w:leader="dot"/>
            </w:tabs>
            <w:rPr/>
          </w:pPr>
          <w:hyperlink w:anchor="__RefHeading___Toc3300046_1468164448">
            <w:r>
              <w:rPr>
                <w:webHidden/>
                <w:rStyle w:val="IndexLink"/>
                <w:rtl w:val="true"/>
              </w:rPr>
              <w:t>أنواع القرائن</w:t>
            </w:r>
            <w:r>
              <w:rPr>
                <w:rStyle w:val="IndexLink"/>
                <w:rtl w:val="true"/>
              </w:rPr>
              <w:tab/>
            </w:r>
            <w:r>
              <w:rPr>
                <w:rStyle w:val="IndexLink"/>
              </w:rPr>
              <w:t>168</w:t>
            </w:r>
          </w:hyperlink>
        </w:p>
        <w:p>
          <w:pPr>
            <w:pStyle w:val="Contents6"/>
            <w:tabs>
              <w:tab w:val="clear" w:pos="7609"/>
              <w:tab w:val="right" w:pos="9026" w:leader="dot"/>
            </w:tabs>
            <w:rPr/>
          </w:pPr>
          <w:hyperlink w:anchor="__RefHeading___Toc3300048_1468164448">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3300050_1468164448">
            <w:r>
              <w:rPr>
                <w:webHidden/>
                <w:rStyle w:val="IndexLink"/>
                <w:rtl w:val="true"/>
              </w:rPr>
              <w:t>دور علم اللغة والنحو والبلاغة فی شؤون الکلام</w:t>
            </w:r>
            <w:r>
              <w:rPr>
                <w:rStyle w:val="IndexLink"/>
                <w:rtl w:val="true"/>
              </w:rPr>
              <w:tab/>
            </w:r>
            <w:r>
              <w:rPr>
                <w:rStyle w:val="IndexLink"/>
              </w:rPr>
              <w:t>169</w:t>
            </w:r>
          </w:hyperlink>
        </w:p>
        <w:p>
          <w:pPr>
            <w:pStyle w:val="Contents6"/>
            <w:tabs>
              <w:tab w:val="clear" w:pos="7609"/>
              <w:tab w:val="right" w:pos="9026" w:leader="dot"/>
            </w:tabs>
            <w:rPr/>
          </w:pPr>
          <w:hyperlink w:anchor="__RefHeading___Toc3300052_1468164448">
            <w:r>
              <w:rPr>
                <w:webHidden/>
                <w:rStyle w:val="IndexLink"/>
                <w:rtl w:val="true"/>
              </w:rPr>
              <w:t>فهم النص فی ظلّ دراسة ظروف النص</w:t>
            </w:r>
            <w:r>
              <w:rPr>
                <w:rStyle w:val="IndexLink"/>
                <w:rtl w:val="true"/>
              </w:rPr>
              <w:tab/>
            </w:r>
            <w:r>
              <w:rPr>
                <w:rStyle w:val="IndexLink"/>
              </w:rPr>
              <w:t>170</w:t>
            </w:r>
          </w:hyperlink>
        </w:p>
        <w:p>
          <w:pPr>
            <w:pStyle w:val="Contents5"/>
            <w:tabs>
              <w:tab w:val="clear" w:pos="7892"/>
              <w:tab w:val="right" w:pos="9026" w:leader="dot"/>
            </w:tabs>
            <w:rPr/>
          </w:pPr>
          <w:hyperlink w:anchor="__RefHeading___Toc3300054_1468164448">
            <w:r>
              <w:rPr>
                <w:webHidden/>
                <w:rStyle w:val="IndexLink"/>
                <w:rtl w:val="true"/>
              </w:rPr>
              <w:t>خارطة الظهورات فی نظام الشیخ</w:t>
            </w:r>
            <w:r>
              <w:rPr>
                <w:rStyle w:val="IndexLink"/>
                <w:rtl w:val="true"/>
              </w:rPr>
              <w:tab/>
            </w:r>
            <w:r>
              <w:rPr>
                <w:rStyle w:val="IndexLink"/>
              </w:rPr>
              <w:t>170</w:t>
            </w:r>
          </w:hyperlink>
        </w:p>
        <w:p>
          <w:pPr>
            <w:pStyle w:val="Contents4"/>
            <w:tabs>
              <w:tab w:val="clear" w:pos="8176"/>
              <w:tab w:val="right" w:pos="9026" w:leader="dot"/>
            </w:tabs>
            <w:rPr/>
          </w:pPr>
          <w:hyperlink w:anchor="__RefHeading___Toc3300056_1468164448">
            <w:r>
              <w:rPr>
                <w:webHidden/>
                <w:rStyle w:val="IndexLink"/>
              </w:rPr>
              <w:t>1</w:t>
            </w:r>
            <w:r>
              <w:rPr>
                <w:rStyle w:val="IndexLink"/>
                <w:rtl w:val="true"/>
              </w:rPr>
              <w:t xml:space="preserve"> . </w:t>
            </w:r>
            <w:r>
              <w:rPr>
                <w:rStyle w:val="IndexLink"/>
                <w:rtl w:val="true"/>
              </w:rPr>
              <w:t>المقام الأول</w:t>
            </w:r>
            <w:r>
              <w:rPr>
                <w:rStyle w:val="IndexLink"/>
                <w:rtl w:val="true"/>
              </w:rPr>
              <w:t xml:space="preserve">: </w:t>
            </w:r>
            <w:r>
              <w:rPr>
                <w:rStyle w:val="IndexLink"/>
                <w:rtl w:val="true"/>
              </w:rPr>
              <w:t>البحث فی حجّیة الظهور</w:t>
            </w:r>
            <w:r>
              <w:rPr>
                <w:rStyle w:val="IndexLink"/>
                <w:rtl w:val="true"/>
              </w:rPr>
              <w:tab/>
            </w:r>
            <w:r>
              <w:rPr>
                <w:rStyle w:val="IndexLink"/>
              </w:rPr>
              <w:t>172</w:t>
            </w:r>
          </w:hyperlink>
        </w:p>
        <w:p>
          <w:pPr>
            <w:pStyle w:val="Contents5"/>
            <w:tabs>
              <w:tab w:val="clear" w:pos="7892"/>
              <w:tab w:val="right" w:pos="9026" w:leader="dot"/>
            </w:tabs>
            <w:rPr/>
          </w:pPr>
          <w:hyperlink w:anchor="__RefHeading___Toc3300058_1468164448">
            <w:r>
              <w:rPr>
                <w:webHidden/>
                <w:rStyle w:val="IndexLink"/>
                <w:rtl w:val="true"/>
              </w:rPr>
              <w:t>منشأ حجّیة الظهور</w:t>
            </w:r>
            <w:r>
              <w:rPr>
                <w:rStyle w:val="IndexLink"/>
                <w:rtl w:val="true"/>
              </w:rPr>
              <w:tab/>
            </w:r>
            <w:r>
              <w:rPr>
                <w:rStyle w:val="IndexLink"/>
              </w:rPr>
              <w:t>172</w:t>
            </w:r>
          </w:hyperlink>
        </w:p>
        <w:p>
          <w:pPr>
            <w:pStyle w:val="Contents6"/>
            <w:tabs>
              <w:tab w:val="clear" w:pos="7609"/>
              <w:tab w:val="right" w:pos="9026" w:leader="dot"/>
            </w:tabs>
            <w:rPr/>
          </w:pPr>
          <w:hyperlink w:anchor="__RefHeading___Toc3300060_1468164448">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3300062_1468164448">
            <w:r>
              <w:rPr>
                <w:webHidden/>
                <w:rStyle w:val="IndexLink"/>
                <w:rtl w:val="true"/>
              </w:rPr>
              <w:t>معنی تقنین العقلاء</w:t>
            </w:r>
            <w:r>
              <w:rPr>
                <w:rStyle w:val="IndexLink"/>
                <w:rtl w:val="true"/>
              </w:rPr>
              <w:tab/>
            </w:r>
            <w:r>
              <w:rPr>
                <w:rStyle w:val="IndexLink"/>
              </w:rPr>
              <w:t>172</w:t>
            </w:r>
          </w:hyperlink>
        </w:p>
        <w:p>
          <w:pPr>
            <w:pStyle w:val="Contents5"/>
            <w:tabs>
              <w:tab w:val="clear" w:pos="7892"/>
              <w:tab w:val="right" w:pos="9026" w:leader="dot"/>
            </w:tabs>
            <w:rPr/>
          </w:pPr>
          <w:hyperlink w:anchor="__RefHeading___Toc3300064_1468164448">
            <w:r>
              <w:rPr>
                <w:webHidden/>
                <w:rStyle w:val="IndexLink"/>
                <w:rtl w:val="true"/>
              </w:rPr>
              <w:t>حجّیة الظهور من باب الضرورة الفطریة</w:t>
            </w:r>
            <w:r>
              <w:rPr>
                <w:rStyle w:val="IndexLink"/>
                <w:rtl w:val="true"/>
              </w:rPr>
              <w:tab/>
            </w:r>
            <w:r>
              <w:rPr>
                <w:rStyle w:val="IndexLink"/>
              </w:rPr>
              <w:t>173</w:t>
            </w:r>
          </w:hyperlink>
        </w:p>
        <w:p>
          <w:pPr>
            <w:pStyle w:val="Contents6"/>
            <w:tabs>
              <w:tab w:val="clear" w:pos="7609"/>
              <w:tab w:val="right" w:pos="9026" w:leader="dot"/>
            </w:tabs>
            <w:rPr/>
          </w:pPr>
          <w:hyperlink w:anchor="__RefHeading___Toc3300066_1468164448">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3300068_1468164448">
            <w:r>
              <w:rPr>
                <w:webHidden/>
                <w:rStyle w:val="IndexLink"/>
                <w:rtl w:val="true"/>
              </w:rPr>
              <w:t>توجیهٌ لناجزیة دلالة الظهور القطعیة فی المدلول التصوری</w:t>
            </w:r>
            <w:r>
              <w:rPr>
                <w:rStyle w:val="IndexLink"/>
                <w:rtl w:val="true"/>
              </w:rPr>
              <w:tab/>
            </w:r>
            <w:r>
              <w:rPr>
                <w:rStyle w:val="IndexLink"/>
              </w:rPr>
              <w:t>173</w:t>
            </w:r>
          </w:hyperlink>
        </w:p>
        <w:p>
          <w:pPr>
            <w:pStyle w:val="Contents6"/>
            <w:tabs>
              <w:tab w:val="clear" w:pos="7609"/>
              <w:tab w:val="right" w:pos="9026" w:leader="dot"/>
            </w:tabs>
            <w:rPr/>
          </w:pPr>
          <w:hyperlink w:anchor="__RefHeading___Toc3300070_1468164448">
            <w:r>
              <w:rPr>
                <w:webHidden/>
                <w:rStyle w:val="IndexLink"/>
                <w:rtl w:val="true"/>
              </w:rPr>
              <w:t>الدلالة التعلیقیة فی المدلول التفهیمی والجدی</w:t>
            </w:r>
            <w:r>
              <w:rPr>
                <w:rStyle w:val="IndexLink"/>
                <w:rtl w:val="true"/>
              </w:rPr>
              <w:tab/>
            </w:r>
            <w:r>
              <w:rPr>
                <w:rStyle w:val="IndexLink"/>
              </w:rPr>
              <w:t>174</w:t>
            </w:r>
          </w:hyperlink>
        </w:p>
        <w:p>
          <w:pPr>
            <w:pStyle w:val="Contents5"/>
            <w:tabs>
              <w:tab w:val="clear" w:pos="7892"/>
              <w:tab w:val="right" w:pos="9026" w:leader="dot"/>
            </w:tabs>
            <w:rPr/>
          </w:pPr>
          <w:hyperlink w:anchor="__RefHeading___Toc3300072_1468164448">
            <w:r>
              <w:rPr>
                <w:webHidden/>
                <w:rStyle w:val="IndexLink"/>
                <w:rtl w:val="true"/>
              </w:rPr>
              <w:t>أیّ ظاهر هو الحجّة؟</w:t>
            </w:r>
            <w:r>
              <w:rPr>
                <w:rStyle w:val="IndexLink"/>
                <w:rtl w:val="true"/>
              </w:rPr>
              <w:tab/>
            </w:r>
            <w:r>
              <w:rPr>
                <w:rStyle w:val="IndexLink"/>
              </w:rPr>
              <w:t>175</w:t>
            </w:r>
          </w:hyperlink>
        </w:p>
        <w:p>
          <w:pPr>
            <w:pStyle w:val="Contents6"/>
            <w:tabs>
              <w:tab w:val="clear" w:pos="7609"/>
              <w:tab w:val="right" w:pos="9026" w:leader="dot"/>
            </w:tabs>
            <w:rPr/>
          </w:pPr>
          <w:hyperlink w:anchor="__RefHeading___Toc3300074_1468164448">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300076_1468164448">
            <w:r>
              <w:rPr>
                <w:webHidden/>
                <w:rStyle w:val="IndexLink"/>
                <w:rtl w:val="true"/>
              </w:rPr>
              <w:t>حجّیة الظهور العرفی</w:t>
            </w:r>
            <w:r>
              <w:rPr>
                <w:rStyle w:val="IndexLink"/>
                <w:rtl w:val="true"/>
              </w:rPr>
              <w:tab/>
            </w:r>
            <w:r>
              <w:rPr>
                <w:rStyle w:val="IndexLink"/>
              </w:rPr>
              <w:t>175</w:t>
            </w:r>
          </w:hyperlink>
        </w:p>
        <w:p>
          <w:pPr>
            <w:pStyle w:val="Contents6"/>
            <w:tabs>
              <w:tab w:val="clear" w:pos="7609"/>
              <w:tab w:val="right" w:pos="9026" w:leader="dot"/>
            </w:tabs>
            <w:rPr/>
          </w:pPr>
          <w:hyperlink w:anchor="__RefHeading___Toc3300078_1468164448">
            <w:r>
              <w:rPr>
                <w:webHidden/>
                <w:rStyle w:val="IndexLink"/>
                <w:rtl w:val="true"/>
              </w:rPr>
              <w:t>حجّیة الظهور الدقّی</w:t>
            </w:r>
            <w:r>
              <w:rPr>
                <w:rStyle w:val="IndexLink"/>
                <w:rtl w:val="true"/>
              </w:rPr>
              <w:tab/>
            </w:r>
            <w:r>
              <w:rPr>
                <w:rStyle w:val="IndexLink"/>
              </w:rPr>
              <w:t>176</w:t>
            </w:r>
          </w:hyperlink>
        </w:p>
        <w:p>
          <w:pPr>
            <w:pStyle w:val="Contents4"/>
            <w:tabs>
              <w:tab w:val="clear" w:pos="8176"/>
              <w:tab w:val="right" w:pos="9026" w:leader="dot"/>
            </w:tabs>
            <w:rPr/>
          </w:pPr>
          <w:hyperlink w:anchor="__RefHeading___Toc3300080_1468164448">
            <w:r>
              <w:rPr>
                <w:webHidden/>
                <w:rStyle w:val="IndexLink"/>
              </w:rPr>
              <w:t>2</w:t>
            </w:r>
            <w:r>
              <w:rPr>
                <w:rStyle w:val="IndexLink"/>
                <w:rtl w:val="true"/>
              </w:rPr>
              <w:t xml:space="preserve"> . </w:t>
            </w:r>
            <w:r>
              <w:rPr>
                <w:rStyle w:val="IndexLink"/>
                <w:rtl w:val="true"/>
              </w:rPr>
              <w:t>المقام الثانی</w:t>
            </w:r>
            <w:r>
              <w:rPr>
                <w:rStyle w:val="IndexLink"/>
                <w:rtl w:val="true"/>
              </w:rPr>
              <w:t xml:space="preserve">: </w:t>
            </w:r>
            <w:r>
              <w:rPr>
                <w:rStyle w:val="IndexLink"/>
                <w:rtl w:val="true"/>
              </w:rPr>
              <w:t>تحدید دائرة حجّیة الظهور عند المحقق القمی</w:t>
            </w:r>
            <w:r>
              <w:rPr>
                <w:rStyle w:val="IndexLink"/>
                <w:rtl w:val="true"/>
              </w:rPr>
              <w:tab/>
            </w:r>
            <w:r>
              <w:rPr>
                <w:rStyle w:val="IndexLink"/>
              </w:rPr>
              <w:t>180</w:t>
            </w:r>
          </w:hyperlink>
        </w:p>
        <w:p>
          <w:pPr>
            <w:pStyle w:val="Contents5"/>
            <w:tabs>
              <w:tab w:val="clear" w:pos="7892"/>
              <w:tab w:val="right" w:pos="9026" w:leader="dot"/>
            </w:tabs>
            <w:rPr/>
          </w:pPr>
          <w:hyperlink w:anchor="__RefHeading___Toc3300082_1468164448">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300084_1468164448">
            <w:r>
              <w:rPr>
                <w:webHidden/>
                <w:rStyle w:val="IndexLink"/>
                <w:rtl w:val="true"/>
              </w:rPr>
              <w:t>التفصیل بین من کان فی عصر النص وبین من لم یکن</w:t>
            </w:r>
            <w:r>
              <w:rPr>
                <w:rStyle w:val="IndexLink"/>
                <w:rtl w:val="true"/>
              </w:rPr>
              <w:tab/>
            </w:r>
            <w:r>
              <w:rPr>
                <w:rStyle w:val="IndexLink"/>
              </w:rPr>
              <w:t>180</w:t>
            </w:r>
          </w:hyperlink>
        </w:p>
        <w:p>
          <w:pPr>
            <w:pStyle w:val="Contents5"/>
            <w:tabs>
              <w:tab w:val="clear" w:pos="7892"/>
              <w:tab w:val="right" w:pos="9026" w:leader="dot"/>
            </w:tabs>
            <w:rPr/>
          </w:pPr>
          <w:hyperlink w:anchor="__RefHeading___Toc3300086_1468164448">
            <w:r>
              <w:rPr>
                <w:webHidden/>
                <w:rStyle w:val="IndexLink"/>
                <w:rtl w:val="true"/>
              </w:rPr>
              <w:t>التفصیل بین من قصد إفهامه ومن لم یقصد</w:t>
            </w:r>
            <w:r>
              <w:rPr>
                <w:rStyle w:val="IndexLink"/>
                <w:rtl w:val="true"/>
              </w:rPr>
              <w:tab/>
            </w:r>
            <w:r>
              <w:rPr>
                <w:rStyle w:val="IndexLink"/>
              </w:rPr>
              <w:t>180</w:t>
            </w:r>
          </w:hyperlink>
        </w:p>
        <w:p>
          <w:pPr>
            <w:pStyle w:val="Contents6"/>
            <w:tabs>
              <w:tab w:val="clear" w:pos="7609"/>
              <w:tab w:val="right" w:pos="9026" w:leader="dot"/>
            </w:tabs>
            <w:rPr/>
          </w:pPr>
          <w:hyperlink w:anchor="__RefHeading___Toc3300088_1468164448">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3300090_1468164448">
            <w:r>
              <w:rPr>
                <w:webHidden/>
                <w:rStyle w:val="IndexLink"/>
                <w:rtl w:val="true"/>
              </w:rPr>
              <w:t>حجّیة الظن الشخصی</w:t>
            </w:r>
            <w:r>
              <w:rPr>
                <w:rStyle w:val="IndexLink"/>
                <w:rtl w:val="true"/>
              </w:rPr>
              <w:tab/>
            </w:r>
            <w:r>
              <w:rPr>
                <w:rStyle w:val="IndexLink"/>
              </w:rPr>
              <w:t>181</w:t>
            </w:r>
          </w:hyperlink>
        </w:p>
        <w:p>
          <w:pPr>
            <w:pStyle w:val="Contents6"/>
            <w:tabs>
              <w:tab w:val="clear" w:pos="7609"/>
              <w:tab w:val="right" w:pos="9026" w:leader="dot"/>
            </w:tabs>
            <w:rPr/>
          </w:pPr>
          <w:hyperlink w:anchor="__RefHeading___Toc3300092_1468164448">
            <w:r>
              <w:rPr>
                <w:webHidden/>
                <w:rStyle w:val="IndexLink"/>
                <w:rtl w:val="true"/>
              </w:rPr>
              <w:t>بعض موانع الوصول إلی الظهور</w:t>
            </w:r>
            <w:r>
              <w:rPr>
                <w:rStyle w:val="IndexLink"/>
                <w:rtl w:val="true"/>
              </w:rPr>
              <w:tab/>
            </w:r>
            <w:r>
              <w:rPr>
                <w:rStyle w:val="IndexLink"/>
              </w:rPr>
              <w:t>182</w:t>
            </w:r>
          </w:hyperlink>
        </w:p>
        <w:p>
          <w:pPr>
            <w:pStyle w:val="Contents6"/>
            <w:tabs>
              <w:tab w:val="clear" w:pos="7609"/>
              <w:tab w:val="right" w:pos="9026" w:leader="dot"/>
            </w:tabs>
            <w:rPr/>
          </w:pPr>
          <w:hyperlink w:anchor="__RefHeading___Toc3300094_1468164448">
            <w:r>
              <w:rPr>
                <w:webHidden/>
                <w:rStyle w:val="IndexLink"/>
                <w:rtl w:val="true"/>
              </w:rPr>
              <w:t>موجز عوامل العجز عن الوصول إلی ظهور النص الدینی</w:t>
            </w:r>
            <w:r>
              <w:rPr>
                <w:rStyle w:val="IndexLink"/>
                <w:rtl w:val="true"/>
              </w:rPr>
              <w:tab/>
            </w:r>
            <w:r>
              <w:rPr>
                <w:rStyle w:val="IndexLink"/>
              </w:rPr>
              <w:t>182</w:t>
            </w:r>
          </w:hyperlink>
        </w:p>
        <w:p>
          <w:pPr>
            <w:pStyle w:val="Contents6"/>
            <w:tabs>
              <w:tab w:val="clear" w:pos="7609"/>
              <w:tab w:val="right" w:pos="9026" w:leader="dot"/>
            </w:tabs>
            <w:rPr/>
          </w:pPr>
          <w:hyperlink w:anchor="__RefHeading___Toc3300096_1468164448">
            <w:r>
              <w:rPr>
                <w:webHidden/>
                <w:rStyle w:val="IndexLink"/>
                <w:rtl w:val="true"/>
              </w:rPr>
              <w:t>ملاحظات علی حجّیة الظهور</w:t>
            </w:r>
            <w:r>
              <w:rPr>
                <w:rStyle w:val="IndexLink"/>
                <w:rtl w:val="true"/>
              </w:rPr>
              <w:tab/>
            </w:r>
            <w:r>
              <w:rPr>
                <w:rStyle w:val="IndexLink"/>
              </w:rPr>
              <w:t>183</w:t>
            </w:r>
          </w:hyperlink>
        </w:p>
        <w:p>
          <w:pPr>
            <w:pStyle w:val="Contents6"/>
            <w:tabs>
              <w:tab w:val="clear" w:pos="7609"/>
              <w:tab w:val="right" w:pos="9026" w:leader="dot"/>
            </w:tabs>
            <w:rPr/>
          </w:pPr>
          <w:hyperlink w:anchor="__RefHeading___Toc3300098_1468164448">
            <w:r>
              <w:rPr>
                <w:webHidden/>
                <w:rStyle w:val="IndexLink"/>
                <w:rtl w:val="true"/>
              </w:rPr>
              <w:t>تأثیر البیئة علی فهم النص</w:t>
            </w:r>
            <w:r>
              <w:rPr>
                <w:rStyle w:val="IndexLink"/>
                <w:rtl w:val="true"/>
              </w:rPr>
              <w:tab/>
            </w:r>
            <w:r>
              <w:rPr>
                <w:rStyle w:val="IndexLink"/>
              </w:rPr>
              <w:t>183</w:t>
            </w:r>
          </w:hyperlink>
        </w:p>
        <w:p>
          <w:pPr>
            <w:pStyle w:val="Contents6"/>
            <w:tabs>
              <w:tab w:val="clear" w:pos="7609"/>
              <w:tab w:val="right" w:pos="9026" w:leader="dot"/>
            </w:tabs>
            <w:rPr/>
          </w:pPr>
          <w:hyperlink w:anchor="__RefHeading___Toc3300100_1468164448">
            <w:r>
              <w:rPr>
                <w:webHidden/>
                <w:rStyle w:val="IndexLink"/>
                <w:rtl w:val="true"/>
              </w:rPr>
              <w:t>تأثیر الجوّ الذهنی علی فهم النص</w:t>
            </w:r>
            <w:r>
              <w:rPr>
                <w:rStyle w:val="IndexLink"/>
                <w:rtl w:val="true"/>
              </w:rPr>
              <w:tab/>
            </w:r>
            <w:r>
              <w:rPr>
                <w:rStyle w:val="IndexLink"/>
              </w:rPr>
              <w:t>184</w:t>
            </w:r>
          </w:hyperlink>
        </w:p>
        <w:p>
          <w:pPr>
            <w:pStyle w:val="Contents6"/>
            <w:tabs>
              <w:tab w:val="clear" w:pos="7609"/>
              <w:tab w:val="right" w:pos="9026" w:leader="dot"/>
            </w:tabs>
            <w:rPr/>
          </w:pPr>
          <w:hyperlink w:anchor="__RefHeading___Toc3300102_1468164448">
            <w:r>
              <w:rPr>
                <w:webHidden/>
                <w:rStyle w:val="IndexLink"/>
                <w:rtl w:val="true"/>
              </w:rPr>
              <w:t>تأثیر العلوم علی فهم النص</w:t>
            </w:r>
            <w:r>
              <w:rPr>
                <w:rStyle w:val="IndexLink"/>
                <w:rtl w:val="true"/>
              </w:rPr>
              <w:tab/>
            </w:r>
            <w:r>
              <w:rPr>
                <w:rStyle w:val="IndexLink"/>
              </w:rPr>
              <w:t>185</w:t>
            </w:r>
          </w:hyperlink>
        </w:p>
        <w:p>
          <w:pPr>
            <w:pStyle w:val="Contents6"/>
            <w:tabs>
              <w:tab w:val="clear" w:pos="7609"/>
              <w:tab w:val="right" w:pos="9026" w:leader="dot"/>
            </w:tabs>
            <w:rPr/>
          </w:pPr>
          <w:hyperlink w:anchor="__RefHeading___Toc3300104_1468164448">
            <w:r>
              <w:rPr>
                <w:webHidden/>
                <w:rStyle w:val="IndexLink"/>
                <w:rtl w:val="true"/>
              </w:rPr>
              <w:t>تأثیر معرفة الموضوع علی فهم النص</w:t>
            </w:r>
            <w:r>
              <w:rPr>
                <w:rStyle w:val="IndexLink"/>
                <w:rtl w:val="true"/>
              </w:rPr>
              <w:tab/>
            </w:r>
            <w:r>
              <w:rPr>
                <w:rStyle w:val="IndexLink"/>
              </w:rPr>
              <w:t>185</w:t>
            </w:r>
          </w:hyperlink>
        </w:p>
        <w:p>
          <w:pPr>
            <w:pStyle w:val="Contents6"/>
            <w:tabs>
              <w:tab w:val="clear" w:pos="7609"/>
              <w:tab w:val="right" w:pos="9026" w:leader="dot"/>
            </w:tabs>
            <w:rPr/>
          </w:pPr>
          <w:hyperlink w:anchor="__RefHeading___Toc3300106_1468164448">
            <w:r>
              <w:rPr>
                <w:webHidden/>
                <w:rStyle w:val="IndexLink"/>
                <w:rtl w:val="true"/>
              </w:rPr>
              <w:t>تأثیر اختلاف الآراء فی فهم النص</w:t>
            </w:r>
            <w:r>
              <w:rPr>
                <w:rStyle w:val="IndexLink"/>
                <w:rtl w:val="true"/>
              </w:rPr>
              <w:tab/>
            </w:r>
            <w:r>
              <w:rPr>
                <w:rStyle w:val="IndexLink"/>
              </w:rPr>
              <w:t>186</w:t>
            </w:r>
          </w:hyperlink>
        </w:p>
        <w:p>
          <w:pPr>
            <w:pStyle w:val="Contents6"/>
            <w:tabs>
              <w:tab w:val="clear" w:pos="7609"/>
              <w:tab w:val="right" w:pos="9026" w:leader="dot"/>
            </w:tabs>
            <w:rPr/>
          </w:pPr>
          <w:hyperlink w:anchor="__RefHeading___Toc3300108_1468164448">
            <w:r>
              <w:rPr>
                <w:webHidden/>
                <w:rStyle w:val="IndexLink"/>
                <w:rtl w:val="true"/>
              </w:rPr>
              <w:t>تفسیر ظاهرة الإختلاف</w:t>
            </w:r>
            <w:r>
              <w:rPr>
                <w:rStyle w:val="IndexLink"/>
                <w:rtl w:val="true"/>
              </w:rPr>
              <w:tab/>
            </w:r>
            <w:r>
              <w:rPr>
                <w:rStyle w:val="IndexLink"/>
              </w:rPr>
              <w:t>186</w:t>
            </w:r>
          </w:hyperlink>
        </w:p>
        <w:p>
          <w:pPr>
            <w:pStyle w:val="Contents6"/>
            <w:tabs>
              <w:tab w:val="clear" w:pos="7609"/>
              <w:tab w:val="right" w:pos="9026" w:leader="dot"/>
            </w:tabs>
            <w:rPr/>
          </w:pPr>
          <w:hyperlink w:anchor="__RefHeading___Toc3300110_1468164448">
            <w:r>
              <w:rPr>
                <w:webHidden/>
                <w:rStyle w:val="IndexLink"/>
                <w:rtl w:val="true"/>
              </w:rPr>
              <w:t>تأثیر العلوم فی المعرفة الدینیة</w:t>
            </w:r>
            <w:r>
              <w:rPr>
                <w:rStyle w:val="IndexLink"/>
                <w:rtl w:val="true"/>
              </w:rPr>
              <w:tab/>
            </w:r>
            <w:r>
              <w:rPr>
                <w:rStyle w:val="IndexLink"/>
              </w:rPr>
              <w:t>187</w:t>
            </w:r>
          </w:hyperlink>
        </w:p>
        <w:p>
          <w:pPr>
            <w:pStyle w:val="Contents6"/>
            <w:tabs>
              <w:tab w:val="clear" w:pos="7609"/>
              <w:tab w:val="right" w:pos="9026" w:leader="dot"/>
            </w:tabs>
            <w:rPr/>
          </w:pPr>
          <w:hyperlink w:anchor="__RefHeading___Toc3300112_1468164448">
            <w:r>
              <w:rPr>
                <w:webHidden/>
                <w:rStyle w:val="IndexLink"/>
                <w:rtl w:val="true"/>
              </w:rPr>
              <w:t>لا رأی یمثّل الحقیقة</w:t>
            </w:r>
            <w:r>
              <w:rPr>
                <w:rStyle w:val="IndexLink"/>
                <w:rtl w:val="true"/>
              </w:rPr>
              <w:tab/>
            </w:r>
            <w:r>
              <w:rPr>
                <w:rStyle w:val="IndexLink"/>
              </w:rPr>
              <w:t>187</w:t>
            </w:r>
          </w:hyperlink>
        </w:p>
        <w:p>
          <w:pPr>
            <w:pStyle w:val="Contents6"/>
            <w:tabs>
              <w:tab w:val="clear" w:pos="7609"/>
              <w:tab w:val="right" w:pos="9026" w:leader="dot"/>
            </w:tabs>
            <w:rPr/>
          </w:pPr>
          <w:hyperlink w:anchor="__RefHeading___Toc3300114_1468164448">
            <w:r>
              <w:rPr>
                <w:webHidden/>
                <w:rStyle w:val="IndexLink"/>
                <w:rtl w:val="true"/>
              </w:rPr>
              <w:t>نتائج تلک المؤاخذات</w:t>
            </w:r>
            <w:r>
              <w:rPr>
                <w:rStyle w:val="IndexLink"/>
                <w:rtl w:val="true"/>
              </w:rPr>
              <w:tab/>
            </w:r>
            <w:r>
              <w:rPr>
                <w:rStyle w:val="IndexLink"/>
              </w:rPr>
              <w:t>188</w:t>
            </w:r>
          </w:hyperlink>
        </w:p>
        <w:p>
          <w:pPr>
            <w:pStyle w:val="Contents6"/>
            <w:tabs>
              <w:tab w:val="clear" w:pos="7609"/>
              <w:tab w:val="right" w:pos="9026" w:leader="dot"/>
            </w:tabs>
            <w:rPr/>
          </w:pPr>
          <w:hyperlink w:anchor="__RefHeading___Toc3300116_1468164448">
            <w:r>
              <w:rPr>
                <w:webHidden/>
                <w:rStyle w:val="IndexLink"/>
                <w:rtl w:val="true"/>
              </w:rPr>
              <w:t>تهیئة للجواب عن الملاحظات</w:t>
            </w:r>
            <w:r>
              <w:rPr>
                <w:rStyle w:val="IndexLink"/>
                <w:rtl w:val="true"/>
              </w:rPr>
              <w:tab/>
            </w:r>
            <w:r>
              <w:rPr>
                <w:rStyle w:val="IndexLink"/>
              </w:rPr>
              <w:t>189</w:t>
            </w:r>
          </w:hyperlink>
        </w:p>
        <w:p>
          <w:pPr>
            <w:pStyle w:val="Contents6"/>
            <w:tabs>
              <w:tab w:val="clear" w:pos="7609"/>
              <w:tab w:val="right" w:pos="9026" w:leader="dot"/>
            </w:tabs>
            <w:rPr/>
          </w:pPr>
          <w:hyperlink w:anchor="__RefHeading___Toc3300118_1468164448">
            <w:r>
              <w:rPr>
                <w:webHidden/>
                <w:rStyle w:val="IndexLink"/>
                <w:rtl w:val="true"/>
              </w:rPr>
              <w:t>عرض الأجوبة</w:t>
            </w:r>
            <w:r>
              <w:rPr>
                <w:rStyle w:val="IndexLink"/>
                <w:rtl w:val="true"/>
              </w:rPr>
              <w:tab/>
            </w:r>
            <w:r>
              <w:rPr>
                <w:rStyle w:val="IndexLink"/>
              </w:rPr>
              <w:t>190</w:t>
            </w:r>
          </w:hyperlink>
        </w:p>
        <w:p>
          <w:pPr>
            <w:pStyle w:val="Contents6"/>
            <w:tabs>
              <w:tab w:val="clear" w:pos="7609"/>
              <w:tab w:val="right" w:pos="9026" w:leader="dot"/>
            </w:tabs>
            <w:rPr/>
          </w:pPr>
          <w:hyperlink w:anchor="__RefHeading___Toc3300120_1468164448">
            <w:r>
              <w:rPr>
                <w:webHidden/>
                <w:rStyle w:val="IndexLink"/>
                <w:rtl w:val="true"/>
              </w:rPr>
              <w:t>الجواب الأول</w:t>
            </w:r>
            <w:r>
              <w:rPr>
                <w:rStyle w:val="IndexLink"/>
                <w:rtl w:val="true"/>
              </w:rPr>
              <w:t xml:space="preserve">: </w:t>
            </w:r>
            <w:r>
              <w:rPr>
                <w:rStyle w:val="IndexLink"/>
                <w:rtl w:val="true"/>
              </w:rPr>
              <w:t>معطیات الإختلاف</w:t>
            </w:r>
            <w:r>
              <w:rPr>
                <w:rStyle w:val="IndexLink"/>
                <w:rtl w:val="true"/>
              </w:rPr>
              <w:tab/>
            </w:r>
            <w:r>
              <w:rPr>
                <w:rStyle w:val="IndexLink"/>
              </w:rPr>
              <w:t>191</w:t>
            </w:r>
          </w:hyperlink>
        </w:p>
        <w:p>
          <w:pPr>
            <w:pStyle w:val="Contents6"/>
            <w:tabs>
              <w:tab w:val="clear" w:pos="7609"/>
              <w:tab w:val="right" w:pos="9026" w:leader="dot"/>
            </w:tabs>
            <w:rPr/>
          </w:pPr>
          <w:hyperlink w:anchor="__RefHeading___Toc3300122_1468164448">
            <w:r>
              <w:rPr>
                <w:webHidden/>
                <w:rStyle w:val="IndexLink"/>
                <w:rtl w:val="true"/>
              </w:rPr>
              <w:t>الإختلاف عبور عن حدود السذاجة فی إدراک الواقع</w:t>
            </w:r>
            <w:r>
              <w:rPr>
                <w:rStyle w:val="IndexLink"/>
                <w:rtl w:val="true"/>
              </w:rPr>
              <w:tab/>
            </w:r>
            <w:r>
              <w:rPr>
                <w:rStyle w:val="IndexLink"/>
              </w:rPr>
              <w:t>191</w:t>
            </w:r>
          </w:hyperlink>
        </w:p>
        <w:p>
          <w:pPr>
            <w:pStyle w:val="Contents6"/>
            <w:tabs>
              <w:tab w:val="clear" w:pos="7609"/>
              <w:tab w:val="right" w:pos="9026" w:leader="dot"/>
            </w:tabs>
            <w:rPr/>
          </w:pPr>
          <w:hyperlink w:anchor="__RefHeading___Toc3300124_1468164448">
            <w:r>
              <w:rPr>
                <w:webHidden/>
                <w:rStyle w:val="IndexLink"/>
                <w:rtl w:val="true"/>
              </w:rPr>
              <w:t>الجواب الثانی</w:t>
            </w:r>
            <w:r>
              <w:rPr>
                <w:rStyle w:val="IndexLink"/>
                <w:rtl w:val="true"/>
              </w:rPr>
              <w:t xml:space="preserve">: </w:t>
            </w:r>
            <w:r>
              <w:rPr>
                <w:rStyle w:val="IndexLink"/>
                <w:rtl w:val="true"/>
              </w:rPr>
              <w:t>هو النقض</w:t>
            </w:r>
            <w:r>
              <w:rPr>
                <w:rStyle w:val="IndexLink"/>
                <w:rtl w:val="true"/>
              </w:rPr>
              <w:tab/>
            </w:r>
            <w:r>
              <w:rPr>
                <w:rStyle w:val="IndexLink"/>
              </w:rPr>
              <w:t>192</w:t>
            </w:r>
          </w:hyperlink>
        </w:p>
        <w:p>
          <w:pPr>
            <w:pStyle w:val="Contents6"/>
            <w:tabs>
              <w:tab w:val="clear" w:pos="7609"/>
              <w:tab w:val="right" w:pos="9026" w:leader="dot"/>
            </w:tabs>
            <w:rPr/>
          </w:pPr>
          <w:hyperlink w:anchor="__RefHeading___Toc3300126_1468164448">
            <w:r>
              <w:rPr>
                <w:webHidden/>
                <w:rStyle w:val="IndexLink"/>
                <w:rtl w:val="true"/>
              </w:rPr>
              <w:t>الجواب الحلّی</w:t>
            </w:r>
            <w:r>
              <w:rPr>
                <w:rStyle w:val="IndexLink"/>
                <w:rtl w:val="true"/>
              </w:rPr>
              <w:tab/>
            </w:r>
            <w:r>
              <w:rPr>
                <w:rStyle w:val="IndexLink"/>
              </w:rPr>
              <w:t>193</w:t>
            </w:r>
          </w:hyperlink>
        </w:p>
        <w:p>
          <w:pPr>
            <w:pStyle w:val="Contents6"/>
            <w:tabs>
              <w:tab w:val="clear" w:pos="7609"/>
              <w:tab w:val="right" w:pos="9026" w:leader="dot"/>
            </w:tabs>
            <w:rPr/>
          </w:pPr>
          <w:hyperlink w:anchor="__RefHeading___Toc3300128_1468164448">
            <w:r>
              <w:rPr>
                <w:webHidden/>
                <w:rStyle w:val="IndexLink"/>
                <w:rtl w:val="true"/>
              </w:rPr>
              <w:t>الجواب الثالث</w:t>
            </w:r>
            <w:r>
              <w:rPr>
                <w:rStyle w:val="IndexLink"/>
                <w:rtl w:val="true"/>
              </w:rPr>
              <w:t xml:space="preserve">: </w:t>
            </w:r>
            <w:r>
              <w:rPr>
                <w:rStyle w:val="IndexLink"/>
                <w:rtl w:val="true"/>
              </w:rPr>
              <w:t>ظهور بطون القرآن تدریجیاً</w:t>
            </w:r>
            <w:r>
              <w:rPr>
                <w:rStyle w:val="IndexLink"/>
                <w:rtl w:val="true"/>
              </w:rPr>
              <w:tab/>
            </w:r>
            <w:r>
              <w:rPr>
                <w:rStyle w:val="IndexLink"/>
              </w:rPr>
              <w:t>193</w:t>
            </w:r>
          </w:hyperlink>
        </w:p>
        <w:p>
          <w:pPr>
            <w:pStyle w:val="Contents6"/>
            <w:tabs>
              <w:tab w:val="clear" w:pos="7609"/>
              <w:tab w:val="right" w:pos="9026" w:leader="dot"/>
            </w:tabs>
            <w:rPr/>
          </w:pPr>
          <w:hyperlink w:anchor="__RefHeading___Toc3300130_1468164448">
            <w:r>
              <w:rPr>
                <w:webHidden/>
                <w:rStyle w:val="IndexLink"/>
                <w:rtl w:val="true"/>
              </w:rPr>
              <w:t>بین حدّین</w:t>
            </w:r>
            <w:r>
              <w:rPr>
                <w:rStyle w:val="IndexLink"/>
                <w:rtl w:val="true"/>
              </w:rPr>
              <w:t xml:space="preserve">: </w:t>
            </w:r>
            <w:r>
              <w:rPr>
                <w:rStyle w:val="IndexLink"/>
                <w:rtl w:val="true"/>
              </w:rPr>
              <w:t>الشک والیقین</w:t>
            </w:r>
            <w:r>
              <w:rPr>
                <w:rStyle w:val="IndexLink"/>
                <w:rtl w:val="true"/>
              </w:rPr>
              <w:tab/>
            </w:r>
            <w:r>
              <w:rPr>
                <w:rStyle w:val="IndexLink"/>
              </w:rPr>
              <w:t>194</w:t>
            </w:r>
          </w:hyperlink>
        </w:p>
        <w:p>
          <w:pPr>
            <w:pStyle w:val="Contents6"/>
            <w:tabs>
              <w:tab w:val="clear" w:pos="7609"/>
              <w:tab w:val="right" w:pos="9026" w:leader="dot"/>
            </w:tabs>
            <w:rPr/>
          </w:pPr>
          <w:hyperlink w:anchor="__RefHeading___Toc3300132_1468164448">
            <w:r>
              <w:rPr>
                <w:webHidden/>
                <w:rStyle w:val="IndexLink"/>
                <w:rtl w:val="true"/>
              </w:rPr>
              <w:t>ثبات معرفة الواقع</w:t>
            </w:r>
            <w:r>
              <w:rPr>
                <w:rStyle w:val="IndexLink"/>
                <w:rtl w:val="true"/>
              </w:rPr>
              <w:tab/>
            </w:r>
            <w:r>
              <w:rPr>
                <w:rStyle w:val="IndexLink"/>
              </w:rPr>
              <w:t>194</w:t>
            </w:r>
          </w:hyperlink>
        </w:p>
        <w:p>
          <w:pPr>
            <w:pStyle w:val="Contents6"/>
            <w:tabs>
              <w:tab w:val="clear" w:pos="7609"/>
              <w:tab w:val="right" w:pos="9026" w:leader="dot"/>
            </w:tabs>
            <w:rPr/>
          </w:pPr>
          <w:hyperlink w:anchor="__RefHeading___Toc3300134_1468164448">
            <w:r>
              <w:rPr>
                <w:webHidden/>
                <w:rStyle w:val="IndexLink"/>
                <w:rtl w:val="true"/>
              </w:rPr>
              <w:t>التردد مع وجود الدلیل وکذا الرفض من دون دلیل غیر منهجی</w:t>
            </w:r>
            <w:r>
              <w:rPr>
                <w:rStyle w:val="IndexLink"/>
                <w:rtl w:val="true"/>
              </w:rPr>
              <w:tab/>
            </w:r>
            <w:r>
              <w:rPr>
                <w:rStyle w:val="IndexLink"/>
              </w:rPr>
              <w:t>195</w:t>
            </w:r>
          </w:hyperlink>
        </w:p>
        <w:p>
          <w:pPr>
            <w:pStyle w:val="Contents6"/>
            <w:tabs>
              <w:tab w:val="clear" w:pos="7609"/>
              <w:tab w:val="right" w:pos="9026" w:leader="dot"/>
            </w:tabs>
            <w:rPr/>
          </w:pPr>
          <w:hyperlink w:anchor="__RefHeading___Toc3300136_1468164448">
            <w:r>
              <w:rPr>
                <w:webHidden/>
                <w:rStyle w:val="IndexLink"/>
                <w:rtl w:val="true"/>
              </w:rPr>
              <w:t>الجواب الرابع</w:t>
            </w:r>
            <w:r>
              <w:rPr>
                <w:rStyle w:val="IndexLink"/>
                <w:rtl w:val="true"/>
              </w:rPr>
              <w:t xml:space="preserve">: </w:t>
            </w:r>
            <w:r>
              <w:rPr>
                <w:rStyle w:val="IndexLink"/>
                <w:rtl w:val="true"/>
              </w:rPr>
              <w:t>الإختلاف دلیل علی وجود میزانٍ للفهم</w:t>
            </w:r>
            <w:r>
              <w:rPr>
                <w:rStyle w:val="IndexLink"/>
                <w:rtl w:val="true"/>
              </w:rPr>
              <w:tab/>
            </w:r>
            <w:r>
              <w:rPr>
                <w:rStyle w:val="IndexLink"/>
              </w:rPr>
              <w:t>196</w:t>
            </w:r>
          </w:hyperlink>
        </w:p>
        <w:p>
          <w:pPr>
            <w:pStyle w:val="Contents6"/>
            <w:tabs>
              <w:tab w:val="clear" w:pos="7609"/>
              <w:tab w:val="right" w:pos="9026" w:leader="dot"/>
            </w:tabs>
            <w:rPr/>
          </w:pPr>
          <w:hyperlink w:anchor="__RefHeading___Toc3300138_1468164448">
            <w:r>
              <w:rPr>
                <w:webHidden/>
                <w:rStyle w:val="IndexLink"/>
                <w:rtl w:val="true"/>
              </w:rPr>
              <w:t>الجواب الخامس</w:t>
            </w:r>
            <w:r>
              <w:rPr>
                <w:rStyle w:val="IndexLink"/>
                <w:rtl w:val="true"/>
              </w:rPr>
              <w:t xml:space="preserve">: </w:t>
            </w:r>
            <w:r>
              <w:rPr>
                <w:rStyle w:val="IndexLink"/>
                <w:rtl w:val="true"/>
              </w:rPr>
              <w:t>تأثیر البیئة فی قراءة النص</w:t>
            </w:r>
            <w:r>
              <w:rPr>
                <w:rStyle w:val="IndexLink"/>
                <w:rtl w:val="true"/>
              </w:rPr>
              <w:tab/>
            </w:r>
            <w:r>
              <w:rPr>
                <w:rStyle w:val="IndexLink"/>
              </w:rPr>
              <w:t>197</w:t>
            </w:r>
          </w:hyperlink>
        </w:p>
        <w:p>
          <w:pPr>
            <w:pStyle w:val="Contents6"/>
            <w:tabs>
              <w:tab w:val="clear" w:pos="7609"/>
              <w:tab w:val="right" w:pos="9026" w:leader="dot"/>
            </w:tabs>
            <w:rPr/>
          </w:pPr>
          <w:hyperlink w:anchor="__RefHeading___Toc3300140_1468164448">
            <w:r>
              <w:rPr>
                <w:webHidden/>
                <w:rStyle w:val="IndexLink"/>
                <w:rtl w:val="true"/>
              </w:rPr>
              <w:t>فی جانب الموضوع</w:t>
            </w:r>
            <w:r>
              <w:rPr>
                <w:rStyle w:val="IndexLink"/>
                <w:rtl w:val="true"/>
              </w:rPr>
              <w:tab/>
            </w:r>
            <w:r>
              <w:rPr>
                <w:rStyle w:val="IndexLink"/>
              </w:rPr>
              <w:t>197</w:t>
            </w:r>
          </w:hyperlink>
        </w:p>
        <w:p>
          <w:pPr>
            <w:pStyle w:val="Contents6"/>
            <w:tabs>
              <w:tab w:val="clear" w:pos="7609"/>
              <w:tab w:val="right" w:pos="9026" w:leader="dot"/>
            </w:tabs>
            <w:rPr/>
          </w:pPr>
          <w:hyperlink w:anchor="__RefHeading___Toc3300142_1468164448">
            <w:r>
              <w:rPr>
                <w:webHidden/>
                <w:rStyle w:val="IndexLink"/>
                <w:rtl w:val="true"/>
              </w:rPr>
              <w:t>فی جانب المحمول</w:t>
            </w:r>
            <w:r>
              <w:rPr>
                <w:rStyle w:val="IndexLink"/>
                <w:rtl w:val="true"/>
              </w:rPr>
              <w:tab/>
            </w:r>
            <w:r>
              <w:rPr>
                <w:rStyle w:val="IndexLink"/>
              </w:rPr>
              <w:t>198</w:t>
            </w:r>
          </w:hyperlink>
        </w:p>
        <w:p>
          <w:pPr>
            <w:pStyle w:val="Contents6"/>
            <w:tabs>
              <w:tab w:val="clear" w:pos="7609"/>
              <w:tab w:val="right" w:pos="9026" w:leader="dot"/>
            </w:tabs>
            <w:rPr/>
          </w:pPr>
          <w:hyperlink w:anchor="__RefHeading___Toc3300144_1468164448">
            <w:r>
              <w:rPr>
                <w:webHidden/>
                <w:rStyle w:val="IndexLink"/>
                <w:rtl w:val="true"/>
              </w:rPr>
              <w:t>التخطئة فی الجملة لا بالجملة</w:t>
            </w:r>
            <w:r>
              <w:rPr>
                <w:rStyle w:val="IndexLink"/>
                <w:rtl w:val="true"/>
              </w:rPr>
              <w:tab/>
            </w:r>
            <w:r>
              <w:rPr>
                <w:rStyle w:val="IndexLink"/>
              </w:rPr>
              <w:t>198</w:t>
            </w:r>
          </w:hyperlink>
        </w:p>
        <w:p>
          <w:pPr>
            <w:pStyle w:val="Contents6"/>
            <w:tabs>
              <w:tab w:val="clear" w:pos="7609"/>
              <w:tab w:val="right" w:pos="9026" w:leader="dot"/>
            </w:tabs>
            <w:rPr/>
          </w:pPr>
          <w:hyperlink w:anchor="__RefHeading___Toc3300146_1468164448">
            <w:r>
              <w:rPr>
                <w:webHidden/>
                <w:rStyle w:val="IndexLink"/>
                <w:rtl w:val="true"/>
              </w:rPr>
              <w:t>دور العلوم فی تشکیل قرینة الفهم</w:t>
            </w:r>
            <w:r>
              <w:rPr>
                <w:rStyle w:val="IndexLink"/>
                <w:rtl w:val="true"/>
              </w:rPr>
              <w:tab/>
            </w:r>
            <w:r>
              <w:rPr>
                <w:rStyle w:val="IndexLink"/>
              </w:rPr>
              <w:t>198</w:t>
            </w:r>
          </w:hyperlink>
        </w:p>
        <w:p>
          <w:pPr>
            <w:pStyle w:val="Contents6"/>
            <w:tabs>
              <w:tab w:val="clear" w:pos="7609"/>
              <w:tab w:val="right" w:pos="9026" w:leader="dot"/>
            </w:tabs>
            <w:rPr/>
          </w:pPr>
          <w:hyperlink w:anchor="__RefHeading___Toc3300148_1468164448">
            <w:r>
              <w:rPr>
                <w:webHidden/>
                <w:rStyle w:val="IndexLink"/>
                <w:rtl w:val="true"/>
              </w:rPr>
              <w:t>دور المعرفة البشریة فی مستوی المراد الجدی</w:t>
            </w:r>
            <w:r>
              <w:rPr>
                <w:rStyle w:val="IndexLink"/>
                <w:rtl w:val="true"/>
              </w:rPr>
              <w:tab/>
            </w:r>
            <w:r>
              <w:rPr>
                <w:rStyle w:val="IndexLink"/>
              </w:rPr>
              <w:t>199</w:t>
            </w:r>
          </w:hyperlink>
        </w:p>
        <w:p>
          <w:pPr>
            <w:pStyle w:val="Contents6"/>
            <w:tabs>
              <w:tab w:val="clear" w:pos="7609"/>
              <w:tab w:val="right" w:pos="9026" w:leader="dot"/>
            </w:tabs>
            <w:rPr/>
          </w:pPr>
          <w:hyperlink w:anchor="__RefHeading___Toc3300150_1468164448">
            <w:r>
              <w:rPr>
                <w:webHidden/>
                <w:rStyle w:val="IndexLink"/>
                <w:rtl w:val="true"/>
              </w:rPr>
              <w:t>الجواب السادس</w:t>
            </w:r>
            <w:r>
              <w:rPr>
                <w:rStyle w:val="IndexLink"/>
                <w:rtl w:val="true"/>
              </w:rPr>
              <w:t xml:space="preserve">: </w:t>
            </w:r>
            <w:r>
              <w:rPr>
                <w:rStyle w:val="IndexLink"/>
                <w:rtl w:val="true"/>
              </w:rPr>
              <w:t>المعرفة لیست علی وزان واحد</w:t>
            </w:r>
            <w:r>
              <w:rPr>
                <w:rStyle w:val="IndexLink"/>
                <w:rtl w:val="true"/>
              </w:rPr>
              <w:tab/>
            </w:r>
            <w:r>
              <w:rPr>
                <w:rStyle w:val="IndexLink"/>
              </w:rPr>
              <w:t>199</w:t>
            </w:r>
          </w:hyperlink>
        </w:p>
        <w:p>
          <w:pPr>
            <w:pStyle w:val="Contents6"/>
            <w:tabs>
              <w:tab w:val="clear" w:pos="7609"/>
              <w:tab w:val="right" w:pos="9026" w:leader="dot"/>
            </w:tabs>
            <w:rPr/>
          </w:pPr>
          <w:hyperlink w:anchor="__RefHeading___Toc3300152_1468164448">
            <w:r>
              <w:rPr>
                <w:webHidden/>
                <w:rStyle w:val="IndexLink"/>
                <w:rtl w:val="true"/>
              </w:rPr>
              <w:t>تغایر شاکلة الإعتبارات</w:t>
            </w:r>
            <w:r>
              <w:rPr>
                <w:rStyle w:val="IndexLink"/>
                <w:rtl w:val="true"/>
              </w:rPr>
              <w:tab/>
            </w:r>
            <w:r>
              <w:rPr>
                <w:rStyle w:val="IndexLink"/>
              </w:rPr>
              <w:t>200</w:t>
            </w:r>
          </w:hyperlink>
        </w:p>
        <w:p>
          <w:pPr>
            <w:pStyle w:val="Contents6"/>
            <w:tabs>
              <w:tab w:val="clear" w:pos="7609"/>
              <w:tab w:val="right" w:pos="9026" w:leader="dot"/>
            </w:tabs>
            <w:rPr/>
          </w:pPr>
          <w:hyperlink w:anchor="__RefHeading___Toc3300154_1468164448">
            <w:r>
              <w:rPr>
                <w:webHidden/>
                <w:rStyle w:val="IndexLink"/>
                <w:rtl w:val="true"/>
              </w:rPr>
              <w:t>الظاهر والباطن فی کلام الله علی مقتضی السنّة الکونیة</w:t>
            </w:r>
            <w:r>
              <w:rPr>
                <w:rStyle w:val="IndexLink"/>
                <w:rtl w:val="true"/>
              </w:rPr>
              <w:tab/>
            </w:r>
            <w:r>
              <w:rPr>
                <w:rStyle w:val="IndexLink"/>
              </w:rPr>
              <w:t>201</w:t>
            </w:r>
          </w:hyperlink>
        </w:p>
        <w:p>
          <w:pPr>
            <w:pStyle w:val="Contents6"/>
            <w:tabs>
              <w:tab w:val="clear" w:pos="7609"/>
              <w:tab w:val="right" w:pos="9026" w:leader="dot"/>
            </w:tabs>
            <w:rPr/>
          </w:pPr>
          <w:hyperlink w:anchor="__RefHeading___Toc3300156_1468164448">
            <w:r>
              <w:rPr>
                <w:webHidden/>
                <w:rStyle w:val="IndexLink"/>
                <w:rtl w:val="true"/>
              </w:rPr>
              <w:t>الجواب السابع</w:t>
            </w:r>
            <w:r>
              <w:rPr>
                <w:rStyle w:val="IndexLink"/>
                <w:rtl w:val="true"/>
              </w:rPr>
              <w:t xml:space="preserve">: </w:t>
            </w:r>
            <w:r>
              <w:rPr>
                <w:rStyle w:val="IndexLink"/>
                <w:rtl w:val="true"/>
              </w:rPr>
              <w:t>التقطیع والنقل بالمعنی</w:t>
            </w:r>
            <w:r>
              <w:rPr>
                <w:rStyle w:val="IndexLink"/>
                <w:rtl w:val="true"/>
              </w:rPr>
              <w:tab/>
            </w:r>
            <w:r>
              <w:rPr>
                <w:rStyle w:val="IndexLink"/>
              </w:rPr>
              <w:t>202</w:t>
            </w:r>
          </w:hyperlink>
        </w:p>
        <w:p>
          <w:pPr>
            <w:pStyle w:val="Contents6"/>
            <w:tabs>
              <w:tab w:val="clear" w:pos="7609"/>
              <w:tab w:val="right" w:pos="9026" w:leader="dot"/>
            </w:tabs>
            <w:rPr/>
          </w:pPr>
          <w:hyperlink w:anchor="__RefHeading___Toc3300158_1468164448">
            <w:r>
              <w:rPr>
                <w:webHidden/>
                <w:rStyle w:val="IndexLink"/>
                <w:rtl w:val="true"/>
              </w:rPr>
              <w:t>عدم وجاهة بعض التفاصیل</w:t>
            </w:r>
            <w:r>
              <w:rPr>
                <w:rStyle w:val="IndexLink"/>
                <w:rtl w:val="true"/>
              </w:rPr>
              <w:tab/>
            </w:r>
            <w:r>
              <w:rPr>
                <w:rStyle w:val="IndexLink"/>
              </w:rPr>
              <w:t>203</w:t>
            </w:r>
          </w:hyperlink>
        </w:p>
        <w:p>
          <w:pPr>
            <w:pStyle w:val="Contents6"/>
            <w:tabs>
              <w:tab w:val="clear" w:pos="7609"/>
              <w:tab w:val="right" w:pos="9026" w:leader="dot"/>
            </w:tabs>
            <w:rPr/>
          </w:pPr>
          <w:hyperlink w:anchor="__RefHeading___Toc3300160_1468164448">
            <w:r>
              <w:rPr>
                <w:webHidden/>
                <w:rStyle w:val="IndexLink"/>
                <w:rtl w:val="true"/>
              </w:rPr>
              <w:t>دعوی الإنصراف من دون دلیل</w:t>
            </w:r>
            <w:r>
              <w:rPr>
                <w:rStyle w:val="IndexLink"/>
                <w:rtl w:val="true"/>
              </w:rPr>
              <w:tab/>
            </w:r>
            <w:r>
              <w:rPr>
                <w:rStyle w:val="IndexLink"/>
              </w:rPr>
              <w:t>204</w:t>
            </w:r>
          </w:hyperlink>
        </w:p>
        <w:p>
          <w:pPr>
            <w:pStyle w:val="Contents6"/>
            <w:tabs>
              <w:tab w:val="clear" w:pos="7609"/>
              <w:tab w:val="right" w:pos="9026" w:leader="dot"/>
            </w:tabs>
            <w:rPr/>
          </w:pPr>
          <w:hyperlink w:anchor="__RefHeading___Toc3300162_1468164448">
            <w:r>
              <w:rPr>
                <w:webHidden/>
                <w:rStyle w:val="IndexLink"/>
                <w:rtl w:val="true"/>
              </w:rPr>
              <w:t>الظن الشخصی فی حجّیة الظهور</w:t>
            </w:r>
            <w:r>
              <w:rPr>
                <w:rStyle w:val="IndexLink"/>
                <w:rtl w:val="true"/>
              </w:rPr>
              <w:tab/>
            </w:r>
            <w:r>
              <w:rPr>
                <w:rStyle w:val="IndexLink"/>
              </w:rPr>
              <w:t>205</w:t>
            </w:r>
          </w:hyperlink>
        </w:p>
        <w:p>
          <w:pPr>
            <w:pStyle w:val="Contents4"/>
            <w:tabs>
              <w:tab w:val="clear" w:pos="8176"/>
              <w:tab w:val="right" w:pos="9026" w:leader="dot"/>
            </w:tabs>
            <w:rPr/>
          </w:pPr>
          <w:hyperlink w:anchor="__RefHeading___Toc3300164_1468164448">
            <w:r>
              <w:rPr>
                <w:webHidden/>
                <w:rStyle w:val="IndexLink"/>
              </w:rPr>
              <w:t>3</w:t>
            </w:r>
            <w:r>
              <w:rPr>
                <w:rStyle w:val="IndexLink"/>
                <w:rtl w:val="true"/>
              </w:rPr>
              <w:t xml:space="preserve"> . </w:t>
            </w:r>
            <w:r>
              <w:rPr>
                <w:rStyle w:val="IndexLink"/>
                <w:rtl w:val="true"/>
              </w:rPr>
              <w:t>المقام الثالث</w:t>
            </w:r>
            <w:r>
              <w:rPr>
                <w:rStyle w:val="IndexLink"/>
                <w:rtl w:val="true"/>
              </w:rPr>
              <w:t xml:space="preserve">: </w:t>
            </w:r>
            <w:r>
              <w:rPr>
                <w:rStyle w:val="IndexLink"/>
                <w:rtl w:val="true"/>
              </w:rPr>
              <w:t>حجّیة ظواهر الکتاب</w:t>
            </w:r>
            <w:r>
              <w:rPr>
                <w:rStyle w:val="IndexLink"/>
                <w:rtl w:val="true"/>
              </w:rPr>
              <w:tab/>
            </w:r>
            <w:r>
              <w:rPr>
                <w:rStyle w:val="IndexLink"/>
              </w:rPr>
              <w:t>206</w:t>
            </w:r>
          </w:hyperlink>
        </w:p>
        <w:p>
          <w:pPr>
            <w:pStyle w:val="Contents5"/>
            <w:tabs>
              <w:tab w:val="clear" w:pos="7892"/>
              <w:tab w:val="right" w:pos="9026" w:leader="dot"/>
            </w:tabs>
            <w:rPr/>
          </w:pPr>
          <w:hyperlink w:anchor="__RefHeading___Toc3300166_1468164448">
            <w:r>
              <w:rPr>
                <w:webHidden/>
                <w:rStyle w:val="IndexLink"/>
                <w:rtl w:val="true"/>
              </w:rPr>
              <w:t>الآراء حول ظواهر الکتاب</w:t>
            </w:r>
            <w:r>
              <w:rPr>
                <w:rStyle w:val="IndexLink"/>
                <w:rtl w:val="true"/>
              </w:rPr>
              <w:tab/>
            </w:r>
            <w:r>
              <w:rPr>
                <w:rStyle w:val="IndexLink"/>
              </w:rPr>
              <w:t>206</w:t>
            </w:r>
          </w:hyperlink>
        </w:p>
        <w:p>
          <w:pPr>
            <w:pStyle w:val="Contents6"/>
            <w:tabs>
              <w:tab w:val="clear" w:pos="7609"/>
              <w:tab w:val="right" w:pos="9026" w:leader="dot"/>
            </w:tabs>
            <w:rPr/>
          </w:pPr>
          <w:hyperlink w:anchor="__RefHeading___Toc3300168_1468164448">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300170_1468164448">
            <w:r>
              <w:rPr>
                <w:webHidden/>
                <w:rStyle w:val="IndexLink"/>
                <w:rtl w:val="true"/>
              </w:rPr>
              <w:t>العلاقة بین الکتاب والسنّة</w:t>
            </w:r>
            <w:r>
              <w:rPr>
                <w:rStyle w:val="IndexLink"/>
                <w:rtl w:val="true"/>
              </w:rPr>
              <w:tab/>
            </w:r>
            <w:r>
              <w:rPr>
                <w:rStyle w:val="IndexLink"/>
              </w:rPr>
              <w:t>206</w:t>
            </w:r>
          </w:hyperlink>
        </w:p>
        <w:p>
          <w:pPr>
            <w:pStyle w:val="Contents6"/>
            <w:tabs>
              <w:tab w:val="clear" w:pos="7609"/>
              <w:tab w:val="right" w:pos="9026" w:leader="dot"/>
            </w:tabs>
            <w:rPr/>
          </w:pPr>
          <w:hyperlink w:anchor="__RefHeading___Toc3300172_1468164448">
            <w:r>
              <w:rPr>
                <w:webHidden/>
                <w:rStyle w:val="IndexLink"/>
                <w:rtl w:val="true"/>
              </w:rPr>
              <w:t>شواهد الأخباریین</w:t>
            </w:r>
            <w:r>
              <w:rPr>
                <w:rStyle w:val="IndexLink"/>
                <w:rtl w:val="true"/>
              </w:rPr>
              <w:t>:</w:t>
              <w:tab/>
            </w:r>
            <w:r>
              <w:rPr>
                <w:rStyle w:val="IndexLink"/>
              </w:rPr>
              <w:t>207</w:t>
            </w:r>
          </w:hyperlink>
        </w:p>
        <w:p>
          <w:pPr>
            <w:pStyle w:val="Contents6"/>
            <w:tabs>
              <w:tab w:val="clear" w:pos="7609"/>
              <w:tab w:val="right" w:pos="9026" w:leader="dot"/>
            </w:tabs>
            <w:rPr/>
          </w:pPr>
          <w:hyperlink w:anchor="__RefHeading___Toc3300174_1468164448">
            <w:r>
              <w:rPr>
                <w:webHidden/>
                <w:rStyle w:val="IndexLink"/>
                <w:rtl w:val="true"/>
              </w:rPr>
              <w:t>شواهد العلاّمة الطباطبائی</w:t>
            </w:r>
            <w:r>
              <w:rPr>
                <w:rStyle w:val="IndexLink"/>
                <w:rtl w:val="true"/>
              </w:rPr>
              <w:tab/>
            </w:r>
            <w:r>
              <w:rPr>
                <w:rStyle w:val="IndexLink"/>
              </w:rPr>
              <w:t>209</w:t>
            </w:r>
          </w:hyperlink>
        </w:p>
        <w:p>
          <w:pPr>
            <w:pStyle w:val="Contents6"/>
            <w:tabs>
              <w:tab w:val="clear" w:pos="7609"/>
              <w:tab w:val="right" w:pos="9026" w:leader="dot"/>
            </w:tabs>
            <w:rPr/>
          </w:pPr>
          <w:hyperlink w:anchor="__RefHeading___Toc3300176_1468164448">
            <w:r>
              <w:rPr>
                <w:webHidden/>
                <w:rStyle w:val="IndexLink"/>
                <w:rtl w:val="true"/>
              </w:rPr>
              <w:t>رأی العلاّمة فی المتشابه</w:t>
            </w:r>
            <w:r>
              <w:rPr>
                <w:rStyle w:val="IndexLink"/>
                <w:rtl w:val="true"/>
              </w:rPr>
              <w:tab/>
            </w:r>
            <w:r>
              <w:rPr>
                <w:rStyle w:val="IndexLink"/>
              </w:rPr>
              <w:t>210</w:t>
            </w:r>
          </w:hyperlink>
        </w:p>
        <w:p>
          <w:pPr>
            <w:pStyle w:val="Contents6"/>
            <w:tabs>
              <w:tab w:val="clear" w:pos="7609"/>
              <w:tab w:val="right" w:pos="9026" w:leader="dot"/>
            </w:tabs>
            <w:rPr/>
          </w:pPr>
          <w:hyperlink w:anchor="__RefHeading___Toc3300178_1468164448">
            <w:r>
              <w:rPr>
                <w:webHidden/>
                <w:rStyle w:val="IndexLink"/>
                <w:rtl w:val="true"/>
              </w:rPr>
              <w:t>افتراق نهج القرآن عن نهج المحاورات العرفیة</w:t>
            </w:r>
            <w:r>
              <w:rPr>
                <w:rStyle w:val="IndexLink"/>
                <w:rtl w:val="true"/>
              </w:rPr>
              <w:tab/>
            </w:r>
            <w:r>
              <w:rPr>
                <w:rStyle w:val="IndexLink"/>
              </w:rPr>
              <w:t>211</w:t>
            </w:r>
          </w:hyperlink>
        </w:p>
        <w:p>
          <w:pPr>
            <w:pStyle w:val="Contents6"/>
            <w:tabs>
              <w:tab w:val="clear" w:pos="7609"/>
              <w:tab w:val="right" w:pos="9026" w:leader="dot"/>
            </w:tabs>
            <w:rPr/>
          </w:pPr>
          <w:hyperlink w:anchor="__RefHeading___Toc3300180_1468164448">
            <w:r>
              <w:rPr>
                <w:webHidden/>
                <w:rStyle w:val="IndexLink"/>
                <w:rtl w:val="true"/>
              </w:rPr>
              <w:t>النقطتان الهامّتان فی تفسیر القرآن عند العلاّمة</w:t>
            </w:r>
            <w:r>
              <w:rPr>
                <w:rStyle w:val="IndexLink"/>
                <w:rtl w:val="true"/>
              </w:rPr>
              <w:tab/>
            </w:r>
            <w:r>
              <w:rPr>
                <w:rStyle w:val="IndexLink"/>
              </w:rPr>
              <w:t>212</w:t>
            </w:r>
          </w:hyperlink>
        </w:p>
        <w:p>
          <w:pPr>
            <w:pStyle w:val="Contents6"/>
            <w:tabs>
              <w:tab w:val="clear" w:pos="7609"/>
              <w:tab w:val="right" w:pos="9026" w:leader="dot"/>
            </w:tabs>
            <w:rPr/>
          </w:pPr>
          <w:hyperlink w:anchor="__RefHeading___Toc3300182_1468164448">
            <w:r>
              <w:rPr>
                <w:webHidden/>
                <w:rStyle w:val="IndexLink"/>
                <w:rtl w:val="true"/>
              </w:rPr>
              <w:t>المعنی الصحیح للروایات الناهیة عن تفسیر القرآن بالرأی عند العلاّمة</w:t>
            </w:r>
            <w:r>
              <w:rPr>
                <w:rStyle w:val="IndexLink"/>
                <w:rtl w:val="true"/>
              </w:rPr>
              <w:tab/>
            </w:r>
            <w:r>
              <w:rPr>
                <w:rStyle w:val="IndexLink"/>
              </w:rPr>
              <w:t>212</w:t>
            </w:r>
          </w:hyperlink>
        </w:p>
        <w:p>
          <w:pPr>
            <w:pStyle w:val="Contents6"/>
            <w:tabs>
              <w:tab w:val="clear" w:pos="7609"/>
              <w:tab w:val="right" w:pos="9026" w:leader="dot"/>
            </w:tabs>
            <w:rPr/>
          </w:pPr>
          <w:hyperlink w:anchor="__RefHeading___Toc3300184_1468164448">
            <w:r>
              <w:rPr>
                <w:webHidden/>
                <w:rStyle w:val="IndexLink"/>
                <w:rtl w:val="true"/>
              </w:rPr>
              <w:t>شواهد لنظریة العلاّمة</w:t>
            </w:r>
            <w:r>
              <w:rPr>
                <w:rStyle w:val="IndexLink"/>
                <w:rtl w:val="true"/>
              </w:rPr>
              <w:tab/>
            </w:r>
            <w:r>
              <w:rPr>
                <w:rStyle w:val="IndexLink"/>
              </w:rPr>
              <w:t>212</w:t>
            </w:r>
          </w:hyperlink>
        </w:p>
        <w:p>
          <w:pPr>
            <w:pStyle w:val="Contents6"/>
            <w:tabs>
              <w:tab w:val="clear" w:pos="7609"/>
              <w:tab w:val="right" w:pos="9026" w:leader="dot"/>
            </w:tabs>
            <w:rPr/>
          </w:pPr>
          <w:hyperlink w:anchor="__RefHeading___Toc3300186_1468164448">
            <w:r>
              <w:rPr>
                <w:webHidden/>
                <w:rStyle w:val="IndexLink"/>
                <w:rtl w:val="true"/>
              </w:rPr>
              <w:t>تلخیص النظریة</w:t>
            </w:r>
            <w:r>
              <w:rPr>
                <w:rStyle w:val="IndexLink"/>
                <w:rtl w:val="true"/>
              </w:rPr>
              <w:tab/>
            </w:r>
            <w:r>
              <w:rPr>
                <w:rStyle w:val="IndexLink"/>
              </w:rPr>
              <w:t>213</w:t>
            </w:r>
          </w:hyperlink>
        </w:p>
        <w:p>
          <w:pPr>
            <w:pStyle w:val="Contents6"/>
            <w:tabs>
              <w:tab w:val="clear" w:pos="7609"/>
              <w:tab w:val="right" w:pos="9026" w:leader="dot"/>
            </w:tabs>
            <w:rPr/>
          </w:pPr>
          <w:hyperlink w:anchor="__RefHeading___Toc3300188_1468164448">
            <w:r>
              <w:rPr>
                <w:webHidden/>
                <w:rStyle w:val="IndexLink"/>
                <w:rtl w:val="true"/>
              </w:rPr>
              <w:t>ملاحظات علی العلاّمة</w:t>
            </w:r>
            <w:r>
              <w:rPr>
                <w:rStyle w:val="IndexLink"/>
                <w:rtl w:val="true"/>
              </w:rPr>
              <w:tab/>
            </w:r>
            <w:r>
              <w:rPr>
                <w:rStyle w:val="IndexLink"/>
              </w:rPr>
              <w:t>213</w:t>
            </w:r>
          </w:hyperlink>
        </w:p>
        <w:p>
          <w:pPr>
            <w:pStyle w:val="Contents6"/>
            <w:tabs>
              <w:tab w:val="clear" w:pos="7609"/>
              <w:tab w:val="right" w:pos="9026" w:leader="dot"/>
            </w:tabs>
            <w:rPr/>
          </w:pPr>
          <w:hyperlink w:anchor="__RefHeading___Toc3300190_1468164448">
            <w:r>
              <w:rPr>
                <w:webHidden/>
                <w:rStyle w:val="IndexLink"/>
                <w:rtl w:val="true"/>
              </w:rPr>
              <w:t>أولاً</w:t>
            </w:r>
            <w:r>
              <w:rPr>
                <w:rStyle w:val="IndexLink"/>
                <w:rtl w:val="true"/>
              </w:rPr>
              <w:t xml:space="preserve">: </w:t>
            </w:r>
            <w:r>
              <w:rPr>
                <w:rStyle w:val="IndexLink"/>
                <w:rtl w:val="true"/>
              </w:rPr>
              <w:t>دور المعلّم فی إراءة الطریق</w:t>
            </w:r>
            <w:r>
              <w:rPr>
                <w:rStyle w:val="IndexLink"/>
                <w:rtl w:val="true"/>
              </w:rPr>
              <w:tab/>
            </w:r>
            <w:r>
              <w:rPr>
                <w:rStyle w:val="IndexLink"/>
              </w:rPr>
              <w:t>214</w:t>
            </w:r>
          </w:hyperlink>
        </w:p>
        <w:p>
          <w:pPr>
            <w:pStyle w:val="Contents6"/>
            <w:tabs>
              <w:tab w:val="clear" w:pos="7609"/>
              <w:tab w:val="right" w:pos="9026" w:leader="dot"/>
            </w:tabs>
            <w:rPr/>
          </w:pPr>
          <w:hyperlink w:anchor="__RefHeading___Toc3300192_1468164448">
            <w:r>
              <w:rPr>
                <w:webHidden/>
                <w:rStyle w:val="IndexLink"/>
                <w:rtl w:val="true"/>
              </w:rPr>
              <w:t>تفسیر القرآن بالقرآن یحتاج إلی عصمة الفهم</w:t>
            </w:r>
            <w:r>
              <w:rPr>
                <w:rStyle w:val="IndexLink"/>
                <w:rtl w:val="true"/>
              </w:rPr>
              <w:tab/>
            </w:r>
            <w:r>
              <w:rPr>
                <w:rStyle w:val="IndexLink"/>
              </w:rPr>
              <w:t>214</w:t>
            </w:r>
          </w:hyperlink>
        </w:p>
        <w:p>
          <w:pPr>
            <w:pStyle w:val="Contents6"/>
            <w:tabs>
              <w:tab w:val="clear" w:pos="7609"/>
              <w:tab w:val="right" w:pos="9026" w:leader="dot"/>
            </w:tabs>
            <w:rPr/>
          </w:pPr>
          <w:hyperlink w:anchor="__RefHeading___Toc3300194_1468164448">
            <w:r>
              <w:rPr>
                <w:webHidden/>
                <w:rStyle w:val="IndexLink"/>
                <w:rtl w:val="true"/>
              </w:rPr>
              <w:t>ثانیاً</w:t>
            </w:r>
            <w:r>
              <w:rPr>
                <w:rStyle w:val="IndexLink"/>
                <w:rtl w:val="true"/>
              </w:rPr>
              <w:t xml:space="preserve">: </w:t>
            </w:r>
            <w:r>
              <w:rPr>
                <w:rStyle w:val="IndexLink"/>
                <w:rtl w:val="true"/>
              </w:rPr>
              <w:t>فهم خفایا القرآن یحتاج إلی الإحاطة بمراتب الخلقة</w:t>
            </w:r>
            <w:r>
              <w:rPr>
                <w:rStyle w:val="IndexLink"/>
                <w:rtl w:val="true"/>
              </w:rPr>
              <w:tab/>
            </w:r>
            <w:r>
              <w:rPr>
                <w:rStyle w:val="IndexLink"/>
              </w:rPr>
              <w:t>214</w:t>
            </w:r>
          </w:hyperlink>
        </w:p>
        <w:p>
          <w:pPr>
            <w:pStyle w:val="Contents6"/>
            <w:tabs>
              <w:tab w:val="clear" w:pos="7609"/>
              <w:tab w:val="right" w:pos="9026" w:leader="dot"/>
            </w:tabs>
            <w:rPr/>
          </w:pPr>
          <w:hyperlink w:anchor="__RefHeading___Toc3300196_1468164448">
            <w:r>
              <w:rPr>
                <w:webHidden/>
                <w:rStyle w:val="IndexLink"/>
                <w:rtl w:val="true"/>
              </w:rPr>
              <w:t>ثالثاً</w:t>
            </w:r>
            <w:r>
              <w:rPr>
                <w:rStyle w:val="IndexLink"/>
                <w:rtl w:val="true"/>
              </w:rPr>
              <w:t xml:space="preserve">: </w:t>
            </w:r>
            <w:r>
              <w:rPr>
                <w:rStyle w:val="IndexLink"/>
                <w:rtl w:val="true"/>
              </w:rPr>
              <w:t>قول النبی</w:t>
            </w:r>
            <w:r>
              <w:rPr>
                <w:rStyle w:val="IndexLink"/>
              </w:rPr>
              <w:t>9</w:t>
            </w:r>
            <w:r>
              <w:rPr>
                <w:rStyle w:val="IndexLink"/>
                <w:rtl w:val="true"/>
              </w:rPr>
              <w:t xml:space="preserve"> </w:t>
            </w:r>
            <w:r>
              <w:rPr>
                <w:rStyle w:val="IndexLink"/>
                <w:rtl w:val="true"/>
              </w:rPr>
              <w:t>فی عرض القرآن من حیث الحجّیة</w:t>
            </w:r>
            <w:r>
              <w:rPr>
                <w:rStyle w:val="IndexLink"/>
                <w:rtl w:val="true"/>
              </w:rPr>
              <w:tab/>
            </w:r>
            <w:r>
              <w:rPr>
                <w:rStyle w:val="IndexLink"/>
              </w:rPr>
              <w:t>215</w:t>
            </w:r>
          </w:hyperlink>
        </w:p>
        <w:p>
          <w:pPr>
            <w:pStyle w:val="Contents6"/>
            <w:tabs>
              <w:tab w:val="clear" w:pos="7609"/>
              <w:tab w:val="right" w:pos="9026" w:leader="dot"/>
            </w:tabs>
            <w:rPr/>
          </w:pPr>
          <w:hyperlink w:anchor="__RefHeading___Toc3300198_1468164448">
            <w:r>
              <w:rPr>
                <w:webHidden/>
                <w:rStyle w:val="IndexLink"/>
                <w:rtl w:val="true"/>
              </w:rPr>
              <w:t>رابعاً</w:t>
            </w:r>
            <w:r>
              <w:rPr>
                <w:rStyle w:val="IndexLink"/>
                <w:rtl w:val="true"/>
              </w:rPr>
              <w:t xml:space="preserve">: </w:t>
            </w:r>
            <w:r>
              <w:rPr>
                <w:rStyle w:val="IndexLink"/>
                <w:rtl w:val="true"/>
              </w:rPr>
              <w:t>أقسام الروایات الواردة فی ذیل الآیات</w:t>
            </w:r>
            <w:r>
              <w:rPr>
                <w:rStyle w:val="IndexLink"/>
                <w:rtl w:val="true"/>
              </w:rPr>
              <w:tab/>
            </w:r>
            <w:r>
              <w:rPr>
                <w:rStyle w:val="IndexLink"/>
              </w:rPr>
              <w:t>216</w:t>
            </w:r>
          </w:hyperlink>
        </w:p>
        <w:p>
          <w:pPr>
            <w:pStyle w:val="Contents6"/>
            <w:tabs>
              <w:tab w:val="clear" w:pos="7609"/>
              <w:tab w:val="right" w:pos="9026" w:leader="dot"/>
            </w:tabs>
            <w:rPr/>
          </w:pPr>
          <w:hyperlink w:anchor="__RefHeading___Toc3300200_1468164448">
            <w:r>
              <w:rPr>
                <w:webHidden/>
                <w:rStyle w:val="IndexLink"/>
                <w:rtl w:val="true"/>
              </w:rPr>
              <w:t>نظریة العلمانیین</w:t>
            </w:r>
            <w:r>
              <w:rPr>
                <w:rStyle w:val="IndexLink"/>
                <w:rtl w:val="true"/>
              </w:rPr>
              <w:tab/>
            </w:r>
            <w:r>
              <w:rPr>
                <w:rStyle w:val="IndexLink"/>
              </w:rPr>
              <w:t>217</w:t>
            </w:r>
          </w:hyperlink>
        </w:p>
        <w:p>
          <w:pPr>
            <w:pStyle w:val="Contents6"/>
            <w:tabs>
              <w:tab w:val="clear" w:pos="7609"/>
              <w:tab w:val="right" w:pos="9026" w:leader="dot"/>
            </w:tabs>
            <w:rPr/>
          </w:pPr>
          <w:hyperlink w:anchor="__RefHeading___Toc3300202_1468164448">
            <w:r>
              <w:rPr>
                <w:webHidden/>
                <w:rStyle w:val="IndexLink"/>
                <w:rtl w:val="true"/>
              </w:rPr>
              <w:t>جذور النظریة فی کلمات العرفاء</w:t>
            </w:r>
            <w:r>
              <w:rPr>
                <w:rStyle w:val="IndexLink"/>
                <w:rtl w:val="true"/>
              </w:rPr>
              <w:tab/>
            </w:r>
            <w:r>
              <w:rPr>
                <w:rStyle w:val="IndexLink"/>
              </w:rPr>
              <w:t>217</w:t>
            </w:r>
          </w:hyperlink>
        </w:p>
        <w:p>
          <w:pPr>
            <w:pStyle w:val="Contents6"/>
            <w:tabs>
              <w:tab w:val="clear" w:pos="7609"/>
              <w:tab w:val="right" w:pos="9026" w:leader="dot"/>
            </w:tabs>
            <w:rPr/>
          </w:pPr>
          <w:hyperlink w:anchor="__RefHeading___Toc3300204_1468164448">
            <w:r>
              <w:rPr>
                <w:webHidden/>
                <w:rStyle w:val="IndexLink"/>
                <w:rtl w:val="true"/>
              </w:rPr>
              <w:t>ملاحظات علی الصیاغة العرفانیة</w:t>
            </w:r>
            <w:r>
              <w:rPr>
                <w:rStyle w:val="IndexLink"/>
                <w:rtl w:val="true"/>
              </w:rPr>
              <w:tab/>
            </w:r>
            <w:r>
              <w:rPr>
                <w:rStyle w:val="IndexLink"/>
              </w:rPr>
              <w:t>218</w:t>
            </w:r>
          </w:hyperlink>
        </w:p>
        <w:p>
          <w:pPr>
            <w:pStyle w:val="Contents6"/>
            <w:tabs>
              <w:tab w:val="clear" w:pos="7609"/>
              <w:tab w:val="right" w:pos="9026" w:leader="dot"/>
            </w:tabs>
            <w:rPr/>
          </w:pPr>
          <w:hyperlink w:anchor="__RefHeading___Toc3300206_1468164448">
            <w:r>
              <w:rPr>
                <w:webHidden/>
                <w:rStyle w:val="IndexLink"/>
                <w:rtl w:val="true"/>
              </w:rPr>
              <w:t>نظریة السیّد البروجردی</w:t>
            </w:r>
            <w:r>
              <w:rPr>
                <w:rStyle w:val="IndexLink"/>
                <w:rtl w:val="true"/>
              </w:rPr>
              <w:tab/>
            </w:r>
            <w:r>
              <w:rPr>
                <w:rStyle w:val="IndexLink"/>
              </w:rPr>
              <w:t>226</w:t>
            </w:r>
          </w:hyperlink>
        </w:p>
        <w:p>
          <w:pPr>
            <w:pStyle w:val="Contents6"/>
            <w:tabs>
              <w:tab w:val="clear" w:pos="7609"/>
              <w:tab w:val="right" w:pos="9026" w:leader="dot"/>
            </w:tabs>
            <w:rPr/>
          </w:pPr>
          <w:hyperlink w:anchor="__RefHeading___Toc3300208_1468164448">
            <w:r>
              <w:rPr>
                <w:webHidden/>
                <w:rStyle w:val="IndexLink"/>
                <w:rtl w:val="true"/>
              </w:rPr>
              <w:t>السنّة ناظرة إلی القرآن</w:t>
            </w:r>
            <w:r>
              <w:rPr>
                <w:rStyle w:val="IndexLink"/>
                <w:rtl w:val="true"/>
              </w:rPr>
              <w:tab/>
            </w:r>
            <w:r>
              <w:rPr>
                <w:rStyle w:val="IndexLink"/>
              </w:rPr>
              <w:t>226</w:t>
            </w:r>
          </w:hyperlink>
        </w:p>
        <w:p>
          <w:pPr>
            <w:pStyle w:val="Contents6"/>
            <w:tabs>
              <w:tab w:val="clear" w:pos="7609"/>
              <w:tab w:val="right" w:pos="9026" w:leader="dot"/>
            </w:tabs>
            <w:rPr/>
          </w:pPr>
          <w:hyperlink w:anchor="__RefHeading___Toc3300210_1468164448">
            <w:r>
              <w:rPr>
                <w:webHidden/>
                <w:rStyle w:val="IndexLink"/>
                <w:rtl w:val="true"/>
              </w:rPr>
              <w:t>تصوّر المعیة علی صعید الحجّیة</w:t>
            </w:r>
            <w:r>
              <w:rPr>
                <w:rStyle w:val="IndexLink"/>
                <w:rtl w:val="true"/>
              </w:rPr>
              <w:tab/>
            </w:r>
            <w:r>
              <w:rPr>
                <w:rStyle w:val="IndexLink"/>
              </w:rPr>
              <w:t>227</w:t>
            </w:r>
          </w:hyperlink>
        </w:p>
        <w:p>
          <w:pPr>
            <w:pStyle w:val="Contents6"/>
            <w:tabs>
              <w:tab w:val="clear" w:pos="7609"/>
              <w:tab w:val="right" w:pos="9026" w:leader="dot"/>
            </w:tabs>
            <w:rPr/>
          </w:pPr>
          <w:hyperlink w:anchor="__RefHeading___Toc3300212_1468164448">
            <w:r>
              <w:rPr>
                <w:webHidden/>
                <w:rStyle w:val="IndexLink"/>
                <w:rtl w:val="true"/>
              </w:rPr>
              <w:t>دلیل صیاغة المعیة</w:t>
            </w:r>
            <w:r>
              <w:rPr>
                <w:rStyle w:val="IndexLink"/>
                <w:rtl w:val="true"/>
              </w:rPr>
              <w:tab/>
            </w:r>
            <w:r>
              <w:rPr>
                <w:rStyle w:val="IndexLink"/>
              </w:rPr>
              <w:t>228</w:t>
            </w:r>
          </w:hyperlink>
        </w:p>
        <w:p>
          <w:pPr>
            <w:pStyle w:val="Contents6"/>
            <w:tabs>
              <w:tab w:val="clear" w:pos="7609"/>
              <w:tab w:val="right" w:pos="9026" w:leader="dot"/>
            </w:tabs>
            <w:rPr/>
          </w:pPr>
          <w:hyperlink w:anchor="__RefHeading___Toc3300214_1468164448">
            <w:r>
              <w:rPr>
                <w:webHidden/>
                <w:rStyle w:val="IndexLink"/>
                <w:rtl w:val="true"/>
              </w:rPr>
              <w:t>آثار نظریة المعیة</w:t>
            </w:r>
            <w:r>
              <w:rPr>
                <w:rStyle w:val="IndexLink"/>
                <w:rtl w:val="true"/>
              </w:rPr>
              <w:tab/>
            </w:r>
            <w:r>
              <w:rPr>
                <w:rStyle w:val="IndexLink"/>
              </w:rPr>
              <w:t>229</w:t>
            </w:r>
          </w:hyperlink>
        </w:p>
        <w:p>
          <w:pPr>
            <w:pStyle w:val="Contents6"/>
            <w:tabs>
              <w:tab w:val="clear" w:pos="7609"/>
              <w:tab w:val="right" w:pos="9026" w:leader="dot"/>
            </w:tabs>
            <w:rPr/>
          </w:pPr>
          <w:hyperlink w:anchor="__RefHeading___Toc3300216_1468164448">
            <w:r>
              <w:rPr>
                <w:webHidden/>
                <w:rStyle w:val="IndexLink"/>
                <w:rtl w:val="true"/>
              </w:rPr>
              <w:t>العلاقة بین الکتاب والسنّة والعقل</w:t>
            </w:r>
            <w:r>
              <w:rPr>
                <w:rStyle w:val="IndexLink"/>
                <w:rtl w:val="true"/>
              </w:rPr>
              <w:tab/>
            </w:r>
            <w:r>
              <w:rPr>
                <w:rStyle w:val="IndexLink"/>
              </w:rPr>
              <w:t>230</w:t>
            </w:r>
          </w:hyperlink>
        </w:p>
        <w:p>
          <w:pPr>
            <w:pStyle w:val="Contents6"/>
            <w:tabs>
              <w:tab w:val="clear" w:pos="7609"/>
              <w:tab w:val="right" w:pos="9026" w:leader="dot"/>
            </w:tabs>
            <w:rPr/>
          </w:pPr>
          <w:hyperlink w:anchor="__RefHeading___Toc3300218_1468164448">
            <w:r>
              <w:rPr>
                <w:webHidden/>
                <w:rStyle w:val="IndexLink"/>
                <w:rtl w:val="true"/>
              </w:rPr>
              <w:t>ضرورة الرجوع إلی الظن ولو غیر المعتبر منه</w:t>
            </w:r>
            <w:r>
              <w:rPr>
                <w:rStyle w:val="IndexLink"/>
                <w:rtl w:val="true"/>
              </w:rPr>
              <w:tab/>
            </w:r>
            <w:r>
              <w:rPr>
                <w:rStyle w:val="IndexLink"/>
              </w:rPr>
              <w:t>233</w:t>
            </w:r>
          </w:hyperlink>
        </w:p>
        <w:p>
          <w:pPr>
            <w:pStyle w:val="Contents6"/>
            <w:tabs>
              <w:tab w:val="clear" w:pos="7609"/>
              <w:tab w:val="right" w:pos="9026" w:leader="dot"/>
            </w:tabs>
            <w:rPr/>
          </w:pPr>
          <w:hyperlink w:anchor="__RefHeading___Toc3300220_1468164448">
            <w:r>
              <w:rPr>
                <w:webHidden/>
                <w:rStyle w:val="IndexLink"/>
                <w:rtl w:val="true"/>
              </w:rPr>
              <w:t>تحصیل التواتر المعنوی فی روایات المعارف</w:t>
            </w:r>
            <w:r>
              <w:rPr>
                <w:rStyle w:val="IndexLink"/>
                <w:rtl w:val="true"/>
              </w:rPr>
              <w:tab/>
            </w:r>
            <w:r>
              <w:rPr>
                <w:rStyle w:val="IndexLink"/>
              </w:rPr>
              <w:t>234</w:t>
            </w:r>
          </w:hyperlink>
        </w:p>
        <w:p>
          <w:pPr>
            <w:pStyle w:val="Contents4"/>
            <w:tabs>
              <w:tab w:val="clear" w:pos="8176"/>
              <w:tab w:val="right" w:pos="9026" w:leader="dot"/>
            </w:tabs>
            <w:rPr/>
          </w:pPr>
          <w:hyperlink w:anchor="__RefHeading___Toc3300222_1468164448">
            <w:r>
              <w:rPr>
                <w:webHidden/>
                <w:rStyle w:val="IndexLink"/>
              </w:rPr>
              <w:t>4</w:t>
            </w:r>
            <w:r>
              <w:rPr>
                <w:rStyle w:val="IndexLink"/>
                <w:rtl w:val="true"/>
              </w:rPr>
              <w:t xml:space="preserve"> . </w:t>
            </w:r>
            <w:r>
              <w:rPr>
                <w:rStyle w:val="IndexLink"/>
                <w:rtl w:val="true"/>
              </w:rPr>
              <w:t>المقام الرابع</w:t>
            </w:r>
            <w:r>
              <w:rPr>
                <w:rStyle w:val="IndexLink"/>
                <w:rtl w:val="true"/>
              </w:rPr>
              <w:t xml:space="preserve">: </w:t>
            </w:r>
            <w:r>
              <w:rPr>
                <w:rStyle w:val="IndexLink"/>
                <w:rtl w:val="true"/>
              </w:rPr>
              <w:t>البحث فی تواتر القراءات القرآنیة وعدمه</w:t>
            </w:r>
            <w:r>
              <w:rPr>
                <w:rStyle w:val="IndexLink"/>
                <w:rtl w:val="true"/>
              </w:rPr>
              <w:tab/>
            </w:r>
            <w:r>
              <w:rPr>
                <w:rStyle w:val="IndexLink"/>
              </w:rPr>
              <w:t>236</w:t>
            </w:r>
          </w:hyperlink>
        </w:p>
        <w:p>
          <w:pPr>
            <w:pStyle w:val="Contents5"/>
            <w:tabs>
              <w:tab w:val="clear" w:pos="7892"/>
              <w:tab w:val="right" w:pos="9026" w:leader="dot"/>
            </w:tabs>
            <w:rPr/>
          </w:pPr>
          <w:hyperlink w:anchor="__RefHeading___Toc3300224_1468164448">
            <w:r>
              <w:rPr>
                <w:webHidden/>
                <w:rStyle w:val="IndexLink"/>
                <w:rtl w:val="true"/>
              </w:rPr>
              <w:t>سرّ البحث فی تواتر القراءات</w:t>
            </w:r>
            <w:r>
              <w:rPr>
                <w:rStyle w:val="IndexLink"/>
                <w:rtl w:val="true"/>
              </w:rPr>
              <w:tab/>
            </w:r>
            <w:r>
              <w:rPr>
                <w:rStyle w:val="IndexLink"/>
              </w:rPr>
              <w:t>236</w:t>
            </w:r>
          </w:hyperlink>
        </w:p>
        <w:p>
          <w:pPr>
            <w:pStyle w:val="Contents5"/>
            <w:tabs>
              <w:tab w:val="clear" w:pos="7892"/>
              <w:tab w:val="right" w:pos="9026" w:leader="dot"/>
            </w:tabs>
            <w:rPr/>
          </w:pPr>
          <w:hyperlink w:anchor="__RefHeading___Toc3300226_1468164448">
            <w:r>
              <w:rPr>
                <w:webHidden/>
                <w:rStyle w:val="IndexLink"/>
                <w:rtl w:val="true"/>
              </w:rPr>
              <w:t xml:space="preserve">التشکیک فی تواتر القراءات من السیّد الخوئی </w:t>
            </w:r>
            <w:r>
              <w:rPr>
                <w:rStyle w:val="IndexLink"/>
                <w:rtl w:val="true"/>
              </w:rPr>
              <w:t>(</w:t>
            </w:r>
            <w:r>
              <w:rPr>
                <w:rStyle w:val="IndexLink"/>
                <w:rtl w:val="true"/>
              </w:rPr>
              <w:t>قدس سره</w:t>
            </w:r>
            <w:r>
              <w:rPr>
                <w:rStyle w:val="IndexLink"/>
                <w:rtl w:val="true"/>
              </w:rPr>
              <w:t>)</w:t>
              <w:tab/>
            </w:r>
            <w:r>
              <w:rPr>
                <w:rStyle w:val="IndexLink"/>
              </w:rPr>
              <w:t>236</w:t>
            </w:r>
          </w:hyperlink>
        </w:p>
        <w:p>
          <w:pPr>
            <w:pStyle w:val="Contents6"/>
            <w:tabs>
              <w:tab w:val="clear" w:pos="7609"/>
              <w:tab w:val="right" w:pos="9026" w:leader="dot"/>
            </w:tabs>
            <w:rPr/>
          </w:pPr>
          <w:hyperlink w:anchor="__RefHeading___Toc3300228_1468164448">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3300230_1468164448">
            <w:r>
              <w:rPr>
                <w:webHidden/>
                <w:rStyle w:val="IndexLink"/>
                <w:rtl w:val="true"/>
              </w:rPr>
              <w:t>تقویة تواتر القراءات</w:t>
            </w:r>
            <w:r>
              <w:rPr>
                <w:rStyle w:val="IndexLink"/>
                <w:rtl w:val="true"/>
              </w:rPr>
              <w:tab/>
            </w:r>
            <w:r>
              <w:rPr>
                <w:rStyle w:val="IndexLink"/>
              </w:rPr>
              <w:t>237</w:t>
            </w:r>
          </w:hyperlink>
        </w:p>
        <w:p>
          <w:pPr>
            <w:pStyle w:val="Contents5"/>
            <w:tabs>
              <w:tab w:val="clear" w:pos="7892"/>
              <w:tab w:val="right" w:pos="9026" w:leader="dot"/>
            </w:tabs>
            <w:rPr/>
          </w:pPr>
          <w:hyperlink w:anchor="__RefHeading___Toc3300232_1468164448">
            <w:r>
              <w:rPr>
                <w:webHidden/>
                <w:rStyle w:val="IndexLink"/>
                <w:rtl w:val="true"/>
              </w:rPr>
              <w:t>أربع نقاط لبیان الحقّ فی المسألة</w:t>
            </w:r>
            <w:r>
              <w:rPr>
                <w:rStyle w:val="IndexLink"/>
                <w:rtl w:val="true"/>
              </w:rPr>
              <w:tab/>
            </w:r>
            <w:r>
              <w:rPr>
                <w:rStyle w:val="IndexLink"/>
              </w:rPr>
              <w:t>238</w:t>
            </w:r>
          </w:hyperlink>
        </w:p>
        <w:p>
          <w:pPr>
            <w:pStyle w:val="Contents6"/>
            <w:tabs>
              <w:tab w:val="clear" w:pos="7609"/>
              <w:tab w:val="right" w:pos="9026" w:leader="dot"/>
            </w:tabs>
            <w:rPr/>
          </w:pPr>
          <w:hyperlink w:anchor="__RefHeading___Toc3300234_1468164448">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3300236_1468164448">
            <w:r>
              <w:rPr>
                <w:webHidden/>
                <w:rStyle w:val="IndexLink"/>
                <w:rtl w:val="true"/>
              </w:rPr>
              <w:t>قطعیة القرآن سنداً ومتناً لا دلالةً‌</w:t>
            </w:r>
            <w:r>
              <w:rPr>
                <w:rStyle w:val="IndexLink"/>
                <w:rtl w:val="true"/>
              </w:rPr>
              <w:tab/>
            </w:r>
            <w:r>
              <w:rPr>
                <w:rStyle w:val="IndexLink"/>
              </w:rPr>
              <w:t>238</w:t>
            </w:r>
          </w:hyperlink>
        </w:p>
        <w:p>
          <w:pPr>
            <w:pStyle w:val="Contents6"/>
            <w:tabs>
              <w:tab w:val="clear" w:pos="7609"/>
              <w:tab w:val="right" w:pos="9026" w:leader="dot"/>
            </w:tabs>
            <w:rPr/>
          </w:pPr>
          <w:hyperlink w:anchor="__RefHeading___Toc3300238_1468164448">
            <w:r>
              <w:rPr>
                <w:webHidden/>
                <w:rStyle w:val="IndexLink"/>
                <w:rtl w:val="true"/>
              </w:rPr>
              <w:t>اختلاف القراءات لا یستلزم التحریف</w:t>
            </w:r>
            <w:r>
              <w:rPr>
                <w:rStyle w:val="IndexLink"/>
                <w:rtl w:val="true"/>
              </w:rPr>
              <w:tab/>
            </w:r>
            <w:r>
              <w:rPr>
                <w:rStyle w:val="IndexLink"/>
              </w:rPr>
              <w:t>238</w:t>
            </w:r>
          </w:hyperlink>
        </w:p>
        <w:p>
          <w:pPr>
            <w:pStyle w:val="Contents6"/>
            <w:tabs>
              <w:tab w:val="clear" w:pos="7609"/>
              <w:tab w:val="right" w:pos="9026" w:leader="dot"/>
            </w:tabs>
            <w:rPr/>
          </w:pPr>
          <w:hyperlink w:anchor="__RefHeading___Toc3300240_1468164448">
            <w:r>
              <w:rPr>
                <w:webHidden/>
                <w:rStyle w:val="IndexLink"/>
                <w:rtl w:val="true"/>
              </w:rPr>
              <w:t>تأثیر اختلاف القراءات فی الدلالة</w:t>
            </w:r>
            <w:r>
              <w:rPr>
                <w:rStyle w:val="IndexLink"/>
                <w:rtl w:val="true"/>
              </w:rPr>
              <w:tab/>
            </w:r>
            <w:r>
              <w:rPr>
                <w:rStyle w:val="IndexLink"/>
              </w:rPr>
              <w:t>239</w:t>
            </w:r>
          </w:hyperlink>
        </w:p>
        <w:p>
          <w:pPr>
            <w:pStyle w:val="Contents6"/>
            <w:tabs>
              <w:tab w:val="clear" w:pos="7609"/>
              <w:tab w:val="right" w:pos="9026" w:leader="dot"/>
            </w:tabs>
            <w:rPr/>
          </w:pPr>
          <w:hyperlink w:anchor="__RefHeading___Toc3300242_1468164448">
            <w:r>
              <w:rPr>
                <w:webHidden/>
                <w:rStyle w:val="IndexLink"/>
                <w:rtl w:val="true"/>
              </w:rPr>
              <w:t>مناشئ اختلاف القراءات</w:t>
            </w:r>
            <w:r>
              <w:rPr>
                <w:rStyle w:val="IndexLink"/>
                <w:rtl w:val="true"/>
              </w:rPr>
              <w:tab/>
            </w:r>
            <w:r>
              <w:rPr>
                <w:rStyle w:val="IndexLink"/>
              </w:rPr>
              <w:t>240</w:t>
            </w:r>
          </w:hyperlink>
        </w:p>
        <w:p>
          <w:pPr>
            <w:pStyle w:val="Contents6"/>
            <w:tabs>
              <w:tab w:val="clear" w:pos="7609"/>
              <w:tab w:val="right" w:pos="9026" w:leader="dot"/>
            </w:tabs>
            <w:rPr/>
          </w:pPr>
          <w:hyperlink w:anchor="__RefHeading___Toc3300244_1468164448">
            <w:r>
              <w:rPr>
                <w:webHidden/>
                <w:rStyle w:val="IndexLink"/>
                <w:rtl w:val="true"/>
              </w:rPr>
              <w:t>بطون القرآن</w:t>
            </w:r>
            <w:r>
              <w:rPr>
                <w:rStyle w:val="IndexLink"/>
                <w:rtl w:val="true"/>
              </w:rPr>
              <w:tab/>
            </w:r>
            <w:r>
              <w:rPr>
                <w:rStyle w:val="IndexLink"/>
              </w:rPr>
              <w:t>241</w:t>
            </w:r>
          </w:hyperlink>
        </w:p>
        <w:p>
          <w:pPr>
            <w:pStyle w:val="Contents6"/>
            <w:tabs>
              <w:tab w:val="clear" w:pos="7609"/>
              <w:tab w:val="right" w:pos="9026" w:leader="dot"/>
            </w:tabs>
            <w:rPr/>
          </w:pPr>
          <w:hyperlink w:anchor="__RefHeading___Toc3300246_1468164448">
            <w:r>
              <w:rPr>
                <w:webHidden/>
                <w:rStyle w:val="IndexLink"/>
                <w:rtl w:val="true"/>
              </w:rPr>
              <w:t>نتیجة النقاط الأربع عدم إثبات تواتر القراءات</w:t>
            </w:r>
            <w:r>
              <w:rPr>
                <w:rStyle w:val="IndexLink"/>
                <w:rtl w:val="true"/>
              </w:rPr>
              <w:tab/>
            </w:r>
            <w:r>
              <w:rPr>
                <w:rStyle w:val="IndexLink"/>
              </w:rPr>
              <w:t>241</w:t>
            </w:r>
          </w:hyperlink>
        </w:p>
        <w:p>
          <w:pPr>
            <w:pStyle w:val="Contents5"/>
            <w:tabs>
              <w:tab w:val="clear" w:pos="7892"/>
              <w:tab w:val="right" w:pos="9026" w:leader="dot"/>
            </w:tabs>
            <w:rPr/>
          </w:pPr>
          <w:hyperlink w:anchor="__RefHeading___Toc3300248_1468164448">
            <w:r>
              <w:rPr>
                <w:webHidden/>
                <w:rStyle w:val="IndexLink"/>
                <w:rtl w:val="true"/>
              </w:rPr>
              <w:t>دعوی الإجماع والمناقشة فیها</w:t>
            </w:r>
            <w:r>
              <w:rPr>
                <w:rStyle w:val="IndexLink"/>
                <w:rtl w:val="true"/>
              </w:rPr>
              <w:tab/>
            </w:r>
            <w:r>
              <w:rPr>
                <w:rStyle w:val="IndexLink"/>
              </w:rPr>
              <w:t>242</w:t>
            </w:r>
          </w:hyperlink>
        </w:p>
        <w:p>
          <w:pPr>
            <w:pStyle w:val="Contents5"/>
            <w:tabs>
              <w:tab w:val="clear" w:pos="7892"/>
              <w:tab w:val="right" w:pos="9026" w:leader="dot"/>
            </w:tabs>
            <w:rPr/>
          </w:pPr>
          <w:hyperlink w:anchor="__RefHeading___Toc3300250_1468164448">
            <w:r>
              <w:rPr>
                <w:webHidden/>
                <w:rStyle w:val="IndexLink"/>
                <w:rtl w:val="true"/>
              </w:rPr>
              <w:t>بیان المختار</w:t>
            </w:r>
            <w:r>
              <w:rPr>
                <w:rStyle w:val="IndexLink"/>
                <w:rtl w:val="true"/>
              </w:rPr>
              <w:tab/>
            </w:r>
            <w:r>
              <w:rPr>
                <w:rStyle w:val="IndexLink"/>
              </w:rPr>
              <w:t>242</w:t>
            </w:r>
          </w:hyperlink>
        </w:p>
        <w:p>
          <w:pPr>
            <w:pStyle w:val="Contents6"/>
            <w:tabs>
              <w:tab w:val="clear" w:pos="7609"/>
              <w:tab w:val="right" w:pos="9026" w:leader="dot"/>
            </w:tabs>
            <w:rPr/>
          </w:pPr>
          <w:hyperlink w:anchor="__RefHeading___Toc3300252_1468164448">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3300254_1468164448">
            <w:r>
              <w:rPr>
                <w:webHidden/>
                <w:rStyle w:val="IndexLink"/>
                <w:rtl w:val="true"/>
              </w:rPr>
              <w:t xml:space="preserve">حصول إمضاء القراءات فی زمن الأئمة </w:t>
            </w:r>
            <w:r>
              <w:rPr>
                <w:rStyle w:val="IndexLink"/>
                <w:rtl w:val="true"/>
              </w:rPr>
              <w:t>(</w:t>
            </w:r>
            <w:r>
              <w:rPr>
                <w:rStyle w:val="IndexLink"/>
                <w:rtl w:val="true"/>
              </w:rPr>
              <w:t>علیهم السلام</w:t>
            </w:r>
            <w:r>
              <w:rPr>
                <w:rStyle w:val="IndexLink"/>
                <w:rtl w:val="true"/>
              </w:rPr>
              <w:t>)</w:t>
              <w:tab/>
            </w:r>
            <w:r>
              <w:rPr>
                <w:rStyle w:val="IndexLink"/>
              </w:rPr>
              <w:t>243</w:t>
            </w:r>
          </w:hyperlink>
        </w:p>
        <w:p>
          <w:pPr>
            <w:pStyle w:val="Contents6"/>
            <w:tabs>
              <w:tab w:val="clear" w:pos="7609"/>
              <w:tab w:val="right" w:pos="9026" w:leader="dot"/>
            </w:tabs>
            <w:rPr/>
          </w:pPr>
          <w:hyperlink w:anchor="__RefHeading___Toc3300256_1468164448">
            <w:r>
              <w:rPr>
                <w:webHidden/>
                <w:rStyle w:val="IndexLink"/>
                <w:rtl w:val="true"/>
              </w:rPr>
              <w:t>الإمضاء ظاهری</w:t>
            </w:r>
            <w:r>
              <w:rPr>
                <w:rStyle w:val="IndexLink"/>
                <w:rtl w:val="true"/>
              </w:rPr>
              <w:tab/>
            </w:r>
            <w:r>
              <w:rPr>
                <w:rStyle w:val="IndexLink"/>
              </w:rPr>
              <w:t>244</w:t>
            </w:r>
          </w:hyperlink>
        </w:p>
        <w:p>
          <w:pPr>
            <w:pStyle w:val="Contents5"/>
            <w:tabs>
              <w:tab w:val="clear" w:pos="7892"/>
              <w:tab w:val="right" w:pos="9026" w:leader="dot"/>
            </w:tabs>
            <w:rPr/>
          </w:pPr>
          <w:hyperlink w:anchor="__RefHeading___Toc3300258_1468164448">
            <w:r>
              <w:rPr>
                <w:webHidden/>
                <w:rStyle w:val="IndexLink"/>
                <w:rtl w:val="true"/>
              </w:rPr>
              <w:t>ثمرة بحث تواتر القراءات</w:t>
            </w:r>
            <w:r>
              <w:rPr>
                <w:rStyle w:val="IndexLink"/>
                <w:rtl w:val="true"/>
              </w:rPr>
              <w:tab/>
            </w:r>
            <w:r>
              <w:rPr>
                <w:rStyle w:val="IndexLink"/>
              </w:rPr>
              <w:t>244</w:t>
            </w:r>
          </w:hyperlink>
        </w:p>
        <w:p>
          <w:pPr>
            <w:pStyle w:val="Contents4"/>
            <w:tabs>
              <w:tab w:val="clear" w:pos="8176"/>
              <w:tab w:val="right" w:pos="9026" w:leader="dot"/>
            </w:tabs>
            <w:rPr/>
          </w:pPr>
          <w:hyperlink w:anchor="__RefHeading___Toc3300260_1468164448">
            <w:r>
              <w:rPr>
                <w:webHidden/>
                <w:rStyle w:val="IndexLink"/>
              </w:rPr>
              <w:t>5</w:t>
            </w:r>
            <w:r>
              <w:rPr>
                <w:rStyle w:val="IndexLink"/>
                <w:rtl w:val="true"/>
              </w:rPr>
              <w:t xml:space="preserve"> . </w:t>
            </w:r>
            <w:r>
              <w:rPr>
                <w:rStyle w:val="IndexLink"/>
                <w:rtl w:val="true"/>
              </w:rPr>
              <w:t>المقام الخامس</w:t>
            </w:r>
            <w:r>
              <w:rPr>
                <w:rStyle w:val="IndexLink"/>
                <w:rtl w:val="true"/>
              </w:rPr>
              <w:t xml:space="preserve">: </w:t>
            </w:r>
            <w:r>
              <w:rPr>
                <w:rStyle w:val="IndexLink"/>
                <w:rtl w:val="true"/>
              </w:rPr>
              <w:t>الأصول اللفظیة</w:t>
            </w:r>
            <w:r>
              <w:rPr>
                <w:rStyle w:val="IndexLink"/>
                <w:rtl w:val="true"/>
              </w:rPr>
              <w:tab/>
            </w:r>
            <w:r>
              <w:rPr>
                <w:rStyle w:val="IndexLink"/>
              </w:rPr>
              <w:t>245</w:t>
            </w:r>
          </w:hyperlink>
        </w:p>
        <w:p>
          <w:pPr>
            <w:pStyle w:val="Contents5"/>
            <w:tabs>
              <w:tab w:val="clear" w:pos="7892"/>
              <w:tab w:val="right" w:pos="9026" w:leader="dot"/>
            </w:tabs>
            <w:rPr/>
          </w:pPr>
          <w:hyperlink w:anchor="__RefHeading___Toc3300262_1468164448">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3300264_1468164448">
            <w:r>
              <w:rPr>
                <w:webHidden/>
                <w:rStyle w:val="IndexLink"/>
                <w:rtl w:val="true"/>
              </w:rPr>
              <w:t>معنی الأصل اللفظی</w:t>
            </w:r>
            <w:r>
              <w:rPr>
                <w:rStyle w:val="IndexLink"/>
                <w:rtl w:val="true"/>
              </w:rPr>
              <w:tab/>
            </w:r>
            <w:r>
              <w:rPr>
                <w:rStyle w:val="IndexLink"/>
              </w:rPr>
              <w:t>245</w:t>
            </w:r>
          </w:hyperlink>
        </w:p>
        <w:p>
          <w:pPr>
            <w:pStyle w:val="Contents6"/>
            <w:tabs>
              <w:tab w:val="clear" w:pos="7609"/>
              <w:tab w:val="right" w:pos="9026" w:leader="dot"/>
            </w:tabs>
            <w:rPr/>
          </w:pPr>
          <w:hyperlink w:anchor="__RefHeading___Toc3300266_1468164448">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300268_1468164448">
            <w:r>
              <w:rPr>
                <w:webHidden/>
                <w:rStyle w:val="IndexLink"/>
                <w:rtl w:val="true"/>
              </w:rPr>
              <w:t>الأصل اللفظی هل هو تعبدی أم لا؟</w:t>
            </w:r>
            <w:r>
              <w:rPr>
                <w:rStyle w:val="IndexLink"/>
                <w:rtl w:val="true"/>
              </w:rPr>
              <w:tab/>
            </w:r>
            <w:r>
              <w:rPr>
                <w:rStyle w:val="IndexLink"/>
              </w:rPr>
              <w:t>245</w:t>
            </w:r>
          </w:hyperlink>
        </w:p>
        <w:p>
          <w:pPr>
            <w:pStyle w:val="Contents6"/>
            <w:tabs>
              <w:tab w:val="clear" w:pos="7609"/>
              <w:tab w:val="right" w:pos="9026" w:leader="dot"/>
            </w:tabs>
            <w:rPr/>
          </w:pPr>
          <w:hyperlink w:anchor="__RefHeading___Toc3300270_1468164448">
            <w:r>
              <w:rPr>
                <w:webHidden/>
                <w:rStyle w:val="IndexLink"/>
                <w:rtl w:val="true"/>
              </w:rPr>
              <w:t>ثمرة هذا البحث</w:t>
            </w:r>
            <w:r>
              <w:rPr>
                <w:rStyle w:val="IndexLink"/>
                <w:rtl w:val="true"/>
              </w:rPr>
              <w:tab/>
            </w:r>
            <w:r>
              <w:rPr>
                <w:rStyle w:val="IndexLink"/>
              </w:rPr>
              <w:t>246</w:t>
            </w:r>
          </w:hyperlink>
        </w:p>
        <w:p>
          <w:pPr>
            <w:pStyle w:val="Contents5"/>
            <w:tabs>
              <w:tab w:val="clear" w:pos="7892"/>
              <w:tab w:val="right" w:pos="9026" w:leader="dot"/>
            </w:tabs>
            <w:rPr/>
          </w:pPr>
          <w:hyperlink w:anchor="__RefHeading___Toc3300272_1468164448">
            <w:r>
              <w:rPr>
                <w:webHidden/>
                <w:rStyle w:val="IndexLink"/>
                <w:rtl w:val="true"/>
              </w:rPr>
              <w:t>استخدام لغة القانون فی الشرع</w:t>
            </w:r>
            <w:r>
              <w:rPr>
                <w:rStyle w:val="IndexLink"/>
                <w:rtl w:val="true"/>
              </w:rPr>
              <w:tab/>
            </w:r>
            <w:r>
              <w:rPr>
                <w:rStyle w:val="IndexLink"/>
              </w:rPr>
              <w:t>246</w:t>
            </w:r>
          </w:hyperlink>
        </w:p>
        <w:p>
          <w:pPr>
            <w:pStyle w:val="Contents6"/>
            <w:tabs>
              <w:tab w:val="clear" w:pos="7609"/>
              <w:tab w:val="right" w:pos="9026" w:leader="dot"/>
            </w:tabs>
            <w:rPr/>
          </w:pPr>
          <w:hyperlink w:anchor="__RefHeading___Toc3300274_1468164448">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3300276_1468164448">
            <w:r>
              <w:rPr>
                <w:webHidden/>
                <w:rStyle w:val="IndexLink"/>
                <w:rtl w:val="true"/>
              </w:rPr>
              <w:t>المراد من الإمضاء فی باب المعاملات</w:t>
            </w:r>
            <w:r>
              <w:rPr>
                <w:rStyle w:val="IndexLink"/>
                <w:rtl w:val="true"/>
              </w:rPr>
              <w:tab/>
            </w:r>
            <w:r>
              <w:rPr>
                <w:rStyle w:val="IndexLink"/>
              </w:rPr>
              <w:t>247</w:t>
            </w:r>
          </w:hyperlink>
        </w:p>
        <w:p>
          <w:pPr>
            <w:pStyle w:val="Contents6"/>
            <w:tabs>
              <w:tab w:val="clear" w:pos="7609"/>
              <w:tab w:val="right" w:pos="9026" w:leader="dot"/>
            </w:tabs>
            <w:rPr/>
          </w:pPr>
          <w:hyperlink w:anchor="__RefHeading___Toc3300278_1468164448">
            <w:r>
              <w:rPr>
                <w:webHidden/>
                <w:rStyle w:val="IndexLink"/>
                <w:rtl w:val="true"/>
              </w:rPr>
              <w:t>ضرورة الإلمام بالمبادئ التصوریة القانونیة</w:t>
            </w:r>
            <w:r>
              <w:rPr>
                <w:rStyle w:val="IndexLink"/>
                <w:rtl w:val="true"/>
              </w:rPr>
              <w:tab/>
            </w:r>
            <w:r>
              <w:rPr>
                <w:rStyle w:val="IndexLink"/>
              </w:rPr>
              <w:t>247</w:t>
            </w:r>
          </w:hyperlink>
        </w:p>
        <w:p>
          <w:pPr>
            <w:pStyle w:val="Contents6"/>
            <w:tabs>
              <w:tab w:val="clear" w:pos="7609"/>
              <w:tab w:val="right" w:pos="9026" w:leader="dot"/>
            </w:tabs>
            <w:rPr/>
          </w:pPr>
          <w:hyperlink w:anchor="__RefHeading___Toc3300280_1468164448">
            <w:r>
              <w:rPr>
                <w:webHidden/>
                <w:rStyle w:val="IndexLink"/>
                <w:rtl w:val="true"/>
              </w:rPr>
              <w:t>أقسام الأصول اللفظیة</w:t>
            </w:r>
            <w:r>
              <w:rPr>
                <w:rStyle w:val="IndexLink"/>
                <w:rtl w:val="true"/>
              </w:rPr>
              <w:tab/>
            </w:r>
            <w:r>
              <w:rPr>
                <w:rStyle w:val="IndexLink"/>
              </w:rPr>
              <w:t>247</w:t>
            </w:r>
          </w:hyperlink>
        </w:p>
        <w:p>
          <w:pPr>
            <w:pStyle w:val="Contents6"/>
            <w:tabs>
              <w:tab w:val="clear" w:pos="7609"/>
              <w:tab w:val="right" w:pos="9026" w:leader="dot"/>
            </w:tabs>
            <w:rPr/>
          </w:pPr>
          <w:hyperlink w:anchor="__RefHeading___Toc3300282_1468164448">
            <w:r>
              <w:rPr>
                <w:webHidden/>
                <w:rStyle w:val="IndexLink"/>
                <w:rtl w:val="true"/>
              </w:rPr>
              <w:t>مرجع الأصول اللفظیة</w:t>
            </w:r>
            <w:r>
              <w:rPr>
                <w:rStyle w:val="IndexLink"/>
                <w:rtl w:val="true"/>
              </w:rPr>
              <w:tab/>
            </w:r>
            <w:r>
              <w:rPr>
                <w:rStyle w:val="IndexLink"/>
              </w:rPr>
              <w:t>248</w:t>
            </w:r>
          </w:hyperlink>
        </w:p>
        <w:p>
          <w:pPr>
            <w:pStyle w:val="Contents6"/>
            <w:tabs>
              <w:tab w:val="clear" w:pos="7609"/>
              <w:tab w:val="right" w:pos="9026" w:leader="dot"/>
            </w:tabs>
            <w:rPr/>
          </w:pPr>
          <w:hyperlink w:anchor="__RefHeading___Toc3300284_1468164448">
            <w:r>
              <w:rPr>
                <w:webHidden/>
                <w:rStyle w:val="IndexLink"/>
                <w:rtl w:val="true"/>
              </w:rPr>
              <w:t>بیان الإصفهانی لعدم التعارض بین الأصول اللفظیة</w:t>
            </w:r>
            <w:r>
              <w:rPr>
                <w:rStyle w:val="IndexLink"/>
                <w:rtl w:val="true"/>
              </w:rPr>
              <w:tab/>
            </w:r>
            <w:r>
              <w:rPr>
                <w:rStyle w:val="IndexLink"/>
              </w:rPr>
              <w:t>248</w:t>
            </w:r>
          </w:hyperlink>
        </w:p>
        <w:p>
          <w:pPr>
            <w:pStyle w:val="Contents6"/>
            <w:tabs>
              <w:tab w:val="clear" w:pos="7609"/>
              <w:tab w:val="right" w:pos="9026" w:leader="dot"/>
            </w:tabs>
            <w:rPr/>
          </w:pPr>
          <w:hyperlink w:anchor="__RefHeading___Toc3300286_1468164448">
            <w:r>
              <w:rPr>
                <w:webHidden/>
                <w:rStyle w:val="IndexLink"/>
                <w:rtl w:val="true"/>
              </w:rPr>
              <w:t>تعمیم الإشکال إلی کلّ الجعول العقلائیة</w:t>
            </w:r>
            <w:r>
              <w:rPr>
                <w:rStyle w:val="IndexLink"/>
                <w:rtl w:val="true"/>
              </w:rPr>
              <w:tab/>
            </w:r>
            <w:r>
              <w:rPr>
                <w:rStyle w:val="IndexLink"/>
              </w:rPr>
              <w:t>249</w:t>
            </w:r>
          </w:hyperlink>
        </w:p>
        <w:p>
          <w:pPr>
            <w:pStyle w:val="Contents6"/>
            <w:tabs>
              <w:tab w:val="clear" w:pos="7609"/>
              <w:tab w:val="right" w:pos="9026" w:leader="dot"/>
            </w:tabs>
            <w:rPr/>
          </w:pPr>
          <w:hyperlink w:anchor="__RefHeading___Toc3300288_1468164448">
            <w:r>
              <w:rPr>
                <w:webHidden/>
                <w:rStyle w:val="IndexLink"/>
                <w:rtl w:val="true"/>
              </w:rPr>
              <w:t>ملاحظات علی الإصفهانی</w:t>
            </w:r>
            <w:r>
              <w:rPr>
                <w:rStyle w:val="IndexLink"/>
                <w:rtl w:val="true"/>
              </w:rPr>
              <w:tab/>
            </w:r>
            <w:r>
              <w:rPr>
                <w:rStyle w:val="IndexLink"/>
              </w:rPr>
              <w:t>249</w:t>
            </w:r>
          </w:hyperlink>
        </w:p>
        <w:p>
          <w:pPr>
            <w:pStyle w:val="Contents5"/>
            <w:tabs>
              <w:tab w:val="clear" w:pos="7892"/>
              <w:tab w:val="right" w:pos="9026" w:leader="dot"/>
            </w:tabs>
            <w:rPr/>
          </w:pPr>
          <w:hyperlink w:anchor="__RefHeading___Toc3300290_1468164448">
            <w:r>
              <w:rPr>
                <w:webHidden/>
                <w:rStyle w:val="IndexLink"/>
                <w:rtl w:val="true"/>
              </w:rPr>
              <w:t>وجه حجّیة الأصول اللفظیة</w:t>
            </w:r>
            <w:r>
              <w:rPr>
                <w:rStyle w:val="IndexLink"/>
                <w:rtl w:val="true"/>
              </w:rPr>
              <w:tab/>
            </w:r>
            <w:r>
              <w:rPr>
                <w:rStyle w:val="IndexLink"/>
              </w:rPr>
              <w:t>251</w:t>
            </w:r>
          </w:hyperlink>
        </w:p>
        <w:p>
          <w:pPr>
            <w:pStyle w:val="Contents5"/>
            <w:tabs>
              <w:tab w:val="clear" w:pos="7892"/>
              <w:tab w:val="right" w:pos="9026" w:leader="dot"/>
            </w:tabs>
            <w:rPr/>
          </w:pPr>
          <w:hyperlink w:anchor="__RefHeading___Toc3300292_1468164448">
            <w:r>
              <w:rPr>
                <w:webHidden/>
                <w:rStyle w:val="IndexLink"/>
                <w:rtl w:val="true"/>
              </w:rPr>
              <w:t>شرط حجّیة الأصول اللفظیة</w:t>
            </w:r>
            <w:r>
              <w:rPr>
                <w:rStyle w:val="IndexLink"/>
                <w:rtl w:val="true"/>
              </w:rPr>
              <w:tab/>
            </w:r>
            <w:r>
              <w:rPr>
                <w:rStyle w:val="IndexLink"/>
              </w:rPr>
              <w:t>251</w:t>
            </w:r>
          </w:hyperlink>
        </w:p>
        <w:p>
          <w:pPr>
            <w:pStyle w:val="Contents4"/>
            <w:tabs>
              <w:tab w:val="clear" w:pos="8176"/>
              <w:tab w:val="right" w:pos="9026" w:leader="dot"/>
            </w:tabs>
            <w:rPr/>
          </w:pPr>
          <w:hyperlink w:anchor="__RefHeading___Toc3300294_1468164448">
            <w:r>
              <w:rPr>
                <w:webHidden/>
                <w:rStyle w:val="IndexLink"/>
              </w:rPr>
              <w:t>6</w:t>
            </w:r>
            <w:r>
              <w:rPr>
                <w:rStyle w:val="IndexLink"/>
                <w:rtl w:val="true"/>
              </w:rPr>
              <w:t xml:space="preserve"> . </w:t>
            </w:r>
            <w:r>
              <w:rPr>
                <w:rStyle w:val="IndexLink"/>
                <w:rtl w:val="true"/>
              </w:rPr>
              <w:t>المقام السادس</w:t>
            </w:r>
            <w:r>
              <w:rPr>
                <w:rStyle w:val="IndexLink"/>
                <w:rtl w:val="true"/>
              </w:rPr>
              <w:t xml:space="preserve">: </w:t>
            </w:r>
            <w:r>
              <w:rPr>
                <w:rStyle w:val="IndexLink"/>
                <w:rtl w:val="true"/>
              </w:rPr>
              <w:t>حجّیة قول اللغوی</w:t>
            </w:r>
            <w:r>
              <w:rPr>
                <w:rStyle w:val="IndexLink"/>
                <w:rtl w:val="true"/>
              </w:rPr>
              <w:tab/>
            </w:r>
            <w:r>
              <w:rPr>
                <w:rStyle w:val="IndexLink"/>
              </w:rPr>
              <w:t>253</w:t>
            </w:r>
          </w:hyperlink>
        </w:p>
        <w:p>
          <w:pPr>
            <w:pStyle w:val="Contents5"/>
            <w:tabs>
              <w:tab w:val="clear" w:pos="7892"/>
              <w:tab w:val="right" w:pos="9026" w:leader="dot"/>
            </w:tabs>
            <w:rPr/>
          </w:pPr>
          <w:hyperlink w:anchor="__RefHeading___Toc3300296_1468164448">
            <w:r>
              <w:rPr>
                <w:webHidden/>
                <w:rStyle w:val="IndexLink"/>
                <w:rtl w:val="true"/>
              </w:rPr>
              <w:t>أهمیة هذا البحث</w:t>
            </w:r>
            <w:r>
              <w:rPr>
                <w:rStyle w:val="IndexLink"/>
                <w:rtl w:val="true"/>
              </w:rPr>
              <w:tab/>
            </w:r>
            <w:r>
              <w:rPr>
                <w:rStyle w:val="IndexLink"/>
              </w:rPr>
              <w:t>253</w:t>
            </w:r>
          </w:hyperlink>
        </w:p>
        <w:p>
          <w:pPr>
            <w:pStyle w:val="Contents5"/>
            <w:tabs>
              <w:tab w:val="clear" w:pos="7892"/>
              <w:tab w:val="right" w:pos="9026" w:leader="dot"/>
            </w:tabs>
            <w:rPr/>
          </w:pPr>
          <w:hyperlink w:anchor="__RefHeading___Toc3300298_1468164448">
            <w:r>
              <w:rPr>
                <w:webHidden/>
                <w:rStyle w:val="IndexLink"/>
                <w:rtl w:val="true"/>
              </w:rPr>
              <w:t>تعمیم البحث لکلّ علوم الأدب</w:t>
            </w:r>
            <w:r>
              <w:rPr>
                <w:rStyle w:val="IndexLink"/>
                <w:rtl w:val="true"/>
              </w:rPr>
              <w:tab/>
            </w:r>
            <w:r>
              <w:rPr>
                <w:rStyle w:val="IndexLink"/>
              </w:rPr>
              <w:t>253</w:t>
            </w:r>
          </w:hyperlink>
        </w:p>
        <w:p>
          <w:pPr>
            <w:pStyle w:val="Contents6"/>
            <w:tabs>
              <w:tab w:val="clear" w:pos="7609"/>
              <w:tab w:val="right" w:pos="9026" w:leader="dot"/>
            </w:tabs>
            <w:rPr/>
          </w:pPr>
          <w:hyperlink w:anchor="__RefHeading___Toc3300300_1468164448">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300302_1468164448">
            <w:r>
              <w:rPr>
                <w:webHidden/>
                <w:rStyle w:val="IndexLink"/>
                <w:rtl w:val="true"/>
              </w:rPr>
              <w:t>مهمّة اللغوی</w:t>
            </w:r>
            <w:r>
              <w:rPr>
                <w:rStyle w:val="IndexLink"/>
                <w:rtl w:val="true"/>
              </w:rPr>
              <w:tab/>
            </w:r>
            <w:r>
              <w:rPr>
                <w:rStyle w:val="IndexLink"/>
              </w:rPr>
              <w:t>253</w:t>
            </w:r>
          </w:hyperlink>
        </w:p>
        <w:p>
          <w:pPr>
            <w:pStyle w:val="Contents6"/>
            <w:tabs>
              <w:tab w:val="clear" w:pos="7609"/>
              <w:tab w:val="right" w:pos="9026" w:leader="dot"/>
            </w:tabs>
            <w:rPr/>
          </w:pPr>
          <w:hyperlink w:anchor="__RefHeading___Toc3300304_1468164448">
            <w:r>
              <w:rPr>
                <w:webHidden/>
                <w:rStyle w:val="IndexLink"/>
                <w:rtl w:val="true"/>
              </w:rPr>
              <w:t>عدم اعتناء اللغویین بذکر السند</w:t>
            </w:r>
            <w:r>
              <w:rPr>
                <w:rStyle w:val="IndexLink"/>
                <w:rtl w:val="true"/>
              </w:rPr>
              <w:tab/>
            </w:r>
            <w:r>
              <w:rPr>
                <w:rStyle w:val="IndexLink"/>
              </w:rPr>
              <w:t>254</w:t>
            </w:r>
          </w:hyperlink>
        </w:p>
        <w:p>
          <w:pPr>
            <w:pStyle w:val="Contents6"/>
            <w:tabs>
              <w:tab w:val="clear" w:pos="7609"/>
              <w:tab w:val="right" w:pos="9026" w:leader="dot"/>
            </w:tabs>
            <w:rPr/>
          </w:pPr>
          <w:hyperlink w:anchor="__RefHeading___Toc3300306_1468164448">
            <w:r>
              <w:rPr>
                <w:webHidden/>
                <w:rStyle w:val="IndexLink"/>
                <w:rtl w:val="true"/>
              </w:rPr>
              <w:t>أدلّة حجّیة قول اللغوی وتقییمها</w:t>
            </w:r>
            <w:r>
              <w:rPr>
                <w:rStyle w:val="IndexLink"/>
                <w:rtl w:val="true"/>
              </w:rPr>
              <w:tab/>
            </w:r>
            <w:r>
              <w:rPr>
                <w:rStyle w:val="IndexLink"/>
              </w:rPr>
              <w:t>255</w:t>
            </w:r>
          </w:hyperlink>
        </w:p>
        <w:p>
          <w:pPr>
            <w:pStyle w:val="Contents6"/>
            <w:tabs>
              <w:tab w:val="clear" w:pos="7609"/>
              <w:tab w:val="right" w:pos="9026" w:leader="dot"/>
            </w:tabs>
            <w:rPr/>
          </w:pPr>
          <w:hyperlink w:anchor="__RefHeading___Toc3300308_1468164448">
            <w:r>
              <w:rPr>
                <w:webHidden/>
                <w:rStyle w:val="IndexLink"/>
                <w:rtl w:val="true"/>
              </w:rPr>
              <w:t>ملاحظة حول الإشکال الأول</w:t>
            </w:r>
            <w:r>
              <w:rPr>
                <w:rStyle w:val="IndexLink"/>
                <w:rtl w:val="true"/>
              </w:rPr>
              <w:tab/>
            </w:r>
            <w:r>
              <w:rPr>
                <w:rStyle w:val="IndexLink"/>
              </w:rPr>
              <w:t>256</w:t>
            </w:r>
          </w:hyperlink>
        </w:p>
        <w:p>
          <w:pPr>
            <w:pStyle w:val="Contents6"/>
            <w:tabs>
              <w:tab w:val="clear" w:pos="7609"/>
              <w:tab w:val="right" w:pos="9026" w:leader="dot"/>
            </w:tabs>
            <w:rPr/>
          </w:pPr>
          <w:hyperlink w:anchor="__RefHeading___Toc3300310_1468164448">
            <w:r>
              <w:rPr>
                <w:webHidden/>
                <w:rStyle w:val="IndexLink"/>
                <w:rtl w:val="true"/>
              </w:rPr>
              <w:t>معنی الإطمئنان الشخصی</w:t>
            </w:r>
            <w:r>
              <w:rPr>
                <w:rStyle w:val="IndexLink"/>
                <w:rtl w:val="true"/>
              </w:rPr>
              <w:tab/>
            </w:r>
            <w:r>
              <w:rPr>
                <w:rStyle w:val="IndexLink"/>
              </w:rPr>
              <w:t>257</w:t>
            </w:r>
          </w:hyperlink>
        </w:p>
        <w:p>
          <w:pPr>
            <w:pStyle w:val="Contents6"/>
            <w:tabs>
              <w:tab w:val="clear" w:pos="7609"/>
              <w:tab w:val="right" w:pos="9026" w:leader="dot"/>
            </w:tabs>
            <w:rPr/>
          </w:pPr>
          <w:hyperlink w:anchor="__RefHeading___Toc3300312_1468164448">
            <w:r>
              <w:rPr>
                <w:webHidden/>
                <w:rStyle w:val="IndexLink"/>
                <w:rtl w:val="true"/>
              </w:rPr>
              <w:t>الأمارات العقلائیة المستجدّة</w:t>
            </w:r>
            <w:r>
              <w:rPr>
                <w:rStyle w:val="IndexLink"/>
                <w:rtl w:val="true"/>
              </w:rPr>
              <w:tab/>
            </w:r>
            <w:r>
              <w:rPr>
                <w:rStyle w:val="IndexLink"/>
              </w:rPr>
              <w:t>258</w:t>
            </w:r>
          </w:hyperlink>
        </w:p>
        <w:p>
          <w:pPr>
            <w:pStyle w:val="Contents6"/>
            <w:tabs>
              <w:tab w:val="clear" w:pos="7609"/>
              <w:tab w:val="right" w:pos="9026" w:leader="dot"/>
            </w:tabs>
            <w:rPr/>
          </w:pPr>
          <w:hyperlink w:anchor="__RefHeading___Toc3300314_1468164448">
            <w:r>
              <w:rPr>
                <w:webHidden/>
                <w:rStyle w:val="IndexLink"/>
                <w:rtl w:val="true"/>
              </w:rPr>
              <w:t>تخریج أصولی لحجّیتها</w:t>
            </w:r>
            <w:r>
              <w:rPr>
                <w:rStyle w:val="IndexLink"/>
                <w:rtl w:val="true"/>
              </w:rPr>
              <w:tab/>
            </w:r>
            <w:r>
              <w:rPr>
                <w:rStyle w:val="IndexLink"/>
              </w:rPr>
              <w:t>258</w:t>
            </w:r>
          </w:hyperlink>
        </w:p>
        <w:p>
          <w:pPr>
            <w:pStyle w:val="Contents6"/>
            <w:tabs>
              <w:tab w:val="clear" w:pos="7609"/>
              <w:tab w:val="right" w:pos="9026" w:leader="dot"/>
            </w:tabs>
            <w:rPr/>
          </w:pPr>
          <w:hyperlink w:anchor="__RefHeading___Toc3300316_1468164448">
            <w:r>
              <w:rPr>
                <w:webHidden/>
                <w:rStyle w:val="IndexLink"/>
                <w:rtl w:val="true"/>
              </w:rPr>
              <w:t>إمضاء الشارع هل یکون للکبری أو للصغری؟</w:t>
            </w:r>
            <w:r>
              <w:rPr>
                <w:rStyle w:val="IndexLink"/>
                <w:rtl w:val="true"/>
              </w:rPr>
              <w:tab/>
            </w:r>
            <w:r>
              <w:rPr>
                <w:rStyle w:val="IndexLink"/>
              </w:rPr>
              <w:t>258</w:t>
            </w:r>
          </w:hyperlink>
        </w:p>
        <w:p>
          <w:pPr>
            <w:pStyle w:val="Contents6"/>
            <w:tabs>
              <w:tab w:val="clear" w:pos="7609"/>
              <w:tab w:val="right" w:pos="9026" w:leader="dot"/>
            </w:tabs>
            <w:rPr/>
          </w:pPr>
          <w:hyperlink w:anchor="__RefHeading___Toc3300318_1468164448">
            <w:r>
              <w:rPr>
                <w:webHidden/>
                <w:rStyle w:val="IndexLink"/>
                <w:rtl w:val="true"/>
              </w:rPr>
              <w:t>شواهد دالّة علی إمضاء الکبری</w:t>
            </w:r>
            <w:r>
              <w:rPr>
                <w:rStyle w:val="IndexLink"/>
                <w:rtl w:val="true"/>
              </w:rPr>
              <w:tab/>
            </w:r>
            <w:r>
              <w:rPr>
                <w:rStyle w:val="IndexLink"/>
              </w:rPr>
              <w:t>259</w:t>
            </w:r>
          </w:hyperlink>
        </w:p>
        <w:p>
          <w:pPr>
            <w:pStyle w:val="Contents6"/>
            <w:tabs>
              <w:tab w:val="clear" w:pos="7609"/>
              <w:tab w:val="right" w:pos="9026" w:leader="dot"/>
            </w:tabs>
            <w:rPr/>
          </w:pPr>
          <w:hyperlink w:anchor="__RefHeading___Toc3300320_1468164448">
            <w:r>
              <w:rPr>
                <w:webHidden/>
                <w:rStyle w:val="IndexLink"/>
                <w:rtl w:val="true"/>
              </w:rPr>
              <w:t>تأثیر إحراز الملاک فی الإمضاء</w:t>
            </w:r>
            <w:r>
              <w:rPr>
                <w:rStyle w:val="IndexLink"/>
                <w:rtl w:val="true"/>
              </w:rPr>
              <w:tab/>
            </w:r>
            <w:r>
              <w:rPr>
                <w:rStyle w:val="IndexLink"/>
              </w:rPr>
              <w:t>260</w:t>
            </w:r>
          </w:hyperlink>
        </w:p>
        <w:p>
          <w:pPr>
            <w:pStyle w:val="Contents6"/>
            <w:tabs>
              <w:tab w:val="clear" w:pos="7609"/>
              <w:tab w:val="right" w:pos="9026" w:leader="dot"/>
            </w:tabs>
            <w:rPr/>
          </w:pPr>
          <w:hyperlink w:anchor="__RefHeading___Toc3300322_1468164448">
            <w:r>
              <w:rPr>
                <w:webHidden/>
                <w:rStyle w:val="IndexLink"/>
                <w:rtl w:val="true"/>
              </w:rPr>
              <w:t>تخطئة المصداق لا الملاک</w:t>
            </w:r>
            <w:r>
              <w:rPr>
                <w:rStyle w:val="IndexLink"/>
                <w:rtl w:val="true"/>
              </w:rPr>
              <w:tab/>
            </w:r>
            <w:r>
              <w:rPr>
                <w:rStyle w:val="IndexLink"/>
              </w:rPr>
              <w:t>260</w:t>
            </w:r>
          </w:hyperlink>
        </w:p>
        <w:p>
          <w:pPr>
            <w:pStyle w:val="Contents6"/>
            <w:tabs>
              <w:tab w:val="clear" w:pos="7609"/>
              <w:tab w:val="right" w:pos="9026" w:leader="dot"/>
            </w:tabs>
            <w:rPr/>
          </w:pPr>
          <w:hyperlink w:anchor="__RefHeading___Toc3300324_1468164448">
            <w:r>
              <w:rPr>
                <w:webHidden/>
                <w:rStyle w:val="IndexLink"/>
                <w:rtl w:val="true"/>
              </w:rPr>
              <w:t>حجّیة قول اللغوی من باب أنه من أهل الخبرة</w:t>
            </w:r>
            <w:r>
              <w:rPr>
                <w:rStyle w:val="IndexLink"/>
                <w:rtl w:val="true"/>
              </w:rPr>
              <w:tab/>
            </w:r>
            <w:r>
              <w:rPr>
                <w:rStyle w:val="IndexLink"/>
              </w:rPr>
              <w:t>261</w:t>
            </w:r>
          </w:hyperlink>
        </w:p>
        <w:p>
          <w:pPr>
            <w:pStyle w:val="Contents6"/>
            <w:tabs>
              <w:tab w:val="clear" w:pos="7609"/>
              <w:tab w:val="right" w:pos="9026" w:leader="dot"/>
            </w:tabs>
            <w:rPr/>
          </w:pPr>
          <w:hyperlink w:anchor="__RefHeading___Toc3300326_1468164448">
            <w:r>
              <w:rPr>
                <w:webHidden/>
                <w:rStyle w:val="IndexLink"/>
                <w:rtl w:val="true"/>
              </w:rPr>
              <w:t>الإمضاء لیس للإذعان بل لمنشأه</w:t>
            </w:r>
            <w:r>
              <w:rPr>
                <w:rStyle w:val="IndexLink"/>
                <w:rtl w:val="true"/>
              </w:rPr>
              <w:tab/>
            </w:r>
            <w:r>
              <w:rPr>
                <w:rStyle w:val="IndexLink"/>
              </w:rPr>
              <w:t>262</w:t>
            </w:r>
          </w:hyperlink>
        </w:p>
        <w:p>
          <w:pPr>
            <w:pStyle w:val="Contents6"/>
            <w:tabs>
              <w:tab w:val="clear" w:pos="7609"/>
              <w:tab w:val="right" w:pos="9026" w:leader="dot"/>
            </w:tabs>
            <w:rPr/>
          </w:pPr>
          <w:hyperlink w:anchor="__RefHeading___Toc3300328_1468164448">
            <w:r>
              <w:rPr>
                <w:webHidden/>
                <w:rStyle w:val="IndexLink"/>
                <w:rtl w:val="true"/>
              </w:rPr>
              <w:t>الخطأ فی تعبیر الإطمئنان الشخصی</w:t>
            </w:r>
            <w:r>
              <w:rPr>
                <w:rStyle w:val="IndexLink"/>
                <w:rtl w:val="true"/>
              </w:rPr>
              <w:tab/>
            </w:r>
            <w:r>
              <w:rPr>
                <w:rStyle w:val="IndexLink"/>
              </w:rPr>
              <w:t>262</w:t>
            </w:r>
          </w:hyperlink>
        </w:p>
        <w:p>
          <w:pPr>
            <w:pStyle w:val="Contents6"/>
            <w:tabs>
              <w:tab w:val="clear" w:pos="7609"/>
              <w:tab w:val="right" w:pos="9026" w:leader="dot"/>
            </w:tabs>
            <w:rPr/>
          </w:pPr>
          <w:hyperlink w:anchor="__RefHeading___Toc3300330_1468164448">
            <w:r>
              <w:rPr>
                <w:webHidden/>
                <w:rStyle w:val="IndexLink"/>
                <w:rtl w:val="true"/>
              </w:rPr>
              <w:t>قانون العقلاء شریعة کاملة</w:t>
            </w:r>
            <w:r>
              <w:rPr>
                <w:rStyle w:val="IndexLink"/>
                <w:rtl w:val="true"/>
              </w:rPr>
              <w:tab/>
            </w:r>
            <w:r>
              <w:rPr>
                <w:rStyle w:val="IndexLink"/>
              </w:rPr>
              <w:t>263</w:t>
            </w:r>
          </w:hyperlink>
        </w:p>
        <w:p>
          <w:pPr>
            <w:pStyle w:val="Contents6"/>
            <w:tabs>
              <w:tab w:val="clear" w:pos="7609"/>
              <w:tab w:val="right" w:pos="9026" w:leader="dot"/>
            </w:tabs>
            <w:rPr/>
          </w:pPr>
          <w:hyperlink w:anchor="__RefHeading___Toc3300332_1468164448">
            <w:r>
              <w:rPr>
                <w:webHidden/>
                <w:rStyle w:val="IndexLink"/>
                <w:rtl w:val="true"/>
              </w:rPr>
              <w:t>وجه إمضاء الکبری من خلال الصغری</w:t>
            </w:r>
            <w:r>
              <w:rPr>
                <w:rStyle w:val="IndexLink"/>
                <w:rtl w:val="true"/>
              </w:rPr>
              <w:tab/>
            </w:r>
            <w:r>
              <w:rPr>
                <w:rStyle w:val="IndexLink"/>
              </w:rPr>
              <w:t>263</w:t>
            </w:r>
          </w:hyperlink>
        </w:p>
        <w:p>
          <w:pPr>
            <w:pStyle w:val="Contents6"/>
            <w:tabs>
              <w:tab w:val="clear" w:pos="7609"/>
              <w:tab w:val="right" w:pos="9026" w:leader="dot"/>
            </w:tabs>
            <w:rPr/>
          </w:pPr>
          <w:hyperlink w:anchor="__RefHeading___Toc3300334_1468164448">
            <w:r>
              <w:rPr>
                <w:webHidden/>
                <w:rStyle w:val="IndexLink"/>
                <w:rtl w:val="true"/>
              </w:rPr>
              <w:t>الملاحظة علی الإشکال الثانی</w:t>
            </w:r>
            <w:r>
              <w:rPr>
                <w:rStyle w:val="IndexLink"/>
                <w:rtl w:val="true"/>
              </w:rPr>
              <w:tab/>
            </w:r>
            <w:r>
              <w:rPr>
                <w:rStyle w:val="IndexLink"/>
              </w:rPr>
              <w:t>264</w:t>
            </w:r>
          </w:hyperlink>
        </w:p>
        <w:p>
          <w:pPr>
            <w:pStyle w:val="Contents6"/>
            <w:tabs>
              <w:tab w:val="clear" w:pos="7609"/>
              <w:tab w:val="right" w:pos="9026" w:leader="dot"/>
            </w:tabs>
            <w:rPr/>
          </w:pPr>
          <w:hyperlink w:anchor="__RefHeading___Toc3300336_1468164448">
            <w:r>
              <w:rPr>
                <w:webHidden/>
                <w:rStyle w:val="IndexLink"/>
                <w:rtl w:val="true"/>
              </w:rPr>
              <w:t>الملاحظة علی الإشکال الثالث</w:t>
            </w:r>
            <w:r>
              <w:rPr>
                <w:rStyle w:val="IndexLink"/>
                <w:rtl w:val="true"/>
              </w:rPr>
              <w:tab/>
            </w:r>
            <w:r>
              <w:rPr>
                <w:rStyle w:val="IndexLink"/>
              </w:rPr>
              <w:t>264</w:t>
            </w:r>
          </w:hyperlink>
        </w:p>
        <w:p>
          <w:pPr>
            <w:pStyle w:val="Contents6"/>
            <w:tabs>
              <w:tab w:val="clear" w:pos="7609"/>
              <w:tab w:val="right" w:pos="9026" w:leader="dot"/>
            </w:tabs>
            <w:rPr/>
          </w:pPr>
          <w:hyperlink w:anchor="__RefHeading___Toc3300338_1468164448">
            <w:r>
              <w:rPr>
                <w:webHidden/>
                <w:rStyle w:val="IndexLink"/>
                <w:rtl w:val="true"/>
              </w:rPr>
              <w:t>الملاحظة علی الإشکال الرابع</w:t>
            </w:r>
            <w:r>
              <w:rPr>
                <w:rStyle w:val="IndexLink"/>
                <w:rtl w:val="true"/>
              </w:rPr>
              <w:tab/>
            </w:r>
            <w:r>
              <w:rPr>
                <w:rStyle w:val="IndexLink"/>
              </w:rPr>
              <w:t>265</w:t>
            </w:r>
          </w:hyperlink>
        </w:p>
        <w:p>
          <w:pPr>
            <w:pStyle w:val="Contents6"/>
            <w:tabs>
              <w:tab w:val="clear" w:pos="7609"/>
              <w:tab w:val="right" w:pos="9026" w:leader="dot"/>
            </w:tabs>
            <w:rPr/>
          </w:pPr>
          <w:hyperlink w:anchor="__RefHeading___Toc3300340_1468164448">
            <w:r>
              <w:rPr>
                <w:webHidden/>
                <w:rStyle w:val="IndexLink"/>
                <w:rtl w:val="true"/>
              </w:rPr>
              <w:t>أصناف سیر العقلاء</w:t>
            </w:r>
            <w:r>
              <w:rPr>
                <w:rStyle w:val="IndexLink"/>
                <w:rtl w:val="true"/>
              </w:rPr>
              <w:tab/>
            </w:r>
            <w:r>
              <w:rPr>
                <w:rStyle w:val="IndexLink"/>
              </w:rPr>
              <w:t>266</w:t>
            </w:r>
          </w:hyperlink>
        </w:p>
        <w:p>
          <w:pPr>
            <w:pStyle w:val="Contents3"/>
            <w:tabs>
              <w:tab w:val="clear" w:pos="8459"/>
              <w:tab w:val="right" w:pos="9026" w:leader="dot"/>
            </w:tabs>
            <w:rPr/>
          </w:pPr>
          <w:hyperlink w:anchor="__RefHeading___Toc3300342_1468164448">
            <w:r>
              <w:rPr>
                <w:webHidden/>
                <w:rStyle w:val="IndexLink"/>
              </w:rPr>
              <w:t>4</w:t>
            </w:r>
            <w:r>
              <w:rPr>
                <w:rStyle w:val="IndexLink"/>
                <w:rtl w:val="true"/>
              </w:rPr>
              <w:t xml:space="preserve"> . </w:t>
            </w:r>
            <w:r>
              <w:rPr>
                <w:rStyle w:val="IndexLink"/>
                <w:rtl w:val="true"/>
              </w:rPr>
              <w:t>الإجماع</w:t>
            </w:r>
            <w:r>
              <w:rPr>
                <w:rStyle w:val="IndexLink"/>
                <w:rtl w:val="true"/>
              </w:rPr>
              <w:tab/>
            </w:r>
            <w:r>
              <w:rPr>
                <w:rStyle w:val="IndexLink"/>
              </w:rPr>
              <w:t>267</w:t>
            </w:r>
          </w:hyperlink>
        </w:p>
        <w:p>
          <w:pPr>
            <w:pStyle w:val="Contents4"/>
            <w:tabs>
              <w:tab w:val="clear" w:pos="8176"/>
              <w:tab w:val="right" w:pos="9026" w:leader="dot"/>
            </w:tabs>
            <w:rPr/>
          </w:pPr>
          <w:hyperlink w:anchor="__RefHeading___Toc3300344_1468164448">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3300346_1468164448">
            <w:r>
              <w:rPr>
                <w:webHidden/>
                <w:rStyle w:val="IndexLink"/>
              </w:rPr>
              <w:t>1</w:t>
            </w:r>
            <w:r>
              <w:rPr>
                <w:rStyle w:val="IndexLink"/>
                <w:rtl w:val="true"/>
              </w:rPr>
              <w:t xml:space="preserve"> . </w:t>
            </w:r>
            <w:r>
              <w:rPr>
                <w:rStyle w:val="IndexLink"/>
                <w:rtl w:val="true"/>
              </w:rPr>
              <w:t>نقاط تمهیدیة فی الإجماع</w:t>
            </w:r>
            <w:r>
              <w:rPr>
                <w:rStyle w:val="IndexLink"/>
                <w:rtl w:val="true"/>
              </w:rPr>
              <w:tab/>
            </w:r>
            <w:r>
              <w:rPr>
                <w:rStyle w:val="IndexLink"/>
              </w:rPr>
              <w:t>268</w:t>
            </w:r>
          </w:hyperlink>
        </w:p>
        <w:p>
          <w:pPr>
            <w:pStyle w:val="Contents5"/>
            <w:tabs>
              <w:tab w:val="clear" w:pos="7892"/>
              <w:tab w:val="right" w:pos="9026" w:leader="dot"/>
            </w:tabs>
            <w:rPr/>
          </w:pPr>
          <w:hyperlink w:anchor="__RefHeading___Toc3300348_1468164448">
            <w:r>
              <w:rPr>
                <w:webHidden/>
                <w:rStyle w:val="IndexLink"/>
                <w:rtl w:val="true"/>
              </w:rPr>
              <w:t>الأولی</w:t>
            </w:r>
            <w:r>
              <w:rPr>
                <w:rStyle w:val="IndexLink"/>
                <w:rtl w:val="true"/>
              </w:rPr>
              <w:t xml:space="preserve">: </w:t>
            </w:r>
            <w:r>
              <w:rPr>
                <w:rStyle w:val="IndexLink"/>
                <w:rtl w:val="true"/>
              </w:rPr>
              <w:t>سرّ اختصاص البحث بالإجماع المنقول بخبر الواحد</w:t>
            </w:r>
            <w:r>
              <w:rPr>
                <w:rStyle w:val="IndexLink"/>
                <w:rtl w:val="true"/>
              </w:rPr>
              <w:tab/>
            </w:r>
            <w:r>
              <w:rPr>
                <w:rStyle w:val="IndexLink"/>
              </w:rPr>
              <w:t>268</w:t>
            </w:r>
          </w:hyperlink>
        </w:p>
        <w:p>
          <w:pPr>
            <w:pStyle w:val="Contents5"/>
            <w:tabs>
              <w:tab w:val="clear" w:pos="7892"/>
              <w:tab w:val="right" w:pos="9026" w:leader="dot"/>
            </w:tabs>
            <w:rPr/>
          </w:pPr>
          <w:hyperlink w:anchor="__RefHeading___Toc3300350_1468164448">
            <w:r>
              <w:rPr>
                <w:webHidden/>
                <w:rStyle w:val="IndexLink"/>
                <w:rtl w:val="true"/>
              </w:rPr>
              <w:t>الثانیة</w:t>
            </w:r>
            <w:r>
              <w:rPr>
                <w:rStyle w:val="IndexLink"/>
                <w:rtl w:val="true"/>
              </w:rPr>
              <w:t xml:space="preserve">: </w:t>
            </w:r>
            <w:r>
              <w:rPr>
                <w:rStyle w:val="IndexLink"/>
                <w:rtl w:val="true"/>
              </w:rPr>
              <w:t>دور المعصوم فی حجّیة الإجماع</w:t>
            </w:r>
            <w:r>
              <w:rPr>
                <w:rStyle w:val="IndexLink"/>
                <w:rtl w:val="true"/>
              </w:rPr>
              <w:tab/>
            </w:r>
            <w:r>
              <w:rPr>
                <w:rStyle w:val="IndexLink"/>
              </w:rPr>
              <w:t>269</w:t>
            </w:r>
          </w:hyperlink>
        </w:p>
        <w:p>
          <w:pPr>
            <w:pStyle w:val="Contents5"/>
            <w:tabs>
              <w:tab w:val="clear" w:pos="7892"/>
              <w:tab w:val="right" w:pos="9026" w:leader="dot"/>
            </w:tabs>
            <w:rPr/>
          </w:pPr>
          <w:hyperlink w:anchor="__RefHeading___Toc3300352_1468164448">
            <w:r>
              <w:rPr>
                <w:webHidden/>
                <w:rStyle w:val="IndexLink"/>
                <w:rtl w:val="true"/>
              </w:rPr>
              <w:t>الثالثة</w:t>
            </w:r>
            <w:r>
              <w:rPr>
                <w:rStyle w:val="IndexLink"/>
                <w:rtl w:val="true"/>
              </w:rPr>
              <w:t xml:space="preserve">: </w:t>
            </w:r>
            <w:r>
              <w:rPr>
                <w:rStyle w:val="IndexLink"/>
                <w:rtl w:val="true"/>
              </w:rPr>
              <w:t>ما هو المنکشف بالإجماع؟</w:t>
            </w:r>
            <w:r>
              <w:rPr>
                <w:rStyle w:val="IndexLink"/>
                <w:rtl w:val="true"/>
              </w:rPr>
              <w:tab/>
            </w:r>
            <w:r>
              <w:rPr>
                <w:rStyle w:val="IndexLink"/>
              </w:rPr>
              <w:t>270</w:t>
            </w:r>
          </w:hyperlink>
        </w:p>
        <w:p>
          <w:pPr>
            <w:pStyle w:val="Contents5"/>
            <w:tabs>
              <w:tab w:val="clear" w:pos="7892"/>
              <w:tab w:val="right" w:pos="9026" w:leader="dot"/>
            </w:tabs>
            <w:rPr/>
          </w:pPr>
          <w:hyperlink w:anchor="__RefHeading___Toc3300354_1468164448">
            <w:r>
              <w:rPr>
                <w:webHidden/>
                <w:rStyle w:val="IndexLink"/>
                <w:rtl w:val="true"/>
              </w:rPr>
              <w:t>الرابعة</w:t>
            </w:r>
            <w:r>
              <w:rPr>
                <w:rStyle w:val="IndexLink"/>
                <w:rtl w:val="true"/>
              </w:rPr>
              <w:t xml:space="preserve">: </w:t>
            </w:r>
            <w:r>
              <w:rPr>
                <w:rStyle w:val="IndexLink"/>
                <w:rtl w:val="true"/>
              </w:rPr>
              <w:t>الإجماع فی الإستعمالات المختلفة</w:t>
            </w:r>
            <w:r>
              <w:rPr>
                <w:rStyle w:val="IndexLink"/>
                <w:rtl w:val="true"/>
              </w:rPr>
              <w:tab/>
            </w:r>
            <w:r>
              <w:rPr>
                <w:rStyle w:val="IndexLink"/>
              </w:rPr>
              <w:t>270</w:t>
            </w:r>
          </w:hyperlink>
        </w:p>
        <w:p>
          <w:pPr>
            <w:pStyle w:val="Contents5"/>
            <w:tabs>
              <w:tab w:val="clear" w:pos="7892"/>
              <w:tab w:val="right" w:pos="9026" w:leader="dot"/>
            </w:tabs>
            <w:rPr/>
          </w:pPr>
          <w:hyperlink w:anchor="__RefHeading___Toc3300356_1468164448">
            <w:r>
              <w:rPr>
                <w:webHidden/>
                <w:rStyle w:val="IndexLink"/>
                <w:rtl w:val="true"/>
              </w:rPr>
              <w:t>الخامسة</w:t>
            </w:r>
            <w:r>
              <w:rPr>
                <w:rStyle w:val="IndexLink"/>
                <w:rtl w:val="true"/>
              </w:rPr>
              <w:t xml:space="preserve">: </w:t>
            </w:r>
            <w:r>
              <w:rPr>
                <w:rStyle w:val="IndexLink"/>
                <w:rtl w:val="true"/>
              </w:rPr>
              <w:t>الإجماع القولی والعملی</w:t>
            </w:r>
            <w:r>
              <w:rPr>
                <w:rStyle w:val="IndexLink"/>
                <w:rtl w:val="true"/>
              </w:rPr>
              <w:tab/>
            </w:r>
            <w:r>
              <w:rPr>
                <w:rStyle w:val="IndexLink"/>
              </w:rPr>
              <w:t>271</w:t>
            </w:r>
          </w:hyperlink>
        </w:p>
        <w:p>
          <w:pPr>
            <w:pStyle w:val="Contents5"/>
            <w:tabs>
              <w:tab w:val="clear" w:pos="7892"/>
              <w:tab w:val="right" w:pos="9026" w:leader="dot"/>
            </w:tabs>
            <w:rPr/>
          </w:pPr>
          <w:hyperlink w:anchor="__RefHeading___Toc3300358_1468164448">
            <w:r>
              <w:rPr>
                <w:webHidden/>
                <w:rStyle w:val="IndexLink"/>
                <w:rtl w:val="true"/>
              </w:rPr>
              <w:t>السادسة</w:t>
            </w:r>
            <w:r>
              <w:rPr>
                <w:rStyle w:val="IndexLink"/>
                <w:rtl w:val="true"/>
              </w:rPr>
              <w:t xml:space="preserve">: </w:t>
            </w:r>
            <w:r>
              <w:rPr>
                <w:rStyle w:val="IndexLink"/>
                <w:rtl w:val="true"/>
              </w:rPr>
              <w:t>الإجماع منشأ خاص أو منشأ عام؟</w:t>
            </w:r>
            <w:r>
              <w:rPr>
                <w:rStyle w:val="IndexLink"/>
                <w:rtl w:val="true"/>
              </w:rPr>
              <w:tab/>
            </w:r>
            <w:r>
              <w:rPr>
                <w:rStyle w:val="IndexLink"/>
              </w:rPr>
              <w:t>271</w:t>
            </w:r>
          </w:hyperlink>
        </w:p>
        <w:p>
          <w:pPr>
            <w:pStyle w:val="Contents5"/>
            <w:tabs>
              <w:tab w:val="clear" w:pos="7892"/>
              <w:tab w:val="right" w:pos="9026" w:leader="dot"/>
            </w:tabs>
            <w:rPr/>
          </w:pPr>
          <w:hyperlink w:anchor="__RefHeading___Toc3300360_1468164448">
            <w:r>
              <w:rPr>
                <w:webHidden/>
                <w:rStyle w:val="IndexLink"/>
                <w:rtl w:val="true"/>
              </w:rPr>
              <w:t>السابعة</w:t>
            </w:r>
            <w:r>
              <w:rPr>
                <w:rStyle w:val="IndexLink"/>
                <w:rtl w:val="true"/>
              </w:rPr>
              <w:t xml:space="preserve">: </w:t>
            </w:r>
            <w:r>
              <w:rPr>
                <w:rStyle w:val="IndexLink"/>
                <w:rtl w:val="true"/>
              </w:rPr>
              <w:t>رتبة الإجماع فی الحجّیة</w:t>
            </w:r>
            <w:r>
              <w:rPr>
                <w:rStyle w:val="IndexLink"/>
                <w:rtl w:val="true"/>
              </w:rPr>
              <w:tab/>
            </w:r>
            <w:r>
              <w:rPr>
                <w:rStyle w:val="IndexLink"/>
              </w:rPr>
              <w:t>272</w:t>
            </w:r>
          </w:hyperlink>
        </w:p>
        <w:p>
          <w:pPr>
            <w:pStyle w:val="Contents6"/>
            <w:tabs>
              <w:tab w:val="clear" w:pos="7609"/>
              <w:tab w:val="right" w:pos="9026" w:leader="dot"/>
            </w:tabs>
            <w:rPr/>
          </w:pPr>
          <w:hyperlink w:anchor="__RefHeading___Toc3300362_1468164448">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3300364_1468164448">
            <w:r>
              <w:rPr>
                <w:webHidden/>
                <w:rStyle w:val="IndexLink"/>
                <w:rtl w:val="true"/>
              </w:rPr>
              <w:t>وراء کلِ‌ّ إجماعٍ دلیلٌ‌</w:t>
            </w:r>
            <w:r>
              <w:rPr>
                <w:rStyle w:val="IndexLink"/>
                <w:rtl w:val="true"/>
              </w:rPr>
              <w:tab/>
            </w:r>
            <w:r>
              <w:rPr>
                <w:rStyle w:val="IndexLink"/>
              </w:rPr>
              <w:t>272</w:t>
            </w:r>
          </w:hyperlink>
        </w:p>
        <w:p>
          <w:pPr>
            <w:pStyle w:val="Contents5"/>
            <w:tabs>
              <w:tab w:val="clear" w:pos="7892"/>
              <w:tab w:val="right" w:pos="9026" w:leader="dot"/>
            </w:tabs>
            <w:rPr/>
          </w:pPr>
          <w:hyperlink w:anchor="__RefHeading___Toc3300366_1468164448">
            <w:r>
              <w:rPr>
                <w:webHidden/>
                <w:rStyle w:val="IndexLink"/>
                <w:rtl w:val="true"/>
              </w:rPr>
              <w:t>الثامنة</w:t>
            </w:r>
            <w:r>
              <w:rPr>
                <w:rStyle w:val="IndexLink"/>
                <w:rtl w:val="true"/>
              </w:rPr>
              <w:t xml:space="preserve">: </w:t>
            </w:r>
            <w:r>
              <w:rPr>
                <w:rStyle w:val="IndexLink"/>
                <w:rtl w:val="true"/>
              </w:rPr>
              <w:t>الإجماع الکاشف عن السبب أو المسبب</w:t>
            </w:r>
            <w:r>
              <w:rPr>
                <w:rStyle w:val="IndexLink"/>
                <w:rtl w:val="true"/>
              </w:rPr>
              <w:tab/>
            </w:r>
            <w:r>
              <w:rPr>
                <w:rStyle w:val="IndexLink"/>
              </w:rPr>
              <w:t>273</w:t>
            </w:r>
          </w:hyperlink>
        </w:p>
        <w:p>
          <w:pPr>
            <w:pStyle w:val="Contents4"/>
            <w:tabs>
              <w:tab w:val="clear" w:pos="8176"/>
              <w:tab w:val="right" w:pos="9026" w:leader="dot"/>
            </w:tabs>
            <w:rPr/>
          </w:pPr>
          <w:hyperlink w:anchor="__RefHeading___Toc3300368_1468164448">
            <w:r>
              <w:rPr>
                <w:webHidden/>
                <w:rStyle w:val="IndexLink"/>
              </w:rPr>
              <w:t>2</w:t>
            </w:r>
            <w:r>
              <w:rPr>
                <w:rStyle w:val="IndexLink"/>
                <w:rtl w:val="true"/>
              </w:rPr>
              <w:t xml:space="preserve"> . </w:t>
            </w:r>
            <w:r>
              <w:rPr>
                <w:rStyle w:val="IndexLink"/>
                <w:rtl w:val="true"/>
              </w:rPr>
              <w:t>الإجماع المحصَّل</w:t>
            </w:r>
            <w:r>
              <w:rPr>
                <w:rStyle w:val="IndexLink"/>
                <w:rtl w:val="true"/>
              </w:rPr>
              <w:tab/>
            </w:r>
            <w:r>
              <w:rPr>
                <w:rStyle w:val="IndexLink"/>
              </w:rPr>
              <w:t>274</w:t>
            </w:r>
          </w:hyperlink>
        </w:p>
        <w:p>
          <w:pPr>
            <w:pStyle w:val="Contents5"/>
            <w:tabs>
              <w:tab w:val="clear" w:pos="7892"/>
              <w:tab w:val="right" w:pos="9026" w:leader="dot"/>
            </w:tabs>
            <w:rPr/>
          </w:pPr>
          <w:hyperlink w:anchor="__RefHeading___Toc3300370_1468164448">
            <w:r>
              <w:rPr>
                <w:webHidden/>
                <w:rStyle w:val="IndexLink"/>
                <w:rtl w:val="true"/>
              </w:rPr>
              <w:t>أدلّة حجّیة الإجماع المحصَّل بمعنی الإتفاق وتطابق الآراء بعضها مع البعض الآخر</w:t>
            </w:r>
            <w:r>
              <w:rPr>
                <w:rStyle w:val="IndexLink"/>
                <w:rtl w:val="true"/>
              </w:rPr>
              <w:tab/>
            </w:r>
            <w:r>
              <w:rPr>
                <w:rStyle w:val="IndexLink"/>
              </w:rPr>
              <w:t>274</w:t>
            </w:r>
          </w:hyperlink>
        </w:p>
        <w:p>
          <w:pPr>
            <w:pStyle w:val="Contents6"/>
            <w:tabs>
              <w:tab w:val="clear" w:pos="7609"/>
              <w:tab w:val="right" w:pos="9026" w:leader="dot"/>
            </w:tabs>
            <w:rPr/>
          </w:pPr>
          <w:hyperlink w:anchor="__RefHeading___Toc3300372_1468164448">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300374_1468164448">
            <w:r>
              <w:rPr>
                <w:webHidden/>
                <w:rStyle w:val="IndexLink"/>
                <w:rtl w:val="true"/>
              </w:rPr>
              <w:t>قاعدة اللطف</w:t>
            </w:r>
            <w:r>
              <w:rPr>
                <w:rStyle w:val="IndexLink"/>
                <w:rtl w:val="true"/>
              </w:rPr>
              <w:tab/>
            </w:r>
            <w:r>
              <w:rPr>
                <w:rStyle w:val="IndexLink"/>
              </w:rPr>
              <w:t>275</w:t>
            </w:r>
          </w:hyperlink>
        </w:p>
        <w:p>
          <w:pPr>
            <w:pStyle w:val="Contents6"/>
            <w:tabs>
              <w:tab w:val="clear" w:pos="7609"/>
              <w:tab w:val="right" w:pos="9026" w:leader="dot"/>
            </w:tabs>
            <w:rPr/>
          </w:pPr>
          <w:hyperlink w:anchor="__RefHeading___Toc3300376_1468164448">
            <w:r>
              <w:rPr>
                <w:webHidden/>
                <w:rStyle w:val="IndexLink"/>
                <w:rtl w:val="true"/>
              </w:rPr>
              <w:t>مناقشة السیّد المرتضی فی قاعدة اللطف</w:t>
            </w:r>
            <w:r>
              <w:rPr>
                <w:rStyle w:val="IndexLink"/>
                <w:rtl w:val="true"/>
              </w:rPr>
              <w:tab/>
            </w:r>
            <w:r>
              <w:rPr>
                <w:rStyle w:val="IndexLink"/>
              </w:rPr>
              <w:t>275</w:t>
            </w:r>
          </w:hyperlink>
        </w:p>
        <w:p>
          <w:pPr>
            <w:pStyle w:val="Contents6"/>
            <w:tabs>
              <w:tab w:val="clear" w:pos="7609"/>
              <w:tab w:val="right" w:pos="9026" w:leader="dot"/>
            </w:tabs>
            <w:rPr/>
          </w:pPr>
          <w:hyperlink w:anchor="__RefHeading___Toc3300378_1468164448">
            <w:r>
              <w:rPr>
                <w:webHidden/>
                <w:rStyle w:val="IndexLink"/>
                <w:rtl w:val="true"/>
              </w:rPr>
              <w:t>دلیل تراکم القرائن</w:t>
            </w:r>
            <w:r>
              <w:rPr>
                <w:rStyle w:val="IndexLink"/>
                <w:rtl w:val="true"/>
              </w:rPr>
              <w:tab/>
            </w:r>
            <w:r>
              <w:rPr>
                <w:rStyle w:val="IndexLink"/>
              </w:rPr>
              <w:t>277</w:t>
            </w:r>
          </w:hyperlink>
        </w:p>
        <w:p>
          <w:pPr>
            <w:pStyle w:val="Contents6"/>
            <w:tabs>
              <w:tab w:val="clear" w:pos="7609"/>
              <w:tab w:val="right" w:pos="9026" w:leader="dot"/>
            </w:tabs>
            <w:rPr/>
          </w:pPr>
          <w:hyperlink w:anchor="__RefHeading___Toc3300380_1468164448">
            <w:r>
              <w:rPr>
                <w:webHidden/>
                <w:rStyle w:val="IndexLink"/>
                <w:rtl w:val="true"/>
              </w:rPr>
              <w:t>شروط کشف الإجماع عن وجود نص خفی علینا</w:t>
            </w:r>
            <w:r>
              <w:rPr>
                <w:rStyle w:val="IndexLink"/>
                <w:rtl w:val="true"/>
              </w:rPr>
              <w:tab/>
            </w:r>
            <w:r>
              <w:rPr>
                <w:rStyle w:val="IndexLink"/>
              </w:rPr>
              <w:t>277</w:t>
            </w:r>
          </w:hyperlink>
        </w:p>
        <w:p>
          <w:pPr>
            <w:pStyle w:val="Contents6"/>
            <w:tabs>
              <w:tab w:val="clear" w:pos="7609"/>
              <w:tab w:val="right" w:pos="9026" w:leader="dot"/>
            </w:tabs>
            <w:rPr/>
          </w:pPr>
          <w:hyperlink w:anchor="__RefHeading___Toc3300382_1468164448">
            <w:r>
              <w:rPr>
                <w:webHidden/>
                <w:rStyle w:val="IndexLink"/>
                <w:rtl w:val="true"/>
              </w:rPr>
              <w:t>قرائن تزید درجة الکشف المزبور</w:t>
            </w:r>
            <w:r>
              <w:rPr>
                <w:rStyle w:val="IndexLink"/>
                <w:rtl w:val="true"/>
              </w:rPr>
              <w:tab/>
            </w:r>
            <w:r>
              <w:rPr>
                <w:rStyle w:val="IndexLink"/>
              </w:rPr>
              <w:t>278</w:t>
            </w:r>
          </w:hyperlink>
        </w:p>
        <w:p>
          <w:pPr>
            <w:pStyle w:val="Contents6"/>
            <w:tabs>
              <w:tab w:val="clear" w:pos="7609"/>
              <w:tab w:val="right" w:pos="9026" w:leader="dot"/>
            </w:tabs>
            <w:rPr/>
          </w:pPr>
          <w:hyperlink w:anchor="__RefHeading___Toc3300384_1468164448">
            <w:r>
              <w:rPr>
                <w:webHidden/>
                <w:rStyle w:val="IndexLink"/>
                <w:rtl w:val="true"/>
              </w:rPr>
              <w:t>کاشفیة الإجماع عن السیرة</w:t>
            </w:r>
            <w:r>
              <w:rPr>
                <w:rStyle w:val="IndexLink"/>
                <w:rtl w:val="true"/>
              </w:rPr>
              <w:tab/>
            </w:r>
            <w:r>
              <w:rPr>
                <w:rStyle w:val="IndexLink"/>
              </w:rPr>
              <w:t>279</w:t>
            </w:r>
          </w:hyperlink>
        </w:p>
        <w:p>
          <w:pPr>
            <w:pStyle w:val="Contents6"/>
            <w:tabs>
              <w:tab w:val="clear" w:pos="7609"/>
              <w:tab w:val="right" w:pos="9026" w:leader="dot"/>
            </w:tabs>
            <w:rPr/>
          </w:pPr>
          <w:hyperlink w:anchor="__RefHeading___Toc3300386_1468164448">
            <w:r>
              <w:rPr>
                <w:webHidden/>
                <w:rStyle w:val="IndexLink"/>
                <w:rtl w:val="true"/>
              </w:rPr>
              <w:t>الحس الفقهی</w:t>
            </w:r>
            <w:r>
              <w:rPr>
                <w:rStyle w:val="IndexLink"/>
                <w:rtl w:val="true"/>
              </w:rPr>
              <w:tab/>
            </w:r>
            <w:r>
              <w:rPr>
                <w:rStyle w:val="IndexLink"/>
              </w:rPr>
              <w:t>280</w:t>
            </w:r>
          </w:hyperlink>
        </w:p>
        <w:p>
          <w:pPr>
            <w:pStyle w:val="Contents6"/>
            <w:tabs>
              <w:tab w:val="clear" w:pos="7609"/>
              <w:tab w:val="right" w:pos="9026" w:leader="dot"/>
            </w:tabs>
            <w:rPr/>
          </w:pPr>
          <w:hyperlink w:anchor="__RefHeading___Toc3300388_1468164448">
            <w:r>
              <w:rPr>
                <w:webHidden/>
                <w:rStyle w:val="IndexLink"/>
                <w:rtl w:val="true"/>
              </w:rPr>
              <w:t>موانع تضعف من درجة الکشف المزبور</w:t>
            </w:r>
            <w:r>
              <w:rPr>
                <w:rStyle w:val="IndexLink"/>
                <w:rtl w:val="true"/>
              </w:rPr>
              <w:tab/>
            </w:r>
            <w:r>
              <w:rPr>
                <w:rStyle w:val="IndexLink"/>
              </w:rPr>
              <w:t>280</w:t>
            </w:r>
          </w:hyperlink>
        </w:p>
        <w:p>
          <w:pPr>
            <w:pStyle w:val="Contents6"/>
            <w:tabs>
              <w:tab w:val="clear" w:pos="7609"/>
              <w:tab w:val="right" w:pos="9026" w:leader="dot"/>
            </w:tabs>
            <w:rPr/>
          </w:pPr>
          <w:hyperlink w:anchor="__RefHeading___Toc3300390_1468164448">
            <w:r>
              <w:rPr>
                <w:webHidden/>
                <w:rStyle w:val="IndexLink"/>
                <w:rtl w:val="true"/>
              </w:rPr>
              <w:t>إعمال النظر من المتقدّمین</w:t>
            </w:r>
            <w:r>
              <w:rPr>
                <w:rStyle w:val="IndexLink"/>
                <w:rtl w:val="true"/>
              </w:rPr>
              <w:tab/>
            </w:r>
            <w:r>
              <w:rPr>
                <w:rStyle w:val="IndexLink"/>
              </w:rPr>
              <w:t>281</w:t>
            </w:r>
          </w:hyperlink>
        </w:p>
        <w:p>
          <w:pPr>
            <w:pStyle w:val="Contents6"/>
            <w:tabs>
              <w:tab w:val="clear" w:pos="7609"/>
              <w:tab w:val="right" w:pos="9026" w:leader="dot"/>
            </w:tabs>
            <w:rPr/>
          </w:pPr>
          <w:hyperlink w:anchor="__RefHeading___Toc3300392_1468164448">
            <w:r>
              <w:rPr>
                <w:webHidden/>
                <w:rStyle w:val="IndexLink"/>
                <w:rtl w:val="true"/>
              </w:rPr>
              <w:t>تکافؤ القرائن الموجبة للتقویة أو للتضعیف</w:t>
            </w:r>
            <w:r>
              <w:rPr>
                <w:rStyle w:val="IndexLink"/>
                <w:rtl w:val="true"/>
              </w:rPr>
              <w:tab/>
            </w:r>
            <w:r>
              <w:rPr>
                <w:rStyle w:val="IndexLink"/>
              </w:rPr>
              <w:t>282</w:t>
            </w:r>
          </w:hyperlink>
        </w:p>
        <w:p>
          <w:pPr>
            <w:pStyle w:val="Contents6"/>
            <w:tabs>
              <w:tab w:val="clear" w:pos="7609"/>
              <w:tab w:val="right" w:pos="9026" w:leader="dot"/>
            </w:tabs>
            <w:rPr/>
          </w:pPr>
          <w:hyperlink w:anchor="__RefHeading___Toc3300394_1468164448">
            <w:r>
              <w:rPr>
                <w:webHidden/>
                <w:rStyle w:val="IndexLink"/>
                <w:rtl w:val="true"/>
              </w:rPr>
              <w:t>التمسک بالروایات</w:t>
            </w:r>
            <w:r>
              <w:rPr>
                <w:rStyle w:val="IndexLink"/>
                <w:rtl w:val="true"/>
              </w:rPr>
              <w:tab/>
            </w:r>
            <w:r>
              <w:rPr>
                <w:rStyle w:val="IndexLink"/>
              </w:rPr>
              <w:t>282</w:t>
            </w:r>
          </w:hyperlink>
        </w:p>
        <w:p>
          <w:pPr>
            <w:pStyle w:val="Contents6"/>
            <w:tabs>
              <w:tab w:val="clear" w:pos="7609"/>
              <w:tab w:val="right" w:pos="9026" w:leader="dot"/>
            </w:tabs>
            <w:rPr/>
          </w:pPr>
          <w:hyperlink w:anchor="__RefHeading___Toc3300396_1468164448">
            <w:r>
              <w:rPr>
                <w:webHidden/>
                <w:rStyle w:val="IndexLink"/>
                <w:rtl w:val="true"/>
              </w:rPr>
              <w:t>هل یمکن الإستدلال علی حجّیة الإجماع بخبر الواحد؟</w:t>
            </w:r>
            <w:r>
              <w:rPr>
                <w:rStyle w:val="IndexLink"/>
                <w:rtl w:val="true"/>
              </w:rPr>
              <w:tab/>
            </w:r>
            <w:r>
              <w:rPr>
                <w:rStyle w:val="IndexLink"/>
              </w:rPr>
              <w:t>283</w:t>
            </w:r>
          </w:hyperlink>
        </w:p>
        <w:p>
          <w:pPr>
            <w:pStyle w:val="Contents6"/>
            <w:tabs>
              <w:tab w:val="clear" w:pos="7609"/>
              <w:tab w:val="right" w:pos="9026" w:leader="dot"/>
            </w:tabs>
            <w:rPr/>
          </w:pPr>
          <w:hyperlink w:anchor="__RefHeading___Toc3300398_1468164448">
            <w:r>
              <w:rPr>
                <w:webHidden/>
                <w:rStyle w:val="IndexLink"/>
                <w:rtl w:val="true"/>
              </w:rPr>
              <w:t>الترتب بین الحجج</w:t>
            </w:r>
            <w:r>
              <w:rPr>
                <w:rStyle w:val="IndexLink"/>
                <w:rtl w:val="true"/>
              </w:rPr>
              <w:tab/>
            </w:r>
            <w:r>
              <w:rPr>
                <w:rStyle w:val="IndexLink"/>
              </w:rPr>
              <w:t>284</w:t>
            </w:r>
          </w:hyperlink>
        </w:p>
        <w:p>
          <w:pPr>
            <w:pStyle w:val="Contents6"/>
            <w:tabs>
              <w:tab w:val="clear" w:pos="7609"/>
              <w:tab w:val="right" w:pos="9026" w:leader="dot"/>
            </w:tabs>
            <w:rPr/>
          </w:pPr>
          <w:hyperlink w:anchor="__RefHeading___Toc3300400_1468164448">
            <w:r>
              <w:rPr>
                <w:webHidden/>
                <w:rStyle w:val="IndexLink"/>
                <w:rtl w:val="true"/>
              </w:rPr>
              <w:t>ضرورة التناسب بین الدلیل وبین المدّعی</w:t>
            </w:r>
            <w:r>
              <w:rPr>
                <w:rStyle w:val="IndexLink"/>
                <w:rtl w:val="true"/>
              </w:rPr>
              <w:tab/>
            </w:r>
            <w:r>
              <w:rPr>
                <w:rStyle w:val="IndexLink"/>
              </w:rPr>
              <w:t>284</w:t>
            </w:r>
          </w:hyperlink>
        </w:p>
        <w:p>
          <w:pPr>
            <w:pStyle w:val="Contents6"/>
            <w:tabs>
              <w:tab w:val="clear" w:pos="7609"/>
              <w:tab w:val="right" w:pos="9026" w:leader="dot"/>
            </w:tabs>
            <w:rPr/>
          </w:pPr>
          <w:hyperlink w:anchor="__RefHeading___Toc3300402_1468164448">
            <w:r>
              <w:rPr>
                <w:webHidden/>
                <w:rStyle w:val="IndexLink"/>
                <w:rtl w:val="true"/>
              </w:rPr>
              <w:t>ضرورة التناسب بین مقام الثبوت وبین مقام الإثبات</w:t>
            </w:r>
            <w:r>
              <w:rPr>
                <w:rStyle w:val="IndexLink"/>
                <w:rtl w:val="true"/>
              </w:rPr>
              <w:tab/>
            </w:r>
            <w:r>
              <w:rPr>
                <w:rStyle w:val="IndexLink"/>
              </w:rPr>
              <w:t>285</w:t>
            </w:r>
          </w:hyperlink>
        </w:p>
        <w:p>
          <w:pPr>
            <w:pStyle w:val="Contents6"/>
            <w:tabs>
              <w:tab w:val="clear" w:pos="7609"/>
              <w:tab w:val="right" w:pos="9026" w:leader="dot"/>
            </w:tabs>
            <w:rPr/>
          </w:pPr>
          <w:hyperlink w:anchor="__RefHeading___Toc3300404_1468164448">
            <w:r>
              <w:rPr>
                <w:webHidden/>
                <w:rStyle w:val="IndexLink"/>
                <w:rtl w:val="true"/>
              </w:rPr>
              <w:t>لا یمکن إثبات حجّیة الإجماع السنّی بروایة</w:t>
            </w:r>
            <w:r>
              <w:rPr>
                <w:rStyle w:val="IndexLink"/>
                <w:rtl w:val="true"/>
              </w:rPr>
              <w:tab/>
            </w:r>
            <w:r>
              <w:rPr>
                <w:rStyle w:val="IndexLink"/>
              </w:rPr>
              <w:t>286</w:t>
            </w:r>
          </w:hyperlink>
        </w:p>
        <w:p>
          <w:pPr>
            <w:pStyle w:val="Contents4"/>
            <w:tabs>
              <w:tab w:val="clear" w:pos="8176"/>
              <w:tab w:val="right" w:pos="9026" w:leader="dot"/>
            </w:tabs>
            <w:rPr/>
          </w:pPr>
          <w:hyperlink w:anchor="__RefHeading___Toc3300406_1468164448">
            <w:r>
              <w:rPr>
                <w:webHidden/>
                <w:rStyle w:val="IndexLink"/>
              </w:rPr>
              <w:t>3</w:t>
            </w:r>
            <w:r>
              <w:rPr>
                <w:rStyle w:val="IndexLink"/>
                <w:rtl w:val="true"/>
              </w:rPr>
              <w:t xml:space="preserve"> . </w:t>
            </w:r>
            <w:r>
              <w:rPr>
                <w:rStyle w:val="IndexLink"/>
                <w:rtl w:val="true"/>
              </w:rPr>
              <w:t>الإجماع المنقول بخبر الواحد</w:t>
            </w:r>
            <w:r>
              <w:rPr>
                <w:rStyle w:val="IndexLink"/>
                <w:rtl w:val="true"/>
              </w:rPr>
              <w:tab/>
            </w:r>
            <w:r>
              <w:rPr>
                <w:rStyle w:val="IndexLink"/>
              </w:rPr>
              <w:t>288</w:t>
            </w:r>
          </w:hyperlink>
        </w:p>
        <w:p>
          <w:pPr>
            <w:pStyle w:val="Contents5"/>
            <w:tabs>
              <w:tab w:val="clear" w:pos="7892"/>
              <w:tab w:val="right" w:pos="9026" w:leader="dot"/>
            </w:tabs>
            <w:rPr/>
          </w:pPr>
          <w:hyperlink w:anchor="__RefHeading___Toc3300408_1468164448">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300410_1468164448">
            <w:r>
              <w:rPr>
                <w:webHidden/>
                <w:rStyle w:val="IndexLink"/>
                <w:rtl w:val="true"/>
              </w:rPr>
              <w:t>شرط حجیّة خبر الواحد</w:t>
            </w:r>
            <w:r>
              <w:rPr>
                <w:rStyle w:val="IndexLink"/>
                <w:rtl w:val="true"/>
              </w:rPr>
              <w:tab/>
            </w:r>
            <w:r>
              <w:rPr>
                <w:rStyle w:val="IndexLink"/>
              </w:rPr>
              <w:t>288</w:t>
            </w:r>
          </w:hyperlink>
        </w:p>
        <w:p>
          <w:pPr>
            <w:pStyle w:val="Contents6"/>
            <w:tabs>
              <w:tab w:val="clear" w:pos="7609"/>
              <w:tab w:val="right" w:pos="9026" w:leader="dot"/>
            </w:tabs>
            <w:rPr/>
          </w:pPr>
          <w:hyperlink w:anchor="__RefHeading___Toc3300412_1468164448">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3300414_1468164448">
            <w:r>
              <w:rPr>
                <w:webHidden/>
                <w:rStyle w:val="IndexLink"/>
                <w:rtl w:val="true"/>
              </w:rPr>
              <w:t>ما هو دلیل توفّر الشرطین فی حجّیة الخبر؟</w:t>
            </w:r>
            <w:r>
              <w:rPr>
                <w:rStyle w:val="IndexLink"/>
                <w:rtl w:val="true"/>
              </w:rPr>
              <w:tab/>
            </w:r>
            <w:r>
              <w:rPr>
                <w:rStyle w:val="IndexLink"/>
              </w:rPr>
              <w:t>288</w:t>
            </w:r>
          </w:hyperlink>
        </w:p>
        <w:p>
          <w:pPr>
            <w:pStyle w:val="Contents6"/>
            <w:tabs>
              <w:tab w:val="clear" w:pos="7609"/>
              <w:tab w:val="right" w:pos="9026" w:leader="dot"/>
            </w:tabs>
            <w:rPr/>
          </w:pPr>
          <w:hyperlink w:anchor="__RefHeading___Toc3300416_1468164448">
            <w:r>
              <w:rPr>
                <w:webHidden/>
                <w:rStyle w:val="IndexLink"/>
                <w:rtl w:val="true"/>
              </w:rPr>
              <w:t xml:space="preserve">رأی الشیخ الأعظم </w:t>
            </w:r>
            <w:r>
              <w:rPr>
                <w:rStyle w:val="IndexLink"/>
                <w:rtl w:val="true"/>
              </w:rPr>
              <w:t>(</w:t>
            </w:r>
            <w:r>
              <w:rPr>
                <w:rStyle w:val="IndexLink"/>
                <w:rtl w:val="true"/>
              </w:rPr>
              <w:t>رحمه الله</w:t>
            </w:r>
            <w:r>
              <w:rPr>
                <w:rStyle w:val="IndexLink"/>
                <w:rtl w:val="true"/>
              </w:rPr>
              <w:t>)</w:t>
              <w:tab/>
            </w:r>
            <w:r>
              <w:rPr>
                <w:rStyle w:val="IndexLink"/>
              </w:rPr>
              <w:t>289</w:t>
            </w:r>
          </w:hyperlink>
        </w:p>
        <w:p>
          <w:pPr>
            <w:pStyle w:val="Contents5"/>
            <w:tabs>
              <w:tab w:val="clear" w:pos="7892"/>
              <w:tab w:val="right" w:pos="9026" w:leader="dot"/>
            </w:tabs>
            <w:rPr/>
          </w:pPr>
          <w:hyperlink w:anchor="__RefHeading___Toc3300418_1468164448">
            <w:r>
              <w:rPr>
                <w:webHidden/>
                <w:rStyle w:val="IndexLink"/>
                <w:rtl w:val="true"/>
              </w:rPr>
              <w:t>عویصة فی حجّیة الخبر الناقل للإجماع</w:t>
            </w:r>
            <w:r>
              <w:rPr>
                <w:rStyle w:val="IndexLink"/>
                <w:rtl w:val="true"/>
              </w:rPr>
              <w:tab/>
            </w:r>
            <w:r>
              <w:rPr>
                <w:rStyle w:val="IndexLink"/>
              </w:rPr>
              <w:t>290</w:t>
            </w:r>
          </w:hyperlink>
        </w:p>
        <w:p>
          <w:pPr>
            <w:pStyle w:val="Contents6"/>
            <w:tabs>
              <w:tab w:val="clear" w:pos="7609"/>
              <w:tab w:val="right" w:pos="9026" w:leader="dot"/>
            </w:tabs>
            <w:rPr/>
          </w:pPr>
          <w:hyperlink w:anchor="__RefHeading___Toc3300420_1468164448">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3300422_1468164448">
            <w:r>
              <w:rPr>
                <w:webHidden/>
                <w:rStyle w:val="IndexLink"/>
                <w:rtl w:val="true"/>
              </w:rPr>
              <w:t>تسریة العویصة إلی موارد أخری</w:t>
            </w:r>
            <w:r>
              <w:rPr>
                <w:rStyle w:val="IndexLink"/>
                <w:rtl w:val="true"/>
              </w:rPr>
              <w:tab/>
            </w:r>
            <w:r>
              <w:rPr>
                <w:rStyle w:val="IndexLink"/>
              </w:rPr>
              <w:t>290</w:t>
            </w:r>
          </w:hyperlink>
        </w:p>
        <w:p>
          <w:pPr>
            <w:pStyle w:val="Contents6"/>
            <w:tabs>
              <w:tab w:val="clear" w:pos="7609"/>
              <w:tab w:val="right" w:pos="9026" w:leader="dot"/>
            </w:tabs>
            <w:rPr/>
          </w:pPr>
          <w:hyperlink w:anchor="__RefHeading___Toc3300424_1468164448">
            <w:r>
              <w:rPr>
                <w:webHidden/>
                <w:rStyle w:val="IndexLink"/>
                <w:rtl w:val="true"/>
              </w:rPr>
              <w:t>حلّ العویصة فی تلک الموارد</w:t>
            </w:r>
            <w:r>
              <w:rPr>
                <w:rStyle w:val="IndexLink"/>
                <w:rtl w:val="true"/>
              </w:rPr>
              <w:tab/>
            </w:r>
            <w:r>
              <w:rPr>
                <w:rStyle w:val="IndexLink"/>
              </w:rPr>
              <w:t>291</w:t>
            </w:r>
          </w:hyperlink>
        </w:p>
        <w:p>
          <w:pPr>
            <w:pStyle w:val="Contents6"/>
            <w:tabs>
              <w:tab w:val="clear" w:pos="7609"/>
              <w:tab w:val="right" w:pos="9026" w:leader="dot"/>
            </w:tabs>
            <w:rPr/>
          </w:pPr>
          <w:hyperlink w:anchor="__RefHeading___Toc3300426_1468164448">
            <w:r>
              <w:rPr>
                <w:webHidden/>
                <w:rStyle w:val="IndexLink"/>
                <w:rtl w:val="true"/>
              </w:rPr>
              <w:t>حلّ العویصة فی نقل الإجماع</w:t>
            </w:r>
            <w:r>
              <w:rPr>
                <w:rStyle w:val="IndexLink"/>
                <w:rtl w:val="true"/>
              </w:rPr>
              <w:tab/>
            </w:r>
            <w:r>
              <w:rPr>
                <w:rStyle w:val="IndexLink"/>
              </w:rPr>
              <w:t>291</w:t>
            </w:r>
          </w:hyperlink>
        </w:p>
        <w:p>
          <w:pPr>
            <w:pStyle w:val="Contents6"/>
            <w:tabs>
              <w:tab w:val="clear" w:pos="7609"/>
              <w:tab w:val="right" w:pos="9026" w:leader="dot"/>
            </w:tabs>
            <w:rPr/>
          </w:pPr>
          <w:hyperlink w:anchor="__RefHeading___Toc3300428_1468164448">
            <w:r>
              <w:rPr>
                <w:webHidden/>
                <w:rStyle w:val="IndexLink"/>
                <w:rtl w:val="true"/>
              </w:rPr>
              <w:t>التفصیل هو المختار</w:t>
            </w:r>
            <w:r>
              <w:rPr>
                <w:rStyle w:val="IndexLink"/>
                <w:rtl w:val="true"/>
              </w:rPr>
              <w:tab/>
            </w:r>
            <w:r>
              <w:rPr>
                <w:rStyle w:val="IndexLink"/>
              </w:rPr>
              <w:t>292</w:t>
            </w:r>
          </w:hyperlink>
        </w:p>
        <w:p>
          <w:pPr>
            <w:pStyle w:val="Contents5"/>
            <w:tabs>
              <w:tab w:val="clear" w:pos="7892"/>
              <w:tab w:val="right" w:pos="9026" w:leader="dot"/>
            </w:tabs>
            <w:rPr/>
          </w:pPr>
          <w:hyperlink w:anchor="__RefHeading___Toc3300430_1468164448">
            <w:r>
              <w:rPr>
                <w:webHidden/>
                <w:rStyle w:val="IndexLink"/>
                <w:rtl w:val="true"/>
              </w:rPr>
              <w:t>تنبیهات بحث الإجماع</w:t>
            </w:r>
            <w:r>
              <w:rPr>
                <w:rStyle w:val="IndexLink"/>
                <w:rtl w:val="true"/>
              </w:rPr>
              <w:tab/>
            </w:r>
            <w:r>
              <w:rPr>
                <w:rStyle w:val="IndexLink"/>
              </w:rPr>
              <w:t>293</w:t>
            </w:r>
          </w:hyperlink>
        </w:p>
        <w:p>
          <w:pPr>
            <w:pStyle w:val="Contents3"/>
            <w:tabs>
              <w:tab w:val="clear" w:pos="8459"/>
              <w:tab w:val="right" w:pos="9026" w:leader="dot"/>
            </w:tabs>
            <w:rPr/>
          </w:pPr>
          <w:hyperlink w:anchor="__RefHeading___Toc3300432_1468164448">
            <w:r>
              <w:rPr>
                <w:webHidden/>
                <w:rStyle w:val="IndexLink"/>
              </w:rPr>
              <w:t>5</w:t>
            </w:r>
            <w:r>
              <w:rPr>
                <w:rStyle w:val="IndexLink"/>
                <w:rtl w:val="true"/>
              </w:rPr>
              <w:t xml:space="preserve"> . </w:t>
            </w:r>
            <w:r>
              <w:rPr>
                <w:rStyle w:val="IndexLink"/>
                <w:rtl w:val="true"/>
              </w:rPr>
              <w:t>الشهرة</w:t>
            </w:r>
            <w:r>
              <w:rPr>
                <w:rStyle w:val="IndexLink"/>
                <w:rtl w:val="true"/>
              </w:rPr>
              <w:tab/>
            </w:r>
            <w:r>
              <w:rPr>
                <w:rStyle w:val="IndexLink"/>
              </w:rPr>
              <w:t>295</w:t>
            </w:r>
          </w:hyperlink>
        </w:p>
        <w:p>
          <w:pPr>
            <w:pStyle w:val="Contents4"/>
            <w:tabs>
              <w:tab w:val="clear" w:pos="8176"/>
              <w:tab w:val="right" w:pos="9026" w:leader="dot"/>
            </w:tabs>
            <w:rPr/>
          </w:pPr>
          <w:hyperlink w:anchor="__RefHeading___Toc3300434_1468164448">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3300436_1468164448">
            <w:r>
              <w:rPr>
                <w:webHidden/>
                <w:rStyle w:val="IndexLink"/>
                <w:rtl w:val="true"/>
              </w:rPr>
              <w:t>مصبّ البحث</w:t>
            </w:r>
            <w:r>
              <w:rPr>
                <w:rStyle w:val="IndexLink"/>
                <w:rtl w:val="true"/>
              </w:rPr>
              <w:tab/>
            </w:r>
            <w:r>
              <w:rPr>
                <w:rStyle w:val="IndexLink"/>
              </w:rPr>
              <w:t>296</w:t>
            </w:r>
          </w:hyperlink>
        </w:p>
        <w:p>
          <w:pPr>
            <w:pStyle w:val="Contents4"/>
            <w:tabs>
              <w:tab w:val="clear" w:pos="8176"/>
              <w:tab w:val="right" w:pos="9026" w:leader="dot"/>
            </w:tabs>
            <w:rPr/>
          </w:pPr>
          <w:hyperlink w:anchor="__RefHeading___Toc3300438_1468164448">
            <w:r>
              <w:rPr>
                <w:webHidden/>
                <w:rStyle w:val="IndexLink"/>
              </w:rPr>
              <w:t>1</w:t>
            </w:r>
            <w:r>
              <w:rPr>
                <w:rStyle w:val="IndexLink"/>
                <w:rtl w:val="true"/>
              </w:rPr>
              <w:t xml:space="preserve"> . </w:t>
            </w:r>
            <w:r>
              <w:rPr>
                <w:rStyle w:val="IndexLink"/>
                <w:rtl w:val="true"/>
              </w:rPr>
              <w:t>أقسام الشهرة</w:t>
            </w:r>
            <w:r>
              <w:rPr>
                <w:rStyle w:val="IndexLink"/>
                <w:rtl w:val="true"/>
              </w:rPr>
              <w:tab/>
            </w:r>
            <w:r>
              <w:rPr>
                <w:rStyle w:val="IndexLink"/>
              </w:rPr>
              <w:t>297</w:t>
            </w:r>
          </w:hyperlink>
        </w:p>
        <w:p>
          <w:pPr>
            <w:pStyle w:val="Contents4"/>
            <w:tabs>
              <w:tab w:val="clear" w:pos="8176"/>
              <w:tab w:val="right" w:pos="9026" w:leader="dot"/>
            </w:tabs>
            <w:rPr/>
          </w:pPr>
          <w:hyperlink w:anchor="__RefHeading___Toc3300440_1468164448">
            <w:r>
              <w:rPr>
                <w:webHidden/>
                <w:rStyle w:val="IndexLink"/>
              </w:rPr>
              <w:t>2</w:t>
            </w:r>
            <w:r>
              <w:rPr>
                <w:rStyle w:val="IndexLink"/>
                <w:rtl w:val="true"/>
              </w:rPr>
              <w:t xml:space="preserve"> . </w:t>
            </w:r>
            <w:r>
              <w:rPr>
                <w:rStyle w:val="IndexLink"/>
                <w:rtl w:val="true"/>
              </w:rPr>
              <w:t>أدلّة حجّیة الشهرة وتقییمها</w:t>
            </w:r>
            <w:r>
              <w:rPr>
                <w:rStyle w:val="IndexLink"/>
                <w:rtl w:val="true"/>
              </w:rPr>
              <w:tab/>
            </w:r>
            <w:r>
              <w:rPr>
                <w:rStyle w:val="IndexLink"/>
              </w:rPr>
              <w:t>298</w:t>
            </w:r>
          </w:hyperlink>
        </w:p>
        <w:p>
          <w:pPr>
            <w:pStyle w:val="Contents5"/>
            <w:tabs>
              <w:tab w:val="clear" w:pos="7892"/>
              <w:tab w:val="right" w:pos="9026" w:leader="dot"/>
            </w:tabs>
            <w:rPr/>
          </w:pPr>
          <w:hyperlink w:anchor="__RefHeading___Toc3300442_1468164448">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3300444_1468164448">
            <w:r>
              <w:rPr>
                <w:webHidden/>
                <w:rStyle w:val="IndexLink"/>
                <w:rtl w:val="true"/>
              </w:rPr>
              <w:t>عدم دلالة المقبولة علی الحجیّة المستقلة للشهرة الفتوائیة</w:t>
            </w:r>
            <w:r>
              <w:rPr>
                <w:rStyle w:val="IndexLink"/>
                <w:rtl w:val="true"/>
              </w:rPr>
              <w:tab/>
            </w:r>
            <w:r>
              <w:rPr>
                <w:rStyle w:val="IndexLink"/>
              </w:rPr>
              <w:t>300</w:t>
            </w:r>
          </w:hyperlink>
        </w:p>
        <w:p>
          <w:pPr>
            <w:pStyle w:val="Contents5"/>
            <w:tabs>
              <w:tab w:val="clear" w:pos="7892"/>
              <w:tab w:val="right" w:pos="9026" w:leader="dot"/>
            </w:tabs>
            <w:rPr/>
          </w:pPr>
          <w:hyperlink w:anchor="__RefHeading___Toc3300446_1468164448">
            <w:r>
              <w:rPr>
                <w:webHidden/>
                <w:rStyle w:val="IndexLink"/>
                <w:rtl w:val="true"/>
              </w:rPr>
              <w:t>دعوی وحدة الملاک فی حجّیة الخبر وحجّیة الشهرة الفتوائیة</w:t>
            </w:r>
            <w:r>
              <w:rPr>
                <w:rStyle w:val="IndexLink"/>
                <w:rtl w:val="true"/>
              </w:rPr>
              <w:tab/>
            </w:r>
            <w:r>
              <w:rPr>
                <w:rStyle w:val="IndexLink"/>
              </w:rPr>
              <w:t>301</w:t>
            </w:r>
          </w:hyperlink>
        </w:p>
        <w:p>
          <w:pPr>
            <w:pStyle w:val="Contents5"/>
            <w:tabs>
              <w:tab w:val="clear" w:pos="7892"/>
              <w:tab w:val="right" w:pos="9026" w:leader="dot"/>
            </w:tabs>
            <w:rPr/>
          </w:pPr>
          <w:hyperlink w:anchor="__RefHeading___Toc3300448_1468164448">
            <w:r>
              <w:rPr>
                <w:webHidden/>
                <w:rStyle w:val="IndexLink"/>
                <w:rtl w:val="true"/>
              </w:rPr>
              <w:t>أدلّة عدم حجّیة الشهرة</w:t>
            </w:r>
            <w:r>
              <w:rPr>
                <w:rStyle w:val="IndexLink"/>
                <w:rtl w:val="true"/>
              </w:rPr>
              <w:tab/>
            </w:r>
            <w:r>
              <w:rPr>
                <w:rStyle w:val="IndexLink"/>
              </w:rPr>
              <w:t>301</w:t>
            </w:r>
          </w:hyperlink>
        </w:p>
        <w:p>
          <w:pPr>
            <w:pStyle w:val="Contents6"/>
            <w:tabs>
              <w:tab w:val="clear" w:pos="7609"/>
              <w:tab w:val="right" w:pos="9026" w:leader="dot"/>
            </w:tabs>
            <w:rPr/>
          </w:pPr>
          <w:hyperlink w:anchor="__RefHeading___Toc3300450_1468164448">
            <w:r>
              <w:rPr>
                <w:webHidden/>
                <w:rStyle w:val="IndexLink"/>
                <w:rtl w:val="true"/>
              </w:rPr>
              <w:t>(</w:t>
            </w:r>
            <w:r>
              <w:rPr>
                <w:rStyle w:val="IndexLink"/>
              </w:rPr>
              <w:t>1</w:t>
            </w:r>
            <w:r>
              <w:rPr>
                <w:rStyle w:val="IndexLink"/>
                <w:rtl w:val="true"/>
              </w:rPr>
              <w:t xml:space="preserve"> ) </w:t>
            </w:r>
            <w:r>
              <w:rPr>
                <w:rStyle w:val="IndexLink"/>
                <w:rtl w:val="true"/>
              </w:rPr>
              <w:t>استدلال النراقی علی عدم حجّیة الشهرة</w:t>
            </w:r>
            <w:r>
              <w:rPr>
                <w:rStyle w:val="IndexLink"/>
                <w:rtl w:val="true"/>
              </w:rPr>
              <w:tab/>
            </w:r>
            <w:r>
              <w:rPr>
                <w:rStyle w:val="IndexLink"/>
              </w:rPr>
              <w:t>301</w:t>
            </w:r>
          </w:hyperlink>
        </w:p>
        <w:p>
          <w:pPr>
            <w:pStyle w:val="Contents6"/>
            <w:tabs>
              <w:tab w:val="clear" w:pos="7609"/>
              <w:tab w:val="right" w:pos="9026" w:leader="dot"/>
            </w:tabs>
            <w:rPr/>
          </w:pPr>
          <w:hyperlink w:anchor="__RefHeading___Toc3300452_1468164448">
            <w:r>
              <w:rPr>
                <w:webHidden/>
                <w:rStyle w:val="IndexLink"/>
                <w:rtl w:val="true"/>
              </w:rPr>
              <w:t>ملاحظة نقدیة من النراقی</w:t>
            </w:r>
            <w:r>
              <w:rPr>
                <w:rStyle w:val="IndexLink"/>
                <w:rtl w:val="true"/>
              </w:rPr>
              <w:tab/>
            </w:r>
            <w:r>
              <w:rPr>
                <w:rStyle w:val="IndexLink"/>
              </w:rPr>
              <w:t>302</w:t>
            </w:r>
          </w:hyperlink>
        </w:p>
        <w:p>
          <w:pPr>
            <w:pStyle w:val="Contents6"/>
            <w:tabs>
              <w:tab w:val="clear" w:pos="7609"/>
              <w:tab w:val="right" w:pos="9026" w:leader="dot"/>
            </w:tabs>
            <w:rPr/>
          </w:pPr>
          <w:hyperlink w:anchor="__RefHeading___Toc3300454_1468164448">
            <w:r>
              <w:rPr>
                <w:webHidden/>
                <w:rStyle w:val="IndexLink"/>
                <w:rtl w:val="true"/>
              </w:rPr>
              <w:t>إجابة عن إشکال النراقی</w:t>
            </w:r>
            <w:r>
              <w:rPr>
                <w:rStyle w:val="IndexLink"/>
                <w:rtl w:val="true"/>
              </w:rPr>
              <w:tab/>
            </w:r>
            <w:r>
              <w:rPr>
                <w:rStyle w:val="IndexLink"/>
              </w:rPr>
              <w:t>302</w:t>
            </w:r>
          </w:hyperlink>
        </w:p>
        <w:p>
          <w:pPr>
            <w:pStyle w:val="Contents6"/>
            <w:tabs>
              <w:tab w:val="clear" w:pos="7609"/>
              <w:tab w:val="right" w:pos="9026" w:leader="dot"/>
            </w:tabs>
            <w:rPr/>
          </w:pPr>
          <w:hyperlink w:anchor="__RefHeading___Toc3300456_1468164448">
            <w:r>
              <w:rPr>
                <w:webHidden/>
                <w:rStyle w:val="IndexLink"/>
                <w:rtl w:val="true"/>
              </w:rPr>
              <w:t>ملاحظة أخری علی الإستدلال</w:t>
            </w:r>
            <w:r>
              <w:rPr>
                <w:rStyle w:val="IndexLink"/>
                <w:rtl w:val="true"/>
              </w:rPr>
              <w:tab/>
            </w:r>
            <w:r>
              <w:rPr>
                <w:rStyle w:val="IndexLink"/>
              </w:rPr>
              <w:t>302</w:t>
            </w:r>
          </w:hyperlink>
        </w:p>
        <w:p>
          <w:pPr>
            <w:pStyle w:val="Contents6"/>
            <w:tabs>
              <w:tab w:val="clear" w:pos="7609"/>
              <w:tab w:val="right" w:pos="9026" w:leader="dot"/>
            </w:tabs>
            <w:rPr/>
          </w:pPr>
          <w:hyperlink w:anchor="__RefHeading___Toc3300458_1468164448">
            <w:r>
              <w:rPr>
                <w:webHidden/>
                <w:rStyle w:val="IndexLink"/>
                <w:rtl w:val="true"/>
              </w:rPr>
              <w:t>وجاهة إستدلاله</w:t>
            </w:r>
            <w:r>
              <w:rPr>
                <w:rStyle w:val="IndexLink"/>
                <w:rtl w:val="true"/>
              </w:rPr>
              <w:tab/>
            </w:r>
            <w:r>
              <w:rPr>
                <w:rStyle w:val="IndexLink"/>
              </w:rPr>
              <w:t>302</w:t>
            </w:r>
          </w:hyperlink>
        </w:p>
        <w:p>
          <w:pPr>
            <w:pStyle w:val="Contents6"/>
            <w:tabs>
              <w:tab w:val="clear" w:pos="7609"/>
              <w:tab w:val="right" w:pos="9026" w:leader="dot"/>
            </w:tabs>
            <w:rPr/>
          </w:pPr>
          <w:hyperlink w:anchor="__RefHeading___Toc3300460_1468164448">
            <w:r>
              <w:rPr>
                <w:webHidden/>
                <w:rStyle w:val="IndexLink"/>
                <w:rtl w:val="true"/>
              </w:rPr>
              <w:t>(</w:t>
            </w:r>
            <w:r>
              <w:rPr>
                <w:rStyle w:val="IndexLink"/>
              </w:rPr>
              <w:t>2</w:t>
            </w:r>
            <w:r>
              <w:rPr>
                <w:rStyle w:val="IndexLink"/>
                <w:rtl w:val="true"/>
              </w:rPr>
              <w:t xml:space="preserve"> ) </w:t>
            </w:r>
            <w:r>
              <w:rPr>
                <w:rStyle w:val="IndexLink"/>
                <w:rtl w:val="true"/>
              </w:rPr>
              <w:t>القول بحجّیتها یستلزم عدم حجّیتها</w:t>
            </w:r>
            <w:r>
              <w:rPr>
                <w:rStyle w:val="IndexLink"/>
                <w:rtl w:val="true"/>
              </w:rPr>
              <w:tab/>
            </w:r>
            <w:r>
              <w:rPr>
                <w:rStyle w:val="IndexLink"/>
              </w:rPr>
              <w:t>303</w:t>
            </w:r>
          </w:hyperlink>
        </w:p>
        <w:p>
          <w:pPr>
            <w:pStyle w:val="Contents6"/>
            <w:tabs>
              <w:tab w:val="clear" w:pos="7609"/>
              <w:tab w:val="right" w:pos="9026" w:leader="dot"/>
            </w:tabs>
            <w:rPr/>
          </w:pPr>
          <w:hyperlink w:anchor="__RefHeading___Toc3300462_1468164448">
            <w:r>
              <w:rPr>
                <w:webHidden/>
                <w:rStyle w:val="IndexLink"/>
                <w:rtl w:val="true"/>
              </w:rPr>
              <w:t>(</w:t>
            </w:r>
            <w:r>
              <w:rPr>
                <w:rStyle w:val="IndexLink"/>
              </w:rPr>
              <w:t>3</w:t>
            </w:r>
            <w:r>
              <w:rPr>
                <w:rStyle w:val="IndexLink"/>
                <w:rtl w:val="true"/>
              </w:rPr>
              <w:t xml:space="preserve"> ) </w:t>
            </w:r>
            <w:r>
              <w:rPr>
                <w:rStyle w:val="IndexLink"/>
                <w:rtl w:val="true"/>
              </w:rPr>
              <w:t>عدم إمکان إثبات حجّیتها بروایة واحدة</w:t>
            </w:r>
            <w:r>
              <w:rPr>
                <w:rStyle w:val="IndexLink"/>
                <w:rtl w:val="true"/>
              </w:rPr>
              <w:tab/>
            </w:r>
            <w:r>
              <w:rPr>
                <w:rStyle w:val="IndexLink"/>
              </w:rPr>
              <w:t>303</w:t>
            </w:r>
          </w:hyperlink>
        </w:p>
        <w:p>
          <w:pPr>
            <w:pStyle w:val="Contents4"/>
            <w:tabs>
              <w:tab w:val="clear" w:pos="8176"/>
              <w:tab w:val="right" w:pos="9026" w:leader="dot"/>
            </w:tabs>
            <w:rPr/>
          </w:pPr>
          <w:hyperlink w:anchor="__RefHeading___Toc3300464_1468164448">
            <w:r>
              <w:rPr>
                <w:webHidden/>
                <w:rStyle w:val="IndexLink"/>
              </w:rPr>
              <w:t>3</w:t>
            </w:r>
            <w:r>
              <w:rPr>
                <w:rStyle w:val="IndexLink"/>
                <w:rtl w:val="true"/>
              </w:rPr>
              <w:t xml:space="preserve"> . </w:t>
            </w:r>
            <w:r>
              <w:rPr>
                <w:rStyle w:val="IndexLink"/>
                <w:rtl w:val="true"/>
              </w:rPr>
              <w:t>جابریة الشهرة وکاسریتها</w:t>
            </w:r>
            <w:r>
              <w:rPr>
                <w:rStyle w:val="IndexLink"/>
                <w:rtl w:val="true"/>
              </w:rPr>
              <w:tab/>
            </w:r>
            <w:r>
              <w:rPr>
                <w:rStyle w:val="IndexLink"/>
              </w:rPr>
              <w:t>304</w:t>
            </w:r>
          </w:hyperlink>
        </w:p>
        <w:p>
          <w:pPr>
            <w:pStyle w:val="Contents5"/>
            <w:tabs>
              <w:tab w:val="clear" w:pos="7892"/>
              <w:tab w:val="right" w:pos="9026" w:leader="dot"/>
            </w:tabs>
            <w:rPr/>
          </w:pPr>
          <w:hyperlink w:anchor="__RefHeading___Toc3300466_1468164448">
            <w:r>
              <w:rPr>
                <w:webHidden/>
                <w:rStyle w:val="IndexLink"/>
                <w:rtl w:val="true"/>
              </w:rPr>
              <w:t>تغایر ماهیة الشهرة الروائیة والعملیة مع ماهیة الشهرة الفتوائیة</w:t>
            </w:r>
            <w:r>
              <w:rPr>
                <w:rStyle w:val="IndexLink"/>
                <w:rtl w:val="true"/>
              </w:rPr>
              <w:tab/>
            </w:r>
            <w:r>
              <w:rPr>
                <w:rStyle w:val="IndexLink"/>
              </w:rPr>
              <w:t>304</w:t>
            </w:r>
          </w:hyperlink>
        </w:p>
        <w:p>
          <w:pPr>
            <w:pStyle w:val="Contents5"/>
            <w:tabs>
              <w:tab w:val="clear" w:pos="7892"/>
              <w:tab w:val="right" w:pos="9026" w:leader="dot"/>
            </w:tabs>
            <w:rPr/>
          </w:pPr>
          <w:hyperlink w:anchor="__RefHeading___Toc3300468_1468164448">
            <w:r>
              <w:rPr>
                <w:webHidden/>
                <w:rStyle w:val="IndexLink"/>
                <w:rtl w:val="true"/>
              </w:rPr>
              <w:t>معنی الجبر</w:t>
            </w:r>
            <w:r>
              <w:rPr>
                <w:rStyle w:val="IndexLink"/>
                <w:rtl w:val="true"/>
              </w:rPr>
              <w:tab/>
            </w:r>
            <w:r>
              <w:rPr>
                <w:rStyle w:val="IndexLink"/>
              </w:rPr>
              <w:t>304</w:t>
            </w:r>
          </w:hyperlink>
        </w:p>
        <w:p>
          <w:pPr>
            <w:pStyle w:val="Contents5"/>
            <w:tabs>
              <w:tab w:val="clear" w:pos="7892"/>
              <w:tab w:val="right" w:pos="9026" w:leader="dot"/>
            </w:tabs>
            <w:rPr/>
          </w:pPr>
          <w:hyperlink w:anchor="__RefHeading___Toc3300470_1468164448">
            <w:r>
              <w:rPr>
                <w:webHidden/>
                <w:rStyle w:val="IndexLink"/>
                <w:rtl w:val="true"/>
              </w:rPr>
              <w:t>عدم الملازمة بین الحجّیة المستقلة وغیر المستقلة</w:t>
            </w:r>
            <w:r>
              <w:rPr>
                <w:rStyle w:val="IndexLink"/>
                <w:rtl w:val="true"/>
              </w:rPr>
              <w:tab/>
            </w:r>
            <w:r>
              <w:rPr>
                <w:rStyle w:val="IndexLink"/>
              </w:rPr>
              <w:t>305</w:t>
            </w:r>
          </w:hyperlink>
        </w:p>
        <w:p>
          <w:pPr>
            <w:pStyle w:val="Contents5"/>
            <w:tabs>
              <w:tab w:val="clear" w:pos="7892"/>
              <w:tab w:val="right" w:pos="9026" w:leader="dot"/>
            </w:tabs>
            <w:rPr/>
          </w:pPr>
          <w:hyperlink w:anchor="__RefHeading___Toc3300472_1468164448">
            <w:r>
              <w:rPr>
                <w:webHidden/>
                <w:rStyle w:val="IndexLink"/>
                <w:rtl w:val="true"/>
              </w:rPr>
              <w:t>معنی حجّیة الشهرة</w:t>
            </w:r>
            <w:r>
              <w:rPr>
                <w:rStyle w:val="IndexLink"/>
                <w:rtl w:val="true"/>
              </w:rPr>
              <w:tab/>
            </w:r>
            <w:r>
              <w:rPr>
                <w:rStyle w:val="IndexLink"/>
              </w:rPr>
              <w:t>305</w:t>
            </w:r>
          </w:hyperlink>
        </w:p>
        <w:p>
          <w:pPr>
            <w:pStyle w:val="Contents6"/>
            <w:tabs>
              <w:tab w:val="clear" w:pos="7609"/>
              <w:tab w:val="right" w:pos="9026" w:leader="dot"/>
            </w:tabs>
            <w:rPr/>
          </w:pPr>
          <w:hyperlink w:anchor="__RefHeading___Toc3300474_1468164448">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300476_1468164448">
            <w:r>
              <w:rPr>
                <w:webHidden/>
                <w:rStyle w:val="IndexLink"/>
                <w:rtl w:val="true"/>
              </w:rPr>
              <w:t>تقریب لجابریة الشهرة</w:t>
            </w:r>
            <w:r>
              <w:rPr>
                <w:rStyle w:val="IndexLink"/>
                <w:rtl w:val="true"/>
              </w:rPr>
              <w:tab/>
            </w:r>
            <w:r>
              <w:rPr>
                <w:rStyle w:val="IndexLink"/>
              </w:rPr>
              <w:t>306</w:t>
            </w:r>
          </w:hyperlink>
        </w:p>
        <w:p>
          <w:pPr>
            <w:pStyle w:val="Contents6"/>
            <w:tabs>
              <w:tab w:val="clear" w:pos="7609"/>
              <w:tab w:val="right" w:pos="9026" w:leader="dot"/>
            </w:tabs>
            <w:rPr/>
          </w:pPr>
          <w:hyperlink w:anchor="__RefHeading___Toc3300478_1468164448">
            <w:r>
              <w:rPr>
                <w:webHidden/>
                <w:rStyle w:val="IndexLink"/>
                <w:rtl w:val="true"/>
              </w:rPr>
              <w:t>متعلّق الجبر والکسر</w:t>
            </w:r>
            <w:r>
              <w:rPr>
                <w:rStyle w:val="IndexLink"/>
                <w:rtl w:val="true"/>
              </w:rPr>
              <w:tab/>
            </w:r>
            <w:r>
              <w:rPr>
                <w:rStyle w:val="IndexLink"/>
              </w:rPr>
              <w:t>307</w:t>
            </w:r>
          </w:hyperlink>
        </w:p>
        <w:p>
          <w:pPr>
            <w:pStyle w:val="Contents6"/>
            <w:tabs>
              <w:tab w:val="clear" w:pos="7609"/>
              <w:tab w:val="right" w:pos="9026" w:leader="dot"/>
            </w:tabs>
            <w:rPr/>
          </w:pPr>
          <w:hyperlink w:anchor="__RefHeading___Toc3300480_1468164448">
            <w:r>
              <w:rPr>
                <w:webHidden/>
                <w:rStyle w:val="IndexLink"/>
                <w:rtl w:val="true"/>
              </w:rPr>
              <w:t>تصحیح ما قد قیل</w:t>
            </w:r>
            <w:r>
              <w:rPr>
                <w:rStyle w:val="IndexLink"/>
                <w:rtl w:val="true"/>
              </w:rPr>
              <w:tab/>
            </w:r>
            <w:r>
              <w:rPr>
                <w:rStyle w:val="IndexLink"/>
              </w:rPr>
              <w:t>307</w:t>
            </w:r>
          </w:hyperlink>
        </w:p>
        <w:p>
          <w:pPr>
            <w:pStyle w:val="Contents3"/>
            <w:tabs>
              <w:tab w:val="clear" w:pos="8459"/>
              <w:tab w:val="right" w:pos="9026" w:leader="dot"/>
            </w:tabs>
            <w:rPr/>
          </w:pPr>
          <w:hyperlink w:anchor="__RefHeading___Toc3300482_1468164448">
            <w:r>
              <w:rPr>
                <w:webHidden/>
                <w:rStyle w:val="IndexLink"/>
              </w:rPr>
              <w:t>6</w:t>
            </w:r>
            <w:r>
              <w:rPr>
                <w:rStyle w:val="IndexLink"/>
                <w:rtl w:val="true"/>
              </w:rPr>
              <w:t xml:space="preserve"> . </w:t>
            </w:r>
            <w:r>
              <w:rPr>
                <w:rStyle w:val="IndexLink"/>
                <w:rtl w:val="true"/>
              </w:rPr>
              <w:t>خبر الواحد</w:t>
            </w:r>
            <w:r>
              <w:rPr>
                <w:rStyle w:val="IndexLink"/>
                <w:rtl w:val="true"/>
              </w:rPr>
              <w:tab/>
            </w:r>
            <w:r>
              <w:rPr>
                <w:rStyle w:val="IndexLink"/>
              </w:rPr>
              <w:t>309</w:t>
            </w:r>
          </w:hyperlink>
        </w:p>
        <w:p>
          <w:pPr>
            <w:pStyle w:val="Contents4"/>
            <w:tabs>
              <w:tab w:val="clear" w:pos="8176"/>
              <w:tab w:val="right" w:pos="9026" w:leader="dot"/>
            </w:tabs>
            <w:rPr/>
          </w:pPr>
          <w:hyperlink w:anchor="__RefHeading___Toc3300484_1468164448">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3300486_1468164448">
            <w:r>
              <w:rPr>
                <w:webHidden/>
                <w:rStyle w:val="IndexLink"/>
              </w:rPr>
              <w:t>1</w:t>
            </w:r>
            <w:r>
              <w:rPr>
                <w:rStyle w:val="IndexLink"/>
                <w:rtl w:val="true"/>
              </w:rPr>
              <w:t xml:space="preserve"> . </w:t>
            </w:r>
            <w:r>
              <w:rPr>
                <w:rStyle w:val="IndexLink"/>
                <w:rtl w:val="true"/>
              </w:rPr>
              <w:t>نقاط تمهیدیة</w:t>
            </w:r>
            <w:r>
              <w:rPr>
                <w:rStyle w:val="IndexLink"/>
                <w:rtl w:val="true"/>
              </w:rPr>
              <w:tab/>
            </w:r>
            <w:r>
              <w:rPr>
                <w:rStyle w:val="IndexLink"/>
              </w:rPr>
              <w:t>310</w:t>
            </w:r>
          </w:hyperlink>
        </w:p>
        <w:p>
          <w:pPr>
            <w:pStyle w:val="Contents5"/>
            <w:tabs>
              <w:tab w:val="clear" w:pos="7892"/>
              <w:tab w:val="right" w:pos="9026" w:leader="dot"/>
            </w:tabs>
            <w:rPr/>
          </w:pPr>
          <w:hyperlink w:anchor="__RefHeading___Toc3300488_1468164448">
            <w:r>
              <w:rPr>
                <w:webHidden/>
                <w:rStyle w:val="IndexLink"/>
                <w:rtl w:val="true"/>
              </w:rPr>
              <w:t>النقطة الأولی</w:t>
            </w:r>
            <w:r>
              <w:rPr>
                <w:rStyle w:val="IndexLink"/>
                <w:rtl w:val="true"/>
              </w:rPr>
              <w:t xml:space="preserve">: </w:t>
            </w:r>
            <w:r>
              <w:rPr>
                <w:rStyle w:val="IndexLink"/>
                <w:rtl w:val="true"/>
              </w:rPr>
              <w:t>أقسام الخبر</w:t>
            </w:r>
            <w:r>
              <w:rPr>
                <w:rStyle w:val="IndexLink"/>
                <w:rtl w:val="true"/>
              </w:rPr>
              <w:tab/>
            </w:r>
            <w:r>
              <w:rPr>
                <w:rStyle w:val="IndexLink"/>
              </w:rPr>
              <w:t>310</w:t>
            </w:r>
          </w:hyperlink>
        </w:p>
        <w:p>
          <w:pPr>
            <w:pStyle w:val="Contents6"/>
            <w:tabs>
              <w:tab w:val="clear" w:pos="7609"/>
              <w:tab w:val="right" w:pos="9026" w:leader="dot"/>
            </w:tabs>
            <w:rPr/>
          </w:pPr>
          <w:hyperlink w:anchor="__RefHeading___Toc3300490_1468164448">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300492_1468164448">
            <w:r>
              <w:rPr>
                <w:webHidden/>
                <w:rStyle w:val="IndexLink"/>
                <w:rtl w:val="true"/>
              </w:rPr>
              <w:t>الخبر المتواتر</w:t>
            </w:r>
            <w:r>
              <w:rPr>
                <w:rStyle w:val="IndexLink"/>
                <w:rtl w:val="true"/>
              </w:rPr>
              <w:tab/>
            </w:r>
            <w:r>
              <w:rPr>
                <w:rStyle w:val="IndexLink"/>
              </w:rPr>
              <w:t>310</w:t>
            </w:r>
          </w:hyperlink>
        </w:p>
        <w:p>
          <w:pPr>
            <w:pStyle w:val="Contents6"/>
            <w:tabs>
              <w:tab w:val="clear" w:pos="7609"/>
              <w:tab w:val="right" w:pos="9026" w:leader="dot"/>
            </w:tabs>
            <w:rPr/>
          </w:pPr>
          <w:hyperlink w:anchor="__RefHeading___Toc3300494_1468164448">
            <w:r>
              <w:rPr>
                <w:webHidden/>
                <w:rStyle w:val="IndexLink"/>
                <w:rtl w:val="true"/>
              </w:rPr>
              <w:t>التواتر المعنوی</w:t>
            </w:r>
            <w:r>
              <w:rPr>
                <w:rStyle w:val="IndexLink"/>
                <w:rtl w:val="true"/>
              </w:rPr>
              <w:tab/>
            </w:r>
            <w:r>
              <w:rPr>
                <w:rStyle w:val="IndexLink"/>
              </w:rPr>
              <w:t>311</w:t>
            </w:r>
          </w:hyperlink>
        </w:p>
        <w:p>
          <w:pPr>
            <w:pStyle w:val="Contents6"/>
            <w:tabs>
              <w:tab w:val="clear" w:pos="7609"/>
              <w:tab w:val="right" w:pos="9026" w:leader="dot"/>
            </w:tabs>
            <w:rPr/>
          </w:pPr>
          <w:hyperlink w:anchor="__RefHeading___Toc3300496_1468164448">
            <w:r>
              <w:rPr>
                <w:webHidden/>
                <w:rStyle w:val="IndexLink"/>
                <w:rtl w:val="true"/>
              </w:rPr>
              <w:t>الخبر المستفیض</w:t>
            </w:r>
            <w:r>
              <w:rPr>
                <w:rStyle w:val="IndexLink"/>
                <w:rtl w:val="true"/>
              </w:rPr>
              <w:tab/>
            </w:r>
            <w:r>
              <w:rPr>
                <w:rStyle w:val="IndexLink"/>
              </w:rPr>
              <w:t>311</w:t>
            </w:r>
          </w:hyperlink>
        </w:p>
        <w:p>
          <w:pPr>
            <w:pStyle w:val="Contents6"/>
            <w:tabs>
              <w:tab w:val="clear" w:pos="7609"/>
              <w:tab w:val="right" w:pos="9026" w:leader="dot"/>
            </w:tabs>
            <w:rPr/>
          </w:pPr>
          <w:hyperlink w:anchor="__RefHeading___Toc3300498_1468164448">
            <w:r>
              <w:rPr>
                <w:webHidden/>
                <w:rStyle w:val="IndexLink"/>
                <w:rtl w:val="true"/>
              </w:rPr>
              <w:t>درجات التواتر</w:t>
            </w:r>
            <w:r>
              <w:rPr>
                <w:rStyle w:val="IndexLink"/>
                <w:rtl w:val="true"/>
              </w:rPr>
              <w:tab/>
            </w:r>
            <w:r>
              <w:rPr>
                <w:rStyle w:val="IndexLink"/>
              </w:rPr>
              <w:t>312</w:t>
            </w:r>
          </w:hyperlink>
        </w:p>
        <w:p>
          <w:pPr>
            <w:pStyle w:val="Contents6"/>
            <w:tabs>
              <w:tab w:val="clear" w:pos="7609"/>
              <w:tab w:val="right" w:pos="9026" w:leader="dot"/>
            </w:tabs>
            <w:rPr/>
          </w:pPr>
          <w:hyperlink w:anchor="__RefHeading___Toc3300500_1468164448">
            <w:r>
              <w:rPr>
                <w:webHidden/>
                <w:rStyle w:val="IndexLink"/>
                <w:rtl w:val="true"/>
              </w:rPr>
              <w:t>التواتر متکفل لتأمین الطریق وأجنبی عن المضمون</w:t>
            </w:r>
            <w:r>
              <w:rPr>
                <w:rStyle w:val="IndexLink"/>
                <w:rtl w:val="true"/>
              </w:rPr>
              <w:tab/>
            </w:r>
            <w:r>
              <w:rPr>
                <w:rStyle w:val="IndexLink"/>
              </w:rPr>
              <w:t>312</w:t>
            </w:r>
          </w:hyperlink>
        </w:p>
        <w:p>
          <w:pPr>
            <w:pStyle w:val="Contents6"/>
            <w:tabs>
              <w:tab w:val="clear" w:pos="7609"/>
              <w:tab w:val="right" w:pos="9026" w:leader="dot"/>
            </w:tabs>
            <w:rPr/>
          </w:pPr>
          <w:hyperlink w:anchor="__RefHeading___Toc3300502_1468164448">
            <w:r>
              <w:rPr>
                <w:webHidden/>
                <w:rStyle w:val="IndexLink"/>
                <w:rtl w:val="true"/>
              </w:rPr>
              <w:t>الخبر الضعیف</w:t>
            </w:r>
            <w:r>
              <w:rPr>
                <w:rStyle w:val="IndexLink"/>
                <w:rtl w:val="true"/>
              </w:rPr>
              <w:tab/>
            </w:r>
            <w:r>
              <w:rPr>
                <w:rStyle w:val="IndexLink"/>
              </w:rPr>
              <w:t>312</w:t>
            </w:r>
          </w:hyperlink>
        </w:p>
        <w:p>
          <w:pPr>
            <w:pStyle w:val="Contents6"/>
            <w:tabs>
              <w:tab w:val="clear" w:pos="7609"/>
              <w:tab w:val="right" w:pos="9026" w:leader="dot"/>
            </w:tabs>
            <w:rPr/>
          </w:pPr>
          <w:hyperlink w:anchor="__RefHeading___Toc3300504_1468164448">
            <w:r>
              <w:rPr>
                <w:webHidden/>
                <w:rStyle w:val="IndexLink"/>
                <w:rtl w:val="true"/>
              </w:rPr>
              <w:t>أحکام الخبر الضعیف</w:t>
            </w:r>
            <w:r>
              <w:rPr>
                <w:rStyle w:val="IndexLink"/>
                <w:rtl w:val="true"/>
              </w:rPr>
              <w:tab/>
            </w:r>
            <w:r>
              <w:rPr>
                <w:rStyle w:val="IndexLink"/>
              </w:rPr>
              <w:t>313</w:t>
            </w:r>
          </w:hyperlink>
        </w:p>
        <w:p>
          <w:pPr>
            <w:pStyle w:val="Contents6"/>
            <w:tabs>
              <w:tab w:val="clear" w:pos="7609"/>
              <w:tab w:val="right" w:pos="9026" w:leader="dot"/>
            </w:tabs>
            <w:rPr/>
          </w:pPr>
          <w:hyperlink w:anchor="__RefHeading___Toc3300506_1468164448">
            <w:r>
              <w:rPr>
                <w:webHidden/>
                <w:rStyle w:val="IndexLink"/>
                <w:rtl w:val="true"/>
              </w:rPr>
              <w:t>الخبر المدسوس</w:t>
            </w:r>
            <w:r>
              <w:rPr>
                <w:rStyle w:val="IndexLink"/>
                <w:rtl w:val="true"/>
              </w:rPr>
              <w:tab/>
            </w:r>
            <w:r>
              <w:rPr>
                <w:rStyle w:val="IndexLink"/>
              </w:rPr>
              <w:t>314</w:t>
            </w:r>
          </w:hyperlink>
        </w:p>
        <w:p>
          <w:pPr>
            <w:pStyle w:val="Contents5"/>
            <w:tabs>
              <w:tab w:val="clear" w:pos="7892"/>
              <w:tab w:val="right" w:pos="9026" w:leader="dot"/>
            </w:tabs>
            <w:rPr/>
          </w:pPr>
          <w:hyperlink w:anchor="__RefHeading___Toc3300508_1468164448">
            <w:r>
              <w:rPr>
                <w:webHidden/>
                <w:rStyle w:val="IndexLink"/>
                <w:rtl w:val="true"/>
              </w:rPr>
              <w:t>النقطة الثانیة</w:t>
            </w:r>
            <w:r>
              <w:rPr>
                <w:rStyle w:val="IndexLink"/>
                <w:rtl w:val="true"/>
              </w:rPr>
              <w:t xml:space="preserve">: </w:t>
            </w:r>
            <w:r>
              <w:rPr>
                <w:rStyle w:val="IndexLink"/>
                <w:rtl w:val="true"/>
              </w:rPr>
              <w:t>تخریجات العمل بروایات الکتب الأربعة</w:t>
            </w:r>
            <w:r>
              <w:rPr>
                <w:rStyle w:val="IndexLink"/>
                <w:rtl w:val="true"/>
              </w:rPr>
              <w:tab/>
            </w:r>
            <w:r>
              <w:rPr>
                <w:rStyle w:val="IndexLink"/>
              </w:rPr>
              <w:t>315</w:t>
            </w:r>
          </w:hyperlink>
        </w:p>
        <w:p>
          <w:pPr>
            <w:pStyle w:val="Contents5"/>
            <w:tabs>
              <w:tab w:val="clear" w:pos="7892"/>
              <w:tab w:val="right" w:pos="9026" w:leader="dot"/>
            </w:tabs>
            <w:rPr/>
          </w:pPr>
          <w:hyperlink w:anchor="__RefHeading___Toc3300510_1468164448">
            <w:r>
              <w:rPr>
                <w:webHidden/>
                <w:rStyle w:val="IndexLink"/>
                <w:rtl w:val="true"/>
              </w:rPr>
              <w:t>النقطة الثالثة</w:t>
            </w:r>
            <w:r>
              <w:rPr>
                <w:rStyle w:val="IndexLink"/>
                <w:rtl w:val="true"/>
              </w:rPr>
              <w:t xml:space="preserve">: </w:t>
            </w:r>
            <w:r>
              <w:rPr>
                <w:rStyle w:val="IndexLink"/>
                <w:rtl w:val="true"/>
              </w:rPr>
              <w:t xml:space="preserve">الفرق بین درجات الحکایة </w:t>
            </w:r>
            <w:r>
              <w:rPr>
                <w:rStyle w:val="IndexLink"/>
                <w:rtl w:val="true"/>
              </w:rPr>
              <w:t xml:space="preserve">( </w:t>
            </w:r>
            <w:r>
              <w:rPr>
                <w:rStyle w:val="IndexLink"/>
                <w:rtl w:val="true"/>
              </w:rPr>
              <w:t xml:space="preserve">الروایة والفتوی والحکم </w:t>
            </w:r>
            <w:r>
              <w:rPr>
                <w:rStyle w:val="IndexLink"/>
                <w:rtl w:val="true"/>
              </w:rPr>
              <w:t>)</w:t>
              <w:tab/>
            </w:r>
            <w:r>
              <w:rPr>
                <w:rStyle w:val="IndexLink"/>
              </w:rPr>
              <w:t>316</w:t>
            </w:r>
          </w:hyperlink>
        </w:p>
        <w:p>
          <w:pPr>
            <w:pStyle w:val="Contents6"/>
            <w:tabs>
              <w:tab w:val="clear" w:pos="7609"/>
              <w:tab w:val="right" w:pos="9026" w:leader="dot"/>
            </w:tabs>
            <w:rPr/>
          </w:pPr>
          <w:hyperlink w:anchor="__RefHeading___Toc3300512_1468164448">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3300514_1468164448">
            <w:r>
              <w:rPr>
                <w:webHidden/>
                <w:rStyle w:val="IndexLink"/>
                <w:rtl w:val="true"/>
              </w:rPr>
              <w:t>تقریبٌ لحجّیة الخبر الحسی</w:t>
            </w:r>
            <w:r>
              <w:rPr>
                <w:rStyle w:val="IndexLink"/>
                <w:rtl w:val="true"/>
              </w:rPr>
              <w:tab/>
            </w:r>
            <w:r>
              <w:rPr>
                <w:rStyle w:val="IndexLink"/>
              </w:rPr>
              <w:t>317</w:t>
            </w:r>
          </w:hyperlink>
        </w:p>
        <w:p>
          <w:pPr>
            <w:pStyle w:val="Contents5"/>
            <w:tabs>
              <w:tab w:val="clear" w:pos="7892"/>
              <w:tab w:val="right" w:pos="9026" w:leader="dot"/>
            </w:tabs>
            <w:rPr/>
          </w:pPr>
          <w:hyperlink w:anchor="__RefHeading___Toc3300516_1468164448">
            <w:r>
              <w:rPr>
                <w:webHidden/>
                <w:rStyle w:val="IndexLink"/>
                <w:rtl w:val="true"/>
              </w:rPr>
              <w:t>النقطة الرابعة</w:t>
            </w:r>
            <w:r>
              <w:rPr>
                <w:rStyle w:val="IndexLink"/>
                <w:rtl w:val="true"/>
              </w:rPr>
              <w:t xml:space="preserve">: </w:t>
            </w:r>
            <w:r>
              <w:rPr>
                <w:rStyle w:val="IndexLink"/>
                <w:rtl w:val="true"/>
              </w:rPr>
              <w:t>مراحل عملیة الإستنباط‌</w:t>
            </w:r>
            <w:r>
              <w:rPr>
                <w:rStyle w:val="IndexLink"/>
                <w:rtl w:val="true"/>
              </w:rPr>
              <w:tab/>
            </w:r>
            <w:r>
              <w:rPr>
                <w:rStyle w:val="IndexLink"/>
              </w:rPr>
              <w:t>317</w:t>
            </w:r>
          </w:hyperlink>
        </w:p>
        <w:p>
          <w:pPr>
            <w:pStyle w:val="Contents5"/>
            <w:tabs>
              <w:tab w:val="clear" w:pos="7892"/>
              <w:tab w:val="right" w:pos="9026" w:leader="dot"/>
            </w:tabs>
            <w:rPr/>
          </w:pPr>
          <w:hyperlink w:anchor="__RefHeading___Toc3300518_1468164448">
            <w:r>
              <w:rPr>
                <w:webHidden/>
                <w:rStyle w:val="IndexLink"/>
                <w:rtl w:val="true"/>
              </w:rPr>
              <w:t>النقطة الخامسة</w:t>
            </w:r>
            <w:r>
              <w:rPr>
                <w:rStyle w:val="IndexLink"/>
                <w:rtl w:val="true"/>
              </w:rPr>
              <w:t xml:space="preserve">: </w:t>
            </w:r>
            <w:r>
              <w:rPr>
                <w:rStyle w:val="IndexLink"/>
                <w:rtl w:val="true"/>
              </w:rPr>
              <w:t>جهات البحث عن حجّیة الخبر</w:t>
            </w:r>
            <w:r>
              <w:rPr>
                <w:rStyle w:val="IndexLink"/>
                <w:rtl w:val="true"/>
              </w:rPr>
              <w:tab/>
            </w:r>
            <w:r>
              <w:rPr>
                <w:rStyle w:val="IndexLink"/>
              </w:rPr>
              <w:t>319</w:t>
            </w:r>
          </w:hyperlink>
        </w:p>
        <w:p>
          <w:pPr>
            <w:pStyle w:val="Contents5"/>
            <w:tabs>
              <w:tab w:val="clear" w:pos="7892"/>
              <w:tab w:val="right" w:pos="9026" w:leader="dot"/>
            </w:tabs>
            <w:rPr/>
          </w:pPr>
          <w:hyperlink w:anchor="__RefHeading___Toc3300520_1468164448">
            <w:r>
              <w:rPr>
                <w:webHidden/>
                <w:rStyle w:val="IndexLink"/>
                <w:rtl w:val="true"/>
              </w:rPr>
              <w:t>النقطة السادسة</w:t>
            </w:r>
            <w:r>
              <w:rPr>
                <w:rStyle w:val="IndexLink"/>
                <w:rtl w:val="true"/>
              </w:rPr>
              <w:t xml:space="preserve">: </w:t>
            </w:r>
            <w:r>
              <w:rPr>
                <w:rStyle w:val="IndexLink"/>
                <w:rtl w:val="true"/>
              </w:rPr>
              <w:t>تقسیمات الحدیث الأربعة</w:t>
            </w:r>
            <w:r>
              <w:rPr>
                <w:rStyle w:val="IndexLink"/>
                <w:rtl w:val="true"/>
              </w:rPr>
              <w:tab/>
            </w:r>
            <w:r>
              <w:rPr>
                <w:rStyle w:val="IndexLink"/>
              </w:rPr>
              <w:t>319</w:t>
            </w:r>
          </w:hyperlink>
        </w:p>
        <w:p>
          <w:pPr>
            <w:pStyle w:val="Contents6"/>
            <w:tabs>
              <w:tab w:val="clear" w:pos="7609"/>
              <w:tab w:val="right" w:pos="9026" w:leader="dot"/>
            </w:tabs>
            <w:rPr/>
          </w:pPr>
          <w:hyperlink w:anchor="__RefHeading___Toc3300522_1468164448">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3300524_1468164448">
            <w:r>
              <w:rPr>
                <w:webHidden/>
                <w:rStyle w:val="IndexLink"/>
                <w:rtl w:val="true"/>
              </w:rPr>
              <w:t>أهمیة تلک التقسیمات</w:t>
            </w:r>
            <w:r>
              <w:rPr>
                <w:rStyle w:val="IndexLink"/>
                <w:rtl w:val="true"/>
              </w:rPr>
              <w:tab/>
            </w:r>
            <w:r>
              <w:rPr>
                <w:rStyle w:val="IndexLink"/>
              </w:rPr>
              <w:t>320</w:t>
            </w:r>
          </w:hyperlink>
        </w:p>
        <w:p>
          <w:pPr>
            <w:pStyle w:val="Contents6"/>
            <w:tabs>
              <w:tab w:val="clear" w:pos="7609"/>
              <w:tab w:val="right" w:pos="9026" w:leader="dot"/>
            </w:tabs>
            <w:rPr/>
          </w:pPr>
          <w:hyperlink w:anchor="__RefHeading___Toc3300526_1468164448">
            <w:r>
              <w:rPr>
                <w:webHidden/>
                <w:rStyle w:val="IndexLink"/>
                <w:rtl w:val="true"/>
              </w:rPr>
              <w:t>برکات تلک التقسیمات</w:t>
            </w:r>
            <w:r>
              <w:rPr>
                <w:rStyle w:val="IndexLink"/>
                <w:rtl w:val="true"/>
              </w:rPr>
              <w:tab/>
            </w:r>
            <w:r>
              <w:rPr>
                <w:rStyle w:val="IndexLink"/>
              </w:rPr>
              <w:t>321</w:t>
            </w:r>
          </w:hyperlink>
        </w:p>
        <w:p>
          <w:pPr>
            <w:pStyle w:val="Contents5"/>
            <w:tabs>
              <w:tab w:val="clear" w:pos="7892"/>
              <w:tab w:val="right" w:pos="9026" w:leader="dot"/>
            </w:tabs>
            <w:rPr/>
          </w:pPr>
          <w:hyperlink w:anchor="__RefHeading___Toc3300528_1468164448">
            <w:r>
              <w:rPr>
                <w:webHidden/>
                <w:rStyle w:val="IndexLink"/>
                <w:rtl w:val="true"/>
              </w:rPr>
              <w:t>النقطة السابعة</w:t>
            </w:r>
            <w:r>
              <w:rPr>
                <w:rStyle w:val="IndexLink"/>
                <w:rtl w:val="true"/>
              </w:rPr>
              <w:t xml:space="preserve">: </w:t>
            </w:r>
            <w:r>
              <w:rPr>
                <w:rStyle w:val="IndexLink"/>
                <w:rtl w:val="true"/>
              </w:rPr>
              <w:t>وجوب حفظ الدین علی صعید العلم والعمل</w:t>
            </w:r>
            <w:r>
              <w:rPr>
                <w:rStyle w:val="IndexLink"/>
                <w:rtl w:val="true"/>
              </w:rPr>
              <w:tab/>
            </w:r>
            <w:r>
              <w:rPr>
                <w:rStyle w:val="IndexLink"/>
              </w:rPr>
              <w:t>321</w:t>
            </w:r>
          </w:hyperlink>
        </w:p>
        <w:p>
          <w:pPr>
            <w:pStyle w:val="Contents4"/>
            <w:tabs>
              <w:tab w:val="clear" w:pos="8176"/>
              <w:tab w:val="right" w:pos="9026" w:leader="dot"/>
            </w:tabs>
            <w:rPr/>
          </w:pPr>
          <w:hyperlink w:anchor="__RefHeading___Toc3300530_1468164448">
            <w:r>
              <w:rPr>
                <w:webHidden/>
                <w:rStyle w:val="IndexLink"/>
              </w:rPr>
              <w:t>2</w:t>
            </w:r>
            <w:r>
              <w:rPr>
                <w:rStyle w:val="IndexLink"/>
                <w:rtl w:val="true"/>
              </w:rPr>
              <w:t xml:space="preserve"> . </w:t>
            </w:r>
            <w:r>
              <w:rPr>
                <w:rStyle w:val="IndexLink"/>
                <w:rtl w:val="true"/>
              </w:rPr>
              <w:t>أدلّة المانعین</w:t>
            </w:r>
            <w:r>
              <w:rPr>
                <w:rStyle w:val="IndexLink"/>
                <w:rtl w:val="true"/>
              </w:rPr>
              <w:tab/>
            </w:r>
            <w:r>
              <w:rPr>
                <w:rStyle w:val="IndexLink"/>
              </w:rPr>
              <w:t>323</w:t>
            </w:r>
          </w:hyperlink>
        </w:p>
        <w:p>
          <w:pPr>
            <w:pStyle w:val="Contents5"/>
            <w:tabs>
              <w:tab w:val="clear" w:pos="7892"/>
              <w:tab w:val="right" w:pos="9026" w:leader="dot"/>
            </w:tabs>
            <w:rPr/>
          </w:pPr>
          <w:hyperlink w:anchor="__RefHeading___Toc3300532_1468164448">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300534_1468164448">
            <w:r>
              <w:rPr>
                <w:webHidden/>
                <w:rStyle w:val="IndexLink"/>
                <w:rtl w:val="true"/>
              </w:rPr>
              <w:t>الدلیل الأول</w:t>
            </w:r>
            <w:r>
              <w:rPr>
                <w:rStyle w:val="IndexLink"/>
                <w:rtl w:val="true"/>
              </w:rPr>
              <w:t xml:space="preserve">: </w:t>
            </w:r>
            <w:r>
              <w:rPr>
                <w:rStyle w:val="IndexLink"/>
                <w:rtl w:val="true"/>
              </w:rPr>
              <w:t>الکتاب العزیز</w:t>
            </w:r>
            <w:r>
              <w:rPr>
                <w:rStyle w:val="IndexLink"/>
                <w:rtl w:val="true"/>
              </w:rPr>
              <w:tab/>
            </w:r>
            <w:r>
              <w:rPr>
                <w:rStyle w:val="IndexLink"/>
              </w:rPr>
              <w:t>323</w:t>
            </w:r>
          </w:hyperlink>
        </w:p>
        <w:p>
          <w:pPr>
            <w:pStyle w:val="Contents5"/>
            <w:tabs>
              <w:tab w:val="clear" w:pos="7892"/>
              <w:tab w:val="right" w:pos="9026" w:leader="dot"/>
            </w:tabs>
            <w:rPr/>
          </w:pPr>
          <w:hyperlink w:anchor="__RefHeading___Toc3300536_1468164448">
            <w:r>
              <w:rPr>
                <w:webHidden/>
                <w:rStyle w:val="IndexLink"/>
                <w:rtl w:val="true"/>
              </w:rPr>
              <w:t>الدلیل الثانی</w:t>
            </w:r>
            <w:r>
              <w:rPr>
                <w:rStyle w:val="IndexLink"/>
                <w:rtl w:val="true"/>
              </w:rPr>
              <w:t xml:space="preserve">: </w:t>
            </w:r>
            <w:r>
              <w:rPr>
                <w:rStyle w:val="IndexLink"/>
                <w:rtl w:val="true"/>
              </w:rPr>
              <w:t>طوائف من الروایات</w:t>
            </w:r>
            <w:r>
              <w:rPr>
                <w:rStyle w:val="IndexLink"/>
                <w:rtl w:val="true"/>
              </w:rPr>
              <w:tab/>
            </w:r>
            <w:r>
              <w:rPr>
                <w:rStyle w:val="IndexLink"/>
              </w:rPr>
              <w:t>323</w:t>
            </w:r>
          </w:hyperlink>
        </w:p>
        <w:p>
          <w:pPr>
            <w:pStyle w:val="Contents5"/>
            <w:tabs>
              <w:tab w:val="clear" w:pos="7892"/>
              <w:tab w:val="right" w:pos="9026" w:leader="dot"/>
            </w:tabs>
            <w:rPr/>
          </w:pPr>
          <w:hyperlink w:anchor="__RefHeading___Toc3300538_1468164448">
            <w:r>
              <w:rPr>
                <w:webHidden/>
                <w:rStyle w:val="IndexLink"/>
                <w:rtl w:val="true"/>
              </w:rPr>
              <w:t>الدلیل الثالث</w:t>
            </w:r>
            <w:r>
              <w:rPr>
                <w:rStyle w:val="IndexLink"/>
                <w:rtl w:val="true"/>
              </w:rPr>
              <w:t xml:space="preserve">: </w:t>
            </w:r>
            <w:r>
              <w:rPr>
                <w:rStyle w:val="IndexLink"/>
                <w:rtl w:val="true"/>
              </w:rPr>
              <w:t>الإجماع</w:t>
            </w:r>
            <w:r>
              <w:rPr>
                <w:rStyle w:val="IndexLink"/>
                <w:rtl w:val="true"/>
              </w:rPr>
              <w:tab/>
            </w:r>
            <w:r>
              <w:rPr>
                <w:rStyle w:val="IndexLink"/>
              </w:rPr>
              <w:t>324</w:t>
            </w:r>
          </w:hyperlink>
        </w:p>
        <w:p>
          <w:pPr>
            <w:pStyle w:val="Contents5"/>
            <w:tabs>
              <w:tab w:val="clear" w:pos="7892"/>
              <w:tab w:val="right" w:pos="9026" w:leader="dot"/>
            </w:tabs>
            <w:rPr/>
          </w:pPr>
          <w:hyperlink w:anchor="__RefHeading___Toc3300540_1468164448">
            <w:r>
              <w:rPr>
                <w:webHidden/>
                <w:rStyle w:val="IndexLink"/>
                <w:rtl w:val="true"/>
              </w:rPr>
              <w:t>الدلیل الرابع</w:t>
            </w:r>
            <w:r>
              <w:rPr>
                <w:rStyle w:val="IndexLink"/>
                <w:rtl w:val="true"/>
              </w:rPr>
              <w:t xml:space="preserve">: </w:t>
            </w:r>
            <w:r>
              <w:rPr>
                <w:rStyle w:val="IndexLink"/>
                <w:rtl w:val="true"/>
              </w:rPr>
              <w:t>العقل</w:t>
            </w:r>
            <w:r>
              <w:rPr>
                <w:rStyle w:val="IndexLink"/>
                <w:rtl w:val="true"/>
              </w:rPr>
              <w:tab/>
            </w:r>
            <w:r>
              <w:rPr>
                <w:rStyle w:val="IndexLink"/>
              </w:rPr>
              <w:t>324</w:t>
            </w:r>
          </w:hyperlink>
        </w:p>
        <w:p>
          <w:pPr>
            <w:pStyle w:val="Contents4"/>
            <w:tabs>
              <w:tab w:val="clear" w:pos="8176"/>
              <w:tab w:val="right" w:pos="9026" w:leader="dot"/>
            </w:tabs>
            <w:rPr/>
          </w:pPr>
          <w:hyperlink w:anchor="__RefHeading___Toc3300542_1468164448">
            <w:r>
              <w:rPr>
                <w:webHidden/>
                <w:rStyle w:val="IndexLink"/>
              </w:rPr>
              <w:t>3</w:t>
            </w:r>
            <w:r>
              <w:rPr>
                <w:rStyle w:val="IndexLink"/>
                <w:rtl w:val="true"/>
              </w:rPr>
              <w:t xml:space="preserve"> . </w:t>
            </w:r>
            <w:r>
              <w:rPr>
                <w:rStyle w:val="IndexLink"/>
                <w:rtl w:val="true"/>
              </w:rPr>
              <w:t>أدلّة المثبتین</w:t>
            </w:r>
            <w:r>
              <w:rPr>
                <w:rStyle w:val="IndexLink"/>
                <w:rtl w:val="true"/>
              </w:rPr>
              <w:tab/>
            </w:r>
            <w:r>
              <w:rPr>
                <w:rStyle w:val="IndexLink"/>
              </w:rPr>
              <w:t>325</w:t>
            </w:r>
          </w:hyperlink>
        </w:p>
        <w:p>
          <w:pPr>
            <w:pStyle w:val="Contents5"/>
            <w:tabs>
              <w:tab w:val="clear" w:pos="7892"/>
              <w:tab w:val="right" w:pos="9026" w:leader="dot"/>
            </w:tabs>
            <w:rPr/>
          </w:pPr>
          <w:hyperlink w:anchor="__RefHeading___Toc3300544_1468164448">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300546_1468164448">
            <w:r>
              <w:rPr>
                <w:webHidden/>
                <w:rStyle w:val="IndexLink"/>
                <w:rtl w:val="true"/>
              </w:rPr>
              <w:t>الدلیل الأول</w:t>
            </w:r>
            <w:r>
              <w:rPr>
                <w:rStyle w:val="IndexLink"/>
                <w:rtl w:val="true"/>
              </w:rPr>
              <w:t xml:space="preserve">: </w:t>
            </w:r>
            <w:r>
              <w:rPr>
                <w:rStyle w:val="IndexLink"/>
                <w:rtl w:val="true"/>
              </w:rPr>
              <w:t>القرآن الکریم</w:t>
            </w:r>
            <w:r>
              <w:rPr>
                <w:rStyle w:val="IndexLink"/>
                <w:rtl w:val="true"/>
              </w:rPr>
              <w:tab/>
            </w:r>
            <w:r>
              <w:rPr>
                <w:rStyle w:val="IndexLink"/>
              </w:rPr>
              <w:t>327</w:t>
            </w:r>
          </w:hyperlink>
        </w:p>
        <w:p>
          <w:pPr>
            <w:pStyle w:val="Contents6"/>
            <w:tabs>
              <w:tab w:val="clear" w:pos="7609"/>
              <w:tab w:val="right" w:pos="9026" w:leader="dot"/>
            </w:tabs>
            <w:rPr/>
          </w:pPr>
          <w:hyperlink w:anchor="__RefHeading___Toc3300548_1468164448">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3300550_1468164448">
            <w:r>
              <w:rPr>
                <w:webHidden/>
                <w:rStyle w:val="IndexLink"/>
                <w:rtl w:val="true"/>
              </w:rPr>
              <w:t>الآیة الأولی</w:t>
            </w:r>
            <w:r>
              <w:rPr>
                <w:rStyle w:val="IndexLink"/>
                <w:rtl w:val="true"/>
              </w:rPr>
              <w:t xml:space="preserve">: </w:t>
            </w:r>
            <w:r>
              <w:rPr>
                <w:rStyle w:val="IndexLink"/>
                <w:rtl w:val="true"/>
              </w:rPr>
              <w:t>آیة النبأ</w:t>
            </w:r>
            <w:r>
              <w:rPr>
                <w:rStyle w:val="IndexLink"/>
                <w:rtl w:val="true"/>
              </w:rPr>
              <w:tab/>
            </w:r>
            <w:r>
              <w:rPr>
                <w:rStyle w:val="IndexLink"/>
              </w:rPr>
              <w:t>327</w:t>
            </w:r>
          </w:hyperlink>
        </w:p>
        <w:p>
          <w:pPr>
            <w:pStyle w:val="Contents6"/>
            <w:tabs>
              <w:tab w:val="clear" w:pos="7609"/>
              <w:tab w:val="right" w:pos="9026" w:leader="dot"/>
            </w:tabs>
            <w:rPr/>
          </w:pPr>
          <w:hyperlink w:anchor="__RefHeading___Toc3300552_1468164448">
            <w:r>
              <w:rPr>
                <w:webHidden/>
                <w:rStyle w:val="IndexLink"/>
                <w:rtl w:val="true"/>
              </w:rPr>
              <w:t>سبب نزول الآیة</w:t>
            </w:r>
            <w:r>
              <w:rPr>
                <w:rStyle w:val="IndexLink"/>
                <w:rtl w:val="true"/>
              </w:rPr>
              <w:tab/>
            </w:r>
            <w:r>
              <w:rPr>
                <w:rStyle w:val="IndexLink"/>
              </w:rPr>
              <w:t>327</w:t>
            </w:r>
          </w:hyperlink>
        </w:p>
        <w:p>
          <w:pPr>
            <w:pStyle w:val="Contents6"/>
            <w:tabs>
              <w:tab w:val="clear" w:pos="7609"/>
              <w:tab w:val="right" w:pos="9026" w:leader="dot"/>
            </w:tabs>
            <w:rPr/>
          </w:pPr>
          <w:hyperlink w:anchor="__RefHeading___Toc3300554_1468164448">
            <w:r>
              <w:rPr>
                <w:webHidden/>
                <w:rStyle w:val="IndexLink"/>
                <w:rtl w:val="true"/>
              </w:rPr>
              <w:t>وقفة مع مفردات الآیة</w:t>
            </w:r>
            <w:r>
              <w:rPr>
                <w:rStyle w:val="IndexLink"/>
                <w:rtl w:val="true"/>
              </w:rPr>
              <w:tab/>
            </w:r>
            <w:r>
              <w:rPr>
                <w:rStyle w:val="IndexLink"/>
              </w:rPr>
              <w:t>327</w:t>
            </w:r>
          </w:hyperlink>
        </w:p>
        <w:p>
          <w:pPr>
            <w:pStyle w:val="Contents6"/>
            <w:tabs>
              <w:tab w:val="clear" w:pos="7609"/>
              <w:tab w:val="right" w:pos="9026" w:leader="dot"/>
            </w:tabs>
            <w:rPr/>
          </w:pPr>
          <w:hyperlink w:anchor="__RefHeading___Toc3300556_1468164448">
            <w:r>
              <w:rPr>
                <w:webHidden/>
                <w:rStyle w:val="IndexLink"/>
                <w:rtl w:val="true"/>
              </w:rPr>
              <w:t>شرط الدلالة علی المفهوم</w:t>
            </w:r>
            <w:r>
              <w:rPr>
                <w:rStyle w:val="IndexLink"/>
                <w:rtl w:val="true"/>
              </w:rPr>
              <w:tab/>
            </w:r>
            <w:r>
              <w:rPr>
                <w:rStyle w:val="IndexLink"/>
              </w:rPr>
              <w:t>328</w:t>
            </w:r>
          </w:hyperlink>
        </w:p>
        <w:p>
          <w:pPr>
            <w:pStyle w:val="Contents6"/>
            <w:tabs>
              <w:tab w:val="clear" w:pos="7609"/>
              <w:tab w:val="right" w:pos="9026" w:leader="dot"/>
            </w:tabs>
            <w:rPr/>
          </w:pPr>
          <w:hyperlink w:anchor="__RefHeading___Toc3300558_1468164448">
            <w:r>
              <w:rPr>
                <w:webHidden/>
                <w:rStyle w:val="IndexLink"/>
                <w:rtl w:val="true"/>
              </w:rPr>
              <w:t>الإستدلال بمفهوم الشرط‌</w:t>
            </w:r>
            <w:r>
              <w:rPr>
                <w:rStyle w:val="IndexLink"/>
                <w:rtl w:val="true"/>
              </w:rPr>
              <w:tab/>
            </w:r>
            <w:r>
              <w:rPr>
                <w:rStyle w:val="IndexLink"/>
              </w:rPr>
              <w:t>328</w:t>
            </w:r>
          </w:hyperlink>
        </w:p>
        <w:p>
          <w:pPr>
            <w:pStyle w:val="Contents6"/>
            <w:tabs>
              <w:tab w:val="clear" w:pos="7609"/>
              <w:tab w:val="right" w:pos="9026" w:leader="dot"/>
            </w:tabs>
            <w:rPr/>
          </w:pPr>
          <w:hyperlink w:anchor="__RefHeading___Toc3300560_1468164448">
            <w:r>
              <w:rPr>
                <w:webHidden/>
                <w:rStyle w:val="IndexLink"/>
                <w:rtl w:val="true"/>
              </w:rPr>
              <w:t>المناقشة الأولی فی هذا التقریب</w:t>
            </w:r>
            <w:r>
              <w:rPr>
                <w:rStyle w:val="IndexLink"/>
                <w:rtl w:val="true"/>
              </w:rPr>
              <w:tab/>
            </w:r>
            <w:r>
              <w:rPr>
                <w:rStyle w:val="IndexLink"/>
              </w:rPr>
              <w:t>328</w:t>
            </w:r>
          </w:hyperlink>
        </w:p>
        <w:p>
          <w:pPr>
            <w:pStyle w:val="Contents6"/>
            <w:tabs>
              <w:tab w:val="clear" w:pos="7609"/>
              <w:tab w:val="right" w:pos="9026" w:leader="dot"/>
            </w:tabs>
            <w:rPr/>
          </w:pPr>
          <w:hyperlink w:anchor="__RefHeading___Toc3300562_1468164448">
            <w:r>
              <w:rPr>
                <w:webHidden/>
                <w:rStyle w:val="IndexLink"/>
                <w:rtl w:val="true"/>
              </w:rPr>
              <w:t>التفکیک بین الشرط والموضوع</w:t>
            </w:r>
            <w:r>
              <w:rPr>
                <w:rStyle w:val="IndexLink"/>
                <w:rtl w:val="true"/>
              </w:rPr>
              <w:tab/>
            </w:r>
            <w:r>
              <w:rPr>
                <w:rStyle w:val="IndexLink"/>
              </w:rPr>
              <w:t>329</w:t>
            </w:r>
          </w:hyperlink>
        </w:p>
        <w:p>
          <w:pPr>
            <w:pStyle w:val="Contents6"/>
            <w:tabs>
              <w:tab w:val="clear" w:pos="7609"/>
              <w:tab w:val="right" w:pos="9026" w:leader="dot"/>
            </w:tabs>
            <w:rPr/>
          </w:pPr>
          <w:hyperlink w:anchor="__RefHeading___Toc3300564_1468164448">
            <w:r>
              <w:rPr>
                <w:webHidden/>
                <w:rStyle w:val="IndexLink"/>
                <w:rtl w:val="true"/>
              </w:rPr>
              <w:t>ثمرات تقسیم القیود</w:t>
            </w:r>
            <w:r>
              <w:rPr>
                <w:rStyle w:val="IndexLink"/>
                <w:rtl w:val="true"/>
              </w:rPr>
              <w:tab/>
            </w:r>
            <w:r>
              <w:rPr>
                <w:rStyle w:val="IndexLink"/>
              </w:rPr>
              <w:t>330</w:t>
            </w:r>
          </w:hyperlink>
        </w:p>
        <w:p>
          <w:pPr>
            <w:pStyle w:val="Contents6"/>
            <w:tabs>
              <w:tab w:val="clear" w:pos="7609"/>
              <w:tab w:val="right" w:pos="9026" w:leader="dot"/>
            </w:tabs>
            <w:rPr/>
          </w:pPr>
          <w:hyperlink w:anchor="__RefHeading___Toc3300566_1468164448">
            <w:r>
              <w:rPr>
                <w:webHidden/>
                <w:rStyle w:val="IndexLink"/>
                <w:rtl w:val="true"/>
              </w:rPr>
              <w:t>الفرق بین الشرط والموضوع</w:t>
            </w:r>
            <w:r>
              <w:rPr>
                <w:rStyle w:val="IndexLink"/>
                <w:rtl w:val="true"/>
              </w:rPr>
              <w:tab/>
            </w:r>
            <w:r>
              <w:rPr>
                <w:rStyle w:val="IndexLink"/>
              </w:rPr>
              <w:t>330</w:t>
            </w:r>
          </w:hyperlink>
        </w:p>
        <w:p>
          <w:pPr>
            <w:pStyle w:val="Contents6"/>
            <w:tabs>
              <w:tab w:val="clear" w:pos="7609"/>
              <w:tab w:val="right" w:pos="9026" w:leader="dot"/>
            </w:tabs>
            <w:rPr/>
          </w:pPr>
          <w:hyperlink w:anchor="__RefHeading___Toc3300568_1468164448">
            <w:r>
              <w:rPr>
                <w:webHidden/>
                <w:rStyle w:val="IndexLink"/>
                <w:rtl w:val="true"/>
              </w:rPr>
              <w:t>تقریب آخر للإستدلال بالشرط‌</w:t>
            </w:r>
            <w:r>
              <w:rPr>
                <w:rStyle w:val="IndexLink"/>
                <w:rtl w:val="true"/>
              </w:rPr>
              <w:tab/>
            </w:r>
            <w:r>
              <w:rPr>
                <w:rStyle w:val="IndexLink"/>
              </w:rPr>
              <w:t>331</w:t>
            </w:r>
          </w:hyperlink>
        </w:p>
        <w:p>
          <w:pPr>
            <w:pStyle w:val="Contents6"/>
            <w:tabs>
              <w:tab w:val="clear" w:pos="7609"/>
              <w:tab w:val="right" w:pos="9026" w:leader="dot"/>
            </w:tabs>
            <w:rPr/>
          </w:pPr>
          <w:hyperlink w:anchor="__RefHeading___Toc3300570_1468164448">
            <w:r>
              <w:rPr>
                <w:webHidden/>
                <w:rStyle w:val="IndexLink"/>
                <w:rtl w:val="true"/>
              </w:rPr>
              <w:t>المناقشة فی التقریب</w:t>
            </w:r>
            <w:r>
              <w:rPr>
                <w:rStyle w:val="IndexLink"/>
                <w:rtl w:val="true"/>
              </w:rPr>
              <w:tab/>
            </w:r>
            <w:r>
              <w:rPr>
                <w:rStyle w:val="IndexLink"/>
              </w:rPr>
              <w:t>332</w:t>
            </w:r>
          </w:hyperlink>
        </w:p>
        <w:p>
          <w:pPr>
            <w:pStyle w:val="Contents6"/>
            <w:tabs>
              <w:tab w:val="clear" w:pos="7609"/>
              <w:tab w:val="right" w:pos="9026" w:leader="dot"/>
            </w:tabs>
            <w:rPr/>
          </w:pPr>
          <w:hyperlink w:anchor="__RefHeading___Toc3300572_1468164448">
            <w:r>
              <w:rPr>
                <w:webHidden/>
                <w:rStyle w:val="IndexLink"/>
                <w:rtl w:val="true"/>
              </w:rPr>
              <w:t>أنماط الموضوعات الترکیبیة</w:t>
            </w:r>
            <w:r>
              <w:rPr>
                <w:rStyle w:val="IndexLink"/>
                <w:rtl w:val="true"/>
              </w:rPr>
              <w:tab/>
            </w:r>
            <w:r>
              <w:rPr>
                <w:rStyle w:val="IndexLink"/>
              </w:rPr>
              <w:t>332</w:t>
            </w:r>
          </w:hyperlink>
        </w:p>
        <w:p>
          <w:pPr>
            <w:pStyle w:val="Contents6"/>
            <w:tabs>
              <w:tab w:val="clear" w:pos="7609"/>
              <w:tab w:val="right" w:pos="9026" w:leader="dot"/>
            </w:tabs>
            <w:rPr/>
          </w:pPr>
          <w:hyperlink w:anchor="__RefHeading___Toc3300574_1468164448">
            <w:r>
              <w:rPr>
                <w:webHidden/>
                <w:rStyle w:val="IndexLink"/>
                <w:rtl w:val="true"/>
              </w:rPr>
              <w:t>ثمرة هذا التقسیم</w:t>
            </w:r>
            <w:r>
              <w:rPr>
                <w:rStyle w:val="IndexLink"/>
                <w:rtl w:val="true"/>
              </w:rPr>
              <w:tab/>
            </w:r>
            <w:r>
              <w:rPr>
                <w:rStyle w:val="IndexLink"/>
              </w:rPr>
              <w:t>332</w:t>
            </w:r>
          </w:hyperlink>
        </w:p>
        <w:p>
          <w:pPr>
            <w:pStyle w:val="Contents6"/>
            <w:tabs>
              <w:tab w:val="clear" w:pos="7609"/>
              <w:tab w:val="right" w:pos="9026" w:leader="dot"/>
            </w:tabs>
            <w:rPr/>
          </w:pPr>
          <w:hyperlink w:anchor="__RefHeading___Toc3300576_1468164448">
            <w:r>
              <w:rPr>
                <w:webHidden/>
                <w:rStyle w:val="IndexLink"/>
                <w:rtl w:val="true"/>
              </w:rPr>
              <w:t>تقریب لعدم المفهوم للجملة الشرطیة</w:t>
            </w:r>
            <w:r>
              <w:rPr>
                <w:rStyle w:val="IndexLink"/>
                <w:rtl w:val="true"/>
              </w:rPr>
              <w:tab/>
            </w:r>
            <w:r>
              <w:rPr>
                <w:rStyle w:val="IndexLink"/>
              </w:rPr>
              <w:t>333</w:t>
            </w:r>
          </w:hyperlink>
        </w:p>
        <w:p>
          <w:pPr>
            <w:pStyle w:val="Contents6"/>
            <w:tabs>
              <w:tab w:val="clear" w:pos="7609"/>
              <w:tab w:val="right" w:pos="9026" w:leader="dot"/>
            </w:tabs>
            <w:rPr/>
          </w:pPr>
          <w:hyperlink w:anchor="__RefHeading___Toc3300578_1468164448">
            <w:r>
              <w:rPr>
                <w:webHidden/>
                <w:rStyle w:val="IndexLink"/>
                <w:rtl w:val="true"/>
              </w:rPr>
              <w:t>جواب عن هذا التقریب</w:t>
            </w:r>
            <w:r>
              <w:rPr>
                <w:rStyle w:val="IndexLink"/>
                <w:rtl w:val="true"/>
              </w:rPr>
              <w:tab/>
            </w:r>
            <w:r>
              <w:rPr>
                <w:rStyle w:val="IndexLink"/>
              </w:rPr>
              <w:t>333</w:t>
            </w:r>
          </w:hyperlink>
        </w:p>
        <w:p>
          <w:pPr>
            <w:pStyle w:val="Contents6"/>
            <w:tabs>
              <w:tab w:val="clear" w:pos="7609"/>
              <w:tab w:val="right" w:pos="9026" w:leader="dot"/>
            </w:tabs>
            <w:rPr/>
          </w:pPr>
          <w:hyperlink w:anchor="__RefHeading___Toc3300580_1468164448">
            <w:r>
              <w:rPr>
                <w:webHidden/>
                <w:rStyle w:val="IndexLink"/>
                <w:rtl w:val="true"/>
              </w:rPr>
              <w:t>ثبوت المفهوم للجملة الشرطیة فی الجملة</w:t>
            </w:r>
            <w:r>
              <w:rPr>
                <w:rStyle w:val="IndexLink"/>
                <w:rtl w:val="true"/>
              </w:rPr>
              <w:tab/>
            </w:r>
            <w:r>
              <w:rPr>
                <w:rStyle w:val="IndexLink"/>
              </w:rPr>
              <w:t>334</w:t>
            </w:r>
          </w:hyperlink>
        </w:p>
        <w:p>
          <w:pPr>
            <w:pStyle w:val="Contents6"/>
            <w:tabs>
              <w:tab w:val="clear" w:pos="7609"/>
              <w:tab w:val="right" w:pos="9026" w:leader="dot"/>
            </w:tabs>
            <w:rPr/>
          </w:pPr>
          <w:hyperlink w:anchor="__RefHeading___Toc3300582_1468164448">
            <w:r>
              <w:rPr>
                <w:webHidden/>
                <w:rStyle w:val="IndexLink"/>
                <w:rtl w:val="true"/>
              </w:rPr>
              <w:t>العلاقة بین الموضوع والشرط إنضمامیة فیثبت المفهوم</w:t>
            </w:r>
            <w:r>
              <w:rPr>
                <w:rStyle w:val="IndexLink"/>
                <w:rtl w:val="true"/>
              </w:rPr>
              <w:tab/>
            </w:r>
            <w:r>
              <w:rPr>
                <w:rStyle w:val="IndexLink"/>
              </w:rPr>
              <w:t>335</w:t>
            </w:r>
          </w:hyperlink>
        </w:p>
        <w:p>
          <w:pPr>
            <w:pStyle w:val="Contents6"/>
            <w:tabs>
              <w:tab w:val="clear" w:pos="7609"/>
              <w:tab w:val="right" w:pos="9026" w:leader="dot"/>
            </w:tabs>
            <w:rPr/>
          </w:pPr>
          <w:hyperlink w:anchor="__RefHeading___Toc3300584_1468164448">
            <w:r>
              <w:rPr>
                <w:webHidden/>
                <w:rStyle w:val="IndexLink"/>
                <w:rtl w:val="true"/>
              </w:rPr>
              <w:t>المناقشة الثانیة فی الإستدلال بآیة النبأ</w:t>
            </w:r>
            <w:r>
              <w:rPr>
                <w:rStyle w:val="IndexLink"/>
                <w:rtl w:val="true"/>
              </w:rPr>
              <w:tab/>
            </w:r>
            <w:r>
              <w:rPr>
                <w:rStyle w:val="IndexLink"/>
              </w:rPr>
              <w:t>336</w:t>
            </w:r>
          </w:hyperlink>
        </w:p>
        <w:p>
          <w:pPr>
            <w:pStyle w:val="Contents6"/>
            <w:tabs>
              <w:tab w:val="clear" w:pos="7609"/>
              <w:tab w:val="right" w:pos="9026" w:leader="dot"/>
            </w:tabs>
            <w:rPr/>
          </w:pPr>
          <w:hyperlink w:anchor="__RefHeading___Toc3300586_1468164448">
            <w:r>
              <w:rPr>
                <w:webHidden/>
                <w:rStyle w:val="IndexLink"/>
                <w:rtl w:val="true"/>
              </w:rPr>
              <w:t>ملاحظات علی هذه المناقشة</w:t>
            </w:r>
            <w:r>
              <w:rPr>
                <w:rStyle w:val="IndexLink"/>
                <w:rtl w:val="true"/>
              </w:rPr>
              <w:tab/>
            </w:r>
            <w:r>
              <w:rPr>
                <w:rStyle w:val="IndexLink"/>
              </w:rPr>
              <w:t>336</w:t>
            </w:r>
          </w:hyperlink>
        </w:p>
        <w:p>
          <w:pPr>
            <w:pStyle w:val="Contents6"/>
            <w:tabs>
              <w:tab w:val="clear" w:pos="7609"/>
              <w:tab w:val="right" w:pos="9026" w:leader="dot"/>
            </w:tabs>
            <w:rPr/>
          </w:pPr>
          <w:hyperlink w:anchor="__RefHeading___Toc3300588_1468164448">
            <w:r>
              <w:rPr>
                <w:webHidden/>
                <w:rStyle w:val="IndexLink"/>
                <w:rtl w:val="true"/>
              </w:rPr>
              <w:t>هل المعالجات القانونیة تکفی فی حلّ التعارض فی الأدلّة المتصلة؟</w:t>
            </w:r>
            <w:r>
              <w:rPr>
                <w:rStyle w:val="IndexLink"/>
                <w:rtl w:val="true"/>
              </w:rPr>
              <w:tab/>
            </w:r>
            <w:r>
              <w:rPr>
                <w:rStyle w:val="IndexLink"/>
              </w:rPr>
              <w:t>337</w:t>
            </w:r>
          </w:hyperlink>
        </w:p>
        <w:p>
          <w:pPr>
            <w:pStyle w:val="Contents6"/>
            <w:tabs>
              <w:tab w:val="clear" w:pos="7609"/>
              <w:tab w:val="right" w:pos="9026" w:leader="dot"/>
            </w:tabs>
            <w:rPr/>
          </w:pPr>
          <w:hyperlink w:anchor="__RefHeading___Toc3300590_1468164448">
            <w:r>
              <w:rPr>
                <w:webHidden/>
                <w:rStyle w:val="IndexLink"/>
                <w:rtl w:val="true"/>
              </w:rPr>
              <w:t>ملاحظة الصدر علی النائینی</w:t>
            </w:r>
            <w:r>
              <w:rPr>
                <w:rStyle w:val="IndexLink"/>
                <w:rtl w:val="true"/>
              </w:rPr>
              <w:tab/>
            </w:r>
            <w:r>
              <w:rPr>
                <w:rStyle w:val="IndexLink"/>
              </w:rPr>
              <w:t>338</w:t>
            </w:r>
          </w:hyperlink>
        </w:p>
        <w:p>
          <w:pPr>
            <w:pStyle w:val="Contents6"/>
            <w:tabs>
              <w:tab w:val="clear" w:pos="7609"/>
              <w:tab w:val="right" w:pos="9026" w:leader="dot"/>
            </w:tabs>
            <w:rPr/>
          </w:pPr>
          <w:hyperlink w:anchor="__RefHeading___Toc3300592_1468164448">
            <w:r>
              <w:rPr>
                <w:webHidden/>
                <w:rStyle w:val="IndexLink"/>
                <w:rtl w:val="true"/>
              </w:rPr>
              <w:t>نقد ملاحظة الصدر</w:t>
            </w:r>
            <w:r>
              <w:rPr>
                <w:rStyle w:val="IndexLink"/>
                <w:rtl w:val="true"/>
              </w:rPr>
              <w:tab/>
            </w:r>
            <w:r>
              <w:rPr>
                <w:rStyle w:val="IndexLink"/>
              </w:rPr>
              <w:t>338</w:t>
            </w:r>
          </w:hyperlink>
        </w:p>
        <w:p>
          <w:pPr>
            <w:pStyle w:val="Contents6"/>
            <w:tabs>
              <w:tab w:val="clear" w:pos="7609"/>
              <w:tab w:val="right" w:pos="9026" w:leader="dot"/>
            </w:tabs>
            <w:rPr/>
          </w:pPr>
          <w:hyperlink w:anchor="__RefHeading___Toc3300594_1468164448">
            <w:r>
              <w:rPr>
                <w:webHidden/>
                <w:rStyle w:val="IndexLink"/>
                <w:rtl w:val="true"/>
              </w:rPr>
              <w:t>المناقشة الثالثة فی الإستدلال بآیة النبأ</w:t>
            </w:r>
            <w:r>
              <w:rPr>
                <w:rStyle w:val="IndexLink"/>
                <w:rtl w:val="true"/>
              </w:rPr>
              <w:tab/>
            </w:r>
            <w:r>
              <w:rPr>
                <w:rStyle w:val="IndexLink"/>
              </w:rPr>
              <w:t>340</w:t>
            </w:r>
          </w:hyperlink>
        </w:p>
        <w:p>
          <w:pPr>
            <w:pStyle w:val="Contents6"/>
            <w:tabs>
              <w:tab w:val="clear" w:pos="7609"/>
              <w:tab w:val="right" w:pos="9026" w:leader="dot"/>
            </w:tabs>
            <w:rPr/>
          </w:pPr>
          <w:hyperlink w:anchor="__RefHeading___Toc3300596_1468164448">
            <w:r>
              <w:rPr>
                <w:webHidden/>
                <w:rStyle w:val="IndexLink"/>
                <w:rtl w:val="true"/>
              </w:rPr>
              <w:t>ملاحظات علی هذه المناقشة</w:t>
            </w:r>
            <w:r>
              <w:rPr>
                <w:rStyle w:val="IndexLink"/>
                <w:rtl w:val="true"/>
              </w:rPr>
              <w:tab/>
            </w:r>
            <w:r>
              <w:rPr>
                <w:rStyle w:val="IndexLink"/>
              </w:rPr>
              <w:t>341</w:t>
            </w:r>
          </w:hyperlink>
        </w:p>
        <w:p>
          <w:pPr>
            <w:pStyle w:val="Contents6"/>
            <w:tabs>
              <w:tab w:val="clear" w:pos="7609"/>
              <w:tab w:val="right" w:pos="9026" w:leader="dot"/>
            </w:tabs>
            <w:rPr/>
          </w:pPr>
          <w:hyperlink w:anchor="__RefHeading___Toc3300598_1468164448">
            <w:r>
              <w:rPr>
                <w:webHidden/>
                <w:rStyle w:val="IndexLink"/>
                <w:rtl w:val="true"/>
              </w:rPr>
              <w:t xml:space="preserve">المناقشة الرابعة فی الإستدلال بآیة النبأ </w:t>
            </w:r>
            <w:r>
              <w:rPr>
                <w:rStyle w:val="IndexLink"/>
                <w:rtl w:val="true"/>
              </w:rPr>
              <w:t xml:space="preserve">( </w:t>
            </w:r>
            <w:r>
              <w:rPr>
                <w:rStyle w:val="IndexLink"/>
                <w:rtl w:val="true"/>
              </w:rPr>
              <w:t xml:space="preserve">الخبر مع الواسطة </w:t>
            </w:r>
            <w:r>
              <w:rPr>
                <w:rStyle w:val="IndexLink"/>
                <w:rtl w:val="true"/>
              </w:rPr>
              <w:t>)</w:t>
              <w:tab/>
            </w:r>
            <w:r>
              <w:rPr>
                <w:rStyle w:val="IndexLink"/>
              </w:rPr>
              <w:t>342</w:t>
            </w:r>
          </w:hyperlink>
        </w:p>
        <w:p>
          <w:pPr>
            <w:pStyle w:val="Contents6"/>
            <w:tabs>
              <w:tab w:val="clear" w:pos="7609"/>
              <w:tab w:val="right" w:pos="9026" w:leader="dot"/>
            </w:tabs>
            <w:rPr/>
          </w:pPr>
          <w:hyperlink w:anchor="__RefHeading___Toc3300600_1468164448">
            <w:r>
              <w:rPr>
                <w:webHidden/>
                <w:rStyle w:val="IndexLink"/>
                <w:rtl w:val="true"/>
              </w:rPr>
              <w:t>حلول لهذه المناقشة</w:t>
            </w:r>
            <w:r>
              <w:rPr>
                <w:rStyle w:val="IndexLink"/>
                <w:rtl w:val="true"/>
              </w:rPr>
              <w:tab/>
            </w:r>
            <w:r>
              <w:rPr>
                <w:rStyle w:val="IndexLink"/>
              </w:rPr>
              <w:t>343</w:t>
            </w:r>
          </w:hyperlink>
        </w:p>
        <w:p>
          <w:pPr>
            <w:pStyle w:val="Contents6"/>
            <w:tabs>
              <w:tab w:val="clear" w:pos="7609"/>
              <w:tab w:val="right" w:pos="9026" w:leader="dot"/>
            </w:tabs>
            <w:rPr/>
          </w:pPr>
          <w:hyperlink w:anchor="__RefHeading___Toc3300602_1468164448">
            <w:r>
              <w:rPr>
                <w:webHidden/>
                <w:rStyle w:val="IndexLink"/>
                <w:rtl w:val="true"/>
              </w:rPr>
              <w:t>حلّ الشیخ الحائری</w:t>
            </w:r>
            <w:r>
              <w:rPr>
                <w:rStyle w:val="IndexLink"/>
                <w:rtl w:val="true"/>
              </w:rPr>
              <w:tab/>
            </w:r>
            <w:r>
              <w:rPr>
                <w:rStyle w:val="IndexLink"/>
              </w:rPr>
              <w:t>343</w:t>
            </w:r>
          </w:hyperlink>
        </w:p>
        <w:p>
          <w:pPr>
            <w:pStyle w:val="Contents6"/>
            <w:tabs>
              <w:tab w:val="clear" w:pos="7609"/>
              <w:tab w:val="right" w:pos="9026" w:leader="dot"/>
            </w:tabs>
            <w:rPr/>
          </w:pPr>
          <w:hyperlink w:anchor="__RefHeading___Toc3300604_1468164448">
            <w:r>
              <w:rPr>
                <w:webHidden/>
                <w:rStyle w:val="IndexLink"/>
                <w:rtl w:val="true"/>
              </w:rPr>
              <w:t>ملاحظة علی حلّ الحائری</w:t>
            </w:r>
            <w:r>
              <w:rPr>
                <w:rStyle w:val="IndexLink"/>
                <w:rtl w:val="true"/>
              </w:rPr>
              <w:tab/>
            </w:r>
            <w:r>
              <w:rPr>
                <w:rStyle w:val="IndexLink"/>
              </w:rPr>
              <w:t>344</w:t>
            </w:r>
          </w:hyperlink>
        </w:p>
        <w:p>
          <w:pPr>
            <w:pStyle w:val="Contents6"/>
            <w:tabs>
              <w:tab w:val="clear" w:pos="7609"/>
              <w:tab w:val="right" w:pos="9026" w:leader="dot"/>
            </w:tabs>
            <w:rPr/>
          </w:pPr>
          <w:hyperlink w:anchor="__RefHeading___Toc3300606_1468164448">
            <w:r>
              <w:rPr>
                <w:webHidden/>
                <w:rStyle w:val="IndexLink"/>
                <w:rtl w:val="true"/>
              </w:rPr>
              <w:t>حلّ الآخوند</w:t>
            </w:r>
            <w:r>
              <w:rPr>
                <w:rStyle w:val="IndexLink"/>
                <w:rtl w:val="true"/>
              </w:rPr>
              <w:tab/>
            </w:r>
            <w:r>
              <w:rPr>
                <w:rStyle w:val="IndexLink"/>
              </w:rPr>
              <w:t>344</w:t>
            </w:r>
          </w:hyperlink>
        </w:p>
        <w:p>
          <w:pPr>
            <w:pStyle w:val="Contents6"/>
            <w:tabs>
              <w:tab w:val="clear" w:pos="7609"/>
              <w:tab w:val="right" w:pos="9026" w:leader="dot"/>
            </w:tabs>
            <w:rPr/>
          </w:pPr>
          <w:hyperlink w:anchor="__RefHeading___Toc3300608_1468164448">
            <w:r>
              <w:rPr>
                <w:webHidden/>
                <w:rStyle w:val="IndexLink"/>
                <w:rtl w:val="true"/>
              </w:rPr>
              <w:t>الحلّ المختار</w:t>
            </w:r>
            <w:r>
              <w:rPr>
                <w:rStyle w:val="IndexLink"/>
                <w:rtl w:val="true"/>
              </w:rPr>
              <w:tab/>
            </w:r>
            <w:r>
              <w:rPr>
                <w:rStyle w:val="IndexLink"/>
              </w:rPr>
              <w:t>346</w:t>
            </w:r>
          </w:hyperlink>
        </w:p>
        <w:p>
          <w:pPr>
            <w:pStyle w:val="Contents6"/>
            <w:tabs>
              <w:tab w:val="clear" w:pos="7609"/>
              <w:tab w:val="right" w:pos="9026" w:leader="dot"/>
            </w:tabs>
            <w:rPr/>
          </w:pPr>
          <w:hyperlink w:anchor="__RefHeading___Toc3300610_1468164448">
            <w:r>
              <w:rPr>
                <w:webHidden/>
                <w:rStyle w:val="IndexLink"/>
                <w:rtl w:val="true"/>
              </w:rPr>
              <w:t>الإستدلال علی الحجّیة بمفهوم الوصف</w:t>
            </w:r>
            <w:r>
              <w:rPr>
                <w:rStyle w:val="IndexLink"/>
                <w:rtl w:val="true"/>
              </w:rPr>
              <w:tab/>
            </w:r>
            <w:r>
              <w:rPr>
                <w:rStyle w:val="IndexLink"/>
              </w:rPr>
              <w:t>347</w:t>
            </w:r>
          </w:hyperlink>
        </w:p>
        <w:p>
          <w:pPr>
            <w:pStyle w:val="Contents6"/>
            <w:tabs>
              <w:tab w:val="clear" w:pos="7609"/>
              <w:tab w:val="right" w:pos="9026" w:leader="dot"/>
            </w:tabs>
            <w:rPr/>
          </w:pPr>
          <w:hyperlink w:anchor="__RefHeading___Toc3300612_1468164448">
            <w:r>
              <w:rPr>
                <w:webHidden/>
                <w:rStyle w:val="IndexLink"/>
                <w:rtl w:val="true"/>
              </w:rPr>
              <w:t>الإستدلال علی الحجّیة بمفهوم التحدید</w:t>
            </w:r>
            <w:r>
              <w:rPr>
                <w:rStyle w:val="IndexLink"/>
                <w:rtl w:val="true"/>
              </w:rPr>
              <w:tab/>
            </w:r>
            <w:r>
              <w:rPr>
                <w:rStyle w:val="IndexLink"/>
              </w:rPr>
              <w:t>347</w:t>
            </w:r>
          </w:hyperlink>
        </w:p>
        <w:p>
          <w:pPr>
            <w:pStyle w:val="Contents6"/>
            <w:tabs>
              <w:tab w:val="clear" w:pos="7609"/>
              <w:tab w:val="right" w:pos="9026" w:leader="dot"/>
            </w:tabs>
            <w:rPr/>
          </w:pPr>
          <w:hyperlink w:anchor="__RefHeading___Toc3300614_1468164448">
            <w:r>
              <w:rPr>
                <w:webHidden/>
                <w:rStyle w:val="IndexLink"/>
                <w:rtl w:val="true"/>
              </w:rPr>
              <w:t>التقریب الآخر لدلالة الآیة</w:t>
            </w:r>
            <w:r>
              <w:rPr>
                <w:rStyle w:val="IndexLink"/>
                <w:rtl w:val="true"/>
              </w:rPr>
              <w:tab/>
            </w:r>
            <w:r>
              <w:rPr>
                <w:rStyle w:val="IndexLink"/>
              </w:rPr>
              <w:t>348</w:t>
            </w:r>
          </w:hyperlink>
        </w:p>
        <w:p>
          <w:pPr>
            <w:pStyle w:val="Contents6"/>
            <w:tabs>
              <w:tab w:val="clear" w:pos="7609"/>
              <w:tab w:val="right" w:pos="9026" w:leader="dot"/>
            </w:tabs>
            <w:rPr/>
          </w:pPr>
          <w:hyperlink w:anchor="__RefHeading___Toc3300616_1468164448">
            <w:r>
              <w:rPr>
                <w:webHidden/>
                <w:rStyle w:val="IndexLink"/>
                <w:rtl w:val="true"/>
              </w:rPr>
              <w:t>دائرة حجّیة خبر العادل؛ لسانه أو أعماله؟</w:t>
            </w:r>
            <w:r>
              <w:rPr>
                <w:rStyle w:val="IndexLink"/>
                <w:rtl w:val="true"/>
              </w:rPr>
              <w:tab/>
            </w:r>
            <w:r>
              <w:rPr>
                <w:rStyle w:val="IndexLink"/>
              </w:rPr>
              <w:t>348</w:t>
            </w:r>
          </w:hyperlink>
        </w:p>
        <w:p>
          <w:pPr>
            <w:pStyle w:val="Contents6"/>
            <w:tabs>
              <w:tab w:val="clear" w:pos="7609"/>
              <w:tab w:val="right" w:pos="9026" w:leader="dot"/>
            </w:tabs>
            <w:rPr/>
          </w:pPr>
          <w:hyperlink w:anchor="__RefHeading___Toc3300618_1468164448">
            <w:r>
              <w:rPr>
                <w:webHidden/>
                <w:rStyle w:val="IndexLink"/>
                <w:rtl w:val="true"/>
              </w:rPr>
              <w:t>الفرق بین التبیّن والطرح</w:t>
            </w:r>
            <w:r>
              <w:rPr>
                <w:rStyle w:val="IndexLink"/>
                <w:rtl w:val="true"/>
              </w:rPr>
              <w:tab/>
            </w:r>
            <w:r>
              <w:rPr>
                <w:rStyle w:val="IndexLink"/>
              </w:rPr>
              <w:t>349</w:t>
            </w:r>
          </w:hyperlink>
        </w:p>
        <w:p>
          <w:pPr>
            <w:pStyle w:val="Contents6"/>
            <w:tabs>
              <w:tab w:val="clear" w:pos="7609"/>
              <w:tab w:val="right" w:pos="9026" w:leader="dot"/>
            </w:tabs>
            <w:rPr/>
          </w:pPr>
          <w:hyperlink w:anchor="__RefHeading___Toc3300620_1468164448">
            <w:r>
              <w:rPr>
                <w:webHidden/>
                <w:rStyle w:val="IndexLink"/>
                <w:rtl w:val="true"/>
              </w:rPr>
              <w:t>معنی وجوب التبیّن</w:t>
            </w:r>
            <w:r>
              <w:rPr>
                <w:rStyle w:val="IndexLink"/>
                <w:rtl w:val="true"/>
              </w:rPr>
              <w:tab/>
            </w:r>
            <w:r>
              <w:rPr>
                <w:rStyle w:val="IndexLink"/>
              </w:rPr>
              <w:t>350</w:t>
            </w:r>
          </w:hyperlink>
        </w:p>
        <w:p>
          <w:pPr>
            <w:pStyle w:val="Contents6"/>
            <w:tabs>
              <w:tab w:val="clear" w:pos="7609"/>
              <w:tab w:val="right" w:pos="9026" w:leader="dot"/>
            </w:tabs>
            <w:rPr/>
          </w:pPr>
          <w:hyperlink w:anchor="__RefHeading___Toc3300622_1468164448">
            <w:r>
              <w:rPr>
                <w:webHidden/>
                <w:rStyle w:val="IndexLink"/>
                <w:rtl w:val="true"/>
              </w:rPr>
              <w:t>الآیة الثانیة</w:t>
            </w:r>
            <w:r>
              <w:rPr>
                <w:rStyle w:val="IndexLink"/>
                <w:rtl w:val="true"/>
              </w:rPr>
              <w:t xml:space="preserve">: </w:t>
            </w:r>
            <w:r>
              <w:rPr>
                <w:rStyle w:val="IndexLink"/>
                <w:rtl w:val="true"/>
              </w:rPr>
              <w:t>آیة النفر</w:t>
            </w:r>
            <w:r>
              <w:rPr>
                <w:rStyle w:val="IndexLink"/>
                <w:rtl w:val="true"/>
              </w:rPr>
              <w:tab/>
            </w:r>
            <w:r>
              <w:rPr>
                <w:rStyle w:val="IndexLink"/>
              </w:rPr>
              <w:t>350</w:t>
            </w:r>
          </w:hyperlink>
        </w:p>
        <w:p>
          <w:pPr>
            <w:pStyle w:val="Contents6"/>
            <w:tabs>
              <w:tab w:val="clear" w:pos="7609"/>
              <w:tab w:val="right" w:pos="9026" w:leader="dot"/>
            </w:tabs>
            <w:rPr/>
          </w:pPr>
          <w:hyperlink w:anchor="__RefHeading___Toc3300624_1468164448">
            <w:r>
              <w:rPr>
                <w:webHidden/>
                <w:rStyle w:val="IndexLink"/>
                <w:rtl w:val="true"/>
              </w:rPr>
              <w:t>تقریب الإستدلال</w:t>
            </w:r>
            <w:r>
              <w:rPr>
                <w:rStyle w:val="IndexLink"/>
                <w:rtl w:val="true"/>
              </w:rPr>
              <w:tab/>
            </w:r>
            <w:r>
              <w:rPr>
                <w:rStyle w:val="IndexLink"/>
              </w:rPr>
              <w:t>350</w:t>
            </w:r>
          </w:hyperlink>
        </w:p>
        <w:p>
          <w:pPr>
            <w:pStyle w:val="Contents6"/>
            <w:tabs>
              <w:tab w:val="clear" w:pos="7609"/>
              <w:tab w:val="right" w:pos="9026" w:leader="dot"/>
            </w:tabs>
            <w:rPr/>
          </w:pPr>
          <w:hyperlink w:anchor="__RefHeading___Toc3300626_1468164448">
            <w:r>
              <w:rPr>
                <w:webHidden/>
                <w:rStyle w:val="IndexLink"/>
                <w:rtl w:val="true"/>
              </w:rPr>
              <w:t>مجموعة من الإشکالات علی الإستدلال بآیة النفر</w:t>
            </w:r>
            <w:r>
              <w:rPr>
                <w:rStyle w:val="IndexLink"/>
                <w:rtl w:val="true"/>
              </w:rPr>
              <w:tab/>
            </w:r>
            <w:r>
              <w:rPr>
                <w:rStyle w:val="IndexLink"/>
              </w:rPr>
              <w:t>351</w:t>
            </w:r>
          </w:hyperlink>
        </w:p>
        <w:p>
          <w:pPr>
            <w:pStyle w:val="Contents6"/>
            <w:tabs>
              <w:tab w:val="clear" w:pos="7609"/>
              <w:tab w:val="right" w:pos="9026" w:leader="dot"/>
            </w:tabs>
            <w:rPr/>
          </w:pPr>
          <w:hyperlink w:anchor="__RefHeading___Toc3300628_1468164448">
            <w:r>
              <w:rPr>
                <w:webHidden/>
                <w:rStyle w:val="IndexLink"/>
                <w:rtl w:val="true"/>
              </w:rPr>
              <w:t>الإشکال الأول</w:t>
            </w:r>
            <w:r>
              <w:rPr>
                <w:rStyle w:val="IndexLink"/>
                <w:rtl w:val="true"/>
              </w:rPr>
              <w:t xml:space="preserve">: </w:t>
            </w:r>
            <w:r>
              <w:rPr>
                <w:rStyle w:val="IndexLink"/>
                <w:rtl w:val="true"/>
              </w:rPr>
              <w:t>المناقشة فی معنی لعلّ‌</w:t>
            </w:r>
            <w:r>
              <w:rPr>
                <w:rStyle w:val="IndexLink"/>
                <w:rtl w:val="true"/>
              </w:rPr>
              <w:tab/>
            </w:r>
            <w:r>
              <w:rPr>
                <w:rStyle w:val="IndexLink"/>
              </w:rPr>
              <w:t>351</w:t>
            </w:r>
          </w:hyperlink>
        </w:p>
        <w:p>
          <w:pPr>
            <w:pStyle w:val="Contents6"/>
            <w:tabs>
              <w:tab w:val="clear" w:pos="7609"/>
              <w:tab w:val="right" w:pos="9026" w:leader="dot"/>
            </w:tabs>
            <w:rPr/>
          </w:pPr>
          <w:hyperlink w:anchor="__RefHeading___Toc3300630_1468164448">
            <w:r>
              <w:rPr>
                <w:webHidden/>
                <w:rStyle w:val="IndexLink"/>
                <w:rtl w:val="true"/>
              </w:rPr>
              <w:t>تقییم الإشکال</w:t>
            </w:r>
            <w:r>
              <w:rPr>
                <w:rStyle w:val="IndexLink"/>
                <w:rtl w:val="true"/>
              </w:rPr>
              <w:tab/>
            </w:r>
            <w:r>
              <w:rPr>
                <w:rStyle w:val="IndexLink"/>
              </w:rPr>
              <w:t>351</w:t>
            </w:r>
          </w:hyperlink>
        </w:p>
        <w:p>
          <w:pPr>
            <w:pStyle w:val="Contents6"/>
            <w:tabs>
              <w:tab w:val="clear" w:pos="7609"/>
              <w:tab w:val="right" w:pos="9026" w:leader="dot"/>
            </w:tabs>
            <w:rPr/>
          </w:pPr>
          <w:hyperlink w:anchor="__RefHeading___Toc3300632_1468164448">
            <w:r>
              <w:rPr>
                <w:webHidden/>
                <w:rStyle w:val="IndexLink"/>
                <w:rtl w:val="true"/>
              </w:rPr>
              <w:t>الإشکال الثانی</w:t>
            </w:r>
            <w:r>
              <w:rPr>
                <w:rStyle w:val="IndexLink"/>
                <w:rtl w:val="true"/>
              </w:rPr>
              <w:t xml:space="preserve">: </w:t>
            </w:r>
            <w:r>
              <w:rPr>
                <w:rStyle w:val="IndexLink"/>
                <w:rtl w:val="true"/>
              </w:rPr>
              <w:t>کیفیة ترتب الحذر علی الإنذار</w:t>
            </w:r>
            <w:r>
              <w:rPr>
                <w:rStyle w:val="IndexLink"/>
                <w:rtl w:val="true"/>
              </w:rPr>
              <w:tab/>
            </w:r>
            <w:r>
              <w:rPr>
                <w:rStyle w:val="IndexLink"/>
              </w:rPr>
              <w:t>352</w:t>
            </w:r>
          </w:hyperlink>
        </w:p>
        <w:p>
          <w:pPr>
            <w:pStyle w:val="Contents6"/>
            <w:tabs>
              <w:tab w:val="clear" w:pos="7609"/>
              <w:tab w:val="right" w:pos="9026" w:leader="dot"/>
            </w:tabs>
            <w:rPr/>
          </w:pPr>
          <w:hyperlink w:anchor="__RefHeading___Toc3300634_1468164448">
            <w:r>
              <w:rPr>
                <w:webHidden/>
                <w:rStyle w:val="IndexLink"/>
                <w:rtl w:val="true"/>
              </w:rPr>
              <w:t>تقییم الإشکال</w:t>
            </w:r>
            <w:r>
              <w:rPr>
                <w:rStyle w:val="IndexLink"/>
                <w:rtl w:val="true"/>
              </w:rPr>
              <w:tab/>
            </w:r>
            <w:r>
              <w:rPr>
                <w:rStyle w:val="IndexLink"/>
              </w:rPr>
              <w:t>352</w:t>
            </w:r>
          </w:hyperlink>
        </w:p>
        <w:p>
          <w:pPr>
            <w:pStyle w:val="Contents6"/>
            <w:tabs>
              <w:tab w:val="clear" w:pos="7609"/>
              <w:tab w:val="right" w:pos="9026" w:leader="dot"/>
            </w:tabs>
            <w:rPr/>
          </w:pPr>
          <w:hyperlink w:anchor="__RefHeading___Toc3300636_1468164448">
            <w:r>
              <w:rPr>
                <w:webHidden/>
                <w:rStyle w:val="IndexLink"/>
                <w:rtl w:val="true"/>
              </w:rPr>
              <w:t>الإشکال الثالث</w:t>
            </w:r>
            <w:r>
              <w:rPr>
                <w:rStyle w:val="IndexLink"/>
                <w:rtl w:val="true"/>
              </w:rPr>
              <w:t xml:space="preserve">: </w:t>
            </w:r>
            <w:r>
              <w:rPr>
                <w:rStyle w:val="IndexLink"/>
                <w:rtl w:val="true"/>
              </w:rPr>
              <w:t>لابدّ من علم المنذر</w:t>
            </w:r>
            <w:r>
              <w:rPr>
                <w:rStyle w:val="IndexLink"/>
                <w:rtl w:val="true"/>
              </w:rPr>
              <w:tab/>
            </w:r>
            <w:r>
              <w:rPr>
                <w:rStyle w:val="IndexLink"/>
              </w:rPr>
              <w:t>353</w:t>
            </w:r>
          </w:hyperlink>
        </w:p>
        <w:p>
          <w:pPr>
            <w:pStyle w:val="Contents6"/>
            <w:tabs>
              <w:tab w:val="clear" w:pos="7609"/>
              <w:tab w:val="right" w:pos="9026" w:leader="dot"/>
            </w:tabs>
            <w:rPr/>
          </w:pPr>
          <w:hyperlink w:anchor="__RefHeading___Toc3300638_1468164448">
            <w:r>
              <w:rPr>
                <w:webHidden/>
                <w:rStyle w:val="IndexLink"/>
                <w:rtl w:val="true"/>
              </w:rPr>
              <w:t>تقییم الإشکال</w:t>
            </w:r>
            <w:r>
              <w:rPr>
                <w:rStyle w:val="IndexLink"/>
                <w:rtl w:val="true"/>
              </w:rPr>
              <w:tab/>
            </w:r>
            <w:r>
              <w:rPr>
                <w:rStyle w:val="IndexLink"/>
              </w:rPr>
              <w:t>353</w:t>
            </w:r>
          </w:hyperlink>
        </w:p>
        <w:p>
          <w:pPr>
            <w:pStyle w:val="Contents6"/>
            <w:tabs>
              <w:tab w:val="clear" w:pos="7609"/>
              <w:tab w:val="right" w:pos="9026" w:leader="dot"/>
            </w:tabs>
            <w:rPr/>
          </w:pPr>
          <w:hyperlink w:anchor="__RefHeading___Toc3300640_1468164448">
            <w:r>
              <w:rPr>
                <w:webHidden/>
                <w:rStyle w:val="IndexLink"/>
                <w:rtl w:val="true"/>
              </w:rPr>
              <w:t>الإشکال الرابع</w:t>
            </w:r>
            <w:r>
              <w:rPr>
                <w:rStyle w:val="IndexLink"/>
                <w:rtl w:val="true"/>
              </w:rPr>
              <w:t xml:space="preserve">: </w:t>
            </w:r>
            <w:r>
              <w:rPr>
                <w:rStyle w:val="IndexLink"/>
                <w:rtl w:val="true"/>
              </w:rPr>
              <w:t>عدم صدق الإنذار علی الروایة</w:t>
            </w:r>
            <w:r>
              <w:rPr>
                <w:rStyle w:val="IndexLink"/>
                <w:rtl w:val="true"/>
              </w:rPr>
              <w:tab/>
            </w:r>
            <w:r>
              <w:rPr>
                <w:rStyle w:val="IndexLink"/>
              </w:rPr>
              <w:t>353</w:t>
            </w:r>
          </w:hyperlink>
        </w:p>
        <w:p>
          <w:pPr>
            <w:pStyle w:val="Contents6"/>
            <w:tabs>
              <w:tab w:val="clear" w:pos="7609"/>
              <w:tab w:val="right" w:pos="9026" w:leader="dot"/>
            </w:tabs>
            <w:rPr/>
          </w:pPr>
          <w:hyperlink w:anchor="__RefHeading___Toc3300642_1468164448">
            <w:r>
              <w:rPr>
                <w:webHidden/>
                <w:rStyle w:val="IndexLink"/>
                <w:rtl w:val="true"/>
              </w:rPr>
              <w:t>الإشکال الخامس</w:t>
            </w:r>
            <w:r>
              <w:rPr>
                <w:rStyle w:val="IndexLink"/>
                <w:rtl w:val="true"/>
              </w:rPr>
              <w:t xml:space="preserve">: </w:t>
            </w:r>
            <w:r>
              <w:rPr>
                <w:rStyle w:val="IndexLink"/>
                <w:rtl w:val="true"/>
              </w:rPr>
              <w:t>الآیة تثبت حجّیة الفتوی لا الروایة</w:t>
            </w:r>
            <w:r>
              <w:rPr>
                <w:rStyle w:val="IndexLink"/>
                <w:rtl w:val="true"/>
              </w:rPr>
              <w:tab/>
            </w:r>
            <w:r>
              <w:rPr>
                <w:rStyle w:val="IndexLink"/>
              </w:rPr>
              <w:t>354</w:t>
            </w:r>
          </w:hyperlink>
        </w:p>
        <w:p>
          <w:pPr>
            <w:pStyle w:val="Contents6"/>
            <w:tabs>
              <w:tab w:val="clear" w:pos="7609"/>
              <w:tab w:val="right" w:pos="9026" w:leader="dot"/>
            </w:tabs>
            <w:rPr/>
          </w:pPr>
          <w:hyperlink w:anchor="__RefHeading___Toc3300644_1468164448">
            <w:r>
              <w:rPr>
                <w:webHidden/>
                <w:rStyle w:val="IndexLink"/>
                <w:rtl w:val="true"/>
              </w:rPr>
              <w:t>لا فرق بین الفتوی والروایة فی زمن النص</w:t>
            </w:r>
            <w:r>
              <w:rPr>
                <w:rStyle w:val="IndexLink"/>
                <w:rtl w:val="true"/>
              </w:rPr>
              <w:tab/>
            </w:r>
            <w:r>
              <w:rPr>
                <w:rStyle w:val="IndexLink"/>
              </w:rPr>
              <w:t>354</w:t>
            </w:r>
          </w:hyperlink>
        </w:p>
        <w:p>
          <w:pPr>
            <w:pStyle w:val="Contents6"/>
            <w:tabs>
              <w:tab w:val="clear" w:pos="7609"/>
              <w:tab w:val="right" w:pos="9026" w:leader="dot"/>
            </w:tabs>
            <w:rPr/>
          </w:pPr>
          <w:hyperlink w:anchor="__RefHeading___Toc3300646_1468164448">
            <w:r>
              <w:rPr>
                <w:webHidden/>
                <w:rStyle w:val="IndexLink"/>
                <w:rtl w:val="true"/>
              </w:rPr>
              <w:t>الإشکال السادس</w:t>
            </w:r>
            <w:r>
              <w:rPr>
                <w:rStyle w:val="IndexLink"/>
                <w:rtl w:val="true"/>
              </w:rPr>
              <w:t xml:space="preserve">: </w:t>
            </w:r>
            <w:r>
              <w:rPr>
                <w:rStyle w:val="IndexLink"/>
                <w:rtl w:val="true"/>
              </w:rPr>
              <w:t>عدم حجّیة الظن فی الأصول</w:t>
            </w:r>
            <w:r>
              <w:rPr>
                <w:rStyle w:val="IndexLink"/>
                <w:rtl w:val="true"/>
              </w:rPr>
              <w:tab/>
            </w:r>
            <w:r>
              <w:rPr>
                <w:rStyle w:val="IndexLink"/>
              </w:rPr>
              <w:t>355</w:t>
            </w:r>
          </w:hyperlink>
        </w:p>
        <w:p>
          <w:pPr>
            <w:pStyle w:val="Contents6"/>
            <w:tabs>
              <w:tab w:val="clear" w:pos="7609"/>
              <w:tab w:val="right" w:pos="9026" w:leader="dot"/>
            </w:tabs>
            <w:rPr/>
          </w:pPr>
          <w:hyperlink w:anchor="__RefHeading___Toc3300648_1468164448">
            <w:r>
              <w:rPr>
                <w:webHidden/>
                <w:rStyle w:val="IndexLink"/>
                <w:rtl w:val="true"/>
              </w:rPr>
              <w:t>المختار فی تقریب الإستدلال وحلّ المناقشات</w:t>
            </w:r>
            <w:r>
              <w:rPr>
                <w:rStyle w:val="IndexLink"/>
                <w:rtl w:val="true"/>
              </w:rPr>
              <w:tab/>
            </w:r>
            <w:r>
              <w:rPr>
                <w:rStyle w:val="IndexLink"/>
              </w:rPr>
              <w:t>356</w:t>
            </w:r>
          </w:hyperlink>
        </w:p>
        <w:p>
          <w:pPr>
            <w:pStyle w:val="Contents6"/>
            <w:tabs>
              <w:tab w:val="clear" w:pos="7609"/>
              <w:tab w:val="right" w:pos="9026" w:leader="dot"/>
            </w:tabs>
            <w:rPr/>
          </w:pPr>
          <w:hyperlink w:anchor="__RefHeading___Toc3300650_1468164448">
            <w:r>
              <w:rPr>
                <w:webHidden/>
                <w:rStyle w:val="IndexLink"/>
                <w:rtl w:val="true"/>
              </w:rPr>
              <w:t>استفادة الإمضاء من الکلّی الفوقانی</w:t>
            </w:r>
            <w:r>
              <w:rPr>
                <w:rStyle w:val="IndexLink"/>
                <w:rtl w:val="true"/>
              </w:rPr>
              <w:tab/>
            </w:r>
            <w:r>
              <w:rPr>
                <w:rStyle w:val="IndexLink"/>
              </w:rPr>
              <w:t>357</w:t>
            </w:r>
          </w:hyperlink>
        </w:p>
        <w:p>
          <w:pPr>
            <w:pStyle w:val="Contents6"/>
            <w:tabs>
              <w:tab w:val="clear" w:pos="7609"/>
              <w:tab w:val="right" w:pos="9026" w:leader="dot"/>
            </w:tabs>
            <w:rPr/>
          </w:pPr>
          <w:hyperlink w:anchor="__RefHeading___Toc3300652_1468164448">
            <w:r>
              <w:rPr>
                <w:webHidden/>
                <w:rStyle w:val="IndexLink"/>
                <w:rtl w:val="true"/>
              </w:rPr>
              <w:t>الإستدلال بالأولویة فی آیة النفر</w:t>
            </w:r>
            <w:r>
              <w:rPr>
                <w:rStyle w:val="IndexLink"/>
                <w:rtl w:val="true"/>
              </w:rPr>
              <w:tab/>
            </w:r>
            <w:r>
              <w:rPr>
                <w:rStyle w:val="IndexLink"/>
              </w:rPr>
              <w:t>357</w:t>
            </w:r>
          </w:hyperlink>
        </w:p>
        <w:p>
          <w:pPr>
            <w:pStyle w:val="Contents6"/>
            <w:tabs>
              <w:tab w:val="clear" w:pos="7609"/>
              <w:tab w:val="right" w:pos="9026" w:leader="dot"/>
            </w:tabs>
            <w:rPr/>
          </w:pPr>
          <w:hyperlink w:anchor="__RefHeading___Toc3300654_1468164448">
            <w:r>
              <w:rPr>
                <w:webHidden/>
                <w:rStyle w:val="IndexLink"/>
                <w:rtl w:val="true"/>
              </w:rPr>
              <w:t>جواب الإشکال الرابع</w:t>
            </w:r>
            <w:r>
              <w:rPr>
                <w:rStyle w:val="IndexLink"/>
                <w:rtl w:val="true"/>
              </w:rPr>
              <w:tab/>
            </w:r>
            <w:r>
              <w:rPr>
                <w:rStyle w:val="IndexLink"/>
              </w:rPr>
              <w:t>358</w:t>
            </w:r>
          </w:hyperlink>
        </w:p>
        <w:p>
          <w:pPr>
            <w:pStyle w:val="Contents6"/>
            <w:tabs>
              <w:tab w:val="clear" w:pos="7609"/>
              <w:tab w:val="right" w:pos="9026" w:leader="dot"/>
            </w:tabs>
            <w:rPr/>
          </w:pPr>
          <w:hyperlink w:anchor="__RefHeading___Toc3300656_1468164448">
            <w:r>
              <w:rPr>
                <w:webHidden/>
                <w:rStyle w:val="IndexLink"/>
                <w:rtl w:val="true"/>
              </w:rPr>
              <w:t>جواب الإشکال الخامس</w:t>
            </w:r>
            <w:r>
              <w:rPr>
                <w:rStyle w:val="IndexLink"/>
                <w:rtl w:val="true"/>
              </w:rPr>
              <w:tab/>
            </w:r>
            <w:r>
              <w:rPr>
                <w:rStyle w:val="IndexLink"/>
              </w:rPr>
              <w:t>358</w:t>
            </w:r>
          </w:hyperlink>
        </w:p>
        <w:p>
          <w:pPr>
            <w:pStyle w:val="Contents6"/>
            <w:tabs>
              <w:tab w:val="clear" w:pos="7609"/>
              <w:tab w:val="right" w:pos="9026" w:leader="dot"/>
            </w:tabs>
            <w:rPr/>
          </w:pPr>
          <w:hyperlink w:anchor="__RefHeading___Toc3300658_1468164448">
            <w:r>
              <w:rPr>
                <w:webHidden/>
                <w:rStyle w:val="IndexLink"/>
                <w:rtl w:val="true"/>
              </w:rPr>
              <w:t>جواب الإشکال السادس</w:t>
            </w:r>
            <w:r>
              <w:rPr>
                <w:rStyle w:val="IndexLink"/>
                <w:rtl w:val="true"/>
              </w:rPr>
              <w:tab/>
            </w:r>
            <w:r>
              <w:rPr>
                <w:rStyle w:val="IndexLink"/>
              </w:rPr>
              <w:t>359</w:t>
            </w:r>
          </w:hyperlink>
        </w:p>
        <w:p>
          <w:pPr>
            <w:pStyle w:val="Contents6"/>
            <w:tabs>
              <w:tab w:val="clear" w:pos="7609"/>
              <w:tab w:val="right" w:pos="9026" w:leader="dot"/>
            </w:tabs>
            <w:rPr/>
          </w:pPr>
          <w:hyperlink w:anchor="__RefHeading___Toc3300660_1468164448">
            <w:r>
              <w:rPr>
                <w:webHidden/>
                <w:rStyle w:val="IndexLink"/>
                <w:rtl w:val="true"/>
              </w:rPr>
              <w:t>الجواب عن الجهة المشترکة فی الإشکالات</w:t>
            </w:r>
            <w:r>
              <w:rPr>
                <w:rStyle w:val="IndexLink"/>
                <w:rtl w:val="true"/>
              </w:rPr>
              <w:tab/>
            </w:r>
            <w:r>
              <w:rPr>
                <w:rStyle w:val="IndexLink"/>
              </w:rPr>
              <w:t>359</w:t>
            </w:r>
          </w:hyperlink>
        </w:p>
        <w:p>
          <w:pPr>
            <w:pStyle w:val="Contents6"/>
            <w:tabs>
              <w:tab w:val="clear" w:pos="7609"/>
              <w:tab w:val="right" w:pos="9026" w:leader="dot"/>
            </w:tabs>
            <w:rPr/>
          </w:pPr>
          <w:hyperlink w:anchor="__RefHeading___Toc3300662_1468164448">
            <w:r>
              <w:rPr>
                <w:webHidden/>
                <w:rStyle w:val="IndexLink"/>
                <w:rtl w:val="true"/>
              </w:rPr>
              <w:t>موضوع الحجّة هو الفهم العام للدین</w:t>
            </w:r>
            <w:r>
              <w:rPr>
                <w:rStyle w:val="IndexLink"/>
                <w:rtl w:val="true"/>
              </w:rPr>
              <w:tab/>
            </w:r>
            <w:r>
              <w:rPr>
                <w:rStyle w:val="IndexLink"/>
              </w:rPr>
              <w:t>360</w:t>
            </w:r>
          </w:hyperlink>
        </w:p>
        <w:p>
          <w:pPr>
            <w:pStyle w:val="Contents6"/>
            <w:tabs>
              <w:tab w:val="clear" w:pos="7609"/>
              <w:tab w:val="right" w:pos="9026" w:leader="dot"/>
            </w:tabs>
            <w:rPr/>
          </w:pPr>
          <w:hyperlink w:anchor="__RefHeading___Toc3300664_1468164448">
            <w:r>
              <w:rPr>
                <w:webHidden/>
                <w:rStyle w:val="IndexLink"/>
                <w:rtl w:val="true"/>
              </w:rPr>
              <w:t>الآیة الثالثة</w:t>
            </w:r>
            <w:r>
              <w:rPr>
                <w:rStyle w:val="IndexLink"/>
                <w:rtl w:val="true"/>
              </w:rPr>
              <w:t xml:space="preserve">: </w:t>
            </w:r>
            <w:r>
              <w:rPr>
                <w:rStyle w:val="IndexLink"/>
                <w:rtl w:val="true"/>
              </w:rPr>
              <w:t>آیة الکتمان</w:t>
            </w:r>
            <w:r>
              <w:rPr>
                <w:rStyle w:val="IndexLink"/>
                <w:rtl w:val="true"/>
              </w:rPr>
              <w:tab/>
            </w:r>
            <w:r>
              <w:rPr>
                <w:rStyle w:val="IndexLink"/>
              </w:rPr>
              <w:t>360</w:t>
            </w:r>
          </w:hyperlink>
        </w:p>
        <w:p>
          <w:pPr>
            <w:pStyle w:val="Contents6"/>
            <w:tabs>
              <w:tab w:val="clear" w:pos="7609"/>
              <w:tab w:val="right" w:pos="9026" w:leader="dot"/>
            </w:tabs>
            <w:rPr/>
          </w:pPr>
          <w:hyperlink w:anchor="__RefHeading___Toc3300666_1468164448">
            <w:r>
              <w:rPr>
                <w:webHidden/>
                <w:rStyle w:val="IndexLink"/>
                <w:rtl w:val="true"/>
              </w:rPr>
              <w:t>تقریب الإستدلال</w:t>
            </w:r>
            <w:r>
              <w:rPr>
                <w:rStyle w:val="IndexLink"/>
                <w:rtl w:val="true"/>
              </w:rPr>
              <w:tab/>
            </w:r>
            <w:r>
              <w:rPr>
                <w:rStyle w:val="IndexLink"/>
              </w:rPr>
              <w:t>361</w:t>
            </w:r>
          </w:hyperlink>
        </w:p>
        <w:p>
          <w:pPr>
            <w:pStyle w:val="Contents6"/>
            <w:tabs>
              <w:tab w:val="clear" w:pos="7609"/>
              <w:tab w:val="right" w:pos="9026" w:leader="dot"/>
            </w:tabs>
            <w:rPr/>
          </w:pPr>
          <w:hyperlink w:anchor="__RefHeading___Toc3300668_1468164448">
            <w:r>
              <w:rPr>
                <w:webHidden/>
                <w:rStyle w:val="IndexLink"/>
                <w:rtl w:val="true"/>
              </w:rPr>
              <w:t xml:space="preserve">المراد من </w:t>
            </w:r>
            <w:r>
              <w:rPr>
                <w:rStyle w:val="IndexLink"/>
                <w:rtl w:val="true"/>
              </w:rPr>
              <w:t>(</w:t>
            </w:r>
            <w:r>
              <w:rPr>
                <w:rStyle w:val="IndexLink"/>
                <w:rtl w:val="true"/>
              </w:rPr>
              <w:t>ما بیّناه للناس</w:t>
            </w:r>
            <w:r>
              <w:rPr>
                <w:rStyle w:val="IndexLink"/>
                <w:rtl w:val="true"/>
              </w:rPr>
              <w:t>)</w:t>
              <w:tab/>
            </w:r>
            <w:r>
              <w:rPr>
                <w:rStyle w:val="IndexLink"/>
              </w:rPr>
              <w:t>361</w:t>
            </w:r>
          </w:hyperlink>
        </w:p>
        <w:p>
          <w:pPr>
            <w:pStyle w:val="Contents6"/>
            <w:tabs>
              <w:tab w:val="clear" w:pos="7609"/>
              <w:tab w:val="right" w:pos="9026" w:leader="dot"/>
            </w:tabs>
            <w:rPr/>
          </w:pPr>
          <w:hyperlink w:anchor="__RefHeading___Toc3300670_1468164448">
            <w:r>
              <w:rPr>
                <w:webHidden/>
                <w:rStyle w:val="IndexLink"/>
                <w:rtl w:val="true"/>
              </w:rPr>
              <w:t>عرض الإشکالات علی تقریب الإستدلال</w:t>
            </w:r>
            <w:r>
              <w:rPr>
                <w:rStyle w:val="IndexLink"/>
                <w:rtl w:val="true"/>
              </w:rPr>
              <w:tab/>
            </w:r>
            <w:r>
              <w:rPr>
                <w:rStyle w:val="IndexLink"/>
              </w:rPr>
              <w:t>361</w:t>
            </w:r>
          </w:hyperlink>
        </w:p>
        <w:p>
          <w:pPr>
            <w:pStyle w:val="Contents6"/>
            <w:tabs>
              <w:tab w:val="clear" w:pos="7609"/>
              <w:tab w:val="right" w:pos="9026" w:leader="dot"/>
            </w:tabs>
            <w:rPr/>
          </w:pPr>
          <w:hyperlink w:anchor="__RefHeading___Toc3300672_1468164448">
            <w:r>
              <w:rPr>
                <w:webHidden/>
                <w:rStyle w:val="IndexLink"/>
                <w:rtl w:val="true"/>
              </w:rPr>
              <w:t>الإشکال الأول</w:t>
            </w:r>
            <w:r>
              <w:rPr>
                <w:rStyle w:val="IndexLink"/>
                <w:rtl w:val="true"/>
              </w:rPr>
              <w:t xml:space="preserve">: </w:t>
            </w:r>
            <w:r>
              <w:rPr>
                <w:rStyle w:val="IndexLink"/>
                <w:rtl w:val="true"/>
              </w:rPr>
              <w:t>الکتمان لا یتحقق فی مضمون خبر الواحد</w:t>
            </w:r>
            <w:r>
              <w:rPr>
                <w:rStyle w:val="IndexLink"/>
                <w:rtl w:val="true"/>
              </w:rPr>
              <w:tab/>
            </w:r>
            <w:r>
              <w:rPr>
                <w:rStyle w:val="IndexLink"/>
              </w:rPr>
              <w:t>361</w:t>
            </w:r>
          </w:hyperlink>
        </w:p>
        <w:p>
          <w:pPr>
            <w:pStyle w:val="Contents6"/>
            <w:tabs>
              <w:tab w:val="clear" w:pos="7609"/>
              <w:tab w:val="right" w:pos="9026" w:leader="dot"/>
            </w:tabs>
            <w:rPr/>
          </w:pPr>
          <w:hyperlink w:anchor="__RefHeading___Toc3300674_1468164448">
            <w:r>
              <w:rPr>
                <w:webHidden/>
                <w:rStyle w:val="IndexLink"/>
                <w:rtl w:val="true"/>
              </w:rPr>
              <w:t>تقییم الإشکال</w:t>
            </w:r>
            <w:r>
              <w:rPr>
                <w:rStyle w:val="IndexLink"/>
                <w:rtl w:val="true"/>
              </w:rPr>
              <w:tab/>
            </w:r>
            <w:r>
              <w:rPr>
                <w:rStyle w:val="IndexLink"/>
              </w:rPr>
              <w:t>362</w:t>
            </w:r>
          </w:hyperlink>
        </w:p>
        <w:p>
          <w:pPr>
            <w:pStyle w:val="Contents6"/>
            <w:tabs>
              <w:tab w:val="clear" w:pos="7609"/>
              <w:tab w:val="right" w:pos="9026" w:leader="dot"/>
            </w:tabs>
            <w:rPr/>
          </w:pPr>
          <w:hyperlink w:anchor="__RefHeading___Toc3300676_1468164448">
            <w:r>
              <w:rPr>
                <w:webHidden/>
                <w:rStyle w:val="IndexLink"/>
                <w:rtl w:val="true"/>
              </w:rPr>
              <w:t>الإشکال الثانی</w:t>
            </w:r>
            <w:r>
              <w:rPr>
                <w:rStyle w:val="IndexLink"/>
                <w:rtl w:val="true"/>
              </w:rPr>
              <w:t xml:space="preserve">: </w:t>
            </w:r>
            <w:r>
              <w:rPr>
                <w:rStyle w:val="IndexLink"/>
                <w:rtl w:val="true"/>
              </w:rPr>
              <w:t xml:space="preserve">عنوان </w:t>
            </w:r>
            <w:r>
              <w:rPr>
                <w:rStyle w:val="IndexLink"/>
                <w:rtl w:val="true"/>
              </w:rPr>
              <w:t>(</w:t>
            </w:r>
            <w:r>
              <w:rPr>
                <w:rStyle w:val="IndexLink"/>
                <w:rtl w:val="true"/>
              </w:rPr>
              <w:t>فی الکتاب</w:t>
            </w:r>
            <w:r>
              <w:rPr>
                <w:rStyle w:val="IndexLink"/>
                <w:rtl w:val="true"/>
              </w:rPr>
              <w:t xml:space="preserve">) </w:t>
            </w:r>
            <w:r>
              <w:rPr>
                <w:rStyle w:val="IndexLink"/>
                <w:rtl w:val="true"/>
              </w:rPr>
              <w:t>لا یشمل الروایات</w:t>
            </w:r>
            <w:r>
              <w:rPr>
                <w:rStyle w:val="IndexLink"/>
                <w:rtl w:val="true"/>
              </w:rPr>
              <w:tab/>
            </w:r>
            <w:r>
              <w:rPr>
                <w:rStyle w:val="IndexLink"/>
              </w:rPr>
              <w:t>362</w:t>
            </w:r>
          </w:hyperlink>
        </w:p>
        <w:p>
          <w:pPr>
            <w:pStyle w:val="Contents6"/>
            <w:tabs>
              <w:tab w:val="clear" w:pos="7609"/>
              <w:tab w:val="right" w:pos="9026" w:leader="dot"/>
            </w:tabs>
            <w:rPr/>
          </w:pPr>
          <w:hyperlink w:anchor="__RefHeading___Toc3300678_1468164448">
            <w:r>
              <w:rPr>
                <w:webHidden/>
                <w:rStyle w:val="IndexLink"/>
                <w:rtl w:val="true"/>
              </w:rPr>
              <w:t>تقییم الإشکال</w:t>
            </w:r>
            <w:r>
              <w:rPr>
                <w:rStyle w:val="IndexLink"/>
                <w:rtl w:val="true"/>
              </w:rPr>
              <w:tab/>
            </w:r>
            <w:r>
              <w:rPr>
                <w:rStyle w:val="IndexLink"/>
              </w:rPr>
              <w:t>362</w:t>
            </w:r>
          </w:hyperlink>
        </w:p>
        <w:p>
          <w:pPr>
            <w:pStyle w:val="Contents6"/>
            <w:tabs>
              <w:tab w:val="clear" w:pos="7609"/>
              <w:tab w:val="right" w:pos="9026" w:leader="dot"/>
            </w:tabs>
            <w:rPr/>
          </w:pPr>
          <w:hyperlink w:anchor="__RefHeading___Toc3300680_1468164448">
            <w:r>
              <w:rPr>
                <w:webHidden/>
                <w:rStyle w:val="IndexLink"/>
                <w:rtl w:val="true"/>
              </w:rPr>
              <w:t>الآیة الرابعة</w:t>
            </w:r>
            <w:r>
              <w:rPr>
                <w:rStyle w:val="IndexLink"/>
                <w:rtl w:val="true"/>
              </w:rPr>
              <w:t xml:space="preserve">: </w:t>
            </w:r>
            <w:r>
              <w:rPr>
                <w:rStyle w:val="IndexLink"/>
                <w:rtl w:val="true"/>
              </w:rPr>
              <w:t>آیة الذکر</w:t>
            </w:r>
            <w:r>
              <w:rPr>
                <w:rStyle w:val="IndexLink"/>
                <w:rtl w:val="true"/>
              </w:rPr>
              <w:tab/>
            </w:r>
            <w:r>
              <w:rPr>
                <w:rStyle w:val="IndexLink"/>
              </w:rPr>
              <w:t>362</w:t>
            </w:r>
          </w:hyperlink>
        </w:p>
        <w:p>
          <w:pPr>
            <w:pStyle w:val="Contents6"/>
            <w:tabs>
              <w:tab w:val="clear" w:pos="7609"/>
              <w:tab w:val="right" w:pos="9026" w:leader="dot"/>
            </w:tabs>
            <w:rPr/>
          </w:pPr>
          <w:hyperlink w:anchor="__RefHeading___Toc3300682_1468164448">
            <w:r>
              <w:rPr>
                <w:webHidden/>
                <w:rStyle w:val="IndexLink"/>
                <w:rtl w:val="true"/>
              </w:rPr>
              <w:t>التقریب الإجمالی</w:t>
            </w:r>
            <w:r>
              <w:rPr>
                <w:rStyle w:val="IndexLink"/>
                <w:rtl w:val="true"/>
              </w:rPr>
              <w:tab/>
            </w:r>
            <w:r>
              <w:rPr>
                <w:rStyle w:val="IndexLink"/>
              </w:rPr>
              <w:t>363</w:t>
            </w:r>
          </w:hyperlink>
        </w:p>
        <w:p>
          <w:pPr>
            <w:pStyle w:val="Contents6"/>
            <w:tabs>
              <w:tab w:val="clear" w:pos="7609"/>
              <w:tab w:val="right" w:pos="9026" w:leader="dot"/>
            </w:tabs>
            <w:rPr/>
          </w:pPr>
          <w:hyperlink w:anchor="__RefHeading___Toc3300684_1468164448">
            <w:r>
              <w:rPr>
                <w:webHidden/>
                <w:rStyle w:val="IndexLink"/>
                <w:rtl w:val="true"/>
              </w:rPr>
              <w:t>عرض الإشکالات</w:t>
            </w:r>
            <w:r>
              <w:rPr>
                <w:rStyle w:val="IndexLink"/>
                <w:rtl w:val="true"/>
              </w:rPr>
              <w:tab/>
            </w:r>
            <w:r>
              <w:rPr>
                <w:rStyle w:val="IndexLink"/>
              </w:rPr>
              <w:t>363</w:t>
            </w:r>
          </w:hyperlink>
        </w:p>
        <w:p>
          <w:pPr>
            <w:pStyle w:val="Contents6"/>
            <w:tabs>
              <w:tab w:val="clear" w:pos="7609"/>
              <w:tab w:val="right" w:pos="9026" w:leader="dot"/>
            </w:tabs>
            <w:rPr/>
          </w:pPr>
          <w:hyperlink w:anchor="__RefHeading___Toc3300686_1468164448">
            <w:r>
              <w:rPr>
                <w:webHidden/>
                <w:rStyle w:val="IndexLink"/>
                <w:rtl w:val="true"/>
              </w:rPr>
              <w:t>الجواب عن الإشکالات</w:t>
            </w:r>
            <w:r>
              <w:rPr>
                <w:rStyle w:val="IndexLink"/>
                <w:rtl w:val="true"/>
              </w:rPr>
              <w:tab/>
            </w:r>
            <w:r>
              <w:rPr>
                <w:rStyle w:val="IndexLink"/>
              </w:rPr>
              <w:t>364</w:t>
            </w:r>
          </w:hyperlink>
        </w:p>
        <w:p>
          <w:pPr>
            <w:pStyle w:val="Contents6"/>
            <w:tabs>
              <w:tab w:val="clear" w:pos="7609"/>
              <w:tab w:val="right" w:pos="9026" w:leader="dot"/>
            </w:tabs>
            <w:rPr/>
          </w:pPr>
          <w:hyperlink w:anchor="__RefHeading___Toc3300688_1468164448">
            <w:r>
              <w:rPr>
                <w:webHidden/>
                <w:rStyle w:val="IndexLink"/>
                <w:rtl w:val="true"/>
              </w:rPr>
              <w:t>فرق آیة الذکر مع آیتی النفر والکتمان</w:t>
            </w:r>
            <w:r>
              <w:rPr>
                <w:rStyle w:val="IndexLink"/>
                <w:rtl w:val="true"/>
              </w:rPr>
              <w:tab/>
            </w:r>
            <w:r>
              <w:rPr>
                <w:rStyle w:val="IndexLink"/>
              </w:rPr>
              <w:t>364</w:t>
            </w:r>
          </w:hyperlink>
        </w:p>
        <w:p>
          <w:pPr>
            <w:pStyle w:val="Contents6"/>
            <w:tabs>
              <w:tab w:val="clear" w:pos="7609"/>
              <w:tab w:val="right" w:pos="9026" w:leader="dot"/>
            </w:tabs>
            <w:rPr/>
          </w:pPr>
          <w:hyperlink w:anchor="__RefHeading___Toc3300690_1468164448">
            <w:r>
              <w:rPr>
                <w:webHidden/>
                <w:rStyle w:val="IndexLink"/>
                <w:rtl w:val="true"/>
              </w:rPr>
              <w:t>الشارع تکلّم بلغة العقلاء</w:t>
            </w:r>
            <w:r>
              <w:rPr>
                <w:rStyle w:val="IndexLink"/>
                <w:rtl w:val="true"/>
              </w:rPr>
              <w:tab/>
            </w:r>
            <w:r>
              <w:rPr>
                <w:rStyle w:val="IndexLink"/>
              </w:rPr>
              <w:t>365</w:t>
            </w:r>
          </w:hyperlink>
        </w:p>
        <w:p>
          <w:pPr>
            <w:pStyle w:val="Contents6"/>
            <w:tabs>
              <w:tab w:val="clear" w:pos="7609"/>
              <w:tab w:val="right" w:pos="9026" w:leader="dot"/>
            </w:tabs>
            <w:rPr/>
          </w:pPr>
          <w:hyperlink w:anchor="__RefHeading___Toc3300692_1468164448">
            <w:r>
              <w:rPr>
                <w:webHidden/>
                <w:rStyle w:val="IndexLink"/>
                <w:rtl w:val="true"/>
              </w:rPr>
              <w:t>الآیة الخامسة</w:t>
            </w:r>
            <w:r>
              <w:rPr>
                <w:rStyle w:val="IndexLink"/>
                <w:rtl w:val="true"/>
              </w:rPr>
              <w:t xml:space="preserve">: </w:t>
            </w:r>
            <w:r>
              <w:rPr>
                <w:rStyle w:val="IndexLink"/>
                <w:rtl w:val="true"/>
              </w:rPr>
              <w:t>آیة الأذن</w:t>
            </w:r>
            <w:r>
              <w:rPr>
                <w:rStyle w:val="IndexLink"/>
                <w:rtl w:val="true"/>
              </w:rPr>
              <w:tab/>
            </w:r>
            <w:r>
              <w:rPr>
                <w:rStyle w:val="IndexLink"/>
              </w:rPr>
              <w:t>366</w:t>
            </w:r>
          </w:hyperlink>
        </w:p>
        <w:p>
          <w:pPr>
            <w:pStyle w:val="Contents6"/>
            <w:tabs>
              <w:tab w:val="clear" w:pos="7609"/>
              <w:tab w:val="right" w:pos="9026" w:leader="dot"/>
            </w:tabs>
            <w:rPr/>
          </w:pPr>
          <w:hyperlink w:anchor="__RefHeading___Toc3300694_1468164448">
            <w:r>
              <w:rPr>
                <w:webHidden/>
                <w:rStyle w:val="IndexLink"/>
                <w:rtl w:val="true"/>
              </w:rPr>
              <w:t>التقریب الإجمالی لدلالة الآیة</w:t>
            </w:r>
            <w:r>
              <w:rPr>
                <w:rStyle w:val="IndexLink"/>
                <w:rtl w:val="true"/>
              </w:rPr>
              <w:tab/>
            </w:r>
            <w:r>
              <w:rPr>
                <w:rStyle w:val="IndexLink"/>
              </w:rPr>
              <w:t>366</w:t>
            </w:r>
          </w:hyperlink>
        </w:p>
        <w:p>
          <w:pPr>
            <w:pStyle w:val="Contents6"/>
            <w:tabs>
              <w:tab w:val="clear" w:pos="7609"/>
              <w:tab w:val="right" w:pos="9026" w:leader="dot"/>
            </w:tabs>
            <w:rPr/>
          </w:pPr>
          <w:hyperlink w:anchor="__RefHeading___Toc3300696_1468164448">
            <w:r>
              <w:rPr>
                <w:webHidden/>
                <w:rStyle w:val="IndexLink"/>
                <w:rtl w:val="true"/>
              </w:rPr>
              <w:t>المناقشة فی دلالة الآیة</w:t>
            </w:r>
            <w:r>
              <w:rPr>
                <w:rStyle w:val="IndexLink"/>
                <w:rtl w:val="true"/>
              </w:rPr>
              <w:tab/>
            </w:r>
            <w:r>
              <w:rPr>
                <w:rStyle w:val="IndexLink"/>
              </w:rPr>
              <w:t>366</w:t>
            </w:r>
          </w:hyperlink>
        </w:p>
        <w:p>
          <w:pPr>
            <w:pStyle w:val="Contents6"/>
            <w:tabs>
              <w:tab w:val="clear" w:pos="7609"/>
              <w:tab w:val="right" w:pos="9026" w:leader="dot"/>
            </w:tabs>
            <w:rPr/>
          </w:pPr>
          <w:hyperlink w:anchor="__RefHeading___Toc3300698_1468164448">
            <w:r>
              <w:rPr>
                <w:webHidden/>
                <w:rStyle w:val="IndexLink"/>
                <w:rtl w:val="true"/>
              </w:rPr>
              <w:t>تقویة دلالة الآیة بروایتین</w:t>
            </w:r>
            <w:r>
              <w:rPr>
                <w:rStyle w:val="IndexLink"/>
                <w:rtl w:val="true"/>
              </w:rPr>
              <w:tab/>
            </w:r>
            <w:r>
              <w:rPr>
                <w:rStyle w:val="IndexLink"/>
              </w:rPr>
              <w:t>366</w:t>
            </w:r>
          </w:hyperlink>
        </w:p>
        <w:p>
          <w:pPr>
            <w:pStyle w:val="Contents6"/>
            <w:tabs>
              <w:tab w:val="clear" w:pos="7609"/>
              <w:tab w:val="right" w:pos="9026" w:leader="dot"/>
            </w:tabs>
            <w:rPr/>
          </w:pPr>
          <w:hyperlink w:anchor="__RefHeading___Toc3300700_1468164448">
            <w:r>
              <w:rPr>
                <w:webHidden/>
                <w:rStyle w:val="IndexLink"/>
                <w:rtl w:val="true"/>
              </w:rPr>
              <w:t>عدم دلالة الروایتین علی المدّعی</w:t>
            </w:r>
            <w:r>
              <w:rPr>
                <w:rStyle w:val="IndexLink"/>
                <w:rtl w:val="true"/>
              </w:rPr>
              <w:tab/>
            </w:r>
            <w:r>
              <w:rPr>
                <w:rStyle w:val="IndexLink"/>
              </w:rPr>
              <w:t>367</w:t>
            </w:r>
          </w:hyperlink>
        </w:p>
        <w:p>
          <w:pPr>
            <w:pStyle w:val="Contents5"/>
            <w:tabs>
              <w:tab w:val="clear" w:pos="7892"/>
              <w:tab w:val="right" w:pos="9026" w:leader="dot"/>
            </w:tabs>
            <w:rPr/>
          </w:pPr>
          <w:hyperlink w:anchor="__RefHeading___Toc3300702_1468164448">
            <w:r>
              <w:rPr>
                <w:webHidden/>
                <w:rStyle w:val="IndexLink"/>
                <w:rtl w:val="true"/>
              </w:rPr>
              <w:t>الدلیل الثانی</w:t>
            </w:r>
            <w:r>
              <w:rPr>
                <w:rStyle w:val="IndexLink"/>
                <w:rtl w:val="true"/>
              </w:rPr>
              <w:t xml:space="preserve">: </w:t>
            </w:r>
            <w:r>
              <w:rPr>
                <w:rStyle w:val="IndexLink"/>
                <w:rtl w:val="true"/>
              </w:rPr>
              <w:t>السنّة</w:t>
            </w:r>
            <w:r>
              <w:rPr>
                <w:rStyle w:val="IndexLink"/>
                <w:rtl w:val="true"/>
              </w:rPr>
              <w:tab/>
            </w:r>
            <w:r>
              <w:rPr>
                <w:rStyle w:val="IndexLink"/>
              </w:rPr>
              <w:t>369</w:t>
            </w:r>
          </w:hyperlink>
        </w:p>
        <w:p>
          <w:pPr>
            <w:pStyle w:val="Contents6"/>
            <w:tabs>
              <w:tab w:val="clear" w:pos="7609"/>
              <w:tab w:val="right" w:pos="9026" w:leader="dot"/>
            </w:tabs>
            <w:rPr/>
          </w:pPr>
          <w:hyperlink w:anchor="__RefHeading___Toc3300704_1468164448">
            <w:r>
              <w:rPr>
                <w:webHidden/>
                <w:rStyle w:val="IndexLink"/>
                <w:rtl w:val="true"/>
              </w:rPr>
              <w:t>إجمال ما ذکره الأعلام</w:t>
            </w:r>
            <w:r>
              <w:rPr>
                <w:rStyle w:val="IndexLink"/>
                <w:rtl w:val="true"/>
              </w:rPr>
              <w:tab/>
            </w:r>
            <w:r>
              <w:rPr>
                <w:rStyle w:val="IndexLink"/>
              </w:rPr>
              <w:t>369</w:t>
            </w:r>
          </w:hyperlink>
        </w:p>
        <w:p>
          <w:pPr>
            <w:pStyle w:val="Contents6"/>
            <w:tabs>
              <w:tab w:val="clear" w:pos="7609"/>
              <w:tab w:val="right" w:pos="9026" w:leader="dot"/>
            </w:tabs>
            <w:rPr/>
          </w:pPr>
          <w:hyperlink w:anchor="__RefHeading___Toc3300706_1468164448">
            <w:r>
              <w:rPr>
                <w:webHidden/>
                <w:rStyle w:val="IndexLink"/>
                <w:rtl w:val="true"/>
              </w:rPr>
              <w:t>ملاحظات عامّة علی ما ذکره الأعلام</w:t>
            </w:r>
            <w:r>
              <w:rPr>
                <w:rStyle w:val="IndexLink"/>
                <w:rtl w:val="true"/>
              </w:rPr>
              <w:tab/>
            </w:r>
            <w:r>
              <w:rPr>
                <w:rStyle w:val="IndexLink"/>
              </w:rPr>
              <w:t>369</w:t>
            </w:r>
          </w:hyperlink>
        </w:p>
        <w:p>
          <w:pPr>
            <w:pStyle w:val="Contents6"/>
            <w:tabs>
              <w:tab w:val="clear" w:pos="7609"/>
              <w:tab w:val="right" w:pos="9026" w:leader="dot"/>
            </w:tabs>
            <w:rPr/>
          </w:pPr>
          <w:hyperlink w:anchor="__RefHeading___Toc3300708_1468164448">
            <w:r>
              <w:rPr>
                <w:webHidden/>
                <w:rStyle w:val="IndexLink"/>
                <w:rtl w:val="true"/>
              </w:rPr>
              <w:t>تقییم الملاحظة</w:t>
            </w:r>
            <w:r>
              <w:rPr>
                <w:rStyle w:val="IndexLink"/>
                <w:rtl w:val="true"/>
              </w:rPr>
              <w:tab/>
            </w:r>
            <w:r>
              <w:rPr>
                <w:rStyle w:val="IndexLink"/>
              </w:rPr>
              <w:t>370</w:t>
            </w:r>
          </w:hyperlink>
        </w:p>
        <w:p>
          <w:pPr>
            <w:pStyle w:val="Contents6"/>
            <w:tabs>
              <w:tab w:val="clear" w:pos="7609"/>
              <w:tab w:val="right" w:pos="9026" w:leader="dot"/>
            </w:tabs>
            <w:rPr/>
          </w:pPr>
          <w:hyperlink w:anchor="__RefHeading___Toc3300710_1468164448">
            <w:r>
              <w:rPr>
                <w:webHidden/>
                <w:rStyle w:val="IndexLink"/>
                <w:rtl w:val="true"/>
              </w:rPr>
              <w:t>عرض طوائف الروایات</w:t>
            </w:r>
            <w:r>
              <w:rPr>
                <w:rStyle w:val="IndexLink"/>
                <w:rtl w:val="true"/>
              </w:rPr>
              <w:tab/>
            </w:r>
            <w:r>
              <w:rPr>
                <w:rStyle w:val="IndexLink"/>
              </w:rPr>
              <w:t>370</w:t>
            </w:r>
          </w:hyperlink>
        </w:p>
        <w:p>
          <w:pPr>
            <w:pStyle w:val="Contents6"/>
            <w:tabs>
              <w:tab w:val="clear" w:pos="7609"/>
              <w:tab w:val="right" w:pos="9026" w:leader="dot"/>
            </w:tabs>
            <w:rPr/>
          </w:pPr>
          <w:hyperlink w:anchor="__RefHeading___Toc3300712_1468164448">
            <w:r>
              <w:rPr>
                <w:webHidden/>
                <w:rStyle w:val="IndexLink"/>
                <w:rtl w:val="true"/>
              </w:rPr>
              <w:t>خلاصة الإستدلال بهذه الطوائف</w:t>
            </w:r>
            <w:r>
              <w:rPr>
                <w:rStyle w:val="IndexLink"/>
                <w:rtl w:val="true"/>
              </w:rPr>
              <w:tab/>
            </w:r>
            <w:r>
              <w:rPr>
                <w:rStyle w:val="IndexLink"/>
              </w:rPr>
              <w:t>372</w:t>
            </w:r>
          </w:hyperlink>
        </w:p>
        <w:p>
          <w:pPr>
            <w:pStyle w:val="Contents6"/>
            <w:tabs>
              <w:tab w:val="clear" w:pos="7609"/>
              <w:tab w:val="right" w:pos="9026" w:leader="dot"/>
            </w:tabs>
            <w:rPr/>
          </w:pPr>
          <w:hyperlink w:anchor="__RefHeading___Toc3300714_1468164448">
            <w:r>
              <w:rPr>
                <w:webHidden/>
                <w:rStyle w:val="IndexLink"/>
                <w:rtl w:val="true"/>
              </w:rPr>
              <w:t>حدود حجّیة الخبر بحسب الأخبار</w:t>
            </w:r>
            <w:r>
              <w:rPr>
                <w:rStyle w:val="IndexLink"/>
                <w:rtl w:val="true"/>
              </w:rPr>
              <w:tab/>
            </w:r>
            <w:r>
              <w:rPr>
                <w:rStyle w:val="IndexLink"/>
              </w:rPr>
              <w:t>373</w:t>
            </w:r>
          </w:hyperlink>
        </w:p>
        <w:p>
          <w:pPr>
            <w:pStyle w:val="Contents6"/>
            <w:tabs>
              <w:tab w:val="clear" w:pos="7609"/>
              <w:tab w:val="right" w:pos="9026" w:leader="dot"/>
            </w:tabs>
            <w:rPr/>
          </w:pPr>
          <w:hyperlink w:anchor="__RefHeading___Toc3300716_1468164448">
            <w:r>
              <w:rPr>
                <w:webHidden/>
                <w:rStyle w:val="IndexLink"/>
                <w:rtl w:val="true"/>
              </w:rPr>
              <w:t>مفاد الصحیحتین</w:t>
            </w:r>
            <w:r>
              <w:rPr>
                <w:rStyle w:val="IndexLink"/>
                <w:rtl w:val="true"/>
              </w:rPr>
              <w:tab/>
            </w:r>
            <w:r>
              <w:rPr>
                <w:rStyle w:val="IndexLink"/>
              </w:rPr>
              <w:t>374</w:t>
            </w:r>
          </w:hyperlink>
        </w:p>
        <w:p>
          <w:pPr>
            <w:pStyle w:val="Contents6"/>
            <w:tabs>
              <w:tab w:val="clear" w:pos="7609"/>
              <w:tab w:val="right" w:pos="9026" w:leader="dot"/>
            </w:tabs>
            <w:rPr/>
          </w:pPr>
          <w:hyperlink w:anchor="__RefHeading___Toc3300718_1468164448">
            <w:r>
              <w:rPr>
                <w:webHidden/>
                <w:rStyle w:val="IndexLink"/>
                <w:rtl w:val="true"/>
              </w:rPr>
              <w:t>روایة عبد العزیز بن المهتدی</w:t>
            </w:r>
            <w:r>
              <w:rPr>
                <w:rStyle w:val="IndexLink"/>
                <w:rtl w:val="true"/>
              </w:rPr>
              <w:tab/>
            </w:r>
            <w:r>
              <w:rPr>
                <w:rStyle w:val="IndexLink"/>
              </w:rPr>
              <w:t>374</w:t>
            </w:r>
          </w:hyperlink>
        </w:p>
        <w:p>
          <w:pPr>
            <w:pStyle w:val="Contents6"/>
            <w:tabs>
              <w:tab w:val="clear" w:pos="7609"/>
              <w:tab w:val="right" w:pos="9026" w:leader="dot"/>
            </w:tabs>
            <w:rPr/>
          </w:pPr>
          <w:hyperlink w:anchor="__RefHeading___Toc3300720_1468164448">
            <w:r>
              <w:rPr>
                <w:webHidden/>
                <w:rStyle w:val="IndexLink"/>
                <w:rtl w:val="true"/>
              </w:rPr>
              <w:t>المناقشة فی روایة عبد العزیز</w:t>
            </w:r>
            <w:r>
              <w:rPr>
                <w:rStyle w:val="IndexLink"/>
                <w:rtl w:val="true"/>
              </w:rPr>
              <w:tab/>
            </w:r>
            <w:r>
              <w:rPr>
                <w:rStyle w:val="IndexLink"/>
              </w:rPr>
              <w:t>375</w:t>
            </w:r>
          </w:hyperlink>
        </w:p>
        <w:p>
          <w:pPr>
            <w:pStyle w:val="Contents6"/>
            <w:tabs>
              <w:tab w:val="clear" w:pos="7609"/>
              <w:tab w:val="right" w:pos="9026" w:leader="dot"/>
            </w:tabs>
            <w:rPr/>
          </w:pPr>
          <w:hyperlink w:anchor="__RefHeading___Toc3300722_1468164448">
            <w:r>
              <w:rPr>
                <w:webHidden/>
                <w:rStyle w:val="IndexLink"/>
                <w:rtl w:val="true"/>
              </w:rPr>
              <w:t>صحیحة الحمیری</w:t>
            </w:r>
            <w:r>
              <w:rPr>
                <w:rStyle w:val="IndexLink"/>
                <w:rtl w:val="true"/>
              </w:rPr>
              <w:tab/>
            </w:r>
            <w:r>
              <w:rPr>
                <w:rStyle w:val="IndexLink"/>
              </w:rPr>
              <w:t>377</w:t>
            </w:r>
          </w:hyperlink>
        </w:p>
        <w:p>
          <w:pPr>
            <w:pStyle w:val="Contents6"/>
            <w:tabs>
              <w:tab w:val="clear" w:pos="7609"/>
              <w:tab w:val="right" w:pos="9026" w:leader="dot"/>
            </w:tabs>
            <w:rPr/>
          </w:pPr>
          <w:hyperlink w:anchor="__RefHeading___Toc3300724_1468164448">
            <w:r>
              <w:rPr>
                <w:webHidden/>
                <w:rStyle w:val="IndexLink"/>
                <w:rtl w:val="true"/>
              </w:rPr>
              <w:t>روایة إسماعیل بن الفضل الهاشمی</w:t>
            </w:r>
            <w:r>
              <w:rPr>
                <w:rStyle w:val="IndexLink"/>
                <w:rtl w:val="true"/>
              </w:rPr>
              <w:tab/>
            </w:r>
            <w:r>
              <w:rPr>
                <w:rStyle w:val="IndexLink"/>
              </w:rPr>
              <w:t>378</w:t>
            </w:r>
          </w:hyperlink>
        </w:p>
        <w:p>
          <w:pPr>
            <w:pStyle w:val="Contents5"/>
            <w:tabs>
              <w:tab w:val="clear" w:pos="7892"/>
              <w:tab w:val="right" w:pos="9026" w:leader="dot"/>
            </w:tabs>
            <w:rPr/>
          </w:pPr>
          <w:hyperlink w:anchor="__RefHeading___Toc3300726_1468164448">
            <w:r>
              <w:rPr>
                <w:webHidden/>
                <w:rStyle w:val="IndexLink"/>
                <w:rtl w:val="true"/>
              </w:rPr>
              <w:t>الدلیل الثالث</w:t>
            </w:r>
            <w:r>
              <w:rPr>
                <w:rStyle w:val="IndexLink"/>
                <w:rtl w:val="true"/>
              </w:rPr>
              <w:t xml:space="preserve">: </w:t>
            </w:r>
            <w:r>
              <w:rPr>
                <w:rStyle w:val="IndexLink"/>
                <w:rtl w:val="true"/>
              </w:rPr>
              <w:t>الإجماع</w:t>
            </w:r>
            <w:r>
              <w:rPr>
                <w:rStyle w:val="IndexLink"/>
                <w:rtl w:val="true"/>
              </w:rPr>
              <w:tab/>
            </w:r>
            <w:r>
              <w:rPr>
                <w:rStyle w:val="IndexLink"/>
              </w:rPr>
              <w:t>380</w:t>
            </w:r>
          </w:hyperlink>
        </w:p>
        <w:p>
          <w:pPr>
            <w:pStyle w:val="Contents6"/>
            <w:tabs>
              <w:tab w:val="clear" w:pos="7609"/>
              <w:tab w:val="right" w:pos="9026" w:leader="dot"/>
            </w:tabs>
            <w:rPr/>
          </w:pPr>
          <w:hyperlink w:anchor="__RefHeading___Toc3300728_1468164448">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3300730_1468164448">
            <w:r>
              <w:rPr>
                <w:webHidden/>
                <w:rStyle w:val="IndexLink"/>
                <w:rtl w:val="true"/>
              </w:rPr>
              <w:t>تدافع دعوی الشیخ والسیّد فی هذا الإجماع</w:t>
            </w:r>
            <w:r>
              <w:rPr>
                <w:rStyle w:val="IndexLink"/>
                <w:rtl w:val="true"/>
              </w:rPr>
              <w:tab/>
            </w:r>
            <w:r>
              <w:rPr>
                <w:rStyle w:val="IndexLink"/>
              </w:rPr>
              <w:t>380</w:t>
            </w:r>
          </w:hyperlink>
        </w:p>
        <w:p>
          <w:pPr>
            <w:pStyle w:val="Contents6"/>
            <w:tabs>
              <w:tab w:val="clear" w:pos="7609"/>
              <w:tab w:val="right" w:pos="9026" w:leader="dot"/>
            </w:tabs>
            <w:rPr/>
          </w:pPr>
          <w:hyperlink w:anchor="__RefHeading___Toc3300732_1468164448">
            <w:r>
              <w:rPr>
                <w:webHidden/>
                <w:rStyle w:val="IndexLink"/>
                <w:rtl w:val="true"/>
              </w:rPr>
              <w:t>ما ذُکر فی حلّ هذا التدافع</w:t>
            </w:r>
            <w:r>
              <w:rPr>
                <w:rStyle w:val="IndexLink"/>
                <w:rtl w:val="true"/>
              </w:rPr>
              <w:tab/>
            </w:r>
            <w:r>
              <w:rPr>
                <w:rStyle w:val="IndexLink"/>
              </w:rPr>
              <w:t>380</w:t>
            </w:r>
          </w:hyperlink>
        </w:p>
        <w:p>
          <w:pPr>
            <w:pStyle w:val="Contents6"/>
            <w:tabs>
              <w:tab w:val="clear" w:pos="7609"/>
              <w:tab w:val="right" w:pos="9026" w:leader="dot"/>
            </w:tabs>
            <w:rPr/>
          </w:pPr>
          <w:hyperlink w:anchor="__RefHeading___Toc3300734_1468164448">
            <w:r>
              <w:rPr>
                <w:webHidden/>
                <w:rStyle w:val="IndexLink"/>
                <w:rtl w:val="true"/>
              </w:rPr>
              <w:t>الإلفات إلی نکتة مهمة</w:t>
            </w:r>
            <w:r>
              <w:rPr>
                <w:rStyle w:val="IndexLink"/>
                <w:rtl w:val="true"/>
              </w:rPr>
              <w:tab/>
            </w:r>
            <w:r>
              <w:rPr>
                <w:rStyle w:val="IndexLink"/>
              </w:rPr>
              <w:t>382</w:t>
            </w:r>
          </w:hyperlink>
        </w:p>
        <w:p>
          <w:pPr>
            <w:pStyle w:val="Contents6"/>
            <w:tabs>
              <w:tab w:val="clear" w:pos="7609"/>
              <w:tab w:val="right" w:pos="9026" w:leader="dot"/>
            </w:tabs>
            <w:rPr/>
          </w:pPr>
          <w:hyperlink w:anchor="__RefHeading___Toc3300736_1468164448">
            <w:r>
              <w:rPr>
                <w:webHidden/>
                <w:rStyle w:val="IndexLink"/>
                <w:rtl w:val="true"/>
              </w:rPr>
              <w:t>الشک فی التدلیس علی الثقة</w:t>
            </w:r>
            <w:r>
              <w:rPr>
                <w:rStyle w:val="IndexLink"/>
                <w:rtl w:val="true"/>
              </w:rPr>
              <w:tab/>
            </w:r>
            <w:r>
              <w:rPr>
                <w:rStyle w:val="IndexLink"/>
              </w:rPr>
              <w:t>383</w:t>
            </w:r>
          </w:hyperlink>
        </w:p>
        <w:p>
          <w:pPr>
            <w:pStyle w:val="Contents5"/>
            <w:tabs>
              <w:tab w:val="clear" w:pos="7892"/>
              <w:tab w:val="right" w:pos="9026" w:leader="dot"/>
            </w:tabs>
            <w:rPr/>
          </w:pPr>
          <w:hyperlink w:anchor="__RefHeading___Toc3300738_1468164448">
            <w:r>
              <w:rPr>
                <w:webHidden/>
                <w:rStyle w:val="IndexLink"/>
                <w:rtl w:val="true"/>
              </w:rPr>
              <w:t>الدلیل الرابع</w:t>
            </w:r>
            <w:r>
              <w:rPr>
                <w:rStyle w:val="IndexLink"/>
                <w:rtl w:val="true"/>
              </w:rPr>
              <w:t xml:space="preserve">: </w:t>
            </w:r>
            <w:r>
              <w:rPr>
                <w:rStyle w:val="IndexLink"/>
                <w:rtl w:val="true"/>
              </w:rPr>
              <w:t>السیرة</w:t>
            </w:r>
            <w:r>
              <w:rPr>
                <w:rStyle w:val="IndexLink"/>
                <w:rtl w:val="true"/>
              </w:rPr>
              <w:tab/>
            </w:r>
            <w:r>
              <w:rPr>
                <w:rStyle w:val="IndexLink"/>
              </w:rPr>
              <w:t>385</w:t>
            </w:r>
          </w:hyperlink>
        </w:p>
        <w:p>
          <w:pPr>
            <w:pStyle w:val="Contents6"/>
            <w:tabs>
              <w:tab w:val="clear" w:pos="7609"/>
              <w:tab w:val="right" w:pos="9026" w:leader="dot"/>
            </w:tabs>
            <w:rPr/>
          </w:pPr>
          <w:hyperlink w:anchor="__RefHeading___Toc3300740_1468164448">
            <w:r>
              <w:rPr>
                <w:webHidden/>
                <w:rStyle w:val="IndexLink"/>
                <w:rtl w:val="true"/>
              </w:rPr>
              <w:t>العلاقة بین التقنین الشرعی والبشری</w:t>
            </w:r>
            <w:r>
              <w:rPr>
                <w:rStyle w:val="IndexLink"/>
                <w:rtl w:val="true"/>
              </w:rPr>
              <w:tab/>
            </w:r>
            <w:r>
              <w:rPr>
                <w:rStyle w:val="IndexLink"/>
              </w:rPr>
              <w:t>385</w:t>
            </w:r>
          </w:hyperlink>
        </w:p>
        <w:p>
          <w:pPr>
            <w:pStyle w:val="Contents6"/>
            <w:tabs>
              <w:tab w:val="clear" w:pos="7609"/>
              <w:tab w:val="right" w:pos="9026" w:leader="dot"/>
            </w:tabs>
            <w:rPr/>
          </w:pPr>
          <w:hyperlink w:anchor="__RefHeading___Toc3300742_1468164448">
            <w:r>
              <w:rPr>
                <w:webHidden/>
                <w:rStyle w:val="IndexLink"/>
                <w:rtl w:val="true"/>
              </w:rPr>
              <w:t>تمییز سیرة المتشرعة عن سیرة العقلاء</w:t>
            </w:r>
            <w:r>
              <w:rPr>
                <w:rStyle w:val="IndexLink"/>
                <w:rtl w:val="true"/>
              </w:rPr>
              <w:tab/>
            </w:r>
            <w:r>
              <w:rPr>
                <w:rStyle w:val="IndexLink"/>
              </w:rPr>
              <w:t>385</w:t>
            </w:r>
          </w:hyperlink>
        </w:p>
        <w:p>
          <w:pPr>
            <w:pStyle w:val="Contents6"/>
            <w:tabs>
              <w:tab w:val="clear" w:pos="7609"/>
              <w:tab w:val="right" w:pos="9026" w:leader="dot"/>
            </w:tabs>
            <w:rPr/>
          </w:pPr>
          <w:hyperlink w:anchor="__RefHeading___Toc3300744_1468164448">
            <w:r>
              <w:rPr>
                <w:webHidden/>
                <w:rStyle w:val="IndexLink"/>
                <w:rtl w:val="true"/>
              </w:rPr>
              <w:t>تصادُقُ السیرتین فی مورد</w:t>
            </w:r>
            <w:r>
              <w:rPr>
                <w:rStyle w:val="IndexLink"/>
                <w:rtl w:val="true"/>
              </w:rPr>
              <w:tab/>
            </w:r>
            <w:r>
              <w:rPr>
                <w:rStyle w:val="IndexLink"/>
              </w:rPr>
              <w:t>386</w:t>
            </w:r>
          </w:hyperlink>
        </w:p>
        <w:p>
          <w:pPr>
            <w:pStyle w:val="Contents6"/>
            <w:tabs>
              <w:tab w:val="clear" w:pos="7609"/>
              <w:tab w:val="right" w:pos="9026" w:leader="dot"/>
            </w:tabs>
            <w:rPr/>
          </w:pPr>
          <w:hyperlink w:anchor="__RefHeading___Toc3300746_1468164448">
            <w:r>
              <w:rPr>
                <w:webHidden/>
                <w:rStyle w:val="IndexLink"/>
                <w:rtl w:val="true"/>
              </w:rPr>
              <w:t>تقریر دلیل سیرة المتشرعة لإثبات حجّیة الخبر</w:t>
            </w:r>
            <w:r>
              <w:rPr>
                <w:rStyle w:val="IndexLink"/>
                <w:rtl w:val="true"/>
              </w:rPr>
              <w:tab/>
            </w:r>
            <w:r>
              <w:rPr>
                <w:rStyle w:val="IndexLink"/>
              </w:rPr>
              <w:t>387</w:t>
            </w:r>
          </w:hyperlink>
        </w:p>
        <w:p>
          <w:pPr>
            <w:pStyle w:val="Contents6"/>
            <w:tabs>
              <w:tab w:val="clear" w:pos="7609"/>
              <w:tab w:val="right" w:pos="9026" w:leader="dot"/>
            </w:tabs>
            <w:rPr/>
          </w:pPr>
          <w:hyperlink w:anchor="__RefHeading___Toc3300748_1468164448">
            <w:r>
              <w:rPr>
                <w:webHidden/>
                <w:rStyle w:val="IndexLink"/>
                <w:rtl w:val="true"/>
              </w:rPr>
              <w:t>أقسام السیرة العقلائیة</w:t>
            </w:r>
            <w:r>
              <w:rPr>
                <w:rStyle w:val="IndexLink"/>
                <w:rtl w:val="true"/>
              </w:rPr>
              <w:tab/>
            </w:r>
            <w:r>
              <w:rPr>
                <w:rStyle w:val="IndexLink"/>
              </w:rPr>
              <w:t>387</w:t>
            </w:r>
          </w:hyperlink>
        </w:p>
        <w:p>
          <w:pPr>
            <w:pStyle w:val="Contents6"/>
            <w:tabs>
              <w:tab w:val="clear" w:pos="7609"/>
              <w:tab w:val="right" w:pos="9026" w:leader="dot"/>
            </w:tabs>
            <w:rPr/>
          </w:pPr>
          <w:hyperlink w:anchor="__RefHeading___Toc3300750_1468164448">
            <w:r>
              <w:rPr>
                <w:webHidden/>
                <w:rStyle w:val="IndexLink"/>
                <w:rtl w:val="true"/>
              </w:rPr>
              <w:t>فائدة التقسیم</w:t>
            </w:r>
            <w:r>
              <w:rPr>
                <w:rStyle w:val="IndexLink"/>
                <w:rtl w:val="true"/>
              </w:rPr>
              <w:tab/>
            </w:r>
            <w:r>
              <w:rPr>
                <w:rStyle w:val="IndexLink"/>
              </w:rPr>
              <w:t>388</w:t>
            </w:r>
          </w:hyperlink>
        </w:p>
        <w:p>
          <w:pPr>
            <w:pStyle w:val="Contents6"/>
            <w:tabs>
              <w:tab w:val="clear" w:pos="7609"/>
              <w:tab w:val="right" w:pos="9026" w:leader="dot"/>
            </w:tabs>
            <w:rPr/>
          </w:pPr>
          <w:hyperlink w:anchor="__RefHeading___Toc3300752_1468164448">
            <w:r>
              <w:rPr>
                <w:webHidden/>
                <w:rStyle w:val="IndexLink"/>
                <w:rtl w:val="true"/>
              </w:rPr>
              <w:t>وجود السیرة علی العمل بخبر الثقة</w:t>
            </w:r>
            <w:r>
              <w:rPr>
                <w:rStyle w:val="IndexLink"/>
                <w:rtl w:val="true"/>
              </w:rPr>
              <w:tab/>
            </w:r>
            <w:r>
              <w:rPr>
                <w:rStyle w:val="IndexLink"/>
              </w:rPr>
              <w:t>388</w:t>
            </w:r>
          </w:hyperlink>
        </w:p>
        <w:p>
          <w:pPr>
            <w:pStyle w:val="Contents6"/>
            <w:tabs>
              <w:tab w:val="clear" w:pos="7609"/>
              <w:tab w:val="right" w:pos="9026" w:leader="dot"/>
            </w:tabs>
            <w:rPr/>
          </w:pPr>
          <w:hyperlink w:anchor="__RefHeading___Toc3300754_1468164448">
            <w:r>
              <w:rPr>
                <w:webHidden/>
                <w:rStyle w:val="IndexLink"/>
                <w:rtl w:val="true"/>
              </w:rPr>
              <w:t>عدم حجّیة الخبر الموثوق بصدوره بالوثوق الشخصی</w:t>
            </w:r>
            <w:r>
              <w:rPr>
                <w:rStyle w:val="IndexLink"/>
                <w:rtl w:val="true"/>
              </w:rPr>
              <w:tab/>
            </w:r>
            <w:r>
              <w:rPr>
                <w:rStyle w:val="IndexLink"/>
              </w:rPr>
              <w:t>389</w:t>
            </w:r>
          </w:hyperlink>
        </w:p>
        <w:p>
          <w:pPr>
            <w:pStyle w:val="Contents6"/>
            <w:tabs>
              <w:tab w:val="clear" w:pos="7609"/>
              <w:tab w:val="right" w:pos="9026" w:leader="dot"/>
            </w:tabs>
            <w:rPr/>
          </w:pPr>
          <w:hyperlink w:anchor="__RefHeading___Toc3300756_1468164448">
            <w:r>
              <w:rPr>
                <w:webHidden/>
                <w:rStyle w:val="IndexLink"/>
                <w:rtl w:val="true"/>
              </w:rPr>
              <w:t xml:space="preserve">دعوی رادعیة الآیات </w:t>
            </w:r>
            <w:r>
              <w:rPr>
                <w:rStyle w:val="IndexLink"/>
                <w:rtl w:val="true"/>
              </w:rPr>
              <w:t>(</w:t>
            </w:r>
            <w:r>
              <w:rPr>
                <w:rStyle w:val="IndexLink"/>
                <w:rtl w:val="true"/>
              </w:rPr>
              <w:t>الناهیة عن الظن</w:t>
            </w:r>
            <w:r>
              <w:rPr>
                <w:rStyle w:val="IndexLink"/>
                <w:rtl w:val="true"/>
              </w:rPr>
              <w:t xml:space="preserve">) </w:t>
            </w:r>
            <w:r>
              <w:rPr>
                <w:rStyle w:val="IndexLink"/>
                <w:rtl w:val="true"/>
              </w:rPr>
              <w:t>عن السیرة</w:t>
            </w:r>
            <w:r>
              <w:rPr>
                <w:rStyle w:val="IndexLink"/>
                <w:rtl w:val="true"/>
              </w:rPr>
              <w:tab/>
            </w:r>
            <w:r>
              <w:rPr>
                <w:rStyle w:val="IndexLink"/>
              </w:rPr>
              <w:t>390</w:t>
            </w:r>
          </w:hyperlink>
        </w:p>
        <w:p>
          <w:pPr>
            <w:pStyle w:val="Contents6"/>
            <w:tabs>
              <w:tab w:val="clear" w:pos="7609"/>
              <w:tab w:val="right" w:pos="9026" w:leader="dot"/>
            </w:tabs>
            <w:rPr/>
          </w:pPr>
          <w:hyperlink w:anchor="__RefHeading___Toc3300758_1468164448">
            <w:r>
              <w:rPr>
                <w:webHidden/>
                <w:rStyle w:val="IndexLink"/>
                <w:rtl w:val="true"/>
              </w:rPr>
              <w:t>ردّ الدعوی</w:t>
            </w:r>
            <w:r>
              <w:rPr>
                <w:rStyle w:val="IndexLink"/>
                <w:rtl w:val="true"/>
              </w:rPr>
              <w:tab/>
            </w:r>
            <w:r>
              <w:rPr>
                <w:rStyle w:val="IndexLink"/>
              </w:rPr>
              <w:t>390</w:t>
            </w:r>
          </w:hyperlink>
        </w:p>
        <w:p>
          <w:pPr>
            <w:pStyle w:val="Contents6"/>
            <w:tabs>
              <w:tab w:val="clear" w:pos="7609"/>
              <w:tab w:val="right" w:pos="9026" w:leader="dot"/>
            </w:tabs>
            <w:rPr/>
          </w:pPr>
          <w:hyperlink w:anchor="__RefHeading___Toc3300760_1468164448">
            <w:r>
              <w:rPr>
                <w:webHidden/>
                <w:rStyle w:val="IndexLink"/>
                <w:rtl w:val="true"/>
              </w:rPr>
              <w:t>حکومة السیرة علی الآیات الناهیة</w:t>
            </w:r>
            <w:r>
              <w:rPr>
                <w:rStyle w:val="IndexLink"/>
                <w:rtl w:val="true"/>
              </w:rPr>
              <w:tab/>
            </w:r>
            <w:r>
              <w:rPr>
                <w:rStyle w:val="IndexLink"/>
              </w:rPr>
              <w:t>392</w:t>
            </w:r>
          </w:hyperlink>
        </w:p>
        <w:p>
          <w:pPr>
            <w:pStyle w:val="Contents6"/>
            <w:tabs>
              <w:tab w:val="clear" w:pos="7609"/>
              <w:tab w:val="right" w:pos="9026" w:leader="dot"/>
            </w:tabs>
            <w:rPr/>
          </w:pPr>
          <w:hyperlink w:anchor="__RefHeading___Toc3300762_1468164448">
            <w:r>
              <w:rPr>
                <w:webHidden/>
                <w:rStyle w:val="IndexLink"/>
                <w:rtl w:val="true"/>
              </w:rPr>
              <w:t>تناسب الردع مع المردوع</w:t>
            </w:r>
            <w:r>
              <w:rPr>
                <w:rStyle w:val="IndexLink"/>
                <w:rtl w:val="true"/>
              </w:rPr>
              <w:tab/>
            </w:r>
            <w:r>
              <w:rPr>
                <w:rStyle w:val="IndexLink"/>
              </w:rPr>
              <w:t>393</w:t>
            </w:r>
          </w:hyperlink>
        </w:p>
        <w:p>
          <w:pPr>
            <w:pStyle w:val="Contents6"/>
            <w:tabs>
              <w:tab w:val="clear" w:pos="7609"/>
              <w:tab w:val="right" w:pos="9026" w:leader="dot"/>
            </w:tabs>
            <w:rPr/>
          </w:pPr>
          <w:hyperlink w:anchor="__RefHeading___Toc3300764_1468164448">
            <w:r>
              <w:rPr>
                <w:webHidden/>
                <w:rStyle w:val="IndexLink"/>
                <w:rtl w:val="true"/>
              </w:rPr>
              <w:t>کون الشارع رئیس العقلاء</w:t>
            </w:r>
            <w:r>
              <w:rPr>
                <w:rStyle w:val="IndexLink"/>
                <w:rtl w:val="true"/>
              </w:rPr>
              <w:tab/>
            </w:r>
            <w:r>
              <w:rPr>
                <w:rStyle w:val="IndexLink"/>
              </w:rPr>
              <w:t>394</w:t>
            </w:r>
          </w:hyperlink>
        </w:p>
        <w:p>
          <w:pPr>
            <w:pStyle w:val="Contents6"/>
            <w:tabs>
              <w:tab w:val="clear" w:pos="7609"/>
              <w:tab w:val="right" w:pos="9026" w:leader="dot"/>
            </w:tabs>
            <w:rPr/>
          </w:pPr>
          <w:hyperlink w:anchor="__RefHeading___Toc3300766_1468164448">
            <w:r>
              <w:rPr>
                <w:webHidden/>
                <w:rStyle w:val="IndexLink"/>
                <w:rtl w:val="true"/>
              </w:rPr>
              <w:t>قضیة الدور فی الرادعیة</w:t>
            </w:r>
            <w:r>
              <w:rPr>
                <w:rStyle w:val="IndexLink"/>
                <w:rtl w:val="true"/>
              </w:rPr>
              <w:tab/>
            </w:r>
            <w:r>
              <w:rPr>
                <w:rStyle w:val="IndexLink"/>
              </w:rPr>
              <w:t>396</w:t>
            </w:r>
          </w:hyperlink>
        </w:p>
        <w:p>
          <w:pPr>
            <w:pStyle w:val="Contents6"/>
            <w:tabs>
              <w:tab w:val="clear" w:pos="7609"/>
              <w:tab w:val="right" w:pos="9026" w:leader="dot"/>
            </w:tabs>
            <w:rPr/>
          </w:pPr>
          <w:hyperlink w:anchor="__RefHeading___Toc3300768_1468164448">
            <w:r>
              <w:rPr>
                <w:webHidden/>
                <w:rStyle w:val="IndexLink"/>
                <w:rtl w:val="true"/>
              </w:rPr>
              <w:t>تصنیف الآیات الناهیة عن الظن</w:t>
            </w:r>
            <w:r>
              <w:rPr>
                <w:rStyle w:val="IndexLink"/>
                <w:rtl w:val="true"/>
              </w:rPr>
              <w:tab/>
            </w:r>
            <w:r>
              <w:rPr>
                <w:rStyle w:val="IndexLink"/>
              </w:rPr>
              <w:t>399</w:t>
            </w:r>
          </w:hyperlink>
        </w:p>
        <w:p>
          <w:pPr>
            <w:pStyle w:val="Contents6"/>
            <w:tabs>
              <w:tab w:val="clear" w:pos="7609"/>
              <w:tab w:val="right" w:pos="9026" w:leader="dot"/>
            </w:tabs>
            <w:rPr/>
          </w:pPr>
          <w:hyperlink w:anchor="__RefHeading___Toc3300770_1468164448">
            <w:r>
              <w:rPr>
                <w:webHidden/>
                <w:rStyle w:val="IndexLink"/>
                <w:rtl w:val="true"/>
              </w:rPr>
              <w:t>العلاقة الثبوتیة بین التقنین الشرعی والعقلائی</w:t>
            </w:r>
            <w:r>
              <w:rPr>
                <w:rStyle w:val="IndexLink"/>
                <w:rtl w:val="true"/>
              </w:rPr>
              <w:tab/>
            </w:r>
            <w:r>
              <w:rPr>
                <w:rStyle w:val="IndexLink"/>
              </w:rPr>
              <w:t>401</w:t>
            </w:r>
          </w:hyperlink>
        </w:p>
        <w:p>
          <w:pPr>
            <w:pStyle w:val="Contents6"/>
            <w:tabs>
              <w:tab w:val="clear" w:pos="7609"/>
              <w:tab w:val="right" w:pos="9026" w:leader="dot"/>
            </w:tabs>
            <w:rPr/>
          </w:pPr>
          <w:hyperlink w:anchor="__RefHeading___Toc3300772_1468164448">
            <w:r>
              <w:rPr>
                <w:webHidden/>
                <w:rStyle w:val="IndexLink"/>
                <w:rtl w:val="true"/>
              </w:rPr>
              <w:t>الفوارق بین العموم الفوقانی وما دونه من العمومات</w:t>
            </w:r>
            <w:r>
              <w:rPr>
                <w:rStyle w:val="IndexLink"/>
                <w:rtl w:val="true"/>
              </w:rPr>
              <w:tab/>
            </w:r>
            <w:r>
              <w:rPr>
                <w:rStyle w:val="IndexLink"/>
              </w:rPr>
              <w:t>402</w:t>
            </w:r>
          </w:hyperlink>
        </w:p>
        <w:p>
          <w:pPr>
            <w:pStyle w:val="Contents6"/>
            <w:tabs>
              <w:tab w:val="clear" w:pos="7609"/>
              <w:tab w:val="right" w:pos="9026" w:leader="dot"/>
            </w:tabs>
            <w:rPr/>
          </w:pPr>
          <w:hyperlink w:anchor="__RefHeading___Toc3300774_1468164448">
            <w:r>
              <w:rPr>
                <w:webHidden/>
                <w:rStyle w:val="IndexLink"/>
                <w:rtl w:val="true"/>
              </w:rPr>
              <w:t>الوجوه فی تفسیر العلاقة الثبوتیة بین التقنینین</w:t>
            </w:r>
            <w:r>
              <w:rPr>
                <w:rStyle w:val="IndexLink"/>
                <w:rtl w:val="true"/>
              </w:rPr>
              <w:tab/>
            </w:r>
            <w:r>
              <w:rPr>
                <w:rStyle w:val="IndexLink"/>
              </w:rPr>
              <w:t>403</w:t>
            </w:r>
          </w:hyperlink>
        </w:p>
        <w:p>
          <w:pPr>
            <w:pStyle w:val="Contents5"/>
            <w:tabs>
              <w:tab w:val="clear" w:pos="7892"/>
              <w:tab w:val="right" w:pos="9026" w:leader="dot"/>
            </w:tabs>
            <w:rPr/>
          </w:pPr>
          <w:hyperlink w:anchor="__RefHeading___Toc3300776_1468164448">
            <w:r>
              <w:rPr>
                <w:webHidden/>
                <w:rStyle w:val="IndexLink"/>
                <w:rtl w:val="true"/>
              </w:rPr>
              <w:t>الدلیل الخامس</w:t>
            </w:r>
            <w:r>
              <w:rPr>
                <w:rStyle w:val="IndexLink"/>
                <w:rtl w:val="true"/>
              </w:rPr>
              <w:t xml:space="preserve">: </w:t>
            </w:r>
            <w:r>
              <w:rPr>
                <w:rStyle w:val="IndexLink"/>
                <w:rtl w:val="true"/>
              </w:rPr>
              <w:t>العقل</w:t>
            </w:r>
            <w:r>
              <w:rPr>
                <w:rStyle w:val="IndexLink"/>
                <w:rtl w:val="true"/>
              </w:rPr>
              <w:tab/>
            </w:r>
            <w:r>
              <w:rPr>
                <w:rStyle w:val="IndexLink"/>
              </w:rPr>
              <w:t>406</w:t>
            </w:r>
          </w:hyperlink>
        </w:p>
        <w:p>
          <w:pPr>
            <w:pStyle w:val="Contents6"/>
            <w:tabs>
              <w:tab w:val="clear" w:pos="7609"/>
              <w:tab w:val="right" w:pos="9026" w:leader="dot"/>
            </w:tabs>
            <w:rPr/>
          </w:pPr>
          <w:hyperlink w:anchor="__RefHeading___Toc3300778_1468164448">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3300780_1468164448">
            <w:r>
              <w:rPr>
                <w:webHidden/>
                <w:rStyle w:val="IndexLink"/>
                <w:rtl w:val="true"/>
              </w:rPr>
              <w:t>الکشف والحکومة</w:t>
            </w:r>
            <w:r>
              <w:rPr>
                <w:rStyle w:val="IndexLink"/>
                <w:rtl w:val="true"/>
              </w:rPr>
              <w:tab/>
            </w:r>
            <w:r>
              <w:rPr>
                <w:rStyle w:val="IndexLink"/>
              </w:rPr>
              <w:t>407</w:t>
            </w:r>
          </w:hyperlink>
        </w:p>
        <w:p>
          <w:pPr>
            <w:pStyle w:val="Contents4"/>
            <w:tabs>
              <w:tab w:val="clear" w:pos="8176"/>
              <w:tab w:val="right" w:pos="9026" w:leader="dot"/>
            </w:tabs>
            <w:rPr/>
          </w:pPr>
          <w:hyperlink w:anchor="__RefHeading___Toc3300782_1468164448">
            <w:r>
              <w:rPr>
                <w:webHidden/>
                <w:rStyle w:val="IndexLink"/>
              </w:rPr>
              <w:t>4</w:t>
            </w:r>
            <w:r>
              <w:rPr>
                <w:rStyle w:val="IndexLink"/>
                <w:rtl w:val="true"/>
              </w:rPr>
              <w:t xml:space="preserve"> . </w:t>
            </w:r>
            <w:r>
              <w:rPr>
                <w:rStyle w:val="IndexLink"/>
                <w:rtl w:val="true"/>
              </w:rPr>
              <w:t>تنبیهات تتعلّق بخبر الواحد</w:t>
            </w:r>
            <w:r>
              <w:rPr>
                <w:rStyle w:val="IndexLink"/>
                <w:rtl w:val="true"/>
              </w:rPr>
              <w:tab/>
            </w:r>
            <w:r>
              <w:rPr>
                <w:rStyle w:val="IndexLink"/>
              </w:rPr>
              <w:t>411</w:t>
            </w:r>
          </w:hyperlink>
        </w:p>
        <w:p>
          <w:pPr>
            <w:pStyle w:val="Contents5"/>
            <w:tabs>
              <w:tab w:val="clear" w:pos="7892"/>
              <w:tab w:val="right" w:pos="9026" w:leader="dot"/>
            </w:tabs>
            <w:rPr/>
          </w:pPr>
          <w:hyperlink w:anchor="__RefHeading___Toc3300784_1468164448">
            <w:r>
              <w:rPr>
                <w:webHidden/>
                <w:rStyle w:val="IndexLink"/>
                <w:rtl w:val="true"/>
              </w:rPr>
              <w:t>التنبیه الأول</w:t>
            </w:r>
            <w:r>
              <w:rPr>
                <w:rStyle w:val="IndexLink"/>
                <w:rtl w:val="true"/>
              </w:rPr>
              <w:t xml:space="preserve">: </w:t>
            </w:r>
            <w:r>
              <w:rPr>
                <w:rStyle w:val="IndexLink"/>
                <w:rtl w:val="true"/>
              </w:rPr>
              <w:t>حجّیة خبر الثقة أو الموثوق به؟</w:t>
            </w:r>
            <w:r>
              <w:rPr>
                <w:rStyle w:val="IndexLink"/>
                <w:rtl w:val="true"/>
              </w:rPr>
              <w:tab/>
            </w:r>
            <w:r>
              <w:rPr>
                <w:rStyle w:val="IndexLink"/>
              </w:rPr>
              <w:t>411</w:t>
            </w:r>
          </w:hyperlink>
        </w:p>
        <w:p>
          <w:pPr>
            <w:pStyle w:val="Contents6"/>
            <w:tabs>
              <w:tab w:val="clear" w:pos="7609"/>
              <w:tab w:val="right" w:pos="9026" w:leader="dot"/>
            </w:tabs>
            <w:rPr/>
          </w:pPr>
          <w:hyperlink w:anchor="__RefHeading___Toc3300786_1468164448">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3300788_1468164448">
            <w:r>
              <w:rPr>
                <w:webHidden/>
                <w:rStyle w:val="IndexLink"/>
                <w:rtl w:val="true"/>
              </w:rPr>
              <w:t>تعریف الخبر الموثوق به</w:t>
            </w:r>
            <w:r>
              <w:rPr>
                <w:rStyle w:val="IndexLink"/>
                <w:rtl w:val="true"/>
              </w:rPr>
              <w:tab/>
            </w:r>
            <w:r>
              <w:rPr>
                <w:rStyle w:val="IndexLink"/>
              </w:rPr>
              <w:t>411</w:t>
            </w:r>
          </w:hyperlink>
        </w:p>
        <w:p>
          <w:pPr>
            <w:pStyle w:val="Contents6"/>
            <w:tabs>
              <w:tab w:val="clear" w:pos="7609"/>
              <w:tab w:val="right" w:pos="9026" w:leader="dot"/>
            </w:tabs>
            <w:rPr/>
          </w:pPr>
          <w:hyperlink w:anchor="__RefHeading___Toc3300790_1468164448">
            <w:r>
              <w:rPr>
                <w:webHidden/>
                <w:rStyle w:val="IndexLink"/>
                <w:rtl w:val="true"/>
              </w:rPr>
              <w:t>الفارق بین خبر الثقة والخبر الموثوق به</w:t>
            </w:r>
            <w:r>
              <w:rPr>
                <w:rStyle w:val="IndexLink"/>
                <w:rtl w:val="true"/>
              </w:rPr>
              <w:tab/>
            </w:r>
            <w:r>
              <w:rPr>
                <w:rStyle w:val="IndexLink"/>
              </w:rPr>
              <w:t>411</w:t>
            </w:r>
          </w:hyperlink>
        </w:p>
        <w:p>
          <w:pPr>
            <w:pStyle w:val="Contents6"/>
            <w:tabs>
              <w:tab w:val="clear" w:pos="7609"/>
              <w:tab w:val="right" w:pos="9026" w:leader="dot"/>
            </w:tabs>
            <w:rPr/>
          </w:pPr>
          <w:hyperlink w:anchor="__RefHeading___Toc3300792_1468164448">
            <w:r>
              <w:rPr>
                <w:webHidden/>
                <w:rStyle w:val="IndexLink"/>
                <w:rtl w:val="true"/>
              </w:rPr>
              <w:t>ثمرة وجود الفارق بین خبر الثقة والخبر الموثوق به</w:t>
            </w:r>
            <w:r>
              <w:rPr>
                <w:rStyle w:val="IndexLink"/>
                <w:rtl w:val="true"/>
              </w:rPr>
              <w:tab/>
            </w:r>
            <w:r>
              <w:rPr>
                <w:rStyle w:val="IndexLink"/>
              </w:rPr>
              <w:t>413</w:t>
            </w:r>
          </w:hyperlink>
        </w:p>
        <w:p>
          <w:pPr>
            <w:pStyle w:val="Contents5"/>
            <w:tabs>
              <w:tab w:val="clear" w:pos="7892"/>
              <w:tab w:val="right" w:pos="9026" w:leader="dot"/>
            </w:tabs>
            <w:rPr/>
          </w:pPr>
          <w:hyperlink w:anchor="__RefHeading___Toc3300794_1468164448">
            <w:r>
              <w:rPr>
                <w:webHidden/>
                <w:rStyle w:val="IndexLink"/>
                <w:rtl w:val="true"/>
              </w:rPr>
              <w:t>التنبیه الثانی</w:t>
            </w:r>
            <w:r>
              <w:rPr>
                <w:rStyle w:val="IndexLink"/>
                <w:rtl w:val="true"/>
              </w:rPr>
              <w:t xml:space="preserve">: </w:t>
            </w:r>
            <w:r>
              <w:rPr>
                <w:rStyle w:val="IndexLink"/>
                <w:rtl w:val="true"/>
              </w:rPr>
              <w:t>حجّیة الخبر أو عدم حجّیته فی الإعتقادیات</w:t>
            </w:r>
            <w:r>
              <w:rPr>
                <w:rStyle w:val="IndexLink"/>
                <w:rtl w:val="true"/>
              </w:rPr>
              <w:tab/>
            </w:r>
            <w:r>
              <w:rPr>
                <w:rStyle w:val="IndexLink"/>
              </w:rPr>
              <w:t>414</w:t>
            </w:r>
          </w:hyperlink>
        </w:p>
        <w:p>
          <w:pPr>
            <w:pStyle w:val="Contents6"/>
            <w:tabs>
              <w:tab w:val="clear" w:pos="7609"/>
              <w:tab w:val="right" w:pos="9026" w:leader="dot"/>
            </w:tabs>
            <w:rPr/>
          </w:pPr>
          <w:hyperlink w:anchor="__RefHeading___Toc3300796_1468164448">
            <w:r>
              <w:rPr>
                <w:webHidden/>
                <w:rStyle w:val="IndexLink"/>
                <w:rtl w:val="true"/>
              </w:rPr>
              <w:t>أهمیة المسألة وغموضها</w:t>
            </w:r>
            <w:r>
              <w:rPr>
                <w:rStyle w:val="IndexLink"/>
                <w:rtl w:val="true"/>
              </w:rPr>
              <w:tab/>
            </w:r>
            <w:r>
              <w:rPr>
                <w:rStyle w:val="IndexLink"/>
              </w:rPr>
              <w:t>414</w:t>
            </w:r>
          </w:hyperlink>
        </w:p>
        <w:p>
          <w:pPr>
            <w:pStyle w:val="Contents6"/>
            <w:tabs>
              <w:tab w:val="clear" w:pos="7609"/>
              <w:tab w:val="right" w:pos="9026" w:leader="dot"/>
            </w:tabs>
            <w:rPr/>
          </w:pPr>
          <w:hyperlink w:anchor="__RefHeading___Toc3300798_1468164448">
            <w:r>
              <w:rPr>
                <w:webHidden/>
                <w:rStyle w:val="IndexLink"/>
                <w:rtl w:val="true"/>
              </w:rPr>
              <w:t>أدلّة المانعین</w:t>
            </w:r>
            <w:r>
              <w:rPr>
                <w:rStyle w:val="IndexLink"/>
                <w:rtl w:val="true"/>
              </w:rPr>
              <w:tab/>
            </w:r>
            <w:r>
              <w:rPr>
                <w:rStyle w:val="IndexLink"/>
              </w:rPr>
              <w:t>415</w:t>
            </w:r>
          </w:hyperlink>
        </w:p>
        <w:p>
          <w:pPr>
            <w:pStyle w:val="Contents6"/>
            <w:tabs>
              <w:tab w:val="clear" w:pos="7609"/>
              <w:tab w:val="right" w:pos="9026" w:leader="dot"/>
            </w:tabs>
            <w:rPr/>
          </w:pPr>
          <w:hyperlink w:anchor="__RefHeading___Toc3300800_1468164448">
            <w:r>
              <w:rPr>
                <w:webHidden/>
                <w:rStyle w:val="IndexLink"/>
                <w:rtl w:val="true"/>
              </w:rPr>
              <w:t>المختار فی المسألة</w:t>
            </w:r>
            <w:r>
              <w:rPr>
                <w:rStyle w:val="IndexLink"/>
                <w:rtl w:val="true"/>
              </w:rPr>
              <w:tab/>
            </w:r>
            <w:r>
              <w:rPr>
                <w:rStyle w:val="IndexLink"/>
              </w:rPr>
              <w:t>416</w:t>
            </w:r>
          </w:hyperlink>
        </w:p>
        <w:p>
          <w:pPr>
            <w:pStyle w:val="Contents6"/>
            <w:tabs>
              <w:tab w:val="clear" w:pos="7609"/>
              <w:tab w:val="right" w:pos="9026" w:leader="dot"/>
            </w:tabs>
            <w:rPr/>
          </w:pPr>
          <w:hyperlink w:anchor="__RefHeading___Toc3300802_1468164448">
            <w:r>
              <w:rPr>
                <w:webHidden/>
                <w:rStyle w:val="IndexLink"/>
                <w:rtl w:val="true"/>
              </w:rPr>
              <w:t>الفارق بین الحکم الفقهی والأصولی</w:t>
            </w:r>
            <w:r>
              <w:rPr>
                <w:rStyle w:val="IndexLink"/>
                <w:rtl w:val="true"/>
              </w:rPr>
              <w:tab/>
            </w:r>
            <w:r>
              <w:rPr>
                <w:rStyle w:val="IndexLink"/>
              </w:rPr>
              <w:t>416</w:t>
            </w:r>
          </w:hyperlink>
        </w:p>
        <w:p>
          <w:pPr>
            <w:pStyle w:val="Contents6"/>
            <w:tabs>
              <w:tab w:val="clear" w:pos="7609"/>
              <w:tab w:val="right" w:pos="9026" w:leader="dot"/>
            </w:tabs>
            <w:rPr/>
          </w:pPr>
          <w:hyperlink w:anchor="__RefHeading___Toc3300804_1468164448">
            <w:r>
              <w:rPr>
                <w:webHidden/>
                <w:rStyle w:val="IndexLink"/>
                <w:rtl w:val="true"/>
              </w:rPr>
              <w:t>الجهة الأولی</w:t>
            </w:r>
            <w:r>
              <w:rPr>
                <w:rStyle w:val="IndexLink"/>
                <w:rtl w:val="true"/>
              </w:rPr>
              <w:t xml:space="preserve">: </w:t>
            </w:r>
            <w:r>
              <w:rPr>
                <w:rStyle w:val="IndexLink"/>
                <w:rtl w:val="true"/>
              </w:rPr>
              <w:t>تصویر الحکم الفقهی</w:t>
            </w:r>
            <w:r>
              <w:rPr>
                <w:rStyle w:val="IndexLink"/>
                <w:rtl w:val="true"/>
              </w:rPr>
              <w:tab/>
            </w:r>
            <w:r>
              <w:rPr>
                <w:rStyle w:val="IndexLink"/>
              </w:rPr>
              <w:t>417</w:t>
            </w:r>
          </w:hyperlink>
        </w:p>
        <w:p>
          <w:pPr>
            <w:pStyle w:val="Contents6"/>
            <w:tabs>
              <w:tab w:val="clear" w:pos="7609"/>
              <w:tab w:val="right" w:pos="9026" w:leader="dot"/>
            </w:tabs>
            <w:rPr/>
          </w:pPr>
          <w:hyperlink w:anchor="__RefHeading___Toc3300806_1468164448">
            <w:r>
              <w:rPr>
                <w:webHidden/>
                <w:rStyle w:val="IndexLink"/>
                <w:rtl w:val="true"/>
              </w:rPr>
              <w:t>القوی الثلاثة للنفس</w:t>
            </w:r>
            <w:r>
              <w:rPr>
                <w:rStyle w:val="IndexLink"/>
                <w:rtl w:val="true"/>
              </w:rPr>
              <w:tab/>
            </w:r>
            <w:r>
              <w:rPr>
                <w:rStyle w:val="IndexLink"/>
              </w:rPr>
              <w:t>417</w:t>
            </w:r>
          </w:hyperlink>
        </w:p>
        <w:p>
          <w:pPr>
            <w:pStyle w:val="Contents6"/>
            <w:tabs>
              <w:tab w:val="clear" w:pos="7609"/>
              <w:tab w:val="right" w:pos="9026" w:leader="dot"/>
            </w:tabs>
            <w:rPr/>
          </w:pPr>
          <w:hyperlink w:anchor="__RefHeading___Toc3300808_1468164448">
            <w:r>
              <w:rPr>
                <w:webHidden/>
                <w:rStyle w:val="IndexLink"/>
                <w:rtl w:val="true"/>
              </w:rPr>
              <w:t>الایمان هو الفعل الإختیاری</w:t>
            </w:r>
            <w:r>
              <w:rPr>
                <w:rStyle w:val="IndexLink"/>
                <w:rtl w:val="true"/>
              </w:rPr>
              <w:tab/>
            </w:r>
            <w:r>
              <w:rPr>
                <w:rStyle w:val="IndexLink"/>
              </w:rPr>
              <w:t>418</w:t>
            </w:r>
          </w:hyperlink>
        </w:p>
        <w:p>
          <w:pPr>
            <w:pStyle w:val="Contents6"/>
            <w:tabs>
              <w:tab w:val="clear" w:pos="7609"/>
              <w:tab w:val="right" w:pos="9026" w:leader="dot"/>
            </w:tabs>
            <w:rPr/>
          </w:pPr>
          <w:hyperlink w:anchor="__RefHeading___Toc3300810_1468164448">
            <w:r>
              <w:rPr>
                <w:webHidden/>
                <w:rStyle w:val="IndexLink"/>
                <w:rtl w:val="true"/>
              </w:rPr>
              <w:t>إمکان التعبد فی الایمان</w:t>
            </w:r>
            <w:r>
              <w:rPr>
                <w:rStyle w:val="IndexLink"/>
                <w:rtl w:val="true"/>
              </w:rPr>
              <w:tab/>
            </w:r>
            <w:r>
              <w:rPr>
                <w:rStyle w:val="IndexLink"/>
              </w:rPr>
              <w:t>418</w:t>
            </w:r>
          </w:hyperlink>
        </w:p>
        <w:p>
          <w:pPr>
            <w:pStyle w:val="Contents6"/>
            <w:tabs>
              <w:tab w:val="clear" w:pos="7609"/>
              <w:tab w:val="right" w:pos="9026" w:leader="dot"/>
            </w:tabs>
            <w:rPr/>
          </w:pPr>
          <w:hyperlink w:anchor="__RefHeading___Toc3300812_1468164448">
            <w:r>
              <w:rPr>
                <w:webHidden/>
                <w:rStyle w:val="IndexLink"/>
                <w:rtl w:val="true"/>
              </w:rPr>
              <w:t>شبهة الدور فی وجوب الفحص فی النبوة</w:t>
            </w:r>
            <w:r>
              <w:rPr>
                <w:rStyle w:val="IndexLink"/>
                <w:rtl w:val="true"/>
              </w:rPr>
              <w:tab/>
            </w:r>
            <w:r>
              <w:rPr>
                <w:rStyle w:val="IndexLink"/>
              </w:rPr>
              <w:t>419</w:t>
            </w:r>
          </w:hyperlink>
        </w:p>
        <w:p>
          <w:pPr>
            <w:pStyle w:val="Contents6"/>
            <w:tabs>
              <w:tab w:val="clear" w:pos="7609"/>
              <w:tab w:val="right" w:pos="9026" w:leader="dot"/>
            </w:tabs>
            <w:rPr/>
          </w:pPr>
          <w:hyperlink w:anchor="__RefHeading___Toc3300814_1468164448">
            <w:r>
              <w:rPr>
                <w:webHidden/>
                <w:rStyle w:val="IndexLink"/>
                <w:rtl w:val="true"/>
              </w:rPr>
              <w:t>خلاصة البحث فی الجهة الأولی</w:t>
            </w:r>
            <w:r>
              <w:rPr>
                <w:rStyle w:val="IndexLink"/>
                <w:rtl w:val="true"/>
              </w:rPr>
              <w:tab/>
            </w:r>
            <w:r>
              <w:rPr>
                <w:rStyle w:val="IndexLink"/>
              </w:rPr>
              <w:t>420</w:t>
            </w:r>
          </w:hyperlink>
        </w:p>
        <w:p>
          <w:pPr>
            <w:pStyle w:val="Contents6"/>
            <w:tabs>
              <w:tab w:val="clear" w:pos="7609"/>
              <w:tab w:val="right" w:pos="9026" w:leader="dot"/>
            </w:tabs>
            <w:rPr/>
          </w:pPr>
          <w:hyperlink w:anchor="__RefHeading___Toc3300816_1468164448">
            <w:r>
              <w:rPr>
                <w:webHidden/>
                <w:rStyle w:val="IndexLink"/>
                <w:rtl w:val="true"/>
              </w:rPr>
              <w:t>شبهة لغویة الحکم الفقهی بعد وجود حکم العقل فی التوحید</w:t>
            </w:r>
            <w:r>
              <w:rPr>
                <w:rStyle w:val="IndexLink"/>
                <w:rtl w:val="true"/>
              </w:rPr>
              <w:tab/>
            </w:r>
            <w:r>
              <w:rPr>
                <w:rStyle w:val="IndexLink"/>
              </w:rPr>
              <w:t>421</w:t>
            </w:r>
          </w:hyperlink>
        </w:p>
        <w:p>
          <w:pPr>
            <w:pStyle w:val="Contents6"/>
            <w:tabs>
              <w:tab w:val="clear" w:pos="7609"/>
              <w:tab w:val="right" w:pos="9026" w:leader="dot"/>
            </w:tabs>
            <w:rPr/>
          </w:pPr>
          <w:hyperlink w:anchor="__RefHeading___Toc3300818_1468164448">
            <w:r>
              <w:rPr>
                <w:webHidden/>
                <w:rStyle w:val="IndexLink"/>
                <w:rtl w:val="true"/>
              </w:rPr>
              <w:t>الجهة الثانیة</w:t>
            </w:r>
            <w:r>
              <w:rPr>
                <w:rStyle w:val="IndexLink"/>
                <w:rtl w:val="true"/>
              </w:rPr>
              <w:t xml:space="preserve">: </w:t>
            </w:r>
            <w:r>
              <w:rPr>
                <w:rStyle w:val="IndexLink"/>
                <w:rtl w:val="true"/>
              </w:rPr>
              <w:t>الحکم الأصولی</w:t>
            </w:r>
            <w:r>
              <w:rPr>
                <w:rStyle w:val="IndexLink"/>
                <w:rtl w:val="true"/>
              </w:rPr>
              <w:tab/>
            </w:r>
            <w:r>
              <w:rPr>
                <w:rStyle w:val="IndexLink"/>
              </w:rPr>
              <w:t>421</w:t>
            </w:r>
          </w:hyperlink>
        </w:p>
        <w:p>
          <w:pPr>
            <w:pStyle w:val="Contents6"/>
            <w:tabs>
              <w:tab w:val="clear" w:pos="7609"/>
              <w:tab w:val="right" w:pos="9026" w:leader="dot"/>
            </w:tabs>
            <w:rPr/>
          </w:pPr>
          <w:hyperlink w:anchor="__RefHeading___Toc3300820_1468164448">
            <w:r>
              <w:rPr>
                <w:webHidden/>
                <w:rStyle w:val="IndexLink"/>
                <w:rtl w:val="true"/>
              </w:rPr>
              <w:t>حقیقة التعبد بالظن فی العقائد</w:t>
            </w:r>
            <w:r>
              <w:rPr>
                <w:rStyle w:val="IndexLink"/>
                <w:rtl w:val="true"/>
              </w:rPr>
              <w:tab/>
            </w:r>
            <w:r>
              <w:rPr>
                <w:rStyle w:val="IndexLink"/>
              </w:rPr>
              <w:t>422</w:t>
            </w:r>
          </w:hyperlink>
        </w:p>
        <w:p>
          <w:pPr>
            <w:pStyle w:val="Contents6"/>
            <w:tabs>
              <w:tab w:val="clear" w:pos="7609"/>
              <w:tab w:val="right" w:pos="9026" w:leader="dot"/>
            </w:tabs>
            <w:rPr/>
          </w:pPr>
          <w:hyperlink w:anchor="__RefHeading___Toc3300822_1468164448">
            <w:r>
              <w:rPr>
                <w:webHidden/>
                <w:rStyle w:val="IndexLink"/>
                <w:rtl w:val="true"/>
              </w:rPr>
              <w:t>البحث فی المقتضی</w:t>
            </w:r>
            <w:r>
              <w:rPr>
                <w:rStyle w:val="IndexLink"/>
                <w:rtl w:val="true"/>
              </w:rPr>
              <w:tab/>
            </w:r>
            <w:r>
              <w:rPr>
                <w:rStyle w:val="IndexLink"/>
              </w:rPr>
              <w:t>423</w:t>
            </w:r>
          </w:hyperlink>
        </w:p>
        <w:p>
          <w:pPr>
            <w:pStyle w:val="Contents6"/>
            <w:tabs>
              <w:tab w:val="clear" w:pos="7609"/>
              <w:tab w:val="right" w:pos="9026" w:leader="dot"/>
            </w:tabs>
            <w:rPr/>
          </w:pPr>
          <w:hyperlink w:anchor="__RefHeading___Toc3300824_1468164448">
            <w:r>
              <w:rPr>
                <w:webHidden/>
                <w:rStyle w:val="IndexLink"/>
                <w:rtl w:val="true"/>
              </w:rPr>
              <w:t>البحث فی المانع</w:t>
            </w:r>
            <w:r>
              <w:rPr>
                <w:rStyle w:val="IndexLink"/>
                <w:rtl w:val="true"/>
              </w:rPr>
              <w:tab/>
            </w:r>
            <w:r>
              <w:rPr>
                <w:rStyle w:val="IndexLink"/>
              </w:rPr>
              <w:t>424</w:t>
            </w:r>
          </w:hyperlink>
        </w:p>
        <w:p>
          <w:pPr>
            <w:pStyle w:val="Contents5"/>
            <w:tabs>
              <w:tab w:val="clear" w:pos="7892"/>
              <w:tab w:val="right" w:pos="9026" w:leader="dot"/>
            </w:tabs>
            <w:rPr/>
          </w:pPr>
          <w:hyperlink w:anchor="__RefHeading___Toc3300826_1468164448">
            <w:r>
              <w:rPr>
                <w:webHidden/>
                <w:rStyle w:val="IndexLink"/>
                <w:rtl w:val="true"/>
              </w:rPr>
              <w:t>التنبیه الثالث</w:t>
            </w:r>
            <w:r>
              <w:rPr>
                <w:rStyle w:val="IndexLink"/>
                <w:rtl w:val="true"/>
              </w:rPr>
              <w:t xml:space="preserve">: </w:t>
            </w:r>
            <w:r>
              <w:rPr>
                <w:rStyle w:val="IndexLink"/>
                <w:rtl w:val="true"/>
              </w:rPr>
              <w:t>کیفیة تخریج الخبر الحسن والقوی</w:t>
            </w:r>
            <w:r>
              <w:rPr>
                <w:rStyle w:val="IndexLink"/>
                <w:rtl w:val="true"/>
              </w:rPr>
              <w:tab/>
            </w:r>
            <w:r>
              <w:rPr>
                <w:rStyle w:val="IndexLink"/>
              </w:rPr>
              <w:t>426</w:t>
            </w:r>
          </w:hyperlink>
        </w:p>
        <w:p>
          <w:pPr>
            <w:pStyle w:val="Contents6"/>
            <w:tabs>
              <w:tab w:val="clear" w:pos="7609"/>
              <w:tab w:val="right" w:pos="9026" w:leader="dot"/>
            </w:tabs>
            <w:rPr/>
          </w:pPr>
          <w:hyperlink w:anchor="__RefHeading___Toc3300828_1468164448">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3300830_1468164448">
            <w:r>
              <w:rPr>
                <w:webHidden/>
                <w:rStyle w:val="IndexLink"/>
                <w:rtl w:val="true"/>
              </w:rPr>
              <w:t>وجه العمل بخبر الحسن</w:t>
            </w:r>
            <w:r>
              <w:rPr>
                <w:rStyle w:val="IndexLink"/>
                <w:rtl w:val="true"/>
              </w:rPr>
              <w:tab/>
            </w:r>
            <w:r>
              <w:rPr>
                <w:rStyle w:val="IndexLink"/>
              </w:rPr>
              <w:t>426</w:t>
            </w:r>
          </w:hyperlink>
        </w:p>
        <w:p>
          <w:pPr>
            <w:pStyle w:val="Contents6"/>
            <w:tabs>
              <w:tab w:val="clear" w:pos="7609"/>
              <w:tab w:val="right" w:pos="9026" w:leader="dot"/>
            </w:tabs>
            <w:rPr/>
          </w:pPr>
          <w:hyperlink w:anchor="__RefHeading___Toc3300832_1468164448">
            <w:r>
              <w:rPr>
                <w:webHidden/>
                <w:rStyle w:val="IndexLink"/>
                <w:rtl w:val="true"/>
              </w:rPr>
              <w:t>توضیح المسألة</w:t>
            </w:r>
            <w:r>
              <w:rPr>
                <w:rStyle w:val="IndexLink"/>
                <w:rtl w:val="true"/>
              </w:rPr>
              <w:tab/>
            </w:r>
            <w:r>
              <w:rPr>
                <w:rStyle w:val="IndexLink"/>
              </w:rPr>
              <w:t>427</w:t>
            </w:r>
          </w:hyperlink>
        </w:p>
        <w:p>
          <w:pPr>
            <w:pStyle w:val="Contents6"/>
            <w:tabs>
              <w:tab w:val="clear" w:pos="7609"/>
              <w:tab w:val="right" w:pos="9026" w:leader="dot"/>
            </w:tabs>
            <w:rPr/>
          </w:pPr>
          <w:hyperlink w:anchor="__RefHeading___Toc3300834_1468164448">
            <w:r>
              <w:rPr>
                <w:webHidden/>
                <w:rStyle w:val="IndexLink"/>
                <w:rtl w:val="true"/>
              </w:rPr>
              <w:t>درجات الإحراز لصفات الراوی</w:t>
            </w:r>
            <w:r>
              <w:rPr>
                <w:rStyle w:val="IndexLink"/>
                <w:rtl w:val="true"/>
              </w:rPr>
              <w:tab/>
            </w:r>
            <w:r>
              <w:rPr>
                <w:rStyle w:val="IndexLink"/>
              </w:rPr>
              <w:t>427</w:t>
            </w:r>
          </w:hyperlink>
        </w:p>
        <w:p>
          <w:pPr>
            <w:pStyle w:val="Contents6"/>
            <w:tabs>
              <w:tab w:val="clear" w:pos="7609"/>
              <w:tab w:val="right" w:pos="9026" w:leader="dot"/>
            </w:tabs>
            <w:rPr/>
          </w:pPr>
          <w:hyperlink w:anchor="__RefHeading___Toc3300836_1468164448">
            <w:r>
              <w:rPr>
                <w:webHidden/>
                <w:rStyle w:val="IndexLink"/>
                <w:rtl w:val="true"/>
              </w:rPr>
              <w:t>أصالة العدالة</w:t>
            </w:r>
            <w:r>
              <w:rPr>
                <w:rStyle w:val="IndexLink"/>
                <w:rtl w:val="true"/>
              </w:rPr>
              <w:tab/>
            </w:r>
            <w:r>
              <w:rPr>
                <w:rStyle w:val="IndexLink"/>
              </w:rPr>
              <w:t>428</w:t>
            </w:r>
          </w:hyperlink>
        </w:p>
        <w:p>
          <w:pPr>
            <w:pStyle w:val="Contents6"/>
            <w:tabs>
              <w:tab w:val="clear" w:pos="7609"/>
              <w:tab w:val="right" w:pos="9026" w:leader="dot"/>
            </w:tabs>
            <w:rPr/>
          </w:pPr>
          <w:hyperlink w:anchor="__RefHeading___Toc3300838_1468164448">
            <w:r>
              <w:rPr>
                <w:webHidden/>
                <w:rStyle w:val="IndexLink"/>
                <w:rtl w:val="true"/>
              </w:rPr>
              <w:t>حسن الظاهر مغایر للعدالة</w:t>
            </w:r>
            <w:r>
              <w:rPr>
                <w:rStyle w:val="IndexLink"/>
                <w:rtl w:val="true"/>
              </w:rPr>
              <w:tab/>
            </w:r>
            <w:r>
              <w:rPr>
                <w:rStyle w:val="IndexLink"/>
              </w:rPr>
              <w:t>429</w:t>
            </w:r>
          </w:hyperlink>
        </w:p>
        <w:p>
          <w:pPr>
            <w:pStyle w:val="Contents6"/>
            <w:tabs>
              <w:tab w:val="clear" w:pos="7609"/>
              <w:tab w:val="right" w:pos="9026" w:leader="dot"/>
            </w:tabs>
            <w:rPr/>
          </w:pPr>
          <w:hyperlink w:anchor="__RefHeading___Toc3300840_1468164448">
            <w:r>
              <w:rPr>
                <w:webHidden/>
                <w:rStyle w:val="IndexLink"/>
                <w:rtl w:val="true"/>
              </w:rPr>
              <w:t>أدلّة أماریة حسن الظاهر</w:t>
            </w:r>
            <w:r>
              <w:rPr>
                <w:rStyle w:val="IndexLink"/>
                <w:rtl w:val="true"/>
              </w:rPr>
              <w:tab/>
            </w:r>
            <w:r>
              <w:rPr>
                <w:rStyle w:val="IndexLink"/>
              </w:rPr>
              <w:t>429</w:t>
            </w:r>
          </w:hyperlink>
        </w:p>
        <w:p>
          <w:pPr>
            <w:pStyle w:val="Contents6"/>
            <w:tabs>
              <w:tab w:val="clear" w:pos="7609"/>
              <w:tab w:val="right" w:pos="9026" w:leader="dot"/>
            </w:tabs>
            <w:rPr/>
          </w:pPr>
          <w:hyperlink w:anchor="__RefHeading___Toc3300842_1468164448">
            <w:r>
              <w:rPr>
                <w:webHidden/>
                <w:rStyle w:val="IndexLink"/>
                <w:rtl w:val="true"/>
              </w:rPr>
              <w:t>عدّة ملاحظات</w:t>
            </w:r>
            <w:r>
              <w:rPr>
                <w:rStyle w:val="IndexLink"/>
                <w:rtl w:val="true"/>
              </w:rPr>
              <w:tab/>
            </w:r>
            <w:r>
              <w:rPr>
                <w:rStyle w:val="IndexLink"/>
              </w:rPr>
              <w:t>433</w:t>
            </w:r>
          </w:hyperlink>
        </w:p>
        <w:p>
          <w:pPr>
            <w:pStyle w:val="Contents5"/>
            <w:tabs>
              <w:tab w:val="clear" w:pos="7892"/>
              <w:tab w:val="right" w:pos="9026" w:leader="dot"/>
            </w:tabs>
            <w:rPr/>
          </w:pPr>
          <w:hyperlink w:anchor="__RefHeading___Toc3300844_1468164448">
            <w:r>
              <w:rPr>
                <w:webHidden/>
                <w:rStyle w:val="IndexLink"/>
                <w:rtl w:val="true"/>
              </w:rPr>
              <w:t>التنبیه الرابع</w:t>
            </w:r>
            <w:r>
              <w:rPr>
                <w:rStyle w:val="IndexLink"/>
                <w:rtl w:val="true"/>
              </w:rPr>
              <w:t xml:space="preserve">: </w:t>
            </w:r>
            <w:r>
              <w:rPr>
                <w:rStyle w:val="IndexLink"/>
                <w:rtl w:val="true"/>
              </w:rPr>
              <w:t>حجّیة خبر الواحد أو عدم حجّیته فی الموضوعات</w:t>
            </w:r>
            <w:r>
              <w:rPr>
                <w:rStyle w:val="IndexLink"/>
                <w:rtl w:val="true"/>
              </w:rPr>
              <w:tab/>
            </w:r>
            <w:r>
              <w:rPr>
                <w:rStyle w:val="IndexLink"/>
              </w:rPr>
              <w:t>435</w:t>
            </w:r>
          </w:hyperlink>
        </w:p>
        <w:p>
          <w:pPr>
            <w:pStyle w:val="Contents6"/>
            <w:tabs>
              <w:tab w:val="clear" w:pos="7609"/>
              <w:tab w:val="right" w:pos="9026" w:leader="dot"/>
            </w:tabs>
            <w:rPr/>
          </w:pPr>
          <w:hyperlink w:anchor="__RefHeading___Toc3300846_1468164448">
            <w:r>
              <w:rPr>
                <w:webHidden/>
                <w:rStyle w:val="IndexLink"/>
                <w:rtl w:val="true"/>
              </w:rPr>
              <w:t>اشارة</w:t>
            </w:r>
            <w:r>
              <w:rPr>
                <w:rStyle w:val="IndexLink"/>
                <w:rtl w:val="true"/>
              </w:rPr>
              <w:tab/>
            </w:r>
            <w:r>
              <w:rPr>
                <w:rStyle w:val="IndexLink"/>
              </w:rPr>
              <w:t>435</w:t>
            </w:r>
          </w:hyperlink>
        </w:p>
        <w:p>
          <w:pPr>
            <w:pStyle w:val="Contents6"/>
            <w:tabs>
              <w:tab w:val="clear" w:pos="7609"/>
              <w:tab w:val="right" w:pos="9026" w:leader="dot"/>
            </w:tabs>
            <w:rPr/>
          </w:pPr>
          <w:hyperlink w:anchor="__RefHeading___Toc3300848_1468164448">
            <w:r>
              <w:rPr>
                <w:webHidden/>
                <w:rStyle w:val="IndexLink"/>
                <w:rtl w:val="true"/>
              </w:rPr>
              <w:t>عدم حجّیة خبر الواحد فی الموضوعات عند القدماء</w:t>
            </w:r>
            <w:r>
              <w:rPr>
                <w:rStyle w:val="IndexLink"/>
                <w:rtl w:val="true"/>
              </w:rPr>
              <w:tab/>
            </w:r>
            <w:r>
              <w:rPr>
                <w:rStyle w:val="IndexLink"/>
              </w:rPr>
              <w:t>435</w:t>
            </w:r>
          </w:hyperlink>
        </w:p>
        <w:p>
          <w:pPr>
            <w:pStyle w:val="Contents6"/>
            <w:tabs>
              <w:tab w:val="clear" w:pos="7609"/>
              <w:tab w:val="right" w:pos="9026" w:leader="dot"/>
            </w:tabs>
            <w:rPr/>
          </w:pPr>
          <w:hyperlink w:anchor="__RefHeading___Toc3300850_1468164448">
            <w:r>
              <w:rPr>
                <w:webHidden/>
                <w:rStyle w:val="IndexLink"/>
                <w:rtl w:val="true"/>
              </w:rPr>
              <w:t>المختار فی المسألة</w:t>
            </w:r>
            <w:r>
              <w:rPr>
                <w:rStyle w:val="IndexLink"/>
                <w:rtl w:val="true"/>
              </w:rPr>
              <w:tab/>
            </w:r>
            <w:r>
              <w:rPr>
                <w:rStyle w:val="IndexLink"/>
              </w:rPr>
              <w:t>435</w:t>
            </w:r>
          </w:hyperlink>
        </w:p>
        <w:p>
          <w:pPr>
            <w:pStyle w:val="Contents6"/>
            <w:tabs>
              <w:tab w:val="clear" w:pos="7609"/>
              <w:tab w:val="right" w:pos="9026" w:leader="dot"/>
            </w:tabs>
            <w:rPr/>
          </w:pPr>
          <w:hyperlink w:anchor="__RefHeading___Toc3300852_1468164448">
            <w:r>
              <w:rPr>
                <w:webHidden/>
                <w:rStyle w:val="IndexLink"/>
                <w:rtl w:val="true"/>
              </w:rPr>
              <w:t>تقریب المستمسک</w:t>
            </w:r>
            <w:r>
              <w:rPr>
                <w:rStyle w:val="IndexLink"/>
                <w:rtl w:val="true"/>
              </w:rPr>
              <w:tab/>
            </w:r>
            <w:r>
              <w:rPr>
                <w:rStyle w:val="IndexLink"/>
              </w:rPr>
              <w:t>436</w:t>
            </w:r>
          </w:hyperlink>
        </w:p>
        <w:p>
          <w:pPr>
            <w:pStyle w:val="Contents5"/>
            <w:tabs>
              <w:tab w:val="clear" w:pos="7892"/>
              <w:tab w:val="right" w:pos="9026" w:leader="dot"/>
            </w:tabs>
            <w:rPr/>
          </w:pPr>
          <w:hyperlink w:anchor="__RefHeading___Toc3300854_1468164448">
            <w:r>
              <w:rPr>
                <w:webHidden/>
                <w:rStyle w:val="IndexLink"/>
                <w:rtl w:val="true"/>
              </w:rPr>
              <w:t>التنبیه الخامس</w:t>
            </w:r>
            <w:r>
              <w:rPr>
                <w:rStyle w:val="IndexLink"/>
                <w:rtl w:val="true"/>
              </w:rPr>
              <w:t xml:space="preserve">: </w:t>
            </w:r>
            <w:r>
              <w:rPr>
                <w:rStyle w:val="IndexLink"/>
                <w:rtl w:val="true"/>
              </w:rPr>
              <w:t>فی جبر الضعیف بالشهرة العملیة والفتوائیة وکسر الخبر الصحیح بهما</w:t>
            </w:r>
            <w:r>
              <w:rPr>
                <w:rStyle w:val="IndexLink"/>
                <w:rtl w:val="true"/>
              </w:rPr>
              <w:tab/>
            </w:r>
            <w:r>
              <w:rPr>
                <w:rStyle w:val="IndexLink"/>
              </w:rPr>
              <w:t>438</w:t>
            </w:r>
          </w:hyperlink>
        </w:p>
        <w:p>
          <w:pPr>
            <w:pStyle w:val="Contents6"/>
            <w:tabs>
              <w:tab w:val="clear" w:pos="7609"/>
              <w:tab w:val="right" w:pos="9026" w:leader="dot"/>
            </w:tabs>
            <w:rPr/>
          </w:pPr>
          <w:hyperlink w:anchor="__RefHeading___Toc3300856_1468164448">
            <w:r>
              <w:rPr>
                <w:webHidden/>
                <w:rStyle w:val="IndexLink"/>
                <w:rtl w:val="true"/>
              </w:rPr>
              <w:t>الآراء فی المسألة</w:t>
            </w:r>
            <w:r>
              <w:rPr>
                <w:rStyle w:val="IndexLink"/>
                <w:rtl w:val="true"/>
              </w:rPr>
              <w:tab/>
            </w:r>
            <w:r>
              <w:rPr>
                <w:rStyle w:val="IndexLink"/>
              </w:rPr>
              <w:t>438</w:t>
            </w:r>
          </w:hyperlink>
        </w:p>
        <w:p>
          <w:pPr>
            <w:pStyle w:val="Contents6"/>
            <w:tabs>
              <w:tab w:val="clear" w:pos="7609"/>
              <w:tab w:val="right" w:pos="9026" w:leader="dot"/>
            </w:tabs>
            <w:rPr/>
          </w:pPr>
          <w:hyperlink w:anchor="__RefHeading___Toc3300858_1468164448">
            <w:r>
              <w:rPr>
                <w:webHidden/>
                <w:rStyle w:val="IndexLink"/>
                <w:rtl w:val="true"/>
              </w:rPr>
              <w:t>فی جبر الشهرة العملیة</w:t>
            </w:r>
            <w:r>
              <w:rPr>
                <w:rStyle w:val="IndexLink"/>
                <w:rtl w:val="true"/>
              </w:rPr>
              <w:tab/>
            </w:r>
            <w:r>
              <w:rPr>
                <w:rStyle w:val="IndexLink"/>
              </w:rPr>
              <w:t>438</w:t>
            </w:r>
          </w:hyperlink>
        </w:p>
        <w:p>
          <w:pPr>
            <w:pStyle w:val="Contents6"/>
            <w:tabs>
              <w:tab w:val="clear" w:pos="7609"/>
              <w:tab w:val="right" w:pos="9026" w:leader="dot"/>
            </w:tabs>
            <w:rPr/>
          </w:pPr>
          <w:hyperlink w:anchor="__RefHeading___Toc3300860_1468164448">
            <w:r>
              <w:rPr>
                <w:webHidden/>
                <w:rStyle w:val="IndexLink"/>
                <w:rtl w:val="true"/>
              </w:rPr>
              <w:t xml:space="preserve">المناقشة فی رأی السیّد الخوئی </w:t>
            </w:r>
            <w:r>
              <w:rPr>
                <w:rStyle w:val="IndexLink"/>
                <w:rtl w:val="true"/>
              </w:rPr>
              <w:t>(</w:t>
            </w:r>
            <w:r>
              <w:rPr>
                <w:rStyle w:val="IndexLink"/>
                <w:rtl w:val="true"/>
              </w:rPr>
              <w:t>قدس سره</w:t>
            </w:r>
            <w:r>
              <w:rPr>
                <w:rStyle w:val="IndexLink"/>
                <w:rtl w:val="true"/>
              </w:rPr>
              <w:t>)</w:t>
              <w:tab/>
            </w:r>
            <w:r>
              <w:rPr>
                <w:rStyle w:val="IndexLink"/>
              </w:rPr>
              <w:t>439</w:t>
            </w:r>
          </w:hyperlink>
        </w:p>
        <w:p>
          <w:pPr>
            <w:pStyle w:val="Contents6"/>
            <w:tabs>
              <w:tab w:val="clear" w:pos="7609"/>
              <w:tab w:val="right" w:pos="9026" w:leader="dot"/>
            </w:tabs>
            <w:rPr/>
          </w:pPr>
          <w:hyperlink w:anchor="__RefHeading___Toc3300862_1468164448">
            <w:r>
              <w:rPr>
                <w:webHidden/>
                <w:rStyle w:val="IndexLink"/>
                <w:rtl w:val="true"/>
              </w:rPr>
              <w:t>أدلّة جابریة الشهرة وتقییمها</w:t>
            </w:r>
            <w:r>
              <w:rPr>
                <w:rStyle w:val="IndexLink"/>
                <w:rtl w:val="true"/>
              </w:rPr>
              <w:tab/>
            </w:r>
            <w:r>
              <w:rPr>
                <w:rStyle w:val="IndexLink"/>
              </w:rPr>
              <w:t>440</w:t>
            </w:r>
          </w:hyperlink>
        </w:p>
        <w:p>
          <w:pPr>
            <w:pStyle w:val="Contents6"/>
            <w:tabs>
              <w:tab w:val="clear" w:pos="7609"/>
              <w:tab w:val="right" w:pos="9026" w:leader="dot"/>
            </w:tabs>
            <w:rPr/>
          </w:pPr>
          <w:hyperlink w:anchor="__RefHeading___Toc3300864_1468164448">
            <w:r>
              <w:rPr>
                <w:webHidden/>
                <w:rStyle w:val="IndexLink"/>
                <w:rtl w:val="true"/>
              </w:rPr>
              <w:t>فی جبر الشهرة الفتوائیة</w:t>
            </w:r>
            <w:r>
              <w:rPr>
                <w:rStyle w:val="IndexLink"/>
                <w:rtl w:val="true"/>
              </w:rPr>
              <w:tab/>
            </w:r>
            <w:r>
              <w:rPr>
                <w:rStyle w:val="IndexLink"/>
              </w:rPr>
              <w:t>441</w:t>
            </w:r>
          </w:hyperlink>
        </w:p>
        <w:p>
          <w:pPr>
            <w:pStyle w:val="Contents6"/>
            <w:tabs>
              <w:tab w:val="clear" w:pos="7609"/>
              <w:tab w:val="right" w:pos="9026" w:leader="dot"/>
            </w:tabs>
            <w:rPr/>
          </w:pPr>
          <w:hyperlink w:anchor="__RefHeading___Toc3300866_1468164448">
            <w:r>
              <w:rPr>
                <w:webHidden/>
                <w:rStyle w:val="IndexLink"/>
                <w:rtl w:val="true"/>
              </w:rPr>
              <w:t>إعراض المشهور عن الخبر الصحیح</w:t>
            </w:r>
            <w:r>
              <w:rPr>
                <w:rStyle w:val="IndexLink"/>
                <w:rtl w:val="true"/>
              </w:rPr>
              <w:tab/>
            </w:r>
            <w:r>
              <w:rPr>
                <w:rStyle w:val="IndexLink"/>
              </w:rPr>
              <w:t>441</w:t>
            </w:r>
          </w:hyperlink>
        </w:p>
        <w:p>
          <w:pPr>
            <w:pStyle w:val="Contents6"/>
            <w:tabs>
              <w:tab w:val="clear" w:pos="7609"/>
              <w:tab w:val="right" w:pos="9026" w:leader="dot"/>
            </w:tabs>
            <w:rPr/>
          </w:pPr>
          <w:hyperlink w:anchor="__RefHeading___Toc3300868_1468164448">
            <w:r>
              <w:rPr>
                <w:webHidden/>
                <w:rStyle w:val="IndexLink"/>
                <w:rtl w:val="true"/>
              </w:rPr>
              <w:t>جبر الدلالة وکسرها بالشهرة</w:t>
            </w:r>
            <w:r>
              <w:rPr>
                <w:rStyle w:val="IndexLink"/>
                <w:rtl w:val="true"/>
              </w:rPr>
              <w:tab/>
            </w:r>
            <w:r>
              <w:rPr>
                <w:rStyle w:val="IndexLink"/>
              </w:rPr>
              <w:t>442</w:t>
            </w:r>
          </w:hyperlink>
        </w:p>
        <w:p>
          <w:pPr>
            <w:pStyle w:val="Contents5"/>
            <w:tabs>
              <w:tab w:val="clear" w:pos="7892"/>
              <w:tab w:val="right" w:pos="9026" w:leader="dot"/>
            </w:tabs>
            <w:rPr/>
          </w:pPr>
          <w:hyperlink w:anchor="__RefHeading___Toc3300870_1468164448">
            <w:r>
              <w:rPr>
                <w:webHidden/>
                <w:rStyle w:val="IndexLink"/>
                <w:rtl w:val="true"/>
              </w:rPr>
              <w:t>التنبیه السادس</w:t>
            </w:r>
            <w:r>
              <w:rPr>
                <w:rStyle w:val="IndexLink"/>
                <w:rtl w:val="true"/>
              </w:rPr>
              <w:t xml:space="preserve">: </w:t>
            </w:r>
            <w:r>
              <w:rPr>
                <w:rStyle w:val="IndexLink"/>
                <w:rtl w:val="true"/>
              </w:rPr>
              <w:t>فی حلّ شبهة الدس فی أخبار الإمامیة</w:t>
            </w:r>
            <w:r>
              <w:rPr>
                <w:rStyle w:val="IndexLink"/>
                <w:rtl w:val="true"/>
              </w:rPr>
              <w:tab/>
            </w:r>
            <w:r>
              <w:rPr>
                <w:rStyle w:val="IndexLink"/>
              </w:rPr>
              <w:t>444</w:t>
            </w:r>
          </w:hyperlink>
        </w:p>
        <w:p>
          <w:pPr>
            <w:pStyle w:val="Contents6"/>
            <w:tabs>
              <w:tab w:val="clear" w:pos="7609"/>
              <w:tab w:val="right" w:pos="9026" w:leader="dot"/>
            </w:tabs>
            <w:rPr/>
          </w:pPr>
          <w:hyperlink w:anchor="__RefHeading___Toc3300872_1468164448">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3300874_1468164448">
            <w:r>
              <w:rPr>
                <w:webHidden/>
                <w:rStyle w:val="IndexLink"/>
                <w:rtl w:val="true"/>
              </w:rPr>
              <w:t>حلّ شبهة الدس</w:t>
            </w:r>
            <w:r>
              <w:rPr>
                <w:rStyle w:val="IndexLink"/>
                <w:rtl w:val="true"/>
              </w:rPr>
              <w:tab/>
            </w:r>
            <w:r>
              <w:rPr>
                <w:rStyle w:val="IndexLink"/>
              </w:rPr>
              <w:t>444</w:t>
            </w:r>
          </w:hyperlink>
        </w:p>
        <w:p>
          <w:pPr>
            <w:pStyle w:val="Contents5"/>
            <w:tabs>
              <w:tab w:val="clear" w:pos="7892"/>
              <w:tab w:val="right" w:pos="9026" w:leader="dot"/>
            </w:tabs>
            <w:rPr/>
          </w:pPr>
          <w:hyperlink w:anchor="__RefHeading___Toc3300876_1468164448">
            <w:r>
              <w:rPr>
                <w:webHidden/>
                <w:rStyle w:val="IndexLink"/>
                <w:rtl w:val="true"/>
              </w:rPr>
              <w:t>التنبیه السابع</w:t>
            </w:r>
            <w:r>
              <w:rPr>
                <w:rStyle w:val="IndexLink"/>
                <w:rtl w:val="true"/>
              </w:rPr>
              <w:t xml:space="preserve">: </w:t>
            </w:r>
            <w:r>
              <w:rPr>
                <w:rStyle w:val="IndexLink"/>
                <w:rtl w:val="true"/>
              </w:rPr>
              <w:t>فی ضرورة معرفة اصطلاحات علم الحدیث</w:t>
            </w:r>
            <w:r>
              <w:rPr>
                <w:rStyle w:val="IndexLink"/>
                <w:rtl w:val="true"/>
              </w:rPr>
              <w:tab/>
            </w:r>
            <w:r>
              <w:rPr>
                <w:rStyle w:val="IndexLink"/>
              </w:rPr>
              <w:t>446</w:t>
            </w:r>
          </w:hyperlink>
        </w:p>
        <w:p>
          <w:pPr>
            <w:pStyle w:val="Contents6"/>
            <w:tabs>
              <w:tab w:val="clear" w:pos="7609"/>
              <w:tab w:val="right" w:pos="9026" w:leader="dot"/>
            </w:tabs>
            <w:rPr/>
          </w:pPr>
          <w:hyperlink w:anchor="__RefHeading___Toc3300878_1468164448">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3300880_1468164448">
            <w:r>
              <w:rPr>
                <w:webHidden/>
                <w:rStyle w:val="IndexLink"/>
                <w:rtl w:val="true"/>
              </w:rPr>
              <w:t>الضعیف والمدسوس</w:t>
            </w:r>
            <w:r>
              <w:rPr>
                <w:rStyle w:val="IndexLink"/>
                <w:rtl w:val="true"/>
              </w:rPr>
              <w:tab/>
            </w:r>
            <w:r>
              <w:rPr>
                <w:rStyle w:val="IndexLink"/>
              </w:rPr>
              <w:t>446</w:t>
            </w:r>
          </w:hyperlink>
        </w:p>
        <w:p>
          <w:pPr>
            <w:pStyle w:val="Contents6"/>
            <w:tabs>
              <w:tab w:val="clear" w:pos="7609"/>
              <w:tab w:val="right" w:pos="9026" w:leader="dot"/>
            </w:tabs>
            <w:rPr/>
          </w:pPr>
          <w:hyperlink w:anchor="__RefHeading___Toc3300882_1468164448">
            <w:r>
              <w:rPr>
                <w:webHidden/>
                <w:rStyle w:val="IndexLink"/>
                <w:rtl w:val="true"/>
              </w:rPr>
              <w:t>الصحیح والمعتبر</w:t>
            </w:r>
            <w:r>
              <w:rPr>
                <w:rStyle w:val="IndexLink"/>
                <w:rtl w:val="true"/>
              </w:rPr>
              <w:tab/>
            </w:r>
            <w:r>
              <w:rPr>
                <w:rStyle w:val="IndexLink"/>
              </w:rPr>
              <w:t>447</w:t>
            </w:r>
          </w:hyperlink>
        </w:p>
        <w:p>
          <w:pPr>
            <w:pStyle w:val="Contents6"/>
            <w:tabs>
              <w:tab w:val="clear" w:pos="7609"/>
              <w:tab w:val="right" w:pos="9026" w:leader="dot"/>
            </w:tabs>
            <w:rPr/>
          </w:pPr>
          <w:hyperlink w:anchor="__RefHeading___Toc3300884_1468164448">
            <w:r>
              <w:rPr>
                <w:webHidden/>
                <w:rStyle w:val="IndexLink"/>
                <w:rtl w:val="true"/>
              </w:rPr>
              <w:t>الرؤیة المجموعیة</w:t>
            </w:r>
            <w:r>
              <w:rPr>
                <w:rStyle w:val="IndexLink"/>
                <w:rtl w:val="true"/>
              </w:rPr>
              <w:tab/>
            </w:r>
            <w:r>
              <w:rPr>
                <w:rStyle w:val="IndexLink"/>
              </w:rPr>
              <w:t>447</w:t>
            </w:r>
          </w:hyperlink>
        </w:p>
        <w:p>
          <w:pPr>
            <w:pStyle w:val="Contents5"/>
            <w:tabs>
              <w:tab w:val="clear" w:pos="7892"/>
              <w:tab w:val="right" w:pos="9026" w:leader="dot"/>
            </w:tabs>
            <w:rPr/>
          </w:pPr>
          <w:hyperlink w:anchor="__RefHeading___Toc3300886_1468164448">
            <w:r>
              <w:rPr>
                <w:webHidden/>
                <w:rStyle w:val="IndexLink"/>
                <w:rtl w:val="true"/>
              </w:rPr>
              <w:t>التنبیه الثامن</w:t>
            </w:r>
            <w:r>
              <w:rPr>
                <w:rStyle w:val="IndexLink"/>
                <w:rtl w:val="true"/>
              </w:rPr>
              <w:t xml:space="preserve">: </w:t>
            </w:r>
            <w:r>
              <w:rPr>
                <w:rStyle w:val="IndexLink"/>
                <w:rtl w:val="true"/>
              </w:rPr>
              <w:t>أدلة حجّیة الخبر هل تشمل الجانب العلمی أیضاً؟</w:t>
            </w:r>
            <w:r>
              <w:rPr>
                <w:rStyle w:val="IndexLink"/>
                <w:rtl w:val="true"/>
              </w:rPr>
              <w:tab/>
            </w:r>
            <w:r>
              <w:rPr>
                <w:rStyle w:val="IndexLink"/>
              </w:rPr>
              <w:t>450</w:t>
            </w:r>
          </w:hyperlink>
        </w:p>
        <w:p>
          <w:pPr>
            <w:pStyle w:val="Contents3"/>
            <w:tabs>
              <w:tab w:val="clear" w:pos="8459"/>
              <w:tab w:val="right" w:pos="9026" w:leader="dot"/>
            </w:tabs>
            <w:rPr/>
          </w:pPr>
          <w:hyperlink w:anchor="__RefHeading___Toc3300888_1468164448">
            <w:r>
              <w:rPr>
                <w:webHidden/>
                <w:rStyle w:val="IndexLink"/>
              </w:rPr>
              <w:t>7</w:t>
            </w:r>
            <w:r>
              <w:rPr>
                <w:rStyle w:val="IndexLink"/>
                <w:rtl w:val="true"/>
              </w:rPr>
              <w:t xml:space="preserve"> . </w:t>
            </w:r>
            <w:r>
              <w:rPr>
                <w:rStyle w:val="IndexLink"/>
                <w:rtl w:val="true"/>
              </w:rPr>
              <w:t>حجّیة الظن المطلق</w:t>
            </w:r>
            <w:r>
              <w:rPr>
                <w:rStyle w:val="IndexLink"/>
                <w:rtl w:val="true"/>
              </w:rPr>
              <w:tab/>
            </w:r>
            <w:r>
              <w:rPr>
                <w:rStyle w:val="IndexLink"/>
              </w:rPr>
              <w:t>452</w:t>
            </w:r>
          </w:hyperlink>
        </w:p>
        <w:p>
          <w:pPr>
            <w:pStyle w:val="Contents4"/>
            <w:tabs>
              <w:tab w:val="clear" w:pos="8176"/>
              <w:tab w:val="right" w:pos="9026" w:leader="dot"/>
            </w:tabs>
            <w:rPr/>
          </w:pPr>
          <w:hyperlink w:anchor="__RefHeading___Toc3300890_1468164448">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3300892_1468164448">
            <w:r>
              <w:rPr>
                <w:webHidden/>
                <w:rStyle w:val="IndexLink"/>
                <w:rtl w:val="true"/>
              </w:rPr>
              <w:t>من فوائد هذا البحث</w:t>
            </w:r>
            <w:r>
              <w:rPr>
                <w:rStyle w:val="IndexLink"/>
                <w:rtl w:val="true"/>
              </w:rPr>
              <w:tab/>
            </w:r>
            <w:r>
              <w:rPr>
                <w:rStyle w:val="IndexLink"/>
              </w:rPr>
              <w:t>453</w:t>
            </w:r>
          </w:hyperlink>
        </w:p>
        <w:p>
          <w:pPr>
            <w:pStyle w:val="Contents4"/>
            <w:tabs>
              <w:tab w:val="clear" w:pos="8176"/>
              <w:tab w:val="right" w:pos="9026" w:leader="dot"/>
            </w:tabs>
            <w:rPr/>
          </w:pPr>
          <w:hyperlink w:anchor="__RefHeading___Toc3300894_1468164448">
            <w:r>
              <w:rPr>
                <w:webHidden/>
                <w:rStyle w:val="IndexLink"/>
              </w:rPr>
              <w:t>1</w:t>
            </w:r>
            <w:r>
              <w:rPr>
                <w:rStyle w:val="IndexLink"/>
                <w:rtl w:val="true"/>
              </w:rPr>
              <w:t xml:space="preserve"> . </w:t>
            </w:r>
            <w:r>
              <w:rPr>
                <w:rStyle w:val="IndexLink"/>
                <w:rtl w:val="true"/>
              </w:rPr>
              <w:t>أدلّة حجّیة الظن المطلق</w:t>
            </w:r>
            <w:r>
              <w:rPr>
                <w:rStyle w:val="IndexLink"/>
                <w:rtl w:val="true"/>
              </w:rPr>
              <w:tab/>
            </w:r>
            <w:r>
              <w:rPr>
                <w:rStyle w:val="IndexLink"/>
              </w:rPr>
              <w:t>454</w:t>
            </w:r>
          </w:hyperlink>
        </w:p>
        <w:p>
          <w:pPr>
            <w:pStyle w:val="Contents5"/>
            <w:tabs>
              <w:tab w:val="clear" w:pos="7892"/>
              <w:tab w:val="right" w:pos="9026" w:leader="dot"/>
            </w:tabs>
            <w:rPr/>
          </w:pPr>
          <w:hyperlink w:anchor="__RefHeading___Toc3300896_1468164448">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3300898_1468164448">
            <w:r>
              <w:rPr>
                <w:webHidden/>
                <w:rStyle w:val="IndexLink"/>
                <w:rtl w:val="true"/>
              </w:rPr>
              <w:t>الدلیل الأول</w:t>
            </w:r>
            <w:r>
              <w:rPr>
                <w:rStyle w:val="IndexLink"/>
                <w:rtl w:val="true"/>
              </w:rPr>
              <w:t xml:space="preserve">: </w:t>
            </w:r>
            <w:r>
              <w:rPr>
                <w:rStyle w:val="IndexLink"/>
                <w:rtl w:val="true"/>
              </w:rPr>
              <w:t>وجوب دفع الضرر المحتمل</w:t>
            </w:r>
            <w:r>
              <w:rPr>
                <w:rStyle w:val="IndexLink"/>
                <w:rtl w:val="true"/>
              </w:rPr>
              <w:tab/>
            </w:r>
            <w:r>
              <w:rPr>
                <w:rStyle w:val="IndexLink"/>
              </w:rPr>
              <w:t>454</w:t>
            </w:r>
          </w:hyperlink>
        </w:p>
        <w:p>
          <w:pPr>
            <w:pStyle w:val="Contents6"/>
            <w:tabs>
              <w:tab w:val="clear" w:pos="7609"/>
              <w:tab w:val="right" w:pos="9026" w:leader="dot"/>
            </w:tabs>
            <w:rPr/>
          </w:pPr>
          <w:hyperlink w:anchor="__RefHeading___Toc3300900_1468164448">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3300902_1468164448">
            <w:r>
              <w:rPr>
                <w:webHidden/>
                <w:rStyle w:val="IndexLink"/>
                <w:rtl w:val="true"/>
              </w:rPr>
              <w:t>التحقیق فی الظن بالعقوبة الأخرویة</w:t>
            </w:r>
            <w:r>
              <w:rPr>
                <w:rStyle w:val="IndexLink"/>
                <w:rtl w:val="true"/>
              </w:rPr>
              <w:tab/>
            </w:r>
            <w:r>
              <w:rPr>
                <w:rStyle w:val="IndexLink"/>
              </w:rPr>
              <w:t>454</w:t>
            </w:r>
          </w:hyperlink>
        </w:p>
        <w:p>
          <w:pPr>
            <w:pStyle w:val="Contents6"/>
            <w:tabs>
              <w:tab w:val="clear" w:pos="7609"/>
              <w:tab w:val="right" w:pos="9026" w:leader="dot"/>
            </w:tabs>
            <w:rPr/>
          </w:pPr>
          <w:hyperlink w:anchor="__RefHeading___Toc3300904_1468164448">
            <w:r>
              <w:rPr>
                <w:webHidden/>
                <w:rStyle w:val="IndexLink"/>
                <w:rtl w:val="true"/>
              </w:rPr>
              <w:t>التحقیق فی المسألة</w:t>
            </w:r>
            <w:r>
              <w:rPr>
                <w:rStyle w:val="IndexLink"/>
                <w:rtl w:val="true"/>
              </w:rPr>
              <w:tab/>
            </w:r>
            <w:r>
              <w:rPr>
                <w:rStyle w:val="IndexLink"/>
              </w:rPr>
              <w:t>455</w:t>
            </w:r>
          </w:hyperlink>
        </w:p>
        <w:p>
          <w:pPr>
            <w:pStyle w:val="Contents6"/>
            <w:tabs>
              <w:tab w:val="clear" w:pos="7609"/>
              <w:tab w:val="right" w:pos="9026" w:leader="dot"/>
            </w:tabs>
            <w:rPr/>
          </w:pPr>
          <w:hyperlink w:anchor="__RefHeading___Toc3300906_1468164448">
            <w:r>
              <w:rPr>
                <w:webHidden/>
                <w:rStyle w:val="IndexLink"/>
                <w:rtl w:val="true"/>
              </w:rPr>
              <w:t>التحقیق فی الضرر الدنیوی</w:t>
            </w:r>
            <w:r>
              <w:rPr>
                <w:rStyle w:val="IndexLink"/>
                <w:rtl w:val="true"/>
              </w:rPr>
              <w:tab/>
            </w:r>
            <w:r>
              <w:rPr>
                <w:rStyle w:val="IndexLink"/>
              </w:rPr>
              <w:t>457</w:t>
            </w:r>
          </w:hyperlink>
        </w:p>
        <w:p>
          <w:pPr>
            <w:pStyle w:val="Contents6"/>
            <w:tabs>
              <w:tab w:val="clear" w:pos="7609"/>
              <w:tab w:val="right" w:pos="9026" w:leader="dot"/>
            </w:tabs>
            <w:rPr/>
          </w:pPr>
          <w:hyperlink w:anchor="__RefHeading___Toc3300908_1468164448">
            <w:r>
              <w:rPr>
                <w:webHidden/>
                <w:rStyle w:val="IndexLink"/>
                <w:rtl w:val="true"/>
              </w:rPr>
              <w:t>تفویت المصلحة هل هو ضرر؟</w:t>
            </w:r>
            <w:r>
              <w:rPr>
                <w:rStyle w:val="IndexLink"/>
                <w:rtl w:val="true"/>
              </w:rPr>
              <w:tab/>
            </w:r>
            <w:r>
              <w:rPr>
                <w:rStyle w:val="IndexLink"/>
              </w:rPr>
              <w:t>458</w:t>
            </w:r>
          </w:hyperlink>
        </w:p>
        <w:p>
          <w:pPr>
            <w:pStyle w:val="Contents5"/>
            <w:tabs>
              <w:tab w:val="clear" w:pos="7892"/>
              <w:tab w:val="right" w:pos="9026" w:leader="dot"/>
            </w:tabs>
            <w:rPr/>
          </w:pPr>
          <w:hyperlink w:anchor="__RefHeading___Toc3300910_1468164448">
            <w:r>
              <w:rPr>
                <w:webHidden/>
                <w:rStyle w:val="IndexLink"/>
                <w:rtl w:val="true"/>
              </w:rPr>
              <w:t>الدلیل الثانی</w:t>
            </w:r>
            <w:r>
              <w:rPr>
                <w:rStyle w:val="IndexLink"/>
                <w:rtl w:val="true"/>
              </w:rPr>
              <w:t xml:space="preserve">: </w:t>
            </w:r>
            <w:r>
              <w:rPr>
                <w:rStyle w:val="IndexLink"/>
                <w:rtl w:val="true"/>
              </w:rPr>
              <w:t>رجحان العمل بالظن</w:t>
            </w:r>
            <w:r>
              <w:rPr>
                <w:rStyle w:val="IndexLink"/>
                <w:rtl w:val="true"/>
              </w:rPr>
              <w:tab/>
            </w:r>
            <w:r>
              <w:rPr>
                <w:rStyle w:val="IndexLink"/>
              </w:rPr>
              <w:t>459</w:t>
            </w:r>
          </w:hyperlink>
        </w:p>
        <w:p>
          <w:pPr>
            <w:pStyle w:val="Contents5"/>
            <w:tabs>
              <w:tab w:val="clear" w:pos="7892"/>
              <w:tab w:val="right" w:pos="9026" w:leader="dot"/>
            </w:tabs>
            <w:rPr/>
          </w:pPr>
          <w:hyperlink w:anchor="__RefHeading___Toc3300912_1468164448">
            <w:r>
              <w:rPr>
                <w:webHidden/>
                <w:rStyle w:val="IndexLink"/>
                <w:rtl w:val="true"/>
              </w:rPr>
              <w:t>الدلیل الثالث</w:t>
            </w:r>
            <w:r>
              <w:rPr>
                <w:rStyle w:val="IndexLink"/>
                <w:rtl w:val="true"/>
              </w:rPr>
              <w:t xml:space="preserve">: </w:t>
            </w:r>
            <w:r>
              <w:rPr>
                <w:rStyle w:val="IndexLink"/>
                <w:rtl w:val="true"/>
              </w:rPr>
              <w:t>ما ذکره صاحب الریاض</w:t>
            </w:r>
            <w:r>
              <w:rPr>
                <w:rStyle w:val="IndexLink"/>
                <w:rtl w:val="true"/>
              </w:rPr>
              <w:tab/>
            </w:r>
            <w:r>
              <w:rPr>
                <w:rStyle w:val="IndexLink"/>
              </w:rPr>
              <w:t>459</w:t>
            </w:r>
          </w:hyperlink>
        </w:p>
        <w:p>
          <w:pPr>
            <w:pStyle w:val="Contents5"/>
            <w:tabs>
              <w:tab w:val="clear" w:pos="7892"/>
              <w:tab w:val="right" w:pos="9026" w:leader="dot"/>
            </w:tabs>
            <w:rPr/>
          </w:pPr>
          <w:hyperlink w:anchor="__RefHeading___Toc3300914_1468164448">
            <w:r>
              <w:rPr>
                <w:webHidden/>
                <w:rStyle w:val="IndexLink"/>
                <w:rtl w:val="true"/>
              </w:rPr>
              <w:t>الدلیل الرابع</w:t>
            </w:r>
            <w:r>
              <w:rPr>
                <w:rStyle w:val="IndexLink"/>
                <w:rtl w:val="true"/>
              </w:rPr>
              <w:t xml:space="preserve">: </w:t>
            </w:r>
            <w:r>
              <w:rPr>
                <w:rStyle w:val="IndexLink"/>
                <w:rtl w:val="true"/>
              </w:rPr>
              <w:t>دلیل الإنسداد</w:t>
            </w:r>
            <w:r>
              <w:rPr>
                <w:rStyle w:val="IndexLink"/>
                <w:rtl w:val="true"/>
              </w:rPr>
              <w:tab/>
            </w:r>
            <w:r>
              <w:rPr>
                <w:rStyle w:val="IndexLink"/>
              </w:rPr>
              <w:t>460</w:t>
            </w:r>
          </w:hyperlink>
        </w:p>
        <w:p>
          <w:pPr>
            <w:pStyle w:val="Contents4"/>
            <w:tabs>
              <w:tab w:val="clear" w:pos="8176"/>
              <w:tab w:val="right" w:pos="9026" w:leader="dot"/>
            </w:tabs>
            <w:rPr/>
          </w:pPr>
          <w:hyperlink w:anchor="__RefHeading___Toc3300916_1468164448">
            <w:r>
              <w:rPr>
                <w:webHidden/>
                <w:rStyle w:val="IndexLink"/>
              </w:rPr>
              <w:t>2</w:t>
            </w:r>
            <w:r>
              <w:rPr>
                <w:rStyle w:val="IndexLink"/>
                <w:rtl w:val="true"/>
              </w:rPr>
              <w:t xml:space="preserve"> . </w:t>
            </w:r>
            <w:r>
              <w:rPr>
                <w:rStyle w:val="IndexLink"/>
                <w:rtl w:val="true"/>
              </w:rPr>
              <w:t>مقدّمات دلیل الإنسداد</w:t>
            </w:r>
            <w:r>
              <w:rPr>
                <w:rStyle w:val="IndexLink"/>
                <w:rtl w:val="true"/>
              </w:rPr>
              <w:tab/>
            </w:r>
            <w:r>
              <w:rPr>
                <w:rStyle w:val="IndexLink"/>
              </w:rPr>
              <w:t>464</w:t>
            </w:r>
          </w:hyperlink>
        </w:p>
        <w:p>
          <w:pPr>
            <w:pStyle w:val="Contents5"/>
            <w:tabs>
              <w:tab w:val="clear" w:pos="7892"/>
              <w:tab w:val="right" w:pos="9026" w:leader="dot"/>
            </w:tabs>
            <w:rPr/>
          </w:pPr>
          <w:hyperlink w:anchor="__RefHeading___Toc3300918_1468164448">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3300920_1468164448">
            <w:r>
              <w:rPr>
                <w:webHidden/>
                <w:rStyle w:val="IndexLink"/>
                <w:rtl w:val="true"/>
              </w:rPr>
              <w:t>ترمیم المقدّمات</w:t>
            </w:r>
            <w:r>
              <w:rPr>
                <w:rStyle w:val="IndexLink"/>
                <w:rtl w:val="true"/>
              </w:rPr>
              <w:tab/>
            </w:r>
            <w:r>
              <w:rPr>
                <w:rStyle w:val="IndexLink"/>
              </w:rPr>
              <w:t>464</w:t>
            </w:r>
          </w:hyperlink>
        </w:p>
        <w:p>
          <w:pPr>
            <w:pStyle w:val="Contents5"/>
            <w:tabs>
              <w:tab w:val="clear" w:pos="7892"/>
              <w:tab w:val="right" w:pos="9026" w:leader="dot"/>
            </w:tabs>
            <w:rPr/>
          </w:pPr>
          <w:hyperlink w:anchor="__RefHeading___Toc3300922_1468164448">
            <w:r>
              <w:rPr>
                <w:webHidden/>
                <w:rStyle w:val="IndexLink"/>
                <w:rtl w:val="true"/>
              </w:rPr>
              <w:t>وجه اجراء التعدیلات</w:t>
            </w:r>
            <w:r>
              <w:rPr>
                <w:rStyle w:val="IndexLink"/>
                <w:rtl w:val="true"/>
              </w:rPr>
              <w:tab/>
            </w:r>
            <w:r>
              <w:rPr>
                <w:rStyle w:val="IndexLink"/>
              </w:rPr>
              <w:t>465</w:t>
            </w:r>
          </w:hyperlink>
        </w:p>
        <w:p>
          <w:pPr>
            <w:pStyle w:val="Contents5"/>
            <w:tabs>
              <w:tab w:val="clear" w:pos="7892"/>
              <w:tab w:val="right" w:pos="9026" w:leader="dot"/>
            </w:tabs>
            <w:rPr/>
          </w:pPr>
          <w:hyperlink w:anchor="__RefHeading___Toc3300924_1468164448">
            <w:r>
              <w:rPr>
                <w:webHidden/>
                <w:rStyle w:val="IndexLink"/>
                <w:rtl w:val="true"/>
              </w:rPr>
              <w:t>التحقیق فی المقدّمة الأولی</w:t>
            </w:r>
            <w:r>
              <w:rPr>
                <w:rStyle w:val="IndexLink"/>
                <w:rtl w:val="true"/>
              </w:rPr>
              <w:tab/>
            </w:r>
            <w:r>
              <w:rPr>
                <w:rStyle w:val="IndexLink"/>
              </w:rPr>
              <w:t>466</w:t>
            </w:r>
          </w:hyperlink>
        </w:p>
        <w:p>
          <w:pPr>
            <w:pStyle w:val="Contents5"/>
            <w:tabs>
              <w:tab w:val="clear" w:pos="7892"/>
              <w:tab w:val="right" w:pos="9026" w:leader="dot"/>
            </w:tabs>
            <w:rPr/>
          </w:pPr>
          <w:hyperlink w:anchor="__RefHeading___Toc3300926_1468164448">
            <w:r>
              <w:rPr>
                <w:webHidden/>
                <w:rStyle w:val="IndexLink"/>
                <w:rtl w:val="true"/>
              </w:rPr>
              <w:t>التحقیق فی المقدّمة الثانیة</w:t>
            </w:r>
            <w:r>
              <w:rPr>
                <w:rStyle w:val="IndexLink"/>
                <w:rtl w:val="true"/>
              </w:rPr>
              <w:tab/>
            </w:r>
            <w:r>
              <w:rPr>
                <w:rStyle w:val="IndexLink"/>
              </w:rPr>
              <w:t>470</w:t>
            </w:r>
          </w:hyperlink>
        </w:p>
        <w:p>
          <w:pPr>
            <w:pStyle w:val="Contents5"/>
            <w:tabs>
              <w:tab w:val="clear" w:pos="7892"/>
              <w:tab w:val="right" w:pos="9026" w:leader="dot"/>
            </w:tabs>
            <w:rPr/>
          </w:pPr>
          <w:hyperlink w:anchor="__RefHeading___Toc3300928_1468164448">
            <w:r>
              <w:rPr>
                <w:webHidden/>
                <w:rStyle w:val="IndexLink"/>
                <w:rtl w:val="true"/>
              </w:rPr>
              <w:t>التحقیق فی المقدّمة الثالثة</w:t>
            </w:r>
            <w:r>
              <w:rPr>
                <w:rStyle w:val="IndexLink"/>
                <w:rtl w:val="true"/>
              </w:rPr>
              <w:tab/>
            </w:r>
            <w:r>
              <w:rPr>
                <w:rStyle w:val="IndexLink"/>
              </w:rPr>
              <w:t>470</w:t>
            </w:r>
          </w:hyperlink>
        </w:p>
        <w:p>
          <w:pPr>
            <w:pStyle w:val="Contents6"/>
            <w:tabs>
              <w:tab w:val="clear" w:pos="7609"/>
              <w:tab w:val="right" w:pos="9026" w:leader="dot"/>
            </w:tabs>
            <w:rPr/>
          </w:pPr>
          <w:hyperlink w:anchor="__RefHeading___Toc3300930_1468164448">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3300932_1468164448">
            <w:r>
              <w:rPr>
                <w:webHidden/>
                <w:rStyle w:val="IndexLink"/>
                <w:rtl w:val="true"/>
              </w:rPr>
              <w:t>آراء الأساطین فی هذه المقدّمة</w:t>
            </w:r>
            <w:r>
              <w:rPr>
                <w:rStyle w:val="IndexLink"/>
                <w:rtl w:val="true"/>
              </w:rPr>
              <w:tab/>
            </w:r>
            <w:r>
              <w:rPr>
                <w:rStyle w:val="IndexLink"/>
              </w:rPr>
              <w:t>470</w:t>
            </w:r>
          </w:hyperlink>
        </w:p>
        <w:p>
          <w:pPr>
            <w:pStyle w:val="Contents6"/>
            <w:tabs>
              <w:tab w:val="clear" w:pos="7609"/>
              <w:tab w:val="right" w:pos="9026" w:leader="dot"/>
            </w:tabs>
            <w:rPr/>
          </w:pPr>
          <w:hyperlink w:anchor="__RefHeading___Toc3300934_1468164448">
            <w:r>
              <w:rPr>
                <w:webHidden/>
                <w:rStyle w:val="IndexLink"/>
                <w:rtl w:val="true"/>
              </w:rPr>
              <w:t>المنشأ الشرعی لتنجیز العلم الإجمالی</w:t>
            </w:r>
            <w:r>
              <w:rPr>
                <w:rStyle w:val="IndexLink"/>
                <w:rtl w:val="true"/>
              </w:rPr>
              <w:tab/>
            </w:r>
            <w:r>
              <w:rPr>
                <w:rStyle w:val="IndexLink"/>
              </w:rPr>
              <w:t>473</w:t>
            </w:r>
          </w:hyperlink>
        </w:p>
        <w:p>
          <w:pPr>
            <w:pStyle w:val="Contents6"/>
            <w:tabs>
              <w:tab w:val="clear" w:pos="7609"/>
              <w:tab w:val="right" w:pos="9026" w:leader="dot"/>
            </w:tabs>
            <w:rPr/>
          </w:pPr>
          <w:hyperlink w:anchor="__RefHeading___Toc3300936_1468164448">
            <w:r>
              <w:rPr>
                <w:webHidden/>
                <w:rStyle w:val="IndexLink"/>
                <w:rtl w:val="true"/>
              </w:rPr>
              <w:t>الصیاغة الأولی</w:t>
            </w:r>
            <w:r>
              <w:rPr>
                <w:rStyle w:val="IndexLink"/>
                <w:rtl w:val="true"/>
              </w:rPr>
              <w:tab/>
            </w:r>
            <w:r>
              <w:rPr>
                <w:rStyle w:val="IndexLink"/>
              </w:rPr>
              <w:t>473</w:t>
            </w:r>
          </w:hyperlink>
        </w:p>
        <w:p>
          <w:pPr>
            <w:pStyle w:val="Contents6"/>
            <w:tabs>
              <w:tab w:val="clear" w:pos="7609"/>
              <w:tab w:val="right" w:pos="9026" w:leader="dot"/>
            </w:tabs>
            <w:rPr/>
          </w:pPr>
          <w:hyperlink w:anchor="__RefHeading___Toc3300938_1468164448">
            <w:r>
              <w:rPr>
                <w:webHidden/>
                <w:rStyle w:val="IndexLink"/>
                <w:rtl w:val="true"/>
              </w:rPr>
              <w:t>الصیاغة الثانیة</w:t>
            </w:r>
            <w:r>
              <w:rPr>
                <w:rStyle w:val="IndexLink"/>
                <w:rtl w:val="true"/>
              </w:rPr>
              <w:tab/>
            </w:r>
            <w:r>
              <w:rPr>
                <w:rStyle w:val="IndexLink"/>
              </w:rPr>
              <w:t>474</w:t>
            </w:r>
          </w:hyperlink>
        </w:p>
        <w:p>
          <w:pPr>
            <w:pStyle w:val="Contents6"/>
            <w:tabs>
              <w:tab w:val="clear" w:pos="7609"/>
              <w:tab w:val="right" w:pos="9026" w:leader="dot"/>
            </w:tabs>
            <w:rPr/>
          </w:pPr>
          <w:hyperlink w:anchor="__RefHeading___Toc3300940_1468164448">
            <w:r>
              <w:rPr>
                <w:webHidden/>
                <w:rStyle w:val="IndexLink"/>
                <w:rtl w:val="true"/>
              </w:rPr>
              <w:t>الصیاغة الثالثة</w:t>
            </w:r>
            <w:r>
              <w:rPr>
                <w:rStyle w:val="IndexLink"/>
                <w:rtl w:val="true"/>
              </w:rPr>
              <w:tab/>
            </w:r>
            <w:r>
              <w:rPr>
                <w:rStyle w:val="IndexLink"/>
              </w:rPr>
              <w:t>475</w:t>
            </w:r>
          </w:hyperlink>
        </w:p>
        <w:p>
          <w:pPr>
            <w:pStyle w:val="Contents6"/>
            <w:tabs>
              <w:tab w:val="clear" w:pos="7609"/>
              <w:tab w:val="right" w:pos="9026" w:leader="dot"/>
            </w:tabs>
            <w:rPr/>
          </w:pPr>
          <w:hyperlink w:anchor="__RefHeading___Toc3300942_1468164448">
            <w:r>
              <w:rPr>
                <w:webHidden/>
                <w:rStyle w:val="IndexLink"/>
                <w:rtl w:val="true"/>
              </w:rPr>
              <w:t>الدلیل علی الصیاغة الأولی</w:t>
            </w:r>
            <w:r>
              <w:rPr>
                <w:rStyle w:val="IndexLink"/>
                <w:rtl w:val="true"/>
              </w:rPr>
              <w:tab/>
            </w:r>
            <w:r>
              <w:rPr>
                <w:rStyle w:val="IndexLink"/>
              </w:rPr>
              <w:t>476</w:t>
            </w:r>
          </w:hyperlink>
        </w:p>
        <w:p>
          <w:pPr>
            <w:pStyle w:val="Contents6"/>
            <w:tabs>
              <w:tab w:val="clear" w:pos="7609"/>
              <w:tab w:val="right" w:pos="9026" w:leader="dot"/>
            </w:tabs>
            <w:rPr/>
          </w:pPr>
          <w:hyperlink w:anchor="__RefHeading___Toc3300944_1468164448">
            <w:r>
              <w:rPr>
                <w:webHidden/>
                <w:rStyle w:val="IndexLink"/>
                <w:rtl w:val="true"/>
              </w:rPr>
              <w:t>أدلّة الصیاغة الثالثة</w:t>
            </w:r>
            <w:r>
              <w:rPr>
                <w:rStyle w:val="IndexLink"/>
                <w:rtl w:val="true"/>
              </w:rPr>
              <w:tab/>
            </w:r>
            <w:r>
              <w:rPr>
                <w:rStyle w:val="IndexLink"/>
              </w:rPr>
              <w:t>477</w:t>
            </w:r>
          </w:hyperlink>
        </w:p>
        <w:p>
          <w:pPr>
            <w:pStyle w:val="Contents6"/>
            <w:tabs>
              <w:tab w:val="clear" w:pos="7609"/>
              <w:tab w:val="right" w:pos="9026" w:leader="dot"/>
            </w:tabs>
            <w:rPr/>
          </w:pPr>
          <w:hyperlink w:anchor="__RefHeading___Toc3300946_1468164448">
            <w:r>
              <w:rPr>
                <w:webHidden/>
                <w:rStyle w:val="IndexLink"/>
                <w:rtl w:val="true"/>
              </w:rPr>
              <w:t>الصیاغة الرابعة</w:t>
            </w:r>
            <w:r>
              <w:rPr>
                <w:rStyle w:val="IndexLink"/>
                <w:rtl w:val="true"/>
              </w:rPr>
              <w:tab/>
            </w:r>
            <w:r>
              <w:rPr>
                <w:rStyle w:val="IndexLink"/>
              </w:rPr>
              <w:t>478</w:t>
            </w:r>
          </w:hyperlink>
        </w:p>
        <w:p>
          <w:pPr>
            <w:pStyle w:val="Contents5"/>
            <w:tabs>
              <w:tab w:val="clear" w:pos="7892"/>
              <w:tab w:val="right" w:pos="9026" w:leader="dot"/>
            </w:tabs>
            <w:rPr/>
          </w:pPr>
          <w:hyperlink w:anchor="__RefHeading___Toc3300948_1468164448">
            <w:r>
              <w:rPr>
                <w:webHidden/>
                <w:rStyle w:val="IndexLink"/>
                <w:rtl w:val="true"/>
              </w:rPr>
              <w:t>التحقیق فی المقدّمة الرابعة</w:t>
            </w:r>
            <w:r>
              <w:rPr>
                <w:rStyle w:val="IndexLink"/>
                <w:rtl w:val="true"/>
              </w:rPr>
              <w:tab/>
            </w:r>
            <w:r>
              <w:rPr>
                <w:rStyle w:val="IndexLink"/>
              </w:rPr>
              <w:t>481</w:t>
            </w:r>
          </w:hyperlink>
        </w:p>
        <w:p>
          <w:pPr>
            <w:pStyle w:val="Contents6"/>
            <w:tabs>
              <w:tab w:val="clear" w:pos="7609"/>
              <w:tab w:val="right" w:pos="9026" w:leader="dot"/>
            </w:tabs>
            <w:rPr/>
          </w:pPr>
          <w:hyperlink w:anchor="__RefHeading___Toc3300950_1468164448">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300952_1468164448">
            <w:r>
              <w:rPr>
                <w:webHidden/>
                <w:rStyle w:val="IndexLink"/>
                <w:rtl w:val="true"/>
              </w:rPr>
              <w:t>إشکال وجواب</w:t>
            </w:r>
            <w:r>
              <w:rPr>
                <w:rStyle w:val="IndexLink"/>
                <w:rtl w:val="true"/>
              </w:rPr>
              <w:tab/>
            </w:r>
            <w:r>
              <w:rPr>
                <w:rStyle w:val="IndexLink"/>
              </w:rPr>
              <w:t>481</w:t>
            </w:r>
          </w:hyperlink>
        </w:p>
        <w:p>
          <w:pPr>
            <w:pStyle w:val="Contents6"/>
            <w:tabs>
              <w:tab w:val="clear" w:pos="7609"/>
              <w:tab w:val="right" w:pos="9026" w:leader="dot"/>
            </w:tabs>
            <w:rPr/>
          </w:pPr>
          <w:hyperlink w:anchor="__RefHeading___Toc3300954_1468164448">
            <w:r>
              <w:rPr>
                <w:webHidden/>
                <w:rStyle w:val="IndexLink"/>
                <w:rtl w:val="true"/>
              </w:rPr>
              <w:t>مؤاخذة علی التبعیض فی الإحتیاط‌</w:t>
            </w:r>
            <w:r>
              <w:rPr>
                <w:rStyle w:val="IndexLink"/>
                <w:rtl w:val="true"/>
              </w:rPr>
              <w:tab/>
            </w:r>
            <w:r>
              <w:rPr>
                <w:rStyle w:val="IndexLink"/>
              </w:rPr>
              <w:t>483</w:t>
            </w:r>
          </w:hyperlink>
        </w:p>
        <w:p>
          <w:pPr>
            <w:pStyle w:val="Contents6"/>
            <w:tabs>
              <w:tab w:val="clear" w:pos="7609"/>
              <w:tab w:val="right" w:pos="9026" w:leader="dot"/>
            </w:tabs>
            <w:rPr/>
          </w:pPr>
          <w:hyperlink w:anchor="__RefHeading___Toc3300956_1468164448">
            <w:r>
              <w:rPr>
                <w:webHidden/>
                <w:rStyle w:val="IndexLink"/>
                <w:rtl w:val="true"/>
              </w:rPr>
              <w:t>بیان الفرق بین التبعیض فی الإحتیاط والظن علی الحکومة</w:t>
            </w:r>
            <w:r>
              <w:rPr>
                <w:rStyle w:val="IndexLink"/>
                <w:rtl w:val="true"/>
              </w:rPr>
              <w:tab/>
            </w:r>
            <w:r>
              <w:rPr>
                <w:rStyle w:val="IndexLink"/>
              </w:rPr>
              <w:t>484</w:t>
            </w:r>
          </w:hyperlink>
        </w:p>
        <w:p>
          <w:pPr>
            <w:pStyle w:val="Contents6"/>
            <w:tabs>
              <w:tab w:val="clear" w:pos="7609"/>
              <w:tab w:val="right" w:pos="9026" w:leader="dot"/>
            </w:tabs>
            <w:rPr/>
          </w:pPr>
          <w:hyperlink w:anchor="__RefHeading___Toc3300958_1468164448">
            <w:r>
              <w:rPr>
                <w:webHidden/>
                <w:rStyle w:val="IndexLink"/>
                <w:rtl w:val="true"/>
              </w:rPr>
              <w:t>توضیح السؤال ثانیاً</w:t>
            </w:r>
            <w:r>
              <w:rPr>
                <w:rStyle w:val="IndexLink"/>
                <w:rtl w:val="true"/>
              </w:rPr>
              <w:tab/>
            </w:r>
            <w:r>
              <w:rPr>
                <w:rStyle w:val="IndexLink"/>
              </w:rPr>
              <w:t>485</w:t>
            </w:r>
          </w:hyperlink>
        </w:p>
        <w:p>
          <w:pPr>
            <w:pStyle w:val="Contents6"/>
            <w:tabs>
              <w:tab w:val="clear" w:pos="7609"/>
              <w:tab w:val="right" w:pos="9026" w:leader="dot"/>
            </w:tabs>
            <w:rPr/>
          </w:pPr>
          <w:hyperlink w:anchor="__RefHeading___Toc3300960_1468164448">
            <w:r>
              <w:rPr>
                <w:webHidden/>
                <w:rStyle w:val="IndexLink"/>
                <w:rtl w:val="true"/>
              </w:rPr>
              <w:t>الجواب عن السؤال</w:t>
            </w:r>
            <w:r>
              <w:rPr>
                <w:rStyle w:val="IndexLink"/>
                <w:rtl w:val="true"/>
              </w:rPr>
              <w:tab/>
            </w:r>
            <w:r>
              <w:rPr>
                <w:rStyle w:val="IndexLink"/>
              </w:rPr>
              <w:t>486</w:t>
            </w:r>
          </w:hyperlink>
        </w:p>
        <w:p>
          <w:pPr>
            <w:pStyle w:val="Contents6"/>
            <w:tabs>
              <w:tab w:val="clear" w:pos="7609"/>
              <w:tab w:val="right" w:pos="9026" w:leader="dot"/>
            </w:tabs>
            <w:rPr/>
          </w:pPr>
          <w:hyperlink w:anchor="__RefHeading___Toc3300962_1468164448">
            <w:r>
              <w:rPr>
                <w:webHidden/>
                <w:rStyle w:val="IndexLink"/>
                <w:rtl w:val="true"/>
              </w:rPr>
              <w:t>بیان المائز بین الإحتیاط الفقهی والأصولی</w:t>
            </w:r>
            <w:r>
              <w:rPr>
                <w:rStyle w:val="IndexLink"/>
                <w:rtl w:val="true"/>
              </w:rPr>
              <w:tab/>
            </w:r>
            <w:r>
              <w:rPr>
                <w:rStyle w:val="IndexLink"/>
              </w:rPr>
              <w:t>487</w:t>
            </w:r>
          </w:hyperlink>
        </w:p>
        <w:p>
          <w:pPr>
            <w:pStyle w:val="Contents6"/>
            <w:tabs>
              <w:tab w:val="clear" w:pos="7609"/>
              <w:tab w:val="right" w:pos="9026" w:leader="dot"/>
            </w:tabs>
            <w:rPr/>
          </w:pPr>
          <w:hyperlink w:anchor="__RefHeading___Toc3300964_1468164448">
            <w:r>
              <w:rPr>
                <w:webHidden/>
                <w:rStyle w:val="IndexLink"/>
                <w:rtl w:val="true"/>
              </w:rPr>
              <w:t>الخلط بین القسمین من الإحتیاط فی کلمات الأعلام</w:t>
            </w:r>
            <w:r>
              <w:rPr>
                <w:rStyle w:val="IndexLink"/>
                <w:rtl w:val="true"/>
              </w:rPr>
              <w:tab/>
            </w:r>
            <w:r>
              <w:rPr>
                <w:rStyle w:val="IndexLink"/>
              </w:rPr>
              <w:t>489</w:t>
            </w:r>
          </w:hyperlink>
        </w:p>
        <w:p>
          <w:pPr>
            <w:pStyle w:val="Contents6"/>
            <w:tabs>
              <w:tab w:val="clear" w:pos="7609"/>
              <w:tab w:val="right" w:pos="9026" w:leader="dot"/>
            </w:tabs>
            <w:rPr/>
          </w:pPr>
          <w:hyperlink w:anchor="__RefHeading___Toc3300966_1468164448">
            <w:r>
              <w:rPr>
                <w:webHidden/>
                <w:rStyle w:val="IndexLink"/>
                <w:rtl w:val="true"/>
              </w:rPr>
              <w:t>المناقشة فی کلام الشیخ</w:t>
            </w:r>
            <w:r>
              <w:rPr>
                <w:rStyle w:val="IndexLink"/>
                <w:rtl w:val="true"/>
              </w:rPr>
              <w:tab/>
            </w:r>
            <w:r>
              <w:rPr>
                <w:rStyle w:val="IndexLink"/>
              </w:rPr>
              <w:t>490</w:t>
            </w:r>
          </w:hyperlink>
        </w:p>
        <w:p>
          <w:pPr>
            <w:pStyle w:val="Contents6"/>
            <w:tabs>
              <w:tab w:val="clear" w:pos="7609"/>
              <w:tab w:val="right" w:pos="9026" w:leader="dot"/>
            </w:tabs>
            <w:rPr/>
          </w:pPr>
          <w:hyperlink w:anchor="__RefHeading___Toc3300968_1468164448">
            <w:r>
              <w:rPr>
                <w:webHidden/>
                <w:rStyle w:val="IndexLink"/>
                <w:rtl w:val="true"/>
              </w:rPr>
              <w:t>إبطال الإحتیاط وسائر الخیارات الأخری عدا الظن</w:t>
            </w:r>
            <w:r>
              <w:rPr>
                <w:rStyle w:val="IndexLink"/>
                <w:rtl w:val="true"/>
              </w:rPr>
              <w:tab/>
            </w:r>
            <w:r>
              <w:rPr>
                <w:rStyle w:val="IndexLink"/>
              </w:rPr>
              <w:t>490</w:t>
            </w:r>
          </w:hyperlink>
        </w:p>
        <w:p>
          <w:pPr>
            <w:pStyle w:val="Contents6"/>
            <w:tabs>
              <w:tab w:val="clear" w:pos="7609"/>
              <w:tab w:val="right" w:pos="9026" w:leader="dot"/>
            </w:tabs>
            <w:rPr/>
          </w:pPr>
          <w:hyperlink w:anchor="__RefHeading___Toc3300970_1468164448">
            <w:r>
              <w:rPr>
                <w:webHidden/>
                <w:rStyle w:val="IndexLink"/>
                <w:rtl w:val="true"/>
              </w:rPr>
              <w:t>مناقشات</w:t>
            </w:r>
            <w:r>
              <w:rPr>
                <w:rStyle w:val="IndexLink"/>
                <w:rtl w:val="true"/>
              </w:rPr>
              <w:tab/>
            </w:r>
            <w:r>
              <w:rPr>
                <w:rStyle w:val="IndexLink"/>
              </w:rPr>
              <w:t>491</w:t>
            </w:r>
          </w:hyperlink>
        </w:p>
        <w:p>
          <w:pPr>
            <w:pStyle w:val="Contents6"/>
            <w:tabs>
              <w:tab w:val="clear" w:pos="7609"/>
              <w:tab w:val="right" w:pos="9026" w:leader="dot"/>
            </w:tabs>
            <w:rPr/>
          </w:pPr>
          <w:hyperlink w:anchor="__RefHeading___Toc3300972_1468164448">
            <w:r>
              <w:rPr>
                <w:webHidden/>
                <w:rStyle w:val="IndexLink"/>
                <w:rtl w:val="true"/>
              </w:rPr>
              <w:t>قاعدة الحرج الثانیة</w:t>
            </w:r>
            <w:r>
              <w:rPr>
                <w:rStyle w:val="IndexLink"/>
                <w:rtl w:val="true"/>
              </w:rPr>
              <w:tab/>
            </w:r>
            <w:r>
              <w:rPr>
                <w:rStyle w:val="IndexLink"/>
              </w:rPr>
              <w:t>492</w:t>
            </w:r>
          </w:hyperlink>
        </w:p>
        <w:p>
          <w:pPr>
            <w:pStyle w:val="Contents6"/>
            <w:tabs>
              <w:tab w:val="clear" w:pos="7609"/>
              <w:tab w:val="right" w:pos="9026" w:leader="dot"/>
            </w:tabs>
            <w:rPr/>
          </w:pPr>
          <w:hyperlink w:anchor="__RefHeading___Toc3300974_1468164448">
            <w:r>
              <w:rPr>
                <w:webHidden/>
                <w:rStyle w:val="IndexLink"/>
                <w:rtl w:val="true"/>
              </w:rPr>
              <w:t>أدلّة القاعدة</w:t>
            </w:r>
            <w:r>
              <w:rPr>
                <w:rStyle w:val="IndexLink"/>
                <w:rtl w:val="true"/>
              </w:rPr>
              <w:tab/>
            </w:r>
            <w:r>
              <w:rPr>
                <w:rStyle w:val="IndexLink"/>
              </w:rPr>
              <w:t>493</w:t>
            </w:r>
          </w:hyperlink>
        </w:p>
        <w:p>
          <w:pPr>
            <w:pStyle w:val="Contents6"/>
            <w:tabs>
              <w:tab w:val="clear" w:pos="7609"/>
              <w:tab w:val="right" w:pos="9026" w:leader="dot"/>
            </w:tabs>
            <w:rPr/>
          </w:pPr>
          <w:hyperlink w:anchor="__RefHeading___Toc3300976_1468164448">
            <w:r>
              <w:rPr>
                <w:webHidden/>
                <w:rStyle w:val="IndexLink"/>
                <w:rtl w:val="true"/>
              </w:rPr>
              <w:t>إبطال البراءة وسائر الأصول النافیة</w:t>
            </w:r>
            <w:r>
              <w:rPr>
                <w:rStyle w:val="IndexLink"/>
                <w:rtl w:val="true"/>
              </w:rPr>
              <w:tab/>
            </w:r>
            <w:r>
              <w:rPr>
                <w:rStyle w:val="IndexLink"/>
              </w:rPr>
              <w:t>495</w:t>
            </w:r>
          </w:hyperlink>
        </w:p>
        <w:p>
          <w:pPr>
            <w:pStyle w:val="Contents6"/>
            <w:tabs>
              <w:tab w:val="clear" w:pos="7609"/>
              <w:tab w:val="right" w:pos="9026" w:leader="dot"/>
            </w:tabs>
            <w:rPr/>
          </w:pPr>
          <w:hyperlink w:anchor="__RefHeading___Toc3300978_1468164448">
            <w:r>
              <w:rPr>
                <w:webHidden/>
                <w:rStyle w:val="IndexLink"/>
                <w:rtl w:val="true"/>
              </w:rPr>
              <w:t>إبطال الأصول المثبتة</w:t>
            </w:r>
            <w:r>
              <w:rPr>
                <w:rStyle w:val="IndexLink"/>
                <w:rtl w:val="true"/>
              </w:rPr>
              <w:tab/>
            </w:r>
            <w:r>
              <w:rPr>
                <w:rStyle w:val="IndexLink"/>
              </w:rPr>
              <w:t>495</w:t>
            </w:r>
          </w:hyperlink>
        </w:p>
        <w:p>
          <w:pPr>
            <w:pStyle w:val="Contents6"/>
            <w:tabs>
              <w:tab w:val="clear" w:pos="7609"/>
              <w:tab w:val="right" w:pos="9026" w:leader="dot"/>
            </w:tabs>
            <w:rPr/>
          </w:pPr>
          <w:hyperlink w:anchor="__RefHeading___Toc3300980_1468164448">
            <w:r>
              <w:rPr>
                <w:webHidden/>
                <w:rStyle w:val="IndexLink"/>
                <w:rtl w:val="true"/>
              </w:rPr>
              <w:t>إبطال القرعة</w:t>
            </w:r>
            <w:r>
              <w:rPr>
                <w:rStyle w:val="IndexLink"/>
                <w:rtl w:val="true"/>
              </w:rPr>
              <w:tab/>
            </w:r>
            <w:r>
              <w:rPr>
                <w:rStyle w:val="IndexLink"/>
              </w:rPr>
              <w:t>496</w:t>
            </w:r>
          </w:hyperlink>
        </w:p>
        <w:p>
          <w:pPr>
            <w:pStyle w:val="Contents6"/>
            <w:tabs>
              <w:tab w:val="clear" w:pos="7609"/>
              <w:tab w:val="right" w:pos="9026" w:leader="dot"/>
            </w:tabs>
            <w:rPr/>
          </w:pPr>
          <w:hyperlink w:anchor="__RefHeading___Toc3300982_1468164448">
            <w:r>
              <w:rPr>
                <w:webHidden/>
                <w:rStyle w:val="IndexLink"/>
                <w:rtl w:val="true"/>
              </w:rPr>
              <w:t>إبطال الرجوع إلی من یری الإنفتاح</w:t>
            </w:r>
            <w:r>
              <w:rPr>
                <w:rStyle w:val="IndexLink"/>
                <w:rtl w:val="true"/>
              </w:rPr>
              <w:tab/>
            </w:r>
            <w:r>
              <w:rPr>
                <w:rStyle w:val="IndexLink"/>
              </w:rPr>
              <w:t>497</w:t>
            </w:r>
          </w:hyperlink>
        </w:p>
        <w:p>
          <w:pPr>
            <w:pStyle w:val="Contents6"/>
            <w:tabs>
              <w:tab w:val="clear" w:pos="7609"/>
              <w:tab w:val="right" w:pos="9026" w:leader="dot"/>
            </w:tabs>
            <w:rPr/>
          </w:pPr>
          <w:hyperlink w:anchor="__RefHeading___Toc3300984_1468164448">
            <w:r>
              <w:rPr>
                <w:webHidden/>
                <w:rStyle w:val="IndexLink"/>
                <w:rtl w:val="true"/>
              </w:rPr>
              <w:t>فی المقدّمة الخامسة</w:t>
            </w:r>
            <w:r>
              <w:rPr>
                <w:rStyle w:val="IndexLink"/>
                <w:rtl w:val="true"/>
              </w:rPr>
              <w:tab/>
            </w:r>
            <w:r>
              <w:rPr>
                <w:rStyle w:val="IndexLink"/>
              </w:rPr>
              <w:t>498</w:t>
            </w:r>
          </w:hyperlink>
        </w:p>
        <w:p>
          <w:pPr>
            <w:pStyle w:val="Contents4"/>
            <w:tabs>
              <w:tab w:val="clear" w:pos="8176"/>
              <w:tab w:val="right" w:pos="9026" w:leader="dot"/>
            </w:tabs>
            <w:rPr/>
          </w:pPr>
          <w:hyperlink w:anchor="__RefHeading___Toc3300986_1468164448">
            <w:r>
              <w:rPr>
                <w:webHidden/>
                <w:rStyle w:val="IndexLink"/>
              </w:rPr>
              <w:t>3</w:t>
            </w:r>
            <w:r>
              <w:rPr>
                <w:rStyle w:val="IndexLink"/>
                <w:rtl w:val="true"/>
              </w:rPr>
              <w:t xml:space="preserve"> . </w:t>
            </w:r>
            <w:r>
              <w:rPr>
                <w:rStyle w:val="IndexLink"/>
                <w:rtl w:val="true"/>
              </w:rPr>
              <w:t>تنبیهات الإنسداد</w:t>
            </w:r>
            <w:r>
              <w:rPr>
                <w:rStyle w:val="IndexLink"/>
                <w:rtl w:val="true"/>
              </w:rPr>
              <w:tab/>
            </w:r>
            <w:r>
              <w:rPr>
                <w:rStyle w:val="IndexLink"/>
              </w:rPr>
              <w:t>499</w:t>
            </w:r>
          </w:hyperlink>
        </w:p>
        <w:p>
          <w:pPr>
            <w:pStyle w:val="Contents5"/>
            <w:tabs>
              <w:tab w:val="clear" w:pos="7892"/>
              <w:tab w:val="right" w:pos="9026" w:leader="dot"/>
            </w:tabs>
            <w:rPr/>
          </w:pPr>
          <w:hyperlink w:anchor="__RefHeading___Toc3300988_1468164448">
            <w:r>
              <w:rPr>
                <w:webHidden/>
                <w:rStyle w:val="IndexLink"/>
                <w:rtl w:val="true"/>
              </w:rPr>
              <w:t>التنبیه الأول</w:t>
            </w:r>
            <w:r>
              <w:rPr>
                <w:rStyle w:val="IndexLink"/>
                <w:rtl w:val="true"/>
              </w:rPr>
              <w:t xml:space="preserve">: </w:t>
            </w:r>
            <w:r>
              <w:rPr>
                <w:rStyle w:val="IndexLink"/>
                <w:rtl w:val="true"/>
              </w:rPr>
              <w:t>الظن بالطریق والظن بالواقع</w:t>
            </w:r>
            <w:r>
              <w:rPr>
                <w:rStyle w:val="IndexLink"/>
                <w:rtl w:val="true"/>
              </w:rPr>
              <w:tab/>
            </w:r>
            <w:r>
              <w:rPr>
                <w:rStyle w:val="IndexLink"/>
              </w:rPr>
              <w:t>499</w:t>
            </w:r>
          </w:hyperlink>
        </w:p>
        <w:p>
          <w:pPr>
            <w:pStyle w:val="Contents6"/>
            <w:tabs>
              <w:tab w:val="clear" w:pos="7609"/>
              <w:tab w:val="right" w:pos="9026" w:leader="dot"/>
            </w:tabs>
            <w:rPr/>
          </w:pPr>
          <w:hyperlink w:anchor="__RefHeading___Toc3300990_1468164448">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3300992_1468164448">
            <w:r>
              <w:rPr>
                <w:webHidden/>
                <w:rStyle w:val="IndexLink"/>
                <w:rtl w:val="true"/>
              </w:rPr>
              <w:t>دعوی الإختصاص بالظن الواقع أو بالظن بالطریق</w:t>
            </w:r>
            <w:r>
              <w:rPr>
                <w:rStyle w:val="IndexLink"/>
                <w:rtl w:val="true"/>
              </w:rPr>
              <w:tab/>
            </w:r>
            <w:r>
              <w:rPr>
                <w:rStyle w:val="IndexLink"/>
              </w:rPr>
              <w:t>499</w:t>
            </w:r>
          </w:hyperlink>
        </w:p>
        <w:p>
          <w:pPr>
            <w:pStyle w:val="Contents6"/>
            <w:tabs>
              <w:tab w:val="clear" w:pos="7609"/>
              <w:tab w:val="right" w:pos="9026" w:leader="dot"/>
            </w:tabs>
            <w:rPr/>
          </w:pPr>
          <w:hyperlink w:anchor="__RefHeading___Toc3300994_1468164448">
            <w:r>
              <w:rPr>
                <w:webHidden/>
                <w:rStyle w:val="IndexLink"/>
                <w:rtl w:val="true"/>
              </w:rPr>
              <w:t>منشأ توهّم الإختصاص بالظن بالواقع</w:t>
            </w:r>
            <w:r>
              <w:rPr>
                <w:rStyle w:val="IndexLink"/>
                <w:rtl w:val="true"/>
              </w:rPr>
              <w:tab/>
            </w:r>
            <w:r>
              <w:rPr>
                <w:rStyle w:val="IndexLink"/>
              </w:rPr>
              <w:t>499</w:t>
            </w:r>
          </w:hyperlink>
        </w:p>
        <w:p>
          <w:pPr>
            <w:pStyle w:val="Contents6"/>
            <w:tabs>
              <w:tab w:val="clear" w:pos="7609"/>
              <w:tab w:val="right" w:pos="9026" w:leader="dot"/>
            </w:tabs>
            <w:rPr/>
          </w:pPr>
          <w:hyperlink w:anchor="__RefHeading___Toc3300996_1468164448">
            <w:r>
              <w:rPr>
                <w:webHidden/>
                <w:rStyle w:val="IndexLink"/>
                <w:rtl w:val="true"/>
              </w:rPr>
              <w:t>منشأ توهّم الإختصاص بالظن بالطریق</w:t>
            </w:r>
            <w:r>
              <w:rPr>
                <w:rStyle w:val="IndexLink"/>
                <w:rtl w:val="true"/>
              </w:rPr>
              <w:tab/>
            </w:r>
            <w:r>
              <w:rPr>
                <w:rStyle w:val="IndexLink"/>
              </w:rPr>
              <w:t>500</w:t>
            </w:r>
          </w:hyperlink>
        </w:p>
        <w:p>
          <w:pPr>
            <w:pStyle w:val="Contents6"/>
            <w:tabs>
              <w:tab w:val="clear" w:pos="7609"/>
              <w:tab w:val="right" w:pos="9026" w:leader="dot"/>
            </w:tabs>
            <w:rPr/>
          </w:pPr>
          <w:hyperlink w:anchor="__RefHeading___Toc3300998_1468164448">
            <w:r>
              <w:rPr>
                <w:webHidden/>
                <w:rStyle w:val="IndexLink"/>
                <w:rtl w:val="true"/>
              </w:rPr>
              <w:t>وجود القدر المتیقن فی العلم الإجمالی بنصب الطرق</w:t>
            </w:r>
            <w:r>
              <w:rPr>
                <w:rStyle w:val="IndexLink"/>
                <w:rtl w:val="true"/>
              </w:rPr>
              <w:tab/>
            </w:r>
            <w:r>
              <w:rPr>
                <w:rStyle w:val="IndexLink"/>
              </w:rPr>
              <w:t>501</w:t>
            </w:r>
          </w:hyperlink>
        </w:p>
        <w:p>
          <w:pPr>
            <w:pStyle w:val="Contents6"/>
            <w:tabs>
              <w:tab w:val="clear" w:pos="7609"/>
              <w:tab w:val="right" w:pos="9026" w:leader="dot"/>
            </w:tabs>
            <w:rPr/>
          </w:pPr>
          <w:hyperlink w:anchor="__RefHeading___Toc3301000_1468164448">
            <w:r>
              <w:rPr>
                <w:webHidden/>
                <w:rStyle w:val="IndexLink"/>
                <w:rtl w:val="true"/>
              </w:rPr>
              <w:t xml:space="preserve">عبارة غامضة لصاحب الکفایة </w:t>
            </w:r>
            <w:r>
              <w:rPr>
                <w:rStyle w:val="IndexLink"/>
                <w:rtl w:val="true"/>
              </w:rPr>
              <w:t>(</w:t>
            </w:r>
            <w:r>
              <w:rPr>
                <w:rStyle w:val="IndexLink"/>
                <w:rtl w:val="true"/>
              </w:rPr>
              <w:t>قدس سره</w:t>
            </w:r>
            <w:r>
              <w:rPr>
                <w:rStyle w:val="IndexLink"/>
                <w:rtl w:val="true"/>
              </w:rPr>
              <w:t>)</w:t>
              <w:tab/>
            </w:r>
            <w:r>
              <w:rPr>
                <w:rStyle w:val="IndexLink"/>
              </w:rPr>
              <w:t>502</w:t>
            </w:r>
          </w:hyperlink>
        </w:p>
        <w:p>
          <w:pPr>
            <w:pStyle w:val="Contents6"/>
            <w:tabs>
              <w:tab w:val="clear" w:pos="7609"/>
              <w:tab w:val="right" w:pos="9026" w:leader="dot"/>
            </w:tabs>
            <w:rPr/>
          </w:pPr>
          <w:hyperlink w:anchor="__RefHeading___Toc3301002_1468164448">
            <w:r>
              <w:rPr>
                <w:webHidden/>
                <w:rStyle w:val="IndexLink"/>
                <w:rtl w:val="true"/>
              </w:rPr>
              <w:t xml:space="preserve">شرح الحائری </w:t>
            </w:r>
            <w:r>
              <w:rPr>
                <w:rStyle w:val="IndexLink"/>
                <w:rtl w:val="true"/>
              </w:rPr>
              <w:t>(</w:t>
            </w:r>
            <w:r>
              <w:rPr>
                <w:rStyle w:val="IndexLink"/>
                <w:rtl w:val="true"/>
              </w:rPr>
              <w:t>قدس سره</w:t>
            </w:r>
            <w:r>
              <w:rPr>
                <w:rStyle w:val="IndexLink"/>
                <w:rtl w:val="true"/>
              </w:rPr>
              <w:t>)</w:t>
              <w:tab/>
            </w:r>
            <w:r>
              <w:rPr>
                <w:rStyle w:val="IndexLink"/>
              </w:rPr>
              <w:t>503</w:t>
            </w:r>
          </w:hyperlink>
        </w:p>
        <w:p>
          <w:pPr>
            <w:pStyle w:val="Contents6"/>
            <w:tabs>
              <w:tab w:val="clear" w:pos="7609"/>
              <w:tab w:val="right" w:pos="9026" w:leader="dot"/>
            </w:tabs>
            <w:rPr/>
          </w:pPr>
          <w:hyperlink w:anchor="__RefHeading___Toc3301004_1468164448">
            <w:r>
              <w:rPr>
                <w:webHidden/>
                <w:rStyle w:val="IndexLink"/>
                <w:rtl w:val="true"/>
              </w:rPr>
              <w:t xml:space="preserve">شرح آخر لکلام الآخوند </w:t>
            </w:r>
            <w:r>
              <w:rPr>
                <w:rStyle w:val="IndexLink"/>
                <w:rtl w:val="true"/>
              </w:rPr>
              <w:t>(</w:t>
            </w:r>
            <w:r>
              <w:rPr>
                <w:rStyle w:val="IndexLink"/>
                <w:rtl w:val="true"/>
              </w:rPr>
              <w:t>قدس سره</w:t>
            </w:r>
            <w:r>
              <w:rPr>
                <w:rStyle w:val="IndexLink"/>
                <w:rtl w:val="true"/>
              </w:rPr>
              <w:t>)</w:t>
              <w:tab/>
            </w:r>
            <w:r>
              <w:rPr>
                <w:rStyle w:val="IndexLink"/>
              </w:rPr>
              <w:t>503</w:t>
            </w:r>
          </w:hyperlink>
        </w:p>
        <w:p>
          <w:pPr>
            <w:pStyle w:val="Contents6"/>
            <w:tabs>
              <w:tab w:val="clear" w:pos="7609"/>
              <w:tab w:val="right" w:pos="9026" w:leader="dot"/>
            </w:tabs>
            <w:rPr/>
          </w:pPr>
          <w:hyperlink w:anchor="__RefHeading___Toc3301006_1468164448">
            <w:r>
              <w:rPr>
                <w:webHidden/>
                <w:rStyle w:val="IndexLink"/>
                <w:rtl w:val="true"/>
              </w:rPr>
              <w:t>إشکال وجواب</w:t>
            </w:r>
            <w:r>
              <w:rPr>
                <w:rStyle w:val="IndexLink"/>
                <w:rtl w:val="true"/>
              </w:rPr>
              <w:tab/>
            </w:r>
            <w:r>
              <w:rPr>
                <w:rStyle w:val="IndexLink"/>
              </w:rPr>
              <w:t>504</w:t>
            </w:r>
          </w:hyperlink>
        </w:p>
        <w:p>
          <w:pPr>
            <w:pStyle w:val="Contents6"/>
            <w:tabs>
              <w:tab w:val="clear" w:pos="7609"/>
              <w:tab w:val="right" w:pos="9026" w:leader="dot"/>
            </w:tabs>
            <w:rPr/>
          </w:pPr>
          <w:hyperlink w:anchor="__RefHeading___Toc3301008_1468164448">
            <w:r>
              <w:rPr>
                <w:webHidden/>
                <w:rStyle w:val="IndexLink"/>
                <w:rtl w:val="true"/>
              </w:rPr>
              <w:t>درجات إراءة العلم الإجمالی عن الواقع</w:t>
            </w:r>
            <w:r>
              <w:rPr>
                <w:rStyle w:val="IndexLink"/>
                <w:rtl w:val="true"/>
              </w:rPr>
              <w:tab/>
            </w:r>
            <w:r>
              <w:rPr>
                <w:rStyle w:val="IndexLink"/>
              </w:rPr>
              <w:t>505</w:t>
            </w:r>
          </w:hyperlink>
        </w:p>
        <w:p>
          <w:pPr>
            <w:pStyle w:val="Contents6"/>
            <w:tabs>
              <w:tab w:val="clear" w:pos="7609"/>
              <w:tab w:val="right" w:pos="9026" w:leader="dot"/>
            </w:tabs>
            <w:rPr/>
          </w:pPr>
          <w:hyperlink w:anchor="__RefHeading___Toc3301010_1468164448">
            <w:r>
              <w:rPr>
                <w:webHidden/>
                <w:rStyle w:val="IndexLink"/>
                <w:rtl w:val="true"/>
              </w:rPr>
              <w:t>استدلال هدایة المسترشدین لاختصاص نتیجة الإنسداد بالظن بالطریق</w:t>
            </w:r>
            <w:r>
              <w:rPr>
                <w:rStyle w:val="IndexLink"/>
                <w:rtl w:val="true"/>
              </w:rPr>
              <w:tab/>
            </w:r>
            <w:r>
              <w:rPr>
                <w:rStyle w:val="IndexLink"/>
              </w:rPr>
              <w:t>505</w:t>
            </w:r>
          </w:hyperlink>
        </w:p>
        <w:p>
          <w:pPr>
            <w:pStyle w:val="Contents6"/>
            <w:tabs>
              <w:tab w:val="clear" w:pos="7609"/>
              <w:tab w:val="right" w:pos="9026" w:leader="dot"/>
            </w:tabs>
            <w:rPr/>
          </w:pPr>
          <w:hyperlink w:anchor="__RefHeading___Toc3301012_1468164448">
            <w:r>
              <w:rPr>
                <w:webHidden/>
                <w:rStyle w:val="IndexLink"/>
                <w:rtl w:val="true"/>
              </w:rPr>
              <w:t xml:space="preserve">تبیین استدلال صاحب الحاشیة </w:t>
            </w:r>
            <w:r>
              <w:rPr>
                <w:rStyle w:val="IndexLink"/>
                <w:rtl w:val="true"/>
              </w:rPr>
              <w:t>(</w:t>
            </w:r>
            <w:r>
              <w:rPr>
                <w:rStyle w:val="IndexLink"/>
                <w:rtl w:val="true"/>
              </w:rPr>
              <w:t>قدس سره</w:t>
            </w:r>
            <w:r>
              <w:rPr>
                <w:rStyle w:val="IndexLink"/>
                <w:rtl w:val="true"/>
              </w:rPr>
              <w:t>)</w:t>
              <w:tab/>
            </w:r>
            <w:r>
              <w:rPr>
                <w:rStyle w:val="IndexLink"/>
              </w:rPr>
              <w:t>507</w:t>
            </w:r>
          </w:hyperlink>
        </w:p>
        <w:p>
          <w:pPr>
            <w:pStyle w:val="Contents5"/>
            <w:tabs>
              <w:tab w:val="clear" w:pos="7892"/>
              <w:tab w:val="right" w:pos="9026" w:leader="dot"/>
            </w:tabs>
            <w:rPr/>
          </w:pPr>
          <w:hyperlink w:anchor="__RefHeading___Toc3301014_1468164448">
            <w:r>
              <w:rPr>
                <w:webHidden/>
                <w:rStyle w:val="IndexLink"/>
                <w:rtl w:val="true"/>
              </w:rPr>
              <w:t>التنبیه الثانی</w:t>
            </w:r>
            <w:r>
              <w:rPr>
                <w:rStyle w:val="IndexLink"/>
                <w:rtl w:val="true"/>
              </w:rPr>
              <w:t xml:space="preserve">: </w:t>
            </w:r>
            <w:r>
              <w:rPr>
                <w:rStyle w:val="IndexLink"/>
                <w:rtl w:val="true"/>
              </w:rPr>
              <w:t>الکشف والحکومة</w:t>
            </w:r>
            <w:r>
              <w:rPr>
                <w:rStyle w:val="IndexLink"/>
                <w:rtl w:val="true"/>
              </w:rPr>
              <w:tab/>
            </w:r>
            <w:r>
              <w:rPr>
                <w:rStyle w:val="IndexLink"/>
              </w:rPr>
              <w:t>509</w:t>
            </w:r>
          </w:hyperlink>
        </w:p>
        <w:p>
          <w:pPr>
            <w:pStyle w:val="Contents5"/>
            <w:tabs>
              <w:tab w:val="clear" w:pos="7892"/>
              <w:tab w:val="right" w:pos="9026" w:leader="dot"/>
            </w:tabs>
            <w:rPr/>
          </w:pPr>
          <w:hyperlink w:anchor="__RefHeading___Toc3301016_1468164448">
            <w:r>
              <w:rPr>
                <w:webHidden/>
                <w:rStyle w:val="IndexLink"/>
                <w:rtl w:val="true"/>
              </w:rPr>
              <w:t>التنبیه الثالث</w:t>
            </w:r>
            <w:r>
              <w:rPr>
                <w:rStyle w:val="IndexLink"/>
                <w:rtl w:val="true"/>
              </w:rPr>
              <w:t xml:space="preserve">: </w:t>
            </w:r>
            <w:r>
              <w:rPr>
                <w:rStyle w:val="IndexLink"/>
                <w:rtl w:val="true"/>
              </w:rPr>
              <w:t>تعمیم النتیجة بلحاظ الأسباب والموارد والمراتب</w:t>
            </w:r>
            <w:r>
              <w:rPr>
                <w:rStyle w:val="IndexLink"/>
                <w:rtl w:val="true"/>
              </w:rPr>
              <w:tab/>
            </w:r>
            <w:r>
              <w:rPr>
                <w:rStyle w:val="IndexLink"/>
              </w:rPr>
              <w:t>513</w:t>
            </w:r>
          </w:hyperlink>
        </w:p>
        <w:p>
          <w:pPr>
            <w:pStyle w:val="Contents6"/>
            <w:tabs>
              <w:tab w:val="clear" w:pos="7609"/>
              <w:tab w:val="right" w:pos="9026" w:leader="dot"/>
            </w:tabs>
            <w:rPr/>
          </w:pPr>
          <w:hyperlink w:anchor="__RefHeading___Toc3301018_1468164448">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3301020_1468164448">
            <w:r>
              <w:rPr>
                <w:webHidden/>
                <w:rStyle w:val="IndexLink"/>
                <w:rtl w:val="true"/>
              </w:rPr>
              <w:t>أقسام الطریق</w:t>
            </w:r>
            <w:r>
              <w:rPr>
                <w:rStyle w:val="IndexLink"/>
                <w:rtl w:val="true"/>
              </w:rPr>
              <w:tab/>
            </w:r>
            <w:r>
              <w:rPr>
                <w:rStyle w:val="IndexLink"/>
              </w:rPr>
              <w:t>513</w:t>
            </w:r>
          </w:hyperlink>
        </w:p>
        <w:p>
          <w:pPr>
            <w:pStyle w:val="Contents6"/>
            <w:tabs>
              <w:tab w:val="clear" w:pos="7609"/>
              <w:tab w:val="right" w:pos="9026" w:leader="dot"/>
            </w:tabs>
            <w:rPr/>
          </w:pPr>
          <w:hyperlink w:anchor="__RefHeading___Toc3301022_1468164448">
            <w:r>
              <w:rPr>
                <w:webHidden/>
                <w:rStyle w:val="IndexLink"/>
                <w:rtl w:val="true"/>
              </w:rPr>
              <w:t>حقیقة الحجّیة</w:t>
            </w:r>
            <w:r>
              <w:rPr>
                <w:rStyle w:val="IndexLink"/>
                <w:rtl w:val="true"/>
              </w:rPr>
              <w:tab/>
            </w:r>
            <w:r>
              <w:rPr>
                <w:rStyle w:val="IndexLink"/>
              </w:rPr>
              <w:t>514</w:t>
            </w:r>
          </w:hyperlink>
        </w:p>
        <w:p>
          <w:pPr>
            <w:pStyle w:val="Contents5"/>
            <w:tabs>
              <w:tab w:val="clear" w:pos="7892"/>
              <w:tab w:val="right" w:pos="9026" w:leader="dot"/>
            </w:tabs>
            <w:rPr/>
          </w:pPr>
          <w:hyperlink w:anchor="__RefHeading___Toc3301024_1468164448">
            <w:r>
              <w:rPr>
                <w:webHidden/>
                <w:rStyle w:val="IndexLink"/>
                <w:rtl w:val="true"/>
              </w:rPr>
              <w:t>التنبیه الرابع</w:t>
            </w:r>
            <w:r>
              <w:rPr>
                <w:rStyle w:val="IndexLink"/>
                <w:rtl w:val="true"/>
              </w:rPr>
              <w:t xml:space="preserve">: </w:t>
            </w:r>
            <w:r>
              <w:rPr>
                <w:rStyle w:val="IndexLink"/>
                <w:rtl w:val="true"/>
              </w:rPr>
              <w:t>فی کیفیة تعقّل عموم النهی عن القیاس فی حال الإنسداد</w:t>
            </w:r>
            <w:r>
              <w:rPr>
                <w:rStyle w:val="IndexLink"/>
                <w:rtl w:val="true"/>
              </w:rPr>
              <w:tab/>
            </w:r>
            <w:r>
              <w:rPr>
                <w:rStyle w:val="IndexLink"/>
              </w:rPr>
              <w:t>516</w:t>
            </w:r>
          </w:hyperlink>
        </w:p>
        <w:p>
          <w:pPr>
            <w:pStyle w:val="Contents6"/>
            <w:tabs>
              <w:tab w:val="clear" w:pos="7609"/>
              <w:tab w:val="right" w:pos="9026" w:leader="dot"/>
            </w:tabs>
            <w:rPr/>
          </w:pPr>
          <w:hyperlink w:anchor="__RefHeading___Toc3301026_1468164448">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3301028_1468164448">
            <w:r>
              <w:rPr>
                <w:webHidden/>
                <w:rStyle w:val="IndexLink"/>
                <w:rtl w:val="true"/>
              </w:rPr>
              <w:t>إشکال آخر فی المقام</w:t>
            </w:r>
            <w:r>
              <w:rPr>
                <w:rStyle w:val="IndexLink"/>
                <w:rtl w:val="true"/>
              </w:rPr>
              <w:tab/>
            </w:r>
            <w:r>
              <w:rPr>
                <w:rStyle w:val="IndexLink"/>
              </w:rPr>
              <w:t>518</w:t>
            </w:r>
          </w:hyperlink>
        </w:p>
        <w:p>
          <w:pPr>
            <w:pStyle w:val="Contents6"/>
            <w:tabs>
              <w:tab w:val="clear" w:pos="7609"/>
              <w:tab w:val="right" w:pos="9026" w:leader="dot"/>
            </w:tabs>
            <w:rPr/>
          </w:pPr>
          <w:hyperlink w:anchor="__RefHeading___Toc3301030_1468164448">
            <w:r>
              <w:rPr>
                <w:webHidden/>
                <w:rStyle w:val="IndexLink"/>
                <w:rtl w:val="true"/>
              </w:rPr>
              <w:t>ما ذکره بعض المحققین فی الجواب عن الإشکال</w:t>
            </w:r>
            <w:r>
              <w:rPr>
                <w:rStyle w:val="IndexLink"/>
                <w:rtl w:val="true"/>
              </w:rPr>
              <w:tab/>
            </w:r>
            <w:r>
              <w:rPr>
                <w:rStyle w:val="IndexLink"/>
              </w:rPr>
              <w:t>518</w:t>
            </w:r>
          </w:hyperlink>
        </w:p>
        <w:p>
          <w:pPr>
            <w:pStyle w:val="Contents6"/>
            <w:tabs>
              <w:tab w:val="clear" w:pos="7609"/>
              <w:tab w:val="right" w:pos="9026" w:leader="dot"/>
            </w:tabs>
            <w:rPr/>
          </w:pPr>
          <w:hyperlink w:anchor="__RefHeading___Toc3301032_1468164448">
            <w:r>
              <w:rPr>
                <w:webHidden/>
                <w:rStyle w:val="IndexLink"/>
                <w:rtl w:val="true"/>
              </w:rPr>
              <w:t>سرّ الإکتفاء علی الظنون المعهودة</w:t>
            </w:r>
            <w:r>
              <w:rPr>
                <w:rStyle w:val="IndexLink"/>
                <w:rtl w:val="true"/>
              </w:rPr>
              <w:tab/>
            </w:r>
            <w:r>
              <w:rPr>
                <w:rStyle w:val="IndexLink"/>
              </w:rPr>
              <w:t>519</w:t>
            </w:r>
          </w:hyperlink>
        </w:p>
        <w:p>
          <w:pPr>
            <w:pStyle w:val="Contents5"/>
            <w:tabs>
              <w:tab w:val="clear" w:pos="7892"/>
              <w:tab w:val="right" w:pos="9026" w:leader="dot"/>
            </w:tabs>
            <w:rPr/>
          </w:pPr>
          <w:hyperlink w:anchor="__RefHeading___Toc3301034_1468164448">
            <w:r>
              <w:rPr>
                <w:webHidden/>
                <w:rStyle w:val="IndexLink"/>
                <w:rtl w:val="true"/>
              </w:rPr>
              <w:t>التنبیه الخامس</w:t>
            </w:r>
            <w:r>
              <w:rPr>
                <w:rStyle w:val="IndexLink"/>
                <w:rtl w:val="true"/>
              </w:rPr>
              <w:t xml:space="preserve">: </w:t>
            </w:r>
            <w:r>
              <w:rPr>
                <w:rStyle w:val="IndexLink"/>
                <w:rtl w:val="true"/>
              </w:rPr>
              <w:t>عدم الفرق بین أقسام الظن بالحکم</w:t>
            </w:r>
            <w:r>
              <w:rPr>
                <w:rStyle w:val="IndexLink"/>
                <w:rtl w:val="true"/>
              </w:rPr>
              <w:tab/>
            </w:r>
            <w:r>
              <w:rPr>
                <w:rStyle w:val="IndexLink"/>
              </w:rPr>
              <w:t>520</w:t>
            </w:r>
          </w:hyperlink>
        </w:p>
        <w:p>
          <w:pPr>
            <w:pStyle w:val="Contents5"/>
            <w:tabs>
              <w:tab w:val="clear" w:pos="7892"/>
              <w:tab w:val="right" w:pos="9026" w:leader="dot"/>
            </w:tabs>
            <w:rPr/>
          </w:pPr>
          <w:hyperlink w:anchor="__RefHeading___Toc3301036_1468164448">
            <w:r>
              <w:rPr>
                <w:webHidden/>
                <w:rStyle w:val="IndexLink"/>
                <w:rtl w:val="true"/>
              </w:rPr>
              <w:t>التنبیه السادس</w:t>
            </w:r>
            <w:r>
              <w:rPr>
                <w:rStyle w:val="IndexLink"/>
                <w:rtl w:val="true"/>
              </w:rPr>
              <w:t xml:space="preserve">: </w:t>
            </w:r>
            <w:r>
              <w:rPr>
                <w:rStyle w:val="IndexLink"/>
                <w:rtl w:val="true"/>
              </w:rPr>
              <w:t>الظن فی الشبهات الموضوعیة</w:t>
            </w:r>
            <w:r>
              <w:rPr>
                <w:rStyle w:val="IndexLink"/>
                <w:rtl w:val="true"/>
              </w:rPr>
              <w:tab/>
            </w:r>
            <w:r>
              <w:rPr>
                <w:rStyle w:val="IndexLink"/>
              </w:rPr>
              <w:t>521</w:t>
            </w:r>
          </w:hyperlink>
        </w:p>
        <w:p>
          <w:pPr>
            <w:pStyle w:val="Contents4"/>
            <w:tabs>
              <w:tab w:val="clear" w:pos="8176"/>
              <w:tab w:val="right" w:pos="9026" w:leader="dot"/>
            </w:tabs>
            <w:rPr/>
          </w:pPr>
          <w:hyperlink w:anchor="__RefHeading___Toc3301038_1468164448">
            <w:r>
              <w:rPr>
                <w:webHidden/>
                <w:rStyle w:val="IndexLink"/>
              </w:rPr>
              <w:t>4</w:t>
            </w:r>
            <w:r>
              <w:rPr>
                <w:rStyle w:val="IndexLink"/>
                <w:rtl w:val="true"/>
              </w:rPr>
              <w:t xml:space="preserve"> . </w:t>
            </w:r>
            <w:r>
              <w:rPr>
                <w:rStyle w:val="IndexLink"/>
                <w:rtl w:val="true"/>
              </w:rPr>
              <w:t>المختار فی دلیل الإنسداد</w:t>
            </w:r>
            <w:r>
              <w:rPr>
                <w:rStyle w:val="IndexLink"/>
                <w:rtl w:val="true"/>
              </w:rPr>
              <w:tab/>
            </w:r>
            <w:r>
              <w:rPr>
                <w:rStyle w:val="IndexLink"/>
              </w:rPr>
              <w:t>522</w:t>
            </w:r>
          </w:hyperlink>
        </w:p>
        <w:p>
          <w:pPr>
            <w:pStyle w:val="Contents5"/>
            <w:tabs>
              <w:tab w:val="clear" w:pos="7892"/>
              <w:tab w:val="right" w:pos="9026" w:leader="dot"/>
            </w:tabs>
            <w:rPr/>
          </w:pPr>
          <w:hyperlink w:anchor="__RefHeading___Toc3301040_1468164448">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3301042_1468164448">
            <w:r>
              <w:rPr>
                <w:webHidden/>
                <w:rStyle w:val="IndexLink"/>
                <w:rtl w:val="true"/>
              </w:rPr>
              <w:t>الأمر الأول</w:t>
            </w:r>
            <w:r>
              <w:rPr>
                <w:rStyle w:val="IndexLink"/>
                <w:rtl w:val="true"/>
              </w:rPr>
              <w:t>:</w:t>
            </w:r>
            <w:r>
              <w:rPr>
                <w:rStyle w:val="IndexLink"/>
                <w:rtl w:val="true"/>
              </w:rPr>
              <w:t>صیاغة جدیدة لدلیل الإنسداد</w:t>
            </w:r>
            <w:r>
              <w:rPr>
                <w:rStyle w:val="IndexLink"/>
                <w:rtl w:val="true"/>
              </w:rPr>
              <w:tab/>
            </w:r>
            <w:r>
              <w:rPr>
                <w:rStyle w:val="IndexLink"/>
              </w:rPr>
              <w:t>522</w:t>
            </w:r>
          </w:hyperlink>
        </w:p>
        <w:p>
          <w:pPr>
            <w:pStyle w:val="Contents6"/>
            <w:tabs>
              <w:tab w:val="clear" w:pos="7609"/>
              <w:tab w:val="right" w:pos="9026" w:leader="dot"/>
            </w:tabs>
            <w:rPr/>
          </w:pPr>
          <w:hyperlink w:anchor="__RefHeading___Toc3301044_1468164448">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3301046_1468164448">
            <w:r>
              <w:rPr>
                <w:webHidden/>
                <w:rStyle w:val="IndexLink"/>
                <w:rtl w:val="true"/>
              </w:rPr>
              <w:t>الشاهد الأول</w:t>
            </w:r>
            <w:r>
              <w:rPr>
                <w:rStyle w:val="IndexLink"/>
                <w:rtl w:val="true"/>
              </w:rPr>
              <w:tab/>
            </w:r>
            <w:r>
              <w:rPr>
                <w:rStyle w:val="IndexLink"/>
              </w:rPr>
              <w:t>522</w:t>
            </w:r>
          </w:hyperlink>
        </w:p>
        <w:p>
          <w:pPr>
            <w:pStyle w:val="Contents6"/>
            <w:tabs>
              <w:tab w:val="clear" w:pos="7609"/>
              <w:tab w:val="right" w:pos="9026" w:leader="dot"/>
            </w:tabs>
            <w:rPr/>
          </w:pPr>
          <w:hyperlink w:anchor="__RefHeading___Toc3301048_1468164448">
            <w:r>
              <w:rPr>
                <w:webHidden/>
                <w:rStyle w:val="IndexLink"/>
                <w:rtl w:val="true"/>
              </w:rPr>
              <w:t>الشاهد الثانی</w:t>
            </w:r>
            <w:r>
              <w:rPr>
                <w:rStyle w:val="IndexLink"/>
                <w:rtl w:val="true"/>
              </w:rPr>
              <w:tab/>
            </w:r>
            <w:r>
              <w:rPr>
                <w:rStyle w:val="IndexLink"/>
              </w:rPr>
              <w:t>523</w:t>
            </w:r>
          </w:hyperlink>
        </w:p>
        <w:p>
          <w:pPr>
            <w:pStyle w:val="Contents5"/>
            <w:tabs>
              <w:tab w:val="clear" w:pos="7892"/>
              <w:tab w:val="right" w:pos="9026" w:leader="dot"/>
            </w:tabs>
            <w:rPr/>
          </w:pPr>
          <w:hyperlink w:anchor="__RefHeading___Toc3301050_1468164448">
            <w:r>
              <w:rPr>
                <w:webHidden/>
                <w:rStyle w:val="IndexLink"/>
                <w:rtl w:val="true"/>
              </w:rPr>
              <w:t>الأمر الثانی</w:t>
            </w:r>
            <w:r>
              <w:rPr>
                <w:rStyle w:val="IndexLink"/>
                <w:rtl w:val="true"/>
              </w:rPr>
              <w:t xml:space="preserve">: </w:t>
            </w:r>
            <w:r>
              <w:rPr>
                <w:rStyle w:val="IndexLink"/>
                <w:rtl w:val="true"/>
              </w:rPr>
              <w:t>فی تاریخ الإنسداد</w:t>
            </w:r>
            <w:r>
              <w:rPr>
                <w:rStyle w:val="IndexLink"/>
                <w:rtl w:val="true"/>
              </w:rPr>
              <w:tab/>
            </w:r>
            <w:r>
              <w:rPr>
                <w:rStyle w:val="IndexLink"/>
              </w:rPr>
              <w:t>524</w:t>
            </w:r>
          </w:hyperlink>
        </w:p>
        <w:p>
          <w:pPr>
            <w:pStyle w:val="Contents5"/>
            <w:tabs>
              <w:tab w:val="clear" w:pos="7892"/>
              <w:tab w:val="right" w:pos="9026" w:leader="dot"/>
            </w:tabs>
            <w:rPr/>
          </w:pPr>
          <w:hyperlink w:anchor="__RefHeading___Toc3301052_1468164448">
            <w:r>
              <w:rPr>
                <w:webHidden/>
                <w:rStyle w:val="IndexLink"/>
                <w:rtl w:val="true"/>
              </w:rPr>
              <w:t>الأمر الثالث</w:t>
            </w:r>
            <w:r>
              <w:rPr>
                <w:rStyle w:val="IndexLink"/>
                <w:rtl w:val="true"/>
              </w:rPr>
              <w:t xml:space="preserve">: </w:t>
            </w:r>
            <w:r>
              <w:rPr>
                <w:rStyle w:val="IndexLink"/>
                <w:rtl w:val="true"/>
              </w:rPr>
              <w:t>فی فوائد الإنسداد وسلبیاته إلی حدّ الخطورة</w:t>
            </w:r>
            <w:r>
              <w:rPr>
                <w:rStyle w:val="IndexLink"/>
                <w:rtl w:val="true"/>
              </w:rPr>
              <w:tab/>
            </w:r>
            <w:r>
              <w:rPr>
                <w:rStyle w:val="IndexLink"/>
              </w:rPr>
              <w:t>524</w:t>
            </w:r>
          </w:hyperlink>
        </w:p>
        <w:p>
          <w:pPr>
            <w:pStyle w:val="Contents6"/>
            <w:tabs>
              <w:tab w:val="clear" w:pos="7609"/>
              <w:tab w:val="right" w:pos="9026" w:leader="dot"/>
            </w:tabs>
            <w:rPr/>
          </w:pPr>
          <w:hyperlink w:anchor="__RefHeading___Toc3301054_1468164448">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3301056_1468164448">
            <w:r>
              <w:rPr>
                <w:webHidden/>
                <w:rStyle w:val="IndexLink"/>
                <w:rtl w:val="true"/>
              </w:rPr>
              <w:t>ظاهرة المرحلة الرابعة</w:t>
            </w:r>
            <w:r>
              <w:rPr>
                <w:rStyle w:val="IndexLink"/>
                <w:rtl w:val="true"/>
              </w:rPr>
              <w:tab/>
            </w:r>
            <w:r>
              <w:rPr>
                <w:rStyle w:val="IndexLink"/>
              </w:rPr>
              <w:t>525</w:t>
            </w:r>
          </w:hyperlink>
        </w:p>
        <w:p>
          <w:pPr>
            <w:pStyle w:val="Contents6"/>
            <w:tabs>
              <w:tab w:val="clear" w:pos="7609"/>
              <w:tab w:val="right" w:pos="9026" w:leader="dot"/>
            </w:tabs>
            <w:rPr/>
          </w:pPr>
          <w:hyperlink w:anchor="__RefHeading___Toc3301058_1468164448">
            <w:r>
              <w:rPr>
                <w:webHidden/>
                <w:rStyle w:val="IndexLink"/>
                <w:rtl w:val="true"/>
              </w:rPr>
              <w:t>تقییم تلک الظاهرة</w:t>
            </w:r>
            <w:r>
              <w:rPr>
                <w:rStyle w:val="IndexLink"/>
                <w:rtl w:val="true"/>
              </w:rPr>
              <w:tab/>
            </w:r>
            <w:r>
              <w:rPr>
                <w:rStyle w:val="IndexLink"/>
              </w:rPr>
              <w:t>525</w:t>
            </w:r>
          </w:hyperlink>
        </w:p>
        <w:p>
          <w:pPr>
            <w:pStyle w:val="Contents6"/>
            <w:tabs>
              <w:tab w:val="clear" w:pos="7609"/>
              <w:tab w:val="right" w:pos="9026" w:leader="dot"/>
            </w:tabs>
            <w:rPr/>
          </w:pPr>
          <w:hyperlink w:anchor="__RefHeading___Toc3301060_1468164448">
            <w:r>
              <w:rPr>
                <w:webHidden/>
                <w:rStyle w:val="IndexLink"/>
                <w:rtl w:val="true"/>
              </w:rPr>
              <w:t>سلبیات الإنسداد</w:t>
            </w:r>
            <w:r>
              <w:rPr>
                <w:rStyle w:val="IndexLink"/>
                <w:rtl w:val="true"/>
              </w:rPr>
              <w:tab/>
            </w:r>
            <w:r>
              <w:rPr>
                <w:rStyle w:val="IndexLink"/>
              </w:rPr>
              <w:t>527</w:t>
            </w:r>
          </w:hyperlink>
        </w:p>
        <w:p>
          <w:pPr>
            <w:pStyle w:val="Contents6"/>
            <w:tabs>
              <w:tab w:val="clear" w:pos="7609"/>
              <w:tab w:val="right" w:pos="9026" w:leader="dot"/>
            </w:tabs>
            <w:rPr/>
          </w:pPr>
          <w:hyperlink w:anchor="__RefHeading___Toc3301062_1468164448">
            <w:r>
              <w:rPr>
                <w:webHidden/>
                <w:rStyle w:val="IndexLink"/>
                <w:rtl w:val="true"/>
              </w:rPr>
              <w:t>ایجابیات الإنسداد</w:t>
            </w:r>
            <w:r>
              <w:rPr>
                <w:rStyle w:val="IndexLink"/>
                <w:rtl w:val="true"/>
              </w:rPr>
              <w:tab/>
            </w:r>
            <w:r>
              <w:rPr>
                <w:rStyle w:val="IndexLink"/>
              </w:rPr>
              <w:t>528</w:t>
            </w:r>
          </w:hyperlink>
        </w:p>
        <w:p>
          <w:pPr>
            <w:pStyle w:val="Contents6"/>
            <w:tabs>
              <w:tab w:val="clear" w:pos="7609"/>
              <w:tab w:val="right" w:pos="9026" w:leader="dot"/>
            </w:tabs>
            <w:rPr/>
          </w:pPr>
          <w:hyperlink w:anchor="__RefHeading___Toc3301064_1468164448">
            <w:r>
              <w:rPr>
                <w:webHidden/>
                <w:rStyle w:val="IndexLink"/>
                <w:rtl w:val="true"/>
              </w:rPr>
              <w:t>فقاهة الفقیه بالتفطن علی الأدلّة الإجتهادیة</w:t>
            </w:r>
            <w:r>
              <w:rPr>
                <w:rStyle w:val="IndexLink"/>
                <w:rtl w:val="true"/>
              </w:rPr>
              <w:tab/>
            </w:r>
            <w:r>
              <w:rPr>
                <w:rStyle w:val="IndexLink"/>
              </w:rPr>
              <w:t>528</w:t>
            </w:r>
          </w:hyperlink>
        </w:p>
        <w:p>
          <w:pPr>
            <w:pStyle w:val="Contents6"/>
            <w:tabs>
              <w:tab w:val="clear" w:pos="7609"/>
              <w:tab w:val="right" w:pos="9026" w:leader="dot"/>
            </w:tabs>
            <w:rPr/>
          </w:pPr>
          <w:hyperlink w:anchor="__RefHeading___Toc3301066_1468164448">
            <w:r>
              <w:rPr>
                <w:webHidden/>
                <w:rStyle w:val="IndexLink"/>
                <w:rtl w:val="true"/>
              </w:rPr>
              <w:t>مراحل الإستنباط الفقهیة</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83_380604"/>
      <w:bookmarkStart w:id="1" w:name="pg16983_380604"/>
      <w:bookmarkEnd w:id="1"/>
    </w:p>
    <w:p>
      <w:pPr>
        <w:pStyle w:val="Heading2"/>
        <w:numPr>
          <w:ilvl w:val="1"/>
          <w:numId w:val="1"/>
        </w:numPr>
        <w:rPr/>
      </w:pPr>
      <w:bookmarkStart w:id="2" w:name="pg16983_380604"/>
      <w:bookmarkStart w:id="3" w:name="__RefHeading___Toc329956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سندالاصول بحوث فی اصول‌القانون و مبانی‌الدلاله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محمد السند ؛ بقلم جعفر‌السید‌عبدالصاحب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زین‌العابدین، </w:t>
      </w:r>
      <w:r>
        <w:rPr>
          <w:rFonts w:ascii="IRNazanin" w:hAnsi="IRNazanin" w:eastAsia="IRNazanin"/>
          <w:color w:val="111111"/>
          <w:sz w:val="28"/>
          <w:sz w:val="28"/>
          <w:szCs w:val="28"/>
          <w:lang w:bidi="fa-IR"/>
        </w:rPr>
        <w:t>۱۴۳۸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8383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8383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8383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Semantics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جعفر،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۹۲۷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۵۰۳۲۹۹۷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9562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سندالاصول بحوث فی اصول‌القانون و مبانی‌الدلاله</w:t>
      </w:r>
    </w:p>
    <w:p>
      <w:pPr>
        <w:pStyle w:val="BookText"/>
        <w:rPr/>
      </w:pPr>
      <w:r>
        <w:rPr>
          <w:rFonts w:ascii="IRNazanin" w:hAnsi="IRNazanin" w:eastAsia="IRNazanin"/>
          <w:color w:val="111111"/>
          <w:sz w:val="28"/>
          <w:sz w:val="28"/>
          <w:szCs w:val="28"/>
          <w:rtl w:val="true"/>
          <w:lang w:bidi="fa-IR"/>
        </w:rPr>
        <w:t>تقریرا لابحاث محمد 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جعفر‌السید‌عبدالصاحب الحکیم</w:t>
      </w:r>
      <w:bookmarkStart w:id="7" w:name="pg16983_380611"/>
    </w:p>
    <w:p>
      <w:pPr>
        <w:pStyle w:val="Heading2"/>
        <w:numPr>
          <w:ilvl w:val="1"/>
          <w:numId w:val="1"/>
        </w:numPr>
        <w:rPr/>
      </w:pPr>
      <w:bookmarkStart w:id="8" w:name="__RefHeading___Toc3299564_1468164448"/>
      <w:bookmarkStart w:id="9" w:name="_Toc3"/>
      <w:bookmarkEnd w:id="7"/>
      <w:bookmarkEnd w:id="8"/>
      <w:r>
        <w:rPr>
          <w:rtl w:val="true"/>
        </w:rPr>
        <w:t>مباحث الظن</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299566_1468164448"/>
      <w:bookmarkStart w:id="11" w:name="_Toc4"/>
      <w:bookmarkEnd w:id="10"/>
      <w:r>
        <w:rPr>
          <w:rtl w:val="true"/>
        </w:rPr>
        <w:t>اشارة</w:t>
      </w:r>
      <w:bookmarkStart w:id="12" w:name="pg16983_380615"/>
      <w:bookmarkEnd w:id="11"/>
    </w:p>
    <w:p>
      <w:pPr>
        <w:pStyle w:val="Heading3"/>
        <w:numPr>
          <w:ilvl w:val="2"/>
          <w:numId w:val="1"/>
        </w:numPr>
        <w:rPr/>
      </w:pPr>
      <w:bookmarkStart w:id="13" w:name="__RefHeading___Toc3299568_1468164448"/>
      <w:bookmarkStart w:id="14" w:name="_Toc5"/>
      <w:bookmarkEnd w:id="12"/>
      <w:bookmarkEnd w:id="13"/>
      <w:r>
        <w:rPr/>
        <w:t>1</w:t>
      </w:r>
      <w:r>
        <w:rPr>
          <w:rtl w:val="true"/>
        </w:rPr>
        <w:t xml:space="preserve"> . </w:t>
      </w:r>
      <w:r>
        <w:rPr>
          <w:rtl w:val="true"/>
        </w:rPr>
        <w:t>الإعتبار</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3299570_1468164448"/>
      <w:bookmarkStart w:id="16" w:name="_Toc6"/>
      <w:bookmarkEnd w:id="15"/>
      <w:r>
        <w:rPr>
          <w:rtl w:val="true"/>
        </w:rPr>
        <w:t>اشارة</w:t>
      </w:r>
      <w:bookmarkStart w:id="17" w:name="pg16983_380619"/>
      <w:bookmarkEnd w:id="16"/>
    </w:p>
    <w:p>
      <w:pPr>
        <w:pStyle w:val="BookText"/>
        <w:rPr/>
      </w:pPr>
      <w:bookmarkEnd w:id="17"/>
      <w:r>
        <w:rPr>
          <w:rFonts w:ascii="IRNazanin" w:hAnsi="IRNazanin" w:eastAsia="IRNazanin"/>
          <w:color w:val="111111"/>
          <w:sz w:val="28"/>
          <w:sz w:val="28"/>
          <w:szCs w:val="28"/>
          <w:rtl w:val="true"/>
          <w:lang w:bidi="fa-IR"/>
        </w:rPr>
        <w:t>و بسط الکلام فیه عبر نقاط کالتالی</w:t>
      </w:r>
      <w:r>
        <w:rPr>
          <w:rFonts w:eastAsia="IRNazanin" w:cs="IRNazanin"/>
          <w:color w:val="111111"/>
          <w:sz w:val="28"/>
          <w:szCs w:val="28"/>
          <w:rtl w:val="true"/>
          <w:lang w:bidi="fa-IR"/>
        </w:rPr>
        <w:t>:</w:t>
      </w:r>
    </w:p>
    <w:p>
      <w:pPr>
        <w:pStyle w:val="Heading4"/>
        <w:numPr>
          <w:ilvl w:val="3"/>
          <w:numId w:val="1"/>
        </w:numPr>
        <w:rPr/>
      </w:pPr>
      <w:bookmarkStart w:id="18" w:name="__RefHeading___Toc3299572_1468164448"/>
      <w:bookmarkStart w:id="19" w:name="_Toc7"/>
      <w:bookmarkEnd w:id="18"/>
      <w:r>
        <w:rPr/>
        <w:t>1</w:t>
      </w:r>
      <w:r>
        <w:rPr>
          <w:rtl w:val="true"/>
        </w:rPr>
        <w:t xml:space="preserve"> . </w:t>
      </w:r>
      <w:r>
        <w:rPr>
          <w:rtl w:val="true"/>
        </w:rPr>
        <w:t>المنهج الصحیح فی ترتیب مباحث الأصول</w:t>
      </w:r>
      <w:bookmarkEnd w:id="19"/>
    </w:p>
    <w:p>
      <w:pPr>
        <w:pStyle w:val="Heading5"/>
        <w:numPr>
          <w:ilvl w:val="4"/>
          <w:numId w:val="1"/>
        </w:numPr>
        <w:rPr/>
      </w:pPr>
      <w:bookmarkStart w:id="20" w:name="__RefHeading___Toc3299574_1468164448"/>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 xml:space="preserve">صدّر أکثر الأعلام حدیثهم فی الظن بمسألة إمکان التعبد بالظن، وعقّبه بالحدیث عن الوقوع، و ذیّله بعض منهم بالحدیث عن السیرة العقلائیة، وثالث تحدّث عن الإطمئنان قبل الحدیث عن الظن بعد أن کان یختلف موضوعاً ومحمولاً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واقعه ظناً، إلاّ أنه الدرجة العالیة منه المتآخمة للعلم المکتسبة لآثاره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حین أنّا سنتحدّث فی إمکان التعبد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وجود شبهات مهمّة أثیرت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الحدیث عن الإعتبار العقلائی الذی أحد مصادیقه الإطمئنان</w:t>
      </w:r>
      <w:r>
        <w:rPr>
          <w:rFonts w:eastAsia="IRNazanin" w:cs="IRNazanin"/>
          <w:color w:val="111111"/>
          <w:sz w:val="28"/>
          <w:szCs w:val="28"/>
          <w:rtl w:val="true"/>
          <w:lang w:bidi="fa-IR"/>
        </w:rPr>
        <w:t>.</w:t>
      </w:r>
    </w:p>
    <w:p>
      <w:pPr>
        <w:pStyle w:val="Heading5"/>
        <w:numPr>
          <w:ilvl w:val="4"/>
          <w:numId w:val="1"/>
        </w:numPr>
        <w:rPr/>
      </w:pPr>
      <w:bookmarkStart w:id="22" w:name="__RefHeading___Toc3299576_1468164448"/>
      <w:bookmarkStart w:id="23" w:name="_Toc9"/>
      <w:bookmarkEnd w:id="22"/>
      <w:r>
        <w:rPr>
          <w:rtl w:val="true"/>
        </w:rPr>
        <w:t>موقع باب الحجج</w:t>
      </w:r>
      <w:bookmarkEnd w:id="23"/>
    </w:p>
    <w:p>
      <w:pPr>
        <w:pStyle w:val="Heading6"/>
        <w:numPr>
          <w:ilvl w:val="5"/>
          <w:numId w:val="1"/>
        </w:numPr>
        <w:rPr/>
      </w:pPr>
      <w:bookmarkStart w:id="24" w:name="__RefHeading___Toc3299578_1468164448"/>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المعروف فی الوسط الأصولی أنّ متن الأصول باب الحجج، مع اختلافهم فی مباحث الألفاظ فی أنها من علم الأصول أو بحث فی صغریات الحجج؟ والثانی أقرب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یکون البحث فی الألفاظ مقدمیاً، و إن کانت هناک محاولات من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لتصویرها من الأصول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اختلفوا فی بحوث موزّعة فی مباحث الألفاظ بدرجة أکبر، وفی الحجج بدرجة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اتفاقهم علی أنها من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المبادئ الأحکامیة کما علیه البعض، أو من المبادئ</w:t>
      </w:r>
      <w:bookmarkStart w:id="26" w:name="pg16983_380621"/>
    </w:p>
    <w:p>
      <w:pPr>
        <w:pStyle w:val="BookText"/>
        <w:rPr/>
      </w:pPr>
      <w:bookmarkEnd w:id="26"/>
      <w:r>
        <w:rPr>
          <w:rFonts w:ascii="IRNazanin" w:hAnsi="IRNazanin" w:eastAsia="IRNazanin"/>
          <w:color w:val="111111"/>
          <w:sz w:val="28"/>
          <w:sz w:val="28"/>
          <w:szCs w:val="28"/>
          <w:rtl w:val="true"/>
          <w:lang w:bidi="fa-IR"/>
        </w:rPr>
        <w:t>التصدیقیة أو التصوریة کما علیه بعض آخر؟</w:t>
      </w:r>
    </w:p>
    <w:p>
      <w:pPr>
        <w:pStyle w:val="Heading6"/>
        <w:numPr>
          <w:ilvl w:val="5"/>
          <w:numId w:val="1"/>
        </w:numPr>
        <w:rPr/>
      </w:pPr>
      <w:bookmarkStart w:id="27" w:name="__RefHeading___Toc3299580_1468164448"/>
      <w:bookmarkStart w:id="28" w:name="_Toc11"/>
      <w:bookmarkEnd w:id="27"/>
      <w:r>
        <w:rPr>
          <w:rtl w:val="true"/>
        </w:rPr>
        <w:t>صغرویة مباحث الحجج لکبری الإعتبار</w:t>
      </w:r>
      <w:bookmarkEnd w:id="28"/>
    </w:p>
    <w:p>
      <w:pPr>
        <w:pStyle w:val="BookText"/>
        <w:rPr/>
      </w:pPr>
      <w:r>
        <w:rPr>
          <w:rFonts w:ascii="IRNazanin" w:hAnsi="IRNazanin" w:eastAsia="IRNazanin"/>
          <w:color w:val="111111"/>
          <w:sz w:val="28"/>
          <w:sz w:val="28"/>
          <w:szCs w:val="28"/>
          <w:rtl w:val="true"/>
          <w:lang w:bidi="fa-IR"/>
        </w:rPr>
        <w:t xml:space="preserve">الحقّ أنّ مباحث الحجج مباحث صغرویة لبحوث کبرویة أثیرت فی مباحث الألفاظ غالباً، وهی تلک البحوث التی تناولت الإعتبار بما هو، وتحدیداً تلک التی أسماها المیرزا بالمبادئ الأحکامیة، ومقابلوه بالمبادئ التصوریة أو 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تسمیتها بالمبادئ مسامحة؛ لأنها من صلب بحث الأصول، بل من أهمّ أبوابه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کالبحث عن الحکم ومراحله وقیوده وأنواعه واصطکاکه مع حکم آخر وأشکاله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کبریات أصولیة، مصادیقها الحجج، ومصادیق بحث الحجج بعض مباحث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وتحدیداً قسم الدلالات، کدلالة الجملة الشرطیة علی المفهوم وعدمه، ودلالة صیغة الأمر وأدوات العموم و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ضیر أن یدرج فی مسائل علم واحد کبری وصغراها وصغری صغراها، فإنه ملحوظ فی کثیر من العلوم کالفلسفة والنحو و غیرها</w:t>
      </w:r>
      <w:r>
        <w:rPr>
          <w:rFonts w:eastAsia="IRNazanin" w:cs="IRNazanin"/>
          <w:color w:val="111111"/>
          <w:sz w:val="28"/>
          <w:szCs w:val="28"/>
          <w:rtl w:val="true"/>
          <w:lang w:bidi="fa-IR"/>
        </w:rPr>
        <w:t>.</w:t>
      </w:r>
    </w:p>
    <w:p>
      <w:pPr>
        <w:pStyle w:val="Heading5"/>
        <w:numPr>
          <w:ilvl w:val="4"/>
          <w:numId w:val="1"/>
        </w:numPr>
        <w:rPr/>
      </w:pPr>
      <w:bookmarkStart w:id="29" w:name="__RefHeading___Toc3299582_1468164448"/>
      <w:bookmarkStart w:id="30" w:name="_Toc12"/>
      <w:bookmarkEnd w:id="29"/>
      <w:r>
        <w:rPr>
          <w:rtl w:val="true"/>
        </w:rPr>
        <w:t>السیر المنهجی الصحیح لمباحث الأصول</w:t>
      </w:r>
      <w:bookmarkEnd w:id="30"/>
    </w:p>
    <w:p>
      <w:pPr>
        <w:pStyle w:val="Heading6"/>
        <w:numPr>
          <w:ilvl w:val="5"/>
          <w:numId w:val="1"/>
        </w:numPr>
        <w:rPr/>
      </w:pPr>
      <w:bookmarkStart w:id="31" w:name="__RefHeading___Toc3299584_1468164448"/>
      <w:bookmarkStart w:id="32" w:name="_Toc13"/>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نعم، یؤاخذ علی الأصولیین عدم السیر المنهجی فی بحث هذه المسائل، حیث إنّه لابدّ من البحث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العقلی النظری والعملی المستقل وغیر المستقل، وکبدیل فی الوقت نفسه عن بحث القطع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الإعتبار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المَقسَم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وعن الإعتبار العقلائی والشرعی، کلٌ بما هو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والبحوث التی أسموها بالمبادئ هی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ألفتنا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عن الإعتبار من حیث هو الإعتبار، وإن طبّقها الأعلام علی الحکم الواقعی، وجعلوها مقدّمات لها، کما نلحظ ذلک فی بحث</w:t>
      </w:r>
      <w:bookmarkStart w:id="33" w:name="pg16983_380623"/>
    </w:p>
    <w:p>
      <w:pPr>
        <w:pStyle w:val="BookText"/>
        <w:rPr/>
      </w:pPr>
      <w:bookmarkEnd w:id="33"/>
      <w:r>
        <w:rPr>
          <w:rFonts w:ascii="IRNazanin" w:hAnsi="IRNazanin" w:eastAsia="IRNazanin"/>
          <w:color w:val="111111"/>
          <w:sz w:val="28"/>
          <w:sz w:val="28"/>
          <w:szCs w:val="28"/>
          <w:rtl w:val="true"/>
          <w:lang w:bidi="fa-IR"/>
        </w:rPr>
        <w:t xml:space="preserve">اجتماع الأمر والنهی، واقتضاء النهی عن الفساد، مع أنها کبرویة وتنطبق حتی علی الحکم الظاهری، ومن ثمّ نجدهم یستعینون بما حققوه فی هذه المسائل فی مباحث الحجج والحکم الظاهری، کبحث الجمع بین الحکم الظاهری الواقعی، مما یکشف عن أنّ زاویة البحث فی هذه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تسمیتهم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الجهة الأعم، وإن کانت صورة وعلی مستوی التطبیق مرتبطة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 صغریات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تقدّم علی المرحلة السابقة بسبب تأثیر العقل والإعتبار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الظنون الخاصة المعتبرة، وعن تعارض الأدلّة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وإن کانت اعتبارات ولکن یتمّ فرزها لأهمیتها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الدلالات اللفظیة</w:t>
      </w:r>
    </w:p>
    <w:p>
      <w:pPr>
        <w:pStyle w:val="BookText"/>
        <w:rPr/>
      </w:pPr>
      <w:r>
        <w:rPr>
          <w:rFonts w:ascii="IRNazanin" w:hAnsi="IRNazanin" w:eastAsia="IRNazanin"/>
          <w:color w:val="111111"/>
          <w:sz w:val="28"/>
          <w:sz w:val="28"/>
          <w:szCs w:val="28"/>
          <w:rtl w:val="true"/>
          <w:lang w:bidi="fa-IR"/>
        </w:rPr>
        <w:t xml:space="preserve">وما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فهمنا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المنهج السلیم لعلم الأصول، لا ما ذکره الأعلام و جروا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التعدیلات والتطور الذی حصل فی المنهج، ولکن یبقی المنهج والتسلسل المنتظم للفکر الأصولی هو الشکل الذی ذکرناه وإن کان للأصولیین مبرّرهم أیضاً فی الجری علی المنهج المألوف عندهم</w:t>
      </w:r>
      <w:r>
        <w:rPr>
          <w:rFonts w:eastAsia="IRNazanin" w:cs="IRNazanin"/>
          <w:color w:val="111111"/>
          <w:sz w:val="28"/>
          <w:szCs w:val="28"/>
          <w:rtl w:val="true"/>
          <w:lang w:bidi="fa-IR"/>
        </w:rPr>
        <w:t>.</w:t>
      </w:r>
    </w:p>
    <w:p>
      <w:pPr>
        <w:pStyle w:val="Heading6"/>
        <w:numPr>
          <w:ilvl w:val="5"/>
          <w:numId w:val="1"/>
        </w:numPr>
        <w:rPr/>
      </w:pPr>
      <w:bookmarkStart w:id="34" w:name="__RefHeading___Toc3299586_1468164448"/>
      <w:bookmarkStart w:id="35" w:name="_Toc14"/>
      <w:bookmarkEnd w:id="34"/>
      <w:r>
        <w:rPr>
          <w:rtl w:val="true"/>
        </w:rPr>
        <w:t>سرّ تقدیم بحث الإعتبار</w:t>
      </w:r>
      <w:bookmarkEnd w:id="3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السرّ فی التعدیل الذی ذکرناه لمنهج علم الأصول، وسلامة المنهج المقترح،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قدّمنا مباحث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 والعملی، المستقل وغیر المستقل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البحث فی الحجج، وأوضحنا السرّ فی لابدّیة استبدال بحث القطع به، وأنّه هو الموصوف بالحجّیة التکوینیة لا القطع، بعد بیان مساحة کلّ منهما المستقل وغیره، فی قبال من أهمل الحدیث عنه بشکل مبوّب ومبلور؛ کما تحدّثنا وقدّمنا البحث أیضاً فی الإعتبار فی زاویة من زوایاه، وسنتحدّث عن باقی شؤونه قبل الحدیث فی الظن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السر فی کلّ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وبالذات</w:t>
      </w:r>
    </w:p>
    <w:p>
      <w:pPr>
        <w:pStyle w:val="BookText"/>
        <w:rPr/>
      </w:pPr>
      <w:r>
        <w:rPr>
          <w:rFonts w:ascii="IRNazanin" w:hAnsi="IRNazanin" w:eastAsia="IRNazanin"/>
          <w:color w:val="111111"/>
          <w:sz w:val="28"/>
          <w:sz w:val="28"/>
          <w:szCs w:val="28"/>
          <w:rtl w:val="true"/>
          <w:lang w:bidi="fa-IR"/>
        </w:rPr>
        <w:t xml:space="preserve">تقدیم بحث الإعتبار علی الظن، وترکیز الحدیث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الخلل الموجود فی المنهجة المألوفة، ویمکن ضبطه فی أمور خمسة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الأصولیین لخّصوا موضوع الحجج فی الظنون مع أنّ هناک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الأصولیین صوّروا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عنوان الإعتبار العقلائی ومتنه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الظن، ومن ثمّ بحثوها فی ذیل الظن، مع أنّ الأمر لیس کذلک؛ لأنّ الظنون تکشف عن مرادات الشارع بشکل ظنی، والإعتبار العقلائی طریق قطعی لاستکشاف مراد الشارع، ومن ثمّ کان من حقّه أن یتقدم الظن ویلحق بالقطع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الأصولیین اختزلوا البحث فی السیرة عن الإعتبار العقلائی، مع أنّنا سنری أنها من الطرق الهامة لإثبات الأحکام الشرعیة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الإعتبار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یقع محمولاً علی موضوعاته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إلی واقعی وظاهری، والأصولیون حصروا بحثهم الأصولی فی الإعتبار العقلائی الظاهری، فبحثوا عن حجّیته الشرعیة وإمضائه من قبل الشارع من دون البحث عن الواقعی، فی حین أنّ الإعتبار العقلائی الواقعی وإن کان فقهیاً، ولکن هناک بُعد أصولی فیه لابدّ من إثارته فی الأصول، وهو البحث فی آلیة اکتشاف الإمضاء، أو تحدید الضابطة والکیفیة التی علی أساسها یتمّ تحصیل الإمضاء والقطع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الأصولیین الذین تحدّثوا عن السیرة، تحدّثوا فی الواقع عن الإعتبار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فبحثوا عن إمضائه شرعاً وکیفیة اکتشافه، وأهملوا الإعتبار العقلائی فی الموضوعات، کاعتبار الإطمئنان علماً، فی حین أنه لابدّ من الحدیث عن إمضاء مثل هذا الإعتبار وعدمه أیضاً، ومن هنا تتضح وجاهة منهج مَن قدّم الحدیث فی الإطمئنان علی الظن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بحثهم فی السیرة جاء عن بُعد عرضی علی الإعتبار،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عن کنهه کما سیتبیّن</w:t>
      </w:r>
      <w:r>
        <w:rPr>
          <w:rFonts w:eastAsia="IRNazanin" w:cs="IRNazanin"/>
          <w:color w:val="111111"/>
          <w:sz w:val="28"/>
          <w:szCs w:val="28"/>
          <w:rtl w:val="true"/>
          <w:lang w:bidi="fa-IR"/>
        </w:rPr>
        <w:t>.</w:t>
      </w:r>
      <w:bookmarkStart w:id="36" w:name="pg16983_380629"/>
    </w:p>
    <w:p>
      <w:pPr>
        <w:pStyle w:val="Heading4"/>
        <w:numPr>
          <w:ilvl w:val="3"/>
          <w:numId w:val="1"/>
        </w:numPr>
        <w:rPr/>
      </w:pPr>
      <w:bookmarkStart w:id="37" w:name="__RefHeading___Toc3299588_1468164448"/>
      <w:bookmarkStart w:id="38" w:name="_Toc15"/>
      <w:bookmarkEnd w:id="36"/>
      <w:bookmarkEnd w:id="37"/>
      <w:r>
        <w:rPr/>
        <w:t>2</w:t>
      </w:r>
      <w:r>
        <w:rPr>
          <w:rtl w:val="true"/>
        </w:rPr>
        <w:t xml:space="preserve"> . </w:t>
      </w:r>
      <w:r>
        <w:rPr>
          <w:rtl w:val="true"/>
        </w:rPr>
        <w:t>المنهج المقترح فی البحث عن الإعتبار</w:t>
      </w:r>
      <w:bookmarkEnd w:id="38"/>
    </w:p>
    <w:p>
      <w:pPr>
        <w:pStyle w:val="Heading5"/>
        <w:numPr>
          <w:ilvl w:val="4"/>
          <w:numId w:val="1"/>
        </w:numPr>
        <w:rPr/>
      </w:pPr>
      <w:bookmarkStart w:id="39" w:name="__RefHeading___Toc3299590_1468164448"/>
      <w:bookmarkStart w:id="40" w:name="_Toc16"/>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الإعتبار من حیث هو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الإعتبار العقلائی، ومحاولة التعرف علی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ما اتصف من الإعتبار العقلائی بالإعتبار الشرعی، أو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الحجّیة والإمضاء الشرعی للإعتبار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حقیقة الإعتبار الشرعی فتفهم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تفهم حقیقة الإعتبار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 حقیقة الإعتبار؛ لأنّ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 والعقلائی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یکتسبها الإعتبار من خلال معتبرِه، وإلاّ فهما من حیث الحقیقة والکنه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أقسام الإعتبار الشرعی تتبلور أیضاً وتنضبط فی المرحلة الثانیة من البحث؛ لأنه یشترک مع العقلائی فی کلّ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سیتضح أکثر من ذلک، مع اتضاح نکتة الإشتراک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الأساس لم یفرد البحث مستقلاً عن الإعتبار الشرعی</w:t>
      </w:r>
      <w:r>
        <w:rPr>
          <w:rFonts w:eastAsia="IRNazanin" w:cs="IRNazanin"/>
          <w:color w:val="111111"/>
          <w:sz w:val="28"/>
          <w:szCs w:val="28"/>
          <w:rtl w:val="true"/>
          <w:lang w:bidi="fa-IR"/>
        </w:rPr>
        <w:t>.</w:t>
      </w:r>
    </w:p>
    <w:p>
      <w:pPr>
        <w:pStyle w:val="Heading5"/>
        <w:numPr>
          <w:ilvl w:val="4"/>
          <w:numId w:val="1"/>
        </w:numPr>
        <w:rPr/>
      </w:pPr>
      <w:bookmarkStart w:id="41" w:name="__RefHeading___Toc3299592_1468164448"/>
      <w:bookmarkStart w:id="42" w:name="_Toc17"/>
      <w:bookmarkEnd w:id="41"/>
      <w:r>
        <w:rPr>
          <w:rtl w:val="true"/>
        </w:rPr>
        <w:t>المرحلة الأولی</w:t>
      </w:r>
      <w:r>
        <w:rPr>
          <w:rtl w:val="true"/>
        </w:rPr>
        <w:t xml:space="preserve">: </w:t>
      </w:r>
      <w:r>
        <w:rPr>
          <w:rtl w:val="true"/>
        </w:rPr>
        <w:t>البحث فی حقیقة الإعتبار</w:t>
      </w:r>
      <w:bookmarkEnd w:id="42"/>
    </w:p>
    <w:p>
      <w:pPr>
        <w:pStyle w:val="BookText"/>
        <w:rPr/>
      </w:pPr>
      <w:r>
        <w:rPr>
          <w:rFonts w:ascii="IRNazanin" w:hAnsi="IRNazanin" w:eastAsia="IRNazanin"/>
          <w:color w:val="111111"/>
          <w:sz w:val="28"/>
          <w:sz w:val="28"/>
          <w:szCs w:val="28"/>
          <w:rtl w:val="true"/>
          <w:lang w:bidi="fa-IR"/>
        </w:rPr>
        <w:t>تقدّم الحدیث عن المرحلة الأولی من بحث الإعتبار وبشکل مسهب فی بحث القطع، حیث تحدّثنا عن حقیقته وضرورته وعلاقته مع التکوین من أکثر من جهة، کما تحدّثنا عن مساحته وحدوده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انتهینا هناک إلی أنّ الحاجة إلی الإعتبار حاجة فطریة، بعد أن کان طریق تکامل الإنسان الإختیاری و رقیّه الذی فطر علیه، من خلال الإعتبار وبواسطته، ومن هنا کانت الحاجة إلی القانون کالحاجة إلی البیان حاجة بشریة عامة تقضی بها الفطرة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والشارع جری فی تعامله مع البشر بِلُغَتَیهم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البیانیة والقانونیة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لم یستحدث لغة بیانیة خاصة وإنما اعتمد علی لغة الناس التی</w:t>
      </w:r>
      <w:bookmarkStart w:id="43" w:name="pg16983_380632"/>
    </w:p>
    <w:p>
      <w:pPr>
        <w:pStyle w:val="BookText"/>
        <w:rPr/>
      </w:pPr>
      <w:bookmarkEnd w:id="43"/>
      <w:r>
        <w:rPr>
          <w:rFonts w:ascii="IRNazanin" w:hAnsi="IRNazanin" w:eastAsia="IRNazanin"/>
          <w:color w:val="111111"/>
          <w:sz w:val="28"/>
          <w:sz w:val="28"/>
          <w:szCs w:val="28"/>
          <w:rtl w:val="true"/>
          <w:lang w:bidi="fa-IR"/>
        </w:rPr>
        <w:t>فطروا علیها، کذلک لم یستحدث نظاماً اعتباریاً ولغة قانونیة جدیدة خاصة به، وإنما وسّط لغة الإعتبار عند البشر فی بیان اعتباراته</w:t>
      </w:r>
      <w:r>
        <w:rPr>
          <w:rFonts w:eastAsia="IRNazanin" w:cs="IRNazanin"/>
          <w:color w:val="111111"/>
          <w:sz w:val="28"/>
          <w:szCs w:val="28"/>
          <w:rtl w:val="true"/>
          <w:lang w:bidi="fa-IR"/>
        </w:rPr>
        <w:t>.</w:t>
      </w:r>
    </w:p>
    <w:p>
      <w:pPr>
        <w:pStyle w:val="Heading5"/>
        <w:numPr>
          <w:ilvl w:val="4"/>
          <w:numId w:val="1"/>
        </w:numPr>
        <w:rPr/>
      </w:pPr>
      <w:bookmarkStart w:id="44" w:name="__RefHeading___Toc3299594_1468164448"/>
      <w:bookmarkStart w:id="45" w:name="_Toc18"/>
      <w:bookmarkEnd w:id="44"/>
      <w:r>
        <w:rPr>
          <w:rtl w:val="true"/>
        </w:rPr>
        <w:t>المرحلة الثانیة</w:t>
      </w:r>
      <w:r>
        <w:rPr>
          <w:rtl w:val="true"/>
        </w:rPr>
        <w:t xml:space="preserve">: </w:t>
      </w:r>
      <w:r>
        <w:rPr>
          <w:rtl w:val="true"/>
        </w:rPr>
        <w:t>البحث فی الإعتبار العقلائی</w:t>
      </w:r>
      <w:bookmarkEnd w:id="45"/>
    </w:p>
    <w:p>
      <w:pPr>
        <w:pStyle w:val="Heading6"/>
        <w:numPr>
          <w:ilvl w:val="5"/>
          <w:numId w:val="1"/>
        </w:numPr>
        <w:rPr/>
      </w:pPr>
      <w:bookmarkStart w:id="46" w:name="__RefHeading___Toc3299596_1468164448"/>
      <w:bookmarkStart w:id="47" w:name="_Toc19"/>
      <w:bookmarkEnd w:id="46"/>
      <w:r>
        <w:rPr>
          <w:rtl w:val="true"/>
        </w:rPr>
        <w:t>اشارة</w:t>
      </w:r>
      <w:bookmarkEnd w:id="47"/>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سیتمرکز حدیثنا فی هذه المرحلة عن الإعتبار العقلائی ضمن مجموعة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الإعتبار العقلائی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الحاجة إلی الإعتبار العقلائی، وموقعه من التشریع والعقل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الإعتبار العقلائی</w:t>
      </w:r>
      <w:r>
        <w:rPr>
          <w:rFonts w:eastAsia="IRNazanin" w:cs="IRNazanin"/>
          <w:color w:val="111111"/>
          <w:sz w:val="28"/>
          <w:szCs w:val="28"/>
          <w:rtl w:val="true"/>
          <w:lang w:bidi="fa-IR"/>
        </w:rPr>
        <w:t>.</w:t>
      </w:r>
    </w:p>
    <w:p>
      <w:pPr>
        <w:pStyle w:val="Heading6"/>
        <w:numPr>
          <w:ilvl w:val="5"/>
          <w:numId w:val="1"/>
        </w:numPr>
        <w:rPr/>
      </w:pPr>
      <w:bookmarkStart w:id="48" w:name="__RefHeading___Toc3299598_1468164448"/>
      <w:bookmarkStart w:id="49" w:name="_Toc20"/>
      <w:bookmarkEnd w:id="48"/>
      <w:r>
        <w:rPr>
          <w:rtl w:val="true"/>
        </w:rPr>
        <w:t>النقطة الأولی</w:t>
      </w:r>
      <w:r>
        <w:rPr>
          <w:rtl w:val="true"/>
        </w:rPr>
        <w:t xml:space="preserve">: </w:t>
      </w:r>
      <w:r>
        <w:rPr>
          <w:rtl w:val="true"/>
        </w:rPr>
        <w:t>تعریف الإعتبار العقلائی</w:t>
      </w:r>
      <w:bookmarkEnd w:id="49"/>
    </w:p>
    <w:p>
      <w:pPr>
        <w:pStyle w:val="BookText"/>
        <w:rPr/>
      </w:pPr>
      <w:r>
        <w:rPr>
          <w:rFonts w:ascii="IRNazanin" w:hAnsi="IRNazanin" w:eastAsia="IRNazanin"/>
          <w:color w:val="111111"/>
          <w:sz w:val="28"/>
          <w:sz w:val="28"/>
          <w:szCs w:val="28"/>
          <w:rtl w:val="true"/>
          <w:lang w:bidi="fa-IR"/>
        </w:rPr>
        <w:t xml:space="preserve">والمقصود منه اعتبار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قبال بما هم متشرعة، أو بما هم فی زمن خاص، أو بما هم من قطر خاص، أو بما هم عرق خاص، أو بما هم مجتمع أو فئة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الإعتبار المتولّد من عقلهم النظری الیقینی البدیهی، وإن کان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اعتبارهم بأنهم حقیقة بشریة، سواء نشأ من عاداتهم أو انفعالاتهم أو مقبولاتهم أو خلقیاتهم أو وهمهم أو عقلهم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 الأولی استبدال العنوان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البشر بما هم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کما ذکر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البشر بما هم لیسوا بمتشرعة المتزامن مع وجود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خاصاً، کما إذا کان عرقیاً أو فئویاً، فإنه کلّه یدخل تحت مصطلح إعتبار العقلاء، وإن لم یکن عاماً لکلّ البشر، حیث یکفی أن یکون إعتباراً وفی عصر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 w:name="__RefHeading___Toc3299600_1468164448"/>
      <w:bookmarkStart w:id="51" w:name="_Toc21"/>
      <w:bookmarkEnd w:id="50"/>
      <w:r>
        <w:rPr>
          <w:rtl w:val="true"/>
        </w:rPr>
        <w:t>تعدد التسمیات</w:t>
      </w:r>
      <w:bookmarkStart w:id="52" w:name="pg16983_380634"/>
      <w:bookmarkEnd w:id="51"/>
    </w:p>
    <w:p>
      <w:pPr>
        <w:pStyle w:val="BookText"/>
        <w:rPr/>
      </w:pPr>
      <w:bookmarkEnd w:id="52"/>
      <w:r>
        <w:rPr>
          <w:rFonts w:ascii="IRNazanin" w:hAnsi="IRNazanin" w:eastAsia="IRNazanin"/>
          <w:color w:val="111111"/>
          <w:sz w:val="28"/>
          <w:sz w:val="28"/>
          <w:szCs w:val="28"/>
          <w:rtl w:val="true"/>
          <w:lang w:bidi="fa-IR"/>
        </w:rPr>
        <w:t>هذا وقد تعددت التسمیات للإعتبار العقلائی کالسیرة العقلائیة، والبناء العقلائی، والإرتکاز العقلائی، أو العرفی، وحکم العقلاء، إلاّ أنها جمیعاً تشیر بالإلتزام إلی حقیقة واحدة وهی الإعتبار العقلائی، وإن کانت مطابقة تحکی صفة عرضیة له وهی الإعتیاد والتجذر والسلوک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ذکرنا أنّ بحث الأصولیین لم یتناول الإعتبار مباشرة، بل یبحث عن کنهه و حقیقته من خلال أعراضه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البحث عن کنه الشیء مباشرة أجدر من البحث عنه بواسطة أعراضه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کان هذا واحداً من العوامل التی جعلتنا نعنون البحث بالإعتبار، ونبحث فی صلبه ومتنه مباشرة بدلاً من البحث عن السیرة والإرتکاز</w:t>
      </w:r>
      <w:r>
        <w:rPr>
          <w:rFonts w:eastAsia="IRNazanin" w:cs="IRNazanin"/>
          <w:color w:val="111111"/>
          <w:sz w:val="28"/>
          <w:szCs w:val="28"/>
          <w:rtl w:val="true"/>
          <w:lang w:bidi="fa-IR"/>
        </w:rPr>
        <w:t>.</w:t>
      </w:r>
    </w:p>
    <w:p>
      <w:pPr>
        <w:pStyle w:val="Heading6"/>
        <w:numPr>
          <w:ilvl w:val="5"/>
          <w:numId w:val="1"/>
        </w:numPr>
        <w:rPr/>
      </w:pPr>
      <w:bookmarkStart w:id="53" w:name="__RefHeading___Toc3299602_1468164448"/>
      <w:bookmarkStart w:id="54" w:name="_Toc22"/>
      <w:bookmarkEnd w:id="53"/>
      <w:r>
        <w:rPr>
          <w:rtl w:val="true"/>
        </w:rPr>
        <w:t>النقطة الثانیة</w:t>
      </w:r>
      <w:r>
        <w:rPr>
          <w:rtl w:val="true"/>
        </w:rPr>
        <w:t xml:space="preserve">: </w:t>
      </w:r>
      <w:r>
        <w:rPr>
          <w:rtl w:val="true"/>
        </w:rPr>
        <w:t>وجه الحاجة إلی الإعتبار العقلائی وموقعه من التشریع والعقل</w:t>
      </w:r>
      <w:bookmarkEnd w:id="54"/>
    </w:p>
    <w:p>
      <w:pPr>
        <w:pStyle w:val="BookText"/>
        <w:rPr/>
      </w:pPr>
      <w:r>
        <w:rPr>
          <w:rFonts w:ascii="IRNazanin" w:hAnsi="IRNazanin" w:eastAsia="IRNazanin"/>
          <w:color w:val="111111"/>
          <w:sz w:val="28"/>
          <w:sz w:val="28"/>
          <w:szCs w:val="28"/>
          <w:rtl w:val="true"/>
          <w:lang w:bidi="fa-IR"/>
        </w:rPr>
        <w:t>فقد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ظاهرة النبوة رافقت البشریة من بدایة وجودها، وإنّ العقل الإنسانی بعد أن وجد نفسه عاجزاً عن إدراک ملاکات الأفعال وکمالاتها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البدیهیات العامة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بضرورة الرجوع إلی العقل الکلّی المحیط، ومع هذا کیف وجد الإعتبار العقلائی مجالاً لنفسه؟</w:t>
      </w:r>
    </w:p>
    <w:p>
      <w:pPr>
        <w:pStyle w:val="BookText"/>
        <w:rPr/>
      </w:pPr>
      <w:r>
        <w:rPr>
          <w:rFonts w:ascii="IRNazanin" w:hAnsi="IRNazanin" w:eastAsia="IRNazanin"/>
          <w:color w:val="111111"/>
          <w:sz w:val="28"/>
          <w:sz w:val="28"/>
          <w:szCs w:val="28"/>
          <w:rtl w:val="true"/>
          <w:lang w:bidi="fa-IR"/>
        </w:rPr>
        <w:t>ثم إنّ دور الإعتبار الشرعی هل یتلخص فی تکمیل الإعتبار العقلائی وترمیمه، أو أنه تأسیسی؟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البشریة جمیعاً لم یتابعوا الأنبیاء فکانوا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ضرورة الإعتبار والحاجة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 قانون هم یضعوه یلبّی حاجاتهم ویسدّ الفراغ فی مجتمعاتهم، ومن هنا لم یکن کلّ الموروث البشری من القانون المشترک موروثاً دینیاً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البشریة وجدت وهی تحمل رسول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قادر علی إدراک الکلّیات من العقل النظری والعملی، وعلی ضوء هذا الإدراک تتحرک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عندما تأخذ هذه الکلّیات بالنزول یعجز العقل عن إدراکها، فتبدأ منطقة الإعتبار ویکون هو الباعث للإنسان نحو تحصیل حاجاته، فإمّا أن یلتجئ إلی خالق العقل أو یتوجّه نحو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وجدت ظاهرة اعتبار العقلاء التی هی نتیجة التمرد علی اعتبار الشارع،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ألفتنا فی الفقرة السابقة وفی بحث الإعتبار أنّ التشریع الإلهی قد ملأ کلّ الفراغات التی لا یصل إلیها العقل بالیقین الإدراکی، ولکن طبیعة التشریع السماوی أنه لا یتناول کلّ مدرجات الفعل الإنسانی، وإنما یقتصر علی کلّیاتها أیضاً کالعقل، ولکن بفارق أنّ الکلّیات التی یتناولها التشریع أخص من الکلّیات التی یدرکها العقل، ومن التی یعجز العقل عن إدراک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یتبقی من الأفعال التی لم تنلها ید التشریع ولم یدرکها العقل متروکة لاعتبار العقلاء وتقنینهم لها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فالإعتبار العقلائی یأتی فی الرتبة الثالثة بعد الشرع والعقل، ومن لم یتقید منهم بالشرع الظاهر یوسّع دائرة اعتباراته لتلک المساحة أیضاً</w:t>
      </w:r>
      <w:r>
        <w:rPr>
          <w:rFonts w:eastAsia="IRNazanin" w:cs="IRNazanin"/>
          <w:color w:val="111111"/>
          <w:sz w:val="28"/>
          <w:szCs w:val="28"/>
          <w:rtl w:val="true"/>
          <w:lang w:bidi="fa-IR"/>
        </w:rPr>
        <w:t>.</w:t>
      </w:r>
      <w:r>
        <w:rPr>
          <w:rStyle w:val="FootnoteAnchor"/>
          <w:rtl w:val="true"/>
        </w:rPr>
        <w:footnoteReference w:id="3"/>
      </w:r>
      <w:bookmarkStart w:id="55" w:name="pg16983_380638"/>
    </w:p>
    <w:p>
      <w:pPr>
        <w:pStyle w:val="BookText"/>
        <w:rPr/>
      </w:pPr>
      <w:bookmarkEnd w:id="55"/>
      <w:r>
        <w:rPr>
          <w:rFonts w:ascii="IRNazanin" w:hAnsi="IRNazanin" w:eastAsia="IRNazanin"/>
          <w:color w:val="111111"/>
          <w:sz w:val="28"/>
          <w:sz w:val="28"/>
          <w:szCs w:val="28"/>
          <w:rtl w:val="true"/>
          <w:lang w:bidi="fa-IR"/>
        </w:rPr>
        <w:t>ومن هنا یعرف أنّ الدین والشریعة لا یمکن أن تناقض مدرکات العقل البدیهیة لأنها صرحها، وأنّ الإعتبار العقلائی لا یمکن أن یناقض التشریعی لأنه صرحه</w:t>
      </w:r>
      <w:r>
        <w:rPr>
          <w:rFonts w:eastAsia="IRNazanin" w:cs="IRNazanin"/>
          <w:color w:val="111111"/>
          <w:sz w:val="28"/>
          <w:szCs w:val="28"/>
          <w:rtl w:val="true"/>
          <w:lang w:bidi="fa-IR"/>
        </w:rPr>
        <w:t>.</w:t>
      </w:r>
    </w:p>
    <w:p>
      <w:pPr>
        <w:pStyle w:val="Heading6"/>
        <w:numPr>
          <w:ilvl w:val="5"/>
          <w:numId w:val="1"/>
        </w:numPr>
        <w:rPr/>
      </w:pPr>
      <w:bookmarkStart w:id="56" w:name="__RefHeading___Toc3299604_1468164448"/>
      <w:bookmarkStart w:id="57" w:name="_Toc23"/>
      <w:bookmarkEnd w:id="56"/>
      <w:r>
        <w:rPr>
          <w:rtl w:val="true"/>
        </w:rPr>
        <w:t>النقطة الثالثة</w:t>
      </w:r>
      <w:r>
        <w:rPr>
          <w:rtl w:val="true"/>
        </w:rPr>
        <w:t xml:space="preserve">: </w:t>
      </w:r>
      <w:r>
        <w:rPr>
          <w:rtl w:val="true"/>
        </w:rPr>
        <w:t>تقسیمات الإعتبار العقلائی</w:t>
      </w:r>
      <w:bookmarkEnd w:id="57"/>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الإعتبار العقلائی إلی واقعی و ظاهری ، وبالتالی سیأخذ کلّ الأقسام التی ینقسم إلیها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تکلیفی ووضعی، تعبدی وتوصلی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أمارة وأصل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طبیعی بعد أن نعرف أنّ هذا التقسیم إنما هو للإعتبار ولا یخص الشرعی، وأنّ تقیید الإعتبار بالشرعی أو العقلائی أو أی فئة أخری إنما هو بلحاظ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التقسیمات نلحظها فی العقل الذی هو مبدء الإعتبار، بعد أن کان الإعتبار علی صلة بالتکوین ومقتنص منه، فأقسامه مستلّة عن التکوین ولیست هی من اختراع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ما ذکرناه من أقسام للحکم الشرعی و مراحل وقیود کلّها نجدها فی الإعتبار العقلائی، حتی التعبدیات حیث نلمس عند العقلاء قوانین تخص هذا المجال ولکن بمعناه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الاحترام والتعظیم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بلوره الشهید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العقلائی تارة یکون تأسیساً لحکم واقعی أو ظاهری کاعتبار خبر الواحد حجّة، أو اعتبار الضمان علی المباشر مع أقوائیته، ومثل هذا الإعتبار هو الذی یکون موضوعاً مباشرة لإمضاء الشارع لو 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یوجد الإعتبار العقلائی صغری لکبری شرعیة، کالمؤمنون عند شروطهم، فیتبانی العقلاء علی شرط معیّن کعدم الغبن عند المعاملة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المثال الصحیح لهذا القسم هو الحقوق المستجدة علی کثرتها، فإنها جمیعاً اعتبارات عقلائیة لاعتبار شرعی 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أخذ فی موضوعه الشروط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إمضاء مثل هذه الإعتبارات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هذا الطریق وهو صغرویتها للإعتبار الشرعی، وإن کان هناک طریق آخر لاکتشاف إمضاء هذه المستجدات من الإعتبارات العقلائیة، و هو النقل التجزیئی والتبعیضی للملکیة، بمعنی أنّا إذا فتحنا باب التبعیض فی الملکیة والنقل المبعّض، فالحقّ العقلائی صغری للبعض، فإنّ نقله نقل تبعیضی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مهم جداً؛ لأنّ عامل تغیّر الزمان و المکان مقبول فی الفقه فی هذا الشق، فإنّ ما یستجد من اعتبارات صغرویة لاعتبار شرعی یکون شرعیاً وممضی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غیر باب تجدّد الموضوعات، فإنه أضیق ومحدود بالنسبة إلی القسم المشار إلیه الذی یشمل الموضوعات الصغرویة والجزئیة بعناوینها المختلفة والمتنوعة المندرجة تحت عنوان عام کبروی کالشروط، فإنه یضم تحته أنواع متعددة وأسناخ متکثرة، فی حین أنه لا یقصد من استجداد الموضوعات واستحداثها سوی تجدّد مصادیق مماثلة للمصادیق الأخری فی العنوان، کحدوث بیع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قسم ثالث یشترک مع سابقه فی أنه ایجاد صغری لکبری شرعیة، إلاّ أنه یختلف عنه فی عدم عمومیته لکلّ العقلاء وملزمیته لهم، بمعنی أنه تابع للإختیار فیمکن الخروج عنه بخلاف الثانی فإنه یکون ملزماً ولا یمکن لأحد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الثالث الغبن الذی صنّفه السیّد الصدر مثالاً للثانی، حیث یمکن للبائع أن یخرج من هذا الإعتبار بإسقاطه فی العقد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معاشرة الزوجة بالمعروف، فإنّ کلّ معروف صغروی یتبانی علیه العقلاء فی زمن أو مکان معیّن یدخل تحت الکبری الشرعیة التی أخذ فی موضوعها المعروف عند العقلاء، فیکون ممضی وملزماً للزوج</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شقّ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 للغایة لم یذکره السیّد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الإعتبارات العقلائیة الصغرویة المندرجة تحت اعتبار عقلائی کبروی قدیم ومتجذر ممضی فی غالب أمثلته</w:t>
      </w:r>
      <w:r>
        <w:rPr>
          <w:rStyle w:val="FootnoteAnchor"/>
          <w:rtl w:val="true"/>
        </w:rPr>
        <w:footnoteReference w:id="5"/>
      </w:r>
      <w:r>
        <w:rPr>
          <w:rFonts w:ascii="IRNazanin" w:hAnsi="IRNazanin" w:eastAsia="IRNazanin"/>
          <w:color w:val="111111"/>
          <w:sz w:val="28"/>
          <w:sz w:val="28"/>
          <w:szCs w:val="28"/>
          <w:rtl w:val="true"/>
          <w:lang w:bidi="fa-IR"/>
        </w:rPr>
        <w:t>، وقد لا نحرز مثل الإطمئنان علی ما سیأتی تفصیله بعدُ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وننوّه إلی أنه لا یقصد من الصغرویة الجزئی الحقیقی أو الإضافی المحدود بباب فقهی فقط، وإنما الجزئی الإضافی مطلقاً، ولو کان وسیعاً منتشراً فی أبواب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بلوره 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الإعتبار تارة یکون أدبیاً ، وأخری قانونیاً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یعتبره المتکلّم کشأن من شؤون دلالات الکلام، کالإعتبارات الموجودة فی باب الإستعارة والتمثیل وغیرها 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بالجعل والحکم، وقد أَلْفَتَ هذا العَلَم إلی فوائد هذا التقسیم والخلط الذی وقع فیه الکثیر من الأعلام فی کثیر من الأمثلة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جذر 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فی کلمات الشیخ العراقی حین فرّق بین الحکومة الدلالیة والحکومة من سنخ الجعل،</w:t>
      </w:r>
      <w:bookmarkStart w:id="58" w:name="pg16983_380644"/>
    </w:p>
    <w:p>
      <w:pPr>
        <w:pStyle w:val="BookText"/>
        <w:rPr/>
      </w:pPr>
      <w:bookmarkEnd w:id="58"/>
      <w:r>
        <w:rPr>
          <w:rFonts w:ascii="IRNazanin" w:hAnsi="IRNazanin" w:eastAsia="IRNazanin"/>
          <w:color w:val="111111"/>
          <w:sz w:val="28"/>
          <w:sz w:val="28"/>
          <w:szCs w:val="28"/>
          <w:rtl w:val="true"/>
          <w:lang w:bidi="fa-IR"/>
        </w:rPr>
        <w:t>وفرّق بین آثار کلّ منهما، فهو الذی فتح الطریق للتفرقة بین العالمین وآثارهما</w:t>
      </w:r>
      <w:r>
        <w:rPr>
          <w:rFonts w:eastAsia="IRNazanin" w:cs="IRNazanin"/>
          <w:color w:val="111111"/>
          <w:sz w:val="28"/>
          <w:szCs w:val="28"/>
          <w:rtl w:val="true"/>
          <w:lang w:bidi="fa-IR"/>
        </w:rPr>
        <w:t>.</w:t>
      </w:r>
    </w:p>
    <w:p>
      <w:pPr>
        <w:pStyle w:val="Heading6"/>
        <w:numPr>
          <w:ilvl w:val="5"/>
          <w:numId w:val="1"/>
        </w:numPr>
        <w:rPr/>
      </w:pPr>
      <w:bookmarkStart w:id="59" w:name="__RefHeading___Toc3299606_1468164448"/>
      <w:bookmarkStart w:id="60" w:name="_Toc24"/>
      <w:bookmarkEnd w:id="59"/>
      <w:r>
        <w:rPr>
          <w:rtl w:val="true"/>
        </w:rPr>
        <w:t>الفوارق بین الإعتبار الأدبی والإعتبار القانونی</w:t>
      </w:r>
      <w:bookmarkEnd w:id="60"/>
    </w:p>
    <w:p>
      <w:pPr>
        <w:pStyle w:val="BookText"/>
        <w:rPr/>
      </w:pPr>
      <w:r>
        <w:rPr>
          <w:rFonts w:ascii="IRNazanin" w:hAnsi="IRNazanin" w:eastAsia="IRNazanin"/>
          <w:color w:val="111111"/>
          <w:sz w:val="28"/>
          <w:sz w:val="28"/>
          <w:szCs w:val="28"/>
          <w:rtl w:val="true"/>
          <w:lang w:bidi="fa-IR"/>
        </w:rPr>
        <w:t>ولإیضاح مساحة کلّ منهما نشیر إلی الفوارق التالیة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الإعتبار فی عالم الدلالة والظهور لیس إنشاء، وفی عالم الجعل والقانون إنشاء ومنشأ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خاصیة الإعتبار فی عالم الدلالة الکاشفیة، فی حین أنّ الإعتبار القانونی اعتبار فی نفسه، وله موضوعیة حتی الظاهری منه، فإنه مع طریقیته له موضوعیة، وتترتب علیه آثار کالإجزاء والتعذیر والتنجیز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الإعتبار الأدبی من شؤون فهم أصل مراد الشارع، فی حین أنّ القانونی هو مراد الشارع المنکشف النهائی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الإعتبار الأدبی من صغریات الظهور، بمعنی أنه بمجموعه موضوعاً ومحمولاً یشکّل عقد الوضع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 الإعتبار القانونی یتناول المحرک وأجزاء الموضوع المأخوذ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الإعتبار الأدبی أول ما یواجه الفقیه فی مراحل استنباطه، ثمّ یتجاوزه إلی عالم المعنی الذی هو إمّا تکوینی أو اعتبار قانونی</w:t>
      </w:r>
      <w:r>
        <w:rPr>
          <w:rFonts w:eastAsia="IRNazanin" w:cs="IRNazanin"/>
          <w:color w:val="111111"/>
          <w:sz w:val="28"/>
          <w:szCs w:val="28"/>
          <w:rtl w:val="true"/>
          <w:lang w:bidi="fa-IR"/>
        </w:rPr>
        <w:t>.</w:t>
      </w:r>
    </w:p>
    <w:p>
      <w:pPr>
        <w:pStyle w:val="Heading6"/>
        <w:numPr>
          <w:ilvl w:val="5"/>
          <w:numId w:val="1"/>
        </w:numPr>
        <w:rPr/>
      </w:pPr>
      <w:bookmarkStart w:id="61" w:name="__RefHeading___Toc3299608_1468164448"/>
      <w:bookmarkStart w:id="62" w:name="_Toc25"/>
      <w:bookmarkEnd w:id="61"/>
      <w:r>
        <w:rPr>
          <w:rtl w:val="true"/>
        </w:rPr>
        <w:t>اقتصار العامة علی البُعد الأدبی</w:t>
      </w:r>
      <w:bookmarkEnd w:id="62"/>
    </w:p>
    <w:p>
      <w:pPr>
        <w:pStyle w:val="BookText"/>
        <w:rPr/>
      </w:pPr>
      <w:r>
        <w:rPr>
          <w:rFonts w:ascii="IRNazanin" w:hAnsi="IRNazanin" w:eastAsia="IRNazanin"/>
          <w:color w:val="111111"/>
          <w:sz w:val="28"/>
          <w:sz w:val="28"/>
          <w:szCs w:val="28"/>
          <w:rtl w:val="true"/>
          <w:lang w:bidi="fa-IR"/>
        </w:rPr>
        <w:t>والمتأمل فی طریقة المفسّرین وأهل الحدیث من علماء العامة یجدهم أنهم یقتصرون فی بحوثهم علی البُعد الأدبی وتحدید الدلالات اللفظیة، مع الإغماض عن المرحلة الثانیة وهی البحث فی عالم المعنی، والذی هو لبّ البحث وذو المقدمة، وربما کان ذلک بسبب شعورهم أنّ هذه المرحلة تقودهم إلی خلاف مذهبهم وتوصلهم إلی الحق الذی أعرضوا عنه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الفصل الدقیق بین نوعی الإعتبار الأدبی</w:t>
      </w:r>
      <w:bookmarkStart w:id="63" w:name="pg16983_380647"/>
    </w:p>
    <w:p>
      <w:pPr>
        <w:pStyle w:val="BookText"/>
        <w:rPr/>
      </w:pPr>
      <w:bookmarkEnd w:id="63"/>
      <w:r>
        <w:rPr>
          <w:rFonts w:ascii="IRNazanin" w:hAnsi="IRNazanin" w:eastAsia="IRNazanin"/>
          <w:color w:val="111111"/>
          <w:sz w:val="28"/>
          <w:sz w:val="28"/>
          <w:szCs w:val="28"/>
          <w:rtl w:val="true"/>
          <w:lang w:bidi="fa-IR"/>
        </w:rPr>
        <w:t>والقانونی یوصلنا إلی أنّ البحث فی الإعتبار الأدبی لیس من الأصول بعد أن کان الأصول قراءة فی لغة القانون فیخص الإعتبار القانونی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إضافة نکتة نصلح بها الکلّیة التی ذکروها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 شأن دلالی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Heading6"/>
        <w:numPr>
          <w:ilvl w:val="5"/>
          <w:numId w:val="1"/>
        </w:numPr>
        <w:rPr/>
      </w:pPr>
      <w:bookmarkStart w:id="64" w:name="__RefHeading___Toc3299610_1468164448"/>
      <w:bookmarkStart w:id="65" w:name="_Toc26"/>
      <w:bookmarkEnd w:id="64"/>
      <w:r>
        <w:rPr>
          <w:rtl w:val="true"/>
        </w:rPr>
        <w:t>دور علم المعانی فی علم الأصول</w:t>
      </w:r>
      <w:bookmarkEnd w:id="65"/>
    </w:p>
    <w:p>
      <w:pPr>
        <w:pStyle w:val="BookText"/>
        <w:rPr/>
      </w:pPr>
      <w:r>
        <w:rPr>
          <w:rFonts w:ascii="IRNazanin" w:hAnsi="IRNazanin" w:eastAsia="IRNazanin"/>
          <w:color w:val="111111"/>
          <w:sz w:val="28"/>
          <w:sz w:val="28"/>
          <w:szCs w:val="28"/>
          <w:rtl w:val="true"/>
          <w:lang w:bidi="fa-IR"/>
        </w:rPr>
        <w:t xml:space="preserve">أنه لابدّ من استثناء شطر من علوم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کحدّ أدنی، وهو علم المعانی من العلوم الأدبیة وعالم الظهور والدلالة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سنخ علم یبحث عن المعنی بما هو هو، وعن الإنتقال من معنی إلی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أقرّ هذه الحقیقة خبراء الأدب الفارسی؛ حیث ذکروا أنّ علم المعانی فی العربیة خدم اللغة الفارسیة أیضاً، فهو جزء من لغة القانون ونواة علم الأصول، حیث إنّ علم الأصول بدء بحوثاً موسّعة فی علم المعانی بعد أن وجد أنها تعنی بالقراءة القانونیة أو المعانی التکوینیة الخبریة</w:t>
      </w:r>
      <w:r>
        <w:rPr>
          <w:rFonts w:eastAsia="IRNazanin" w:cs="IRNazanin"/>
          <w:color w:val="111111"/>
          <w:sz w:val="28"/>
          <w:szCs w:val="28"/>
          <w:rtl w:val="true"/>
          <w:lang w:bidi="fa-IR"/>
        </w:rPr>
        <w:t>.</w:t>
      </w:r>
    </w:p>
    <w:p>
      <w:pPr>
        <w:pStyle w:val="Heading6"/>
        <w:numPr>
          <w:ilvl w:val="5"/>
          <w:numId w:val="1"/>
        </w:numPr>
        <w:rPr/>
      </w:pPr>
      <w:bookmarkStart w:id="66" w:name="__RefHeading___Toc3299612_1468164448"/>
      <w:bookmarkStart w:id="67" w:name="_Toc27"/>
      <w:bookmarkEnd w:id="66"/>
      <w:r>
        <w:rPr>
          <w:rtl w:val="true"/>
        </w:rPr>
        <w:t>مبرّرات منهج الأصول السائد فی تصدیر مباحث الألفاظ‌</w:t>
      </w:r>
      <w:bookmarkEnd w:id="67"/>
    </w:p>
    <w:p>
      <w:pPr>
        <w:pStyle w:val="BookText"/>
        <w:rPr/>
      </w:pPr>
      <w:r>
        <w:rPr>
          <w:rFonts w:ascii="IRNazanin" w:hAnsi="IRNazanin" w:eastAsia="IRNazanin"/>
          <w:color w:val="111111"/>
          <w:sz w:val="28"/>
          <w:sz w:val="28"/>
          <w:szCs w:val="28"/>
          <w:rtl w:val="true"/>
          <w:lang w:bidi="fa-IR"/>
        </w:rPr>
        <w:t>وبهذا یفهم واحدة من مبرّرات منهجة الأصول السائدة وتصدیرها بمباحث الألفاظ التی جلّها بحوث معانی موسّعة، فلیس إلاّ المبرّر التاریخی؛ حیث إنّ البحوث المشار إلیها کانت بدایة الأصول و أمّا الحجج فلا تجد لها مساحة تذکر فی کتب الأقدمین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ومبرّر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مباحث الألفاظ تنقّح موضوع الحجّیة وهو الظهور، ومن ثَمّ قدّمت</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3299614_1468164448"/>
      <w:bookmarkStart w:id="69" w:name="_Toc28"/>
      <w:bookmarkEnd w:id="68"/>
      <w:r>
        <w:rPr>
          <w:rtl w:val="true"/>
        </w:rPr>
        <w:t>ثمرة تقسیم الإعتبار إلی أدبی وقانونی</w:t>
      </w:r>
      <w:bookmarkEnd w:id="69"/>
    </w:p>
    <w:p>
      <w:pPr>
        <w:pStyle w:val="BookText"/>
        <w:rPr/>
      </w:pPr>
      <w:r>
        <w:rPr>
          <w:rFonts w:ascii="IRNazanin" w:hAnsi="IRNazanin" w:eastAsia="IRNazanin"/>
          <w:color w:val="111111"/>
          <w:sz w:val="28"/>
          <w:sz w:val="28"/>
          <w:szCs w:val="28"/>
          <w:rtl w:val="true"/>
          <w:lang w:bidi="fa-IR"/>
        </w:rPr>
        <w:t>بعد کلّ هذا یتساءل عن الثمرة فی تقسیم الإعتبار إلی أدبی وقانونی، وترکیز الفرق بینهما وتأکیده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الثمرة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w:t>
      </w:r>
      <w:bookmarkStart w:id="70" w:name="pg16983_380649"/>
    </w:p>
    <w:p>
      <w:pPr>
        <w:pStyle w:val="BookText"/>
        <w:rPr/>
      </w:pPr>
      <w:bookmarkEnd w:id="70"/>
      <w:r>
        <w:rPr>
          <w:rFonts w:ascii="IRNazanin" w:hAnsi="IRNazanin" w:eastAsia="IRNazanin"/>
          <w:color w:val="111111"/>
          <w:sz w:val="28"/>
          <w:sz w:val="28"/>
          <w:szCs w:val="28"/>
          <w:rtl w:val="true"/>
          <w:lang w:bidi="fa-IR"/>
        </w:rPr>
        <w:t xml:space="preserve">یفهمها الأعلام أنّ مفادها المطابقی جعل، حتی ذکر الشیخ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الأعلام خلطوا بین البُعد الأدبی والقانونی فی المفاد المطابقی، فإنه بُعد دلالی والمنکشف النهائی و الإعتبار القانونی هو معنی کنائی وهو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ذکره الآخوند من خلط الأعلام بین البعدین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المفاد المطابقی، حیث تصوّروه هو المجعول، وبالتالی سیکون حکماً ظاهریاً، فی حین أنّ المجعول معنی کنائی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توسعة ما هو شرط فی الصلاة أو جواز الأکل وأنّه عدم العلم بالنجاسة، ومن ثمّ فهو أخذ للطهارة الظاهریة فی الشرط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المفاد المطابقی شأن دلالی لیس مراداً جدّاً ولا المنکشف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ما تقدّم یمکن فهم مقولة الشیخ الإصفهانی من أنّ السِیَر والإرتکازات کالأحکام العقلیة لا تعارض بینها ولا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ارتضاها کثیر ممن جاء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المقولة ترجع إلی أنّ الإعتبارات العقلائیة من سنخ القانون ومن ثمّ لا تقع التنافیات المذکورة بینها؛ لأنها من شؤون الدلالة والإعتبار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الکلام یأتی فی الحکم الشرعی، فإنه لا یوجد فیها تعارض وتخصیص ما وراء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توجد تنافیات خاصة بها، کالتزاحم الملاکی والحکومة والورود، فإنها من شؤون القانون، ومن هنا یفهم لِمَ لا یوجد تخصیص فی الأحکام العقلیة ولا تعارض، وذلک لأنها متن الواقع لا دلالة</w:t>
      </w:r>
      <w:r>
        <w:rPr>
          <w:rFonts w:eastAsia="IRNazanin" w:cs="IRNazanin"/>
          <w:color w:val="111111"/>
          <w:sz w:val="28"/>
          <w:szCs w:val="28"/>
          <w:rtl w:val="true"/>
          <w:lang w:bidi="fa-IR"/>
        </w:rPr>
        <w:t>.</w:t>
      </w:r>
    </w:p>
    <w:p>
      <w:pPr>
        <w:pStyle w:val="Heading6"/>
        <w:numPr>
          <w:ilvl w:val="5"/>
          <w:numId w:val="1"/>
        </w:numPr>
        <w:rPr/>
      </w:pPr>
      <w:bookmarkStart w:id="71" w:name="__RefHeading___Toc3299616_1468164448"/>
      <w:bookmarkStart w:id="72" w:name="_Toc29"/>
      <w:bookmarkEnd w:id="71"/>
      <w:r>
        <w:rPr>
          <w:rtl w:val="true"/>
        </w:rPr>
        <w:t>علم المعصوم بالحکم الشرعی</w:t>
      </w:r>
      <w:bookmarkEnd w:id="7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تذکر نکتة فی بحث العقائد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ینقل حکماً معیناً من قناة النور، أو من الجامعة، أو من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ینقلها عبر قنوات الدلالة، ومنها یصل إلی متن الحکم، فیعمل حینها التخصیص وقواعد التعارض وکلّ شؤون الدلالة،</w:t>
      </w:r>
      <w:bookmarkStart w:id="73" w:name="pg16983_380651"/>
    </w:p>
    <w:p>
      <w:pPr>
        <w:pStyle w:val="BookText"/>
        <w:rPr/>
      </w:pPr>
      <w:bookmarkEnd w:id="73"/>
      <w:r>
        <w:rPr>
          <w:rFonts w:ascii="IRNazanin" w:hAnsi="IRNazanin" w:eastAsia="IRNazanin"/>
          <w:color w:val="111111"/>
          <w:sz w:val="28"/>
          <w:sz w:val="28"/>
          <w:szCs w:val="28"/>
          <w:rtl w:val="true"/>
          <w:lang w:bidi="fa-IR"/>
        </w:rPr>
        <w:t>فیکون المتن المنکشف ظنیاً؟ أو أنه یصل إلی متن الحکم مباشرة لا من خلال الألفاظ وإنما من خلال التسدید والعلم اللدنی؟</w:t>
      </w:r>
    </w:p>
    <w:p>
      <w:pPr>
        <w:pStyle w:val="BookText"/>
        <w:rPr/>
      </w:pPr>
      <w:r>
        <w:rPr>
          <w:rFonts w:ascii="IRNazanin" w:hAnsi="IRNazanin" w:eastAsia="IRNazanin"/>
          <w:color w:val="111111"/>
          <w:sz w:val="28"/>
          <w:sz w:val="28"/>
          <w:szCs w:val="28"/>
          <w:rtl w:val="true"/>
          <w:lang w:bidi="fa-IR"/>
        </w:rPr>
        <w:t>الحق هو الثانی، وستنفع هذه الأمارة فی معالجة إشکالیة حدیثة تتناول کیفیة استنباط الفقهاء، یأتی ذکرها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شأن الإعتبار العقلائی شأن بقیة الإعتبارات ینقسم مثلها إلی قوانین عقلائیة 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التشریعات الدستوریة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متوسطة کالتشریعات البرلمانیة وتشریعات خاصة بفصل الخصومات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الإعتبارات القضائیة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وتشریعات خاصة بالقوة الإجرائیة التنفیذیة، والتی یعتمدها الوالی فی أحکامه الولویة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قسم له اعتبارات ظاهریة و واقعیة، وقد أخذ هذا التقسیم طریقه إلی الفقه علی مستوی التمییز والإثبات بعد أن لم یکن الفقهاء یمیّزون بین التشریعات المرتبطة بالولاة والتشریعات الثابتة، فیتعاملون مع الجمیع علی اساس أنه تشریع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الإمضاء لا یخص التشریعات العقلائیة الثابتة، ومن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من نصف کتاب القضاء للمحقق الحلّی اعتبارات عقلائیة ممضاة، وفی کتاب الجهاد والأمر بالمعروف تجد الکثیر من القواعد المرتبطة بالقوة الإجرائیة عقلائیة ممضاة</w:t>
      </w:r>
      <w:r>
        <w:rPr>
          <w:rFonts w:eastAsia="IRNazanin" w:cs="IRNazanin"/>
          <w:color w:val="111111"/>
          <w:sz w:val="28"/>
          <w:szCs w:val="28"/>
          <w:rtl w:val="true"/>
          <w:lang w:bidi="fa-IR"/>
        </w:rPr>
        <w:t>.</w:t>
      </w:r>
    </w:p>
    <w:p>
      <w:pPr>
        <w:pStyle w:val="Heading5"/>
        <w:numPr>
          <w:ilvl w:val="4"/>
          <w:numId w:val="1"/>
        </w:numPr>
        <w:rPr/>
      </w:pPr>
      <w:bookmarkStart w:id="74" w:name="__RefHeading___Toc3299618_1468164448"/>
      <w:bookmarkStart w:id="75" w:name="_Toc30"/>
      <w:bookmarkEnd w:id="74"/>
      <w:r>
        <w:rPr>
          <w:rtl w:val="true"/>
        </w:rPr>
        <w:t>المرحلة الثالثة</w:t>
      </w:r>
      <w:r>
        <w:rPr>
          <w:rtl w:val="true"/>
        </w:rPr>
        <w:t xml:space="preserve">: </w:t>
      </w:r>
      <w:r>
        <w:rPr>
          <w:rtl w:val="true"/>
        </w:rPr>
        <w:t>فی الإمضاء الشرعی للاعتبار العقلائی</w:t>
      </w:r>
      <w:bookmarkEnd w:id="75"/>
    </w:p>
    <w:p>
      <w:p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نبحث فی هذه المرحلة عن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الإمضاء فی التقسیم الأول بعد أن کانت الأقسام الأخری تدخل فیه بنحو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موجز للأدلّة التی ذکرت فی الإمضاء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رجوعه إلی حکم العقل النظری أو العملی، وهو حجّة فی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ولم نعثر علی أحد قد ذکر هذا 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الشیخ الإصفهانی من أنّ الإعتبارات المستجدة ترجع إلی إعتبارات عقلائیة کلیة فطر علیها البشر، والشارع قد أمضاها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صغریات الإعتبار الشرعی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الشارع أَوْکَل ما زاد علی تشریعه إلی اعتبار العقلاء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الشارع أمضی اعتبار العقلاء بملاک حجّیة الإطمئنان، وبالتالی کلّ ما یولّد اطمئناناً من اعتبارات العقلاء فهو حجّة، فیکون الإطمئنان مَصنَعَ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وبدءاً نؤکّد أنّ واحدة من الشروط الأساسیة فی حجّیة الإعتبار العقلائی هو عدم مخالفته ومضادّته للکتاب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ألفت الفقهاء فی بحث الخیارات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أحکام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الشرط، و اختاروا هذا الموقع لذکر هذا الشرط لأنّ الشروط واحدة من البوّابات التی تستوعب الإعتبارات المستجدة، ومن هنا جاء بحثهم أصولیاً وخلفیةُ ذلک هو رجوع البحث إلی الإعتبار العقلائی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ذلک ما ذکره الأعلام من أنّ الضابطة المذکورة للمخالفة للکتاب والسنّة لا تخص الشروط، وإنما تعمّ العناوین الثانویة الطارئة، فإنّ ذلک یؤکّد أصولیة البحث، خاصة بعد الإلتفات إلی أنّ العناوین الطارئة بوّابة أخری تستوعب جملة من الإعتبارات المستجدة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شطر من البحث</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والشطر الآخر من هذا البحث تم فی خبر الواحد عند الحدیث عن شروط الردع فی سیاق الکلام الناهیة عن العمل بالظن، حیث ادّعی فیها نهیها عن العمل بالسیرة</w:t>
      </w:r>
      <w:r>
        <w:rPr>
          <w:rFonts w:eastAsia="IRNazanin" w:cs="IRNazanin"/>
          <w:color w:val="111111"/>
          <w:sz w:val="28"/>
          <w:szCs w:val="28"/>
          <w:rtl w:val="true"/>
          <w:lang w:bidi="fa-IR"/>
        </w:rPr>
        <w:t>.</w:t>
      </w:r>
      <w:r>
        <w:rPr>
          <w:rStyle w:val="FootnoteAnchor"/>
          <w:rtl w:val="true"/>
        </w:rPr>
        <w:footnoteReference w:id="9"/>
      </w:r>
      <w:bookmarkStart w:id="76" w:name="pg16983_380657"/>
    </w:p>
    <w:p>
      <w:pPr>
        <w:pStyle w:val="Heading4"/>
        <w:numPr>
          <w:ilvl w:val="3"/>
          <w:numId w:val="1"/>
        </w:numPr>
        <w:rPr/>
      </w:pPr>
      <w:bookmarkStart w:id="77" w:name="__RefHeading___Toc3299620_1468164448"/>
      <w:bookmarkStart w:id="78" w:name="_Toc31"/>
      <w:bookmarkEnd w:id="76"/>
      <w:bookmarkEnd w:id="77"/>
      <w:r>
        <w:rPr/>
        <w:t>3</w:t>
      </w:r>
      <w:r>
        <w:rPr>
          <w:rtl w:val="true"/>
        </w:rPr>
        <w:t xml:space="preserve"> . </w:t>
      </w:r>
      <w:r>
        <w:rPr>
          <w:rtl w:val="true"/>
        </w:rPr>
        <w:t>عرض أدلّة الإمضاء</w:t>
      </w:r>
      <w:bookmarkEnd w:id="78"/>
    </w:p>
    <w:p>
      <w:pPr>
        <w:pStyle w:val="Heading5"/>
        <w:numPr>
          <w:ilvl w:val="4"/>
          <w:numId w:val="1"/>
        </w:numPr>
        <w:rPr/>
      </w:pPr>
      <w:bookmarkStart w:id="79" w:name="__RefHeading___Toc3299622_1468164448"/>
      <w:bookmarkStart w:id="80" w:name="_Toc32"/>
      <w:bookmarkEnd w:id="79"/>
      <w:r>
        <w:rPr>
          <w:rtl w:val="true"/>
        </w:rPr>
        <w:t>الدلیل الأول</w:t>
      </w:r>
      <w:r>
        <w:rPr>
          <w:rtl w:val="true"/>
        </w:rPr>
        <w:t xml:space="preserve">: </w:t>
      </w:r>
      <w:r>
        <w:rPr>
          <w:rtl w:val="true"/>
        </w:rPr>
        <w:t>درک العقل</w:t>
      </w:r>
      <w:bookmarkEnd w:id="80"/>
    </w:p>
    <w:p>
      <w:pPr>
        <w:pStyle w:val="Heading6"/>
        <w:numPr>
          <w:ilvl w:val="5"/>
          <w:numId w:val="1"/>
        </w:numPr>
        <w:rPr/>
      </w:pPr>
      <w:bookmarkStart w:id="81" w:name="__RefHeading___Toc3299624_1468164448"/>
      <w:bookmarkStart w:id="82" w:name="_Toc33"/>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إنّ العقل یدرک الکبریات العالیة؛ مثل حسن العدل وقبح الظلم، والعقلاء باعتباراتهم یحاولون إرساء هذه المدرکات العقلیة بتطبیقها علی الأفعال الجزئیة التی ترجع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ینزّلون الأحکام العقلیة الأمّ إلی الجزئیات بواسطة اعتباراتهم، وبما أنّ مدرکات العقل حجّة، کانت الإعتبارات المذکورة حجّة؛ لأنها تطبیقیة لیس أکثر، فحجّیتها مستمدة من حجّیة الکبریات</w:t>
      </w:r>
      <w:r>
        <w:rPr>
          <w:rFonts w:eastAsia="IRNazanin" w:cs="IRNazanin"/>
          <w:color w:val="111111"/>
          <w:sz w:val="28"/>
          <w:szCs w:val="28"/>
          <w:rtl w:val="true"/>
          <w:lang w:bidi="fa-IR"/>
        </w:rPr>
        <w:t>.</w:t>
      </w:r>
    </w:p>
    <w:p>
      <w:pPr>
        <w:pStyle w:val="Heading6"/>
        <w:numPr>
          <w:ilvl w:val="5"/>
          <w:numId w:val="1"/>
        </w:numPr>
        <w:rPr/>
      </w:pPr>
      <w:bookmarkStart w:id="83" w:name="__RefHeading___Toc3299626_1468164448"/>
      <w:bookmarkStart w:id="84" w:name="_Toc34"/>
      <w:bookmarkEnd w:id="83"/>
      <w:r>
        <w:rPr>
          <w:rtl w:val="true"/>
        </w:rPr>
        <w:t>نقد الدلیل الأول</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لو سلّمنا جدلاً أنّ ظاهرة الإعتبار عند العقلاء کلها بسبب الدافع العقلی، ومن ثمّ فهی ظاهرة تطبیقیة، إلاّ أننا لابدّ أن لا ننسی أنّ عملیة التنزیل والتطبیق وتصنیف الأفعال تحت العناوین العامة لیست فی متناول العقلاء، ومن ثمّ کانت الحاجة إلی الشریعة الظاهرة المعصومة التی تتلافی عجز البشر وتخبطهم بسبب جهلهم ووقوعهم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نحن لا نقبل هذا الدلیل، وفی خصوص الإعتبارات التی تکون بدافع عقلی إلاّ فی الجملة، وهی التی تکون خارج مساحة التشریع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الإلتفات إلی أنّ کثیراً من الإعتبارات العقلائیة لیست بدافع عقلی وبما لهم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ألفتنا إلی ذلک فی تعریف الإعتبار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بما هم بشر، والبشر فیه ما فیه من الإنفعالات والعادات والخلفیات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المذکور لا یشمل مثل هذه الإعتبارات، مع أنّ فیها ما هو الحجّة قطعاً کما سیتبیّن</w:t>
      </w:r>
      <w:r>
        <w:rPr>
          <w:rFonts w:eastAsia="IRNazanin" w:cs="IRNazanin"/>
          <w:color w:val="111111"/>
          <w:sz w:val="28"/>
          <w:szCs w:val="28"/>
          <w:rtl w:val="true"/>
          <w:lang w:bidi="fa-IR"/>
        </w:rPr>
        <w:t>.</w:t>
      </w:r>
      <w:bookmarkStart w:id="85" w:name="pg16983_380660"/>
    </w:p>
    <w:p>
      <w:pPr>
        <w:pStyle w:val="Heading5"/>
        <w:numPr>
          <w:ilvl w:val="4"/>
          <w:numId w:val="1"/>
        </w:numPr>
        <w:rPr/>
      </w:pPr>
      <w:bookmarkStart w:id="86" w:name="__RefHeading___Toc3299628_1468164448"/>
      <w:bookmarkStart w:id="87" w:name="_Toc35"/>
      <w:bookmarkEnd w:id="85"/>
      <w:bookmarkEnd w:id="86"/>
      <w:r>
        <w:rPr>
          <w:rtl w:val="true"/>
        </w:rPr>
        <w:t>الدلیل الثانی</w:t>
      </w:r>
      <w:r>
        <w:rPr>
          <w:rtl w:val="true"/>
        </w:rPr>
        <w:t xml:space="preserve">: </w:t>
      </w:r>
      <w:r>
        <w:rPr>
          <w:rtl w:val="true"/>
        </w:rPr>
        <w:t>دلیل الإنسداد</w:t>
      </w:r>
      <w:bookmarkEnd w:id="87"/>
    </w:p>
    <w:p>
      <w:pPr>
        <w:pStyle w:val="Heading6"/>
        <w:numPr>
          <w:ilvl w:val="5"/>
          <w:numId w:val="1"/>
        </w:numPr>
        <w:rPr/>
      </w:pPr>
      <w:bookmarkStart w:id="88" w:name="__RefHeading___Toc3299630_1468164448"/>
      <w:bookmarkStart w:id="89" w:name="_Toc36"/>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وهو لا یختلف عن سابقه فی کلّ الجهات وإنما فی بعضها، وهو دلیل سدید وقویم، وقد اعتمده الفقهاء دلیلاً علی مجموعة من الإعتبارات العقلائیة، فأثبتوا به حجّیة قول اللغوی وأهل الخبرة وتوثیقات علم الرجال، بل استفادوا منه حتی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 دلیل الإنسداد یتألف من عدّة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یلزم العمل،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إنسداد باب العلم والعلمی،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مشروعیة الإحتیاط،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جریان البراءة؛ ینتج تعیّن ما هو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والتمسک بالإنسداد لا یختص بالظن، وإنما ظاهرة توصّل بها الأعلام عند إعواز الإعتبار التأسیسی للشارع، فیثبت بتوسط مقدّماته الممهّدة لحکم العقل، إما إمضاء الشارع للإعتبار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مبنی 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التنجیز والتعذیر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مبنی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إمضاء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محاولة لتخریج حجّیة الإعتبار العقلائی، والذی أحد مصادیقه الظن، ونتیجة هذه المحاولة هی الإمضاء علی کلّ حال، إما الشرعی أو العقلی</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والإمضاء الشرعی یمکن التعبیر عنه بأنه تطبیق الکلّیات الشرعیة علی اعتبارات العقلاء بتوسط الإنسداد</w:t>
      </w:r>
      <w:r>
        <w:rPr>
          <w:rFonts w:eastAsia="IRNazanin" w:cs="IRNazanin"/>
          <w:color w:val="111111"/>
          <w:sz w:val="28"/>
          <w:szCs w:val="28"/>
          <w:rtl w:val="true"/>
          <w:lang w:bidi="fa-IR"/>
        </w:rPr>
        <w:t>.</w:t>
      </w:r>
      <w:r>
        <w:rPr>
          <w:rStyle w:val="FootnoteAnchor"/>
          <w:rtl w:val="true"/>
        </w:rPr>
        <w:footnoteReference w:id="11"/>
      </w:r>
      <w:bookmarkStart w:id="90" w:name="pg16983_380662"/>
    </w:p>
    <w:p>
      <w:pPr>
        <w:pStyle w:val="BookText"/>
        <w:rPr/>
      </w:pPr>
      <w:bookmarkEnd w:id="90"/>
      <w:r>
        <w:rPr>
          <w:rFonts w:ascii="IRNazanin" w:hAnsi="IRNazanin" w:eastAsia="IRNazanin"/>
          <w:color w:val="111111"/>
          <w:sz w:val="28"/>
          <w:sz w:val="28"/>
          <w:szCs w:val="28"/>
          <w:rtl w:val="true"/>
          <w:lang w:bidi="fa-IR"/>
        </w:rPr>
        <w:t>والإمضاء العقلائی هو تطبیق الکبریات العقلیة علی الإعتبارات العقلائیة</w:t>
      </w:r>
      <w:r>
        <w:rPr>
          <w:rFonts w:eastAsia="IRNazanin" w:cs="IRNazanin"/>
          <w:color w:val="111111"/>
          <w:sz w:val="28"/>
          <w:szCs w:val="28"/>
          <w:rtl w:val="true"/>
          <w:lang w:bidi="fa-IR"/>
        </w:rPr>
        <w:t>.</w:t>
      </w:r>
    </w:p>
    <w:p>
      <w:pPr>
        <w:pStyle w:val="Heading6"/>
        <w:numPr>
          <w:ilvl w:val="5"/>
          <w:numId w:val="1"/>
        </w:numPr>
        <w:rPr/>
      </w:pPr>
      <w:bookmarkStart w:id="91" w:name="__RefHeading___Toc3299632_1468164448"/>
      <w:bookmarkStart w:id="92" w:name="_Toc37"/>
      <w:bookmarkEnd w:id="91"/>
      <w:r>
        <w:rPr>
          <w:rtl w:val="true"/>
        </w:rPr>
        <w:t>ساحة حجّیة الإعتبارات فی ضوء دلیل الإنسداد</w:t>
      </w:r>
      <w:bookmarkEnd w:id="92"/>
    </w:p>
    <w:p>
      <w:pPr>
        <w:pStyle w:val="BookText"/>
        <w:rPr/>
      </w:pPr>
      <w:r>
        <w:rPr>
          <w:rFonts w:ascii="IRNazanin" w:hAnsi="IRNazanin" w:eastAsia="IRNazanin"/>
          <w:color w:val="111111"/>
          <w:sz w:val="28"/>
          <w:sz w:val="28"/>
          <w:szCs w:val="28"/>
          <w:rtl w:val="true"/>
          <w:lang w:bidi="fa-IR"/>
        </w:rPr>
        <w:t>فیتلخص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الإنسداد دلیل سلیم علی حجّیة الإعتبارات العقلائیة وإمضائها، فی المساحة التی لا یوجد فیها تشریع ولکن لا بنحو الموجبة الکلّیة، وإنما فی خصوص انطباق المقدّمة الأولی والتی هی ذات شقّین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أحکام إلزامیة، وقد رکّز علیه الأعلام وهو الذی یوصلنا إلی حجّیة الظن والإعتبار العقلائی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غرض وحکم نعلم أنّ الشارع لم یترکه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غالب الإعتبارات العقلائیة الواقعیة تنوجد لتلبیة حاجات ضروریة وأغراض اجتماعیة وکمالات مفقودة لا یمکن للشارع أن یترکها نتیجة أهمیتها وترتب نتائج فاسدة علی إهمال التقنین فیها، کما فی قوانین المرور والأمور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مثل هذه وبتوسط باقی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إمکان الإحتیاط والبراءة وعدم وجود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إمضاء هذه الإعتبارات الواقعیة</w:t>
      </w:r>
      <w:r>
        <w:rPr>
          <w:rFonts w:eastAsia="IRNazanin" w:cs="IRNazanin"/>
          <w:color w:val="111111"/>
          <w:sz w:val="28"/>
          <w:szCs w:val="28"/>
          <w:rtl w:val="true"/>
          <w:lang w:bidi="fa-IR"/>
        </w:rPr>
        <w:t>.</w:t>
      </w:r>
    </w:p>
    <w:p>
      <w:pPr>
        <w:pStyle w:val="Heading6"/>
        <w:numPr>
          <w:ilvl w:val="5"/>
          <w:numId w:val="1"/>
        </w:numPr>
        <w:rPr/>
      </w:pPr>
      <w:bookmarkStart w:id="93" w:name="__RefHeading___Toc3299634_1468164448"/>
      <w:bookmarkStart w:id="94" w:name="_Toc38"/>
      <w:bookmarkEnd w:id="93"/>
      <w:r>
        <w:rPr>
          <w:rtl w:val="true"/>
        </w:rPr>
        <w:t>شمول الإنسداد للإعتبارات المستجدة</w:t>
      </w:r>
      <w:bookmarkEnd w:id="94"/>
    </w:p>
    <w:p>
      <w:pPr>
        <w:pStyle w:val="BookText"/>
        <w:rPr/>
      </w:pPr>
      <w:r>
        <w:rPr>
          <w:rFonts w:ascii="IRNazanin" w:hAnsi="IRNazanin" w:eastAsia="IRNazanin"/>
          <w:color w:val="111111"/>
          <w:sz w:val="28"/>
          <w:sz w:val="28"/>
          <w:szCs w:val="28"/>
          <w:rtl w:val="true"/>
          <w:lang w:bidi="fa-IR"/>
        </w:rPr>
        <w:t>ومع تمامیة الدلیل فی هذا الشق یشمل حتی الإعتبارات المستجدة إذا کان سنخ الغرض فیها مما لا یمکن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یفهم إرتکاز الأعلام فی استنادهم إلی هذا الدلیل فی المسائل المستحدثة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أنّ تشخیص نوع الغرض لا یتسنّی لکلّ أحد، وإنما یحتاج إلی فقیه مجرّب وبارع وذی إلمام وإحاطة بالأبواب الفقهیة ومدارکها، کی یتمکّن من تشخیص درجة الملاکات ومعرفة مذاق الشارع الأقدس</w:t>
      </w:r>
      <w:r>
        <w:rPr>
          <w:rFonts w:eastAsia="IRNazanin" w:cs="IRNazanin"/>
          <w:color w:val="111111"/>
          <w:sz w:val="28"/>
          <w:szCs w:val="28"/>
          <w:rtl w:val="true"/>
          <w:lang w:bidi="fa-IR"/>
        </w:rPr>
        <w:t>.</w:t>
      </w:r>
      <w:bookmarkStart w:id="95" w:name="pg16983_380664"/>
    </w:p>
    <w:p>
      <w:pPr>
        <w:pStyle w:val="Heading6"/>
        <w:numPr>
          <w:ilvl w:val="5"/>
          <w:numId w:val="1"/>
        </w:numPr>
        <w:rPr/>
      </w:pPr>
      <w:bookmarkStart w:id="96" w:name="__RefHeading___Toc3299636_1468164448"/>
      <w:bookmarkStart w:id="97" w:name="_Toc39"/>
      <w:bookmarkEnd w:id="95"/>
      <w:bookmarkEnd w:id="96"/>
      <w:r>
        <w:rPr>
          <w:rtl w:val="true"/>
        </w:rPr>
        <w:t>رتبة دلیل الإنسداد فی جنب سائر الأدلّة</w:t>
      </w:r>
      <w:bookmarkEnd w:id="97"/>
    </w:p>
    <w:p>
      <w:pPr>
        <w:pStyle w:val="BookText"/>
        <w:rPr/>
      </w:pPr>
      <w:r>
        <w:rPr>
          <w:rFonts w:ascii="IRNazanin" w:hAnsi="IRNazanin" w:eastAsia="IRNazanin"/>
          <w:color w:val="111111"/>
          <w:sz w:val="28"/>
          <w:sz w:val="28"/>
          <w:szCs w:val="28"/>
          <w:rtl w:val="true"/>
          <w:lang w:bidi="fa-IR"/>
        </w:rPr>
        <w:t>وختاماً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انتهینا إلیه من الإمضاء إنما هو بتوسط الإنسداد، ومن ثمّ یأتی فی رتبة متأخرة عن باقی الأدلّة علی الإمضاء، حیث إنّها لو ثبتت فهی من العلم أو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غایة ما أوصلنا إلیه الدلیل هو الإمضاء الشرعی، فیبقی مشروطاً بعدم الردع والمخالفة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تقدّم یعرف السرّ فی تقدیم دلیل الإنسداد علی الظن؛ لأنّ بحثنا لیس فی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الظن، نطبّق علیه دلیل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نصل إلی حجّیته وإمضائه وإنما فی دلیل الإنسداد بما هو هو، الذی ینتج نتیجة قطعیة، وهی الإمضاء، وإن کانت بعض موضوعاته ظنیة، ومن ثمّ قدّم علی الظن بلحاظ المفاد القطعی الذی ینتجه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الإنسداد یفید الحجّیة فی کلّیة موارد الإعتبار کان وثیق الصلة به، ومن ثمّ ادرج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هذا وحفاظاً علی منهج الأعلام ترکنا الحدیث التفصیلی فی کلّ مقدّمة إلی هناک</w:t>
      </w:r>
      <w:r>
        <w:rPr>
          <w:rFonts w:eastAsia="IRNazanin" w:cs="IRNazanin"/>
          <w:color w:val="111111"/>
          <w:sz w:val="28"/>
          <w:szCs w:val="28"/>
          <w:rtl w:val="true"/>
          <w:lang w:bidi="fa-IR"/>
        </w:rPr>
        <w:t>.</w:t>
      </w:r>
    </w:p>
    <w:p>
      <w:pPr>
        <w:pStyle w:val="Heading5"/>
        <w:numPr>
          <w:ilvl w:val="4"/>
          <w:numId w:val="1"/>
        </w:numPr>
        <w:rPr/>
      </w:pPr>
      <w:bookmarkStart w:id="98" w:name="__RefHeading___Toc3299638_1468164448"/>
      <w:bookmarkStart w:id="99" w:name="_Toc40"/>
      <w:bookmarkEnd w:id="98"/>
      <w:r>
        <w:rPr>
          <w:rtl w:val="true"/>
        </w:rPr>
        <w:t>الدلیل الثالث</w:t>
      </w:r>
      <w:r>
        <w:rPr>
          <w:rtl w:val="true"/>
        </w:rPr>
        <w:t xml:space="preserve">: </w:t>
      </w:r>
      <w:r>
        <w:rPr>
          <w:rtl w:val="true"/>
        </w:rPr>
        <w:t>العرف</w:t>
      </w:r>
      <w:bookmarkEnd w:id="99"/>
    </w:p>
    <w:p>
      <w:pPr>
        <w:pStyle w:val="Heading6"/>
        <w:numPr>
          <w:ilvl w:val="5"/>
          <w:numId w:val="1"/>
        </w:numPr>
        <w:rPr/>
      </w:pPr>
      <w:bookmarkStart w:id="100" w:name="__RefHeading___Toc3299640_1468164448"/>
      <w:bookmarkStart w:id="101" w:name="_Toc41"/>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والمقصود منه ما تفشّی وتعورف بین جماعة من البشر، ولیس هو إلاّ الإعتبار العقلائی، والأمر بمثل هذا إمضاؤه وقبوله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 من أنه إمضاء مطلق للإعتبار العقلائی بنحو الموجبة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مخصَّص بمساحة لا یوجد فیها شریعة وعلی شرط أن لا یکون مخالفاً للکتاب والسنّة، فیتلخص بالأمر بالعرف فی التطبیقات الجزئیة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2" w:name="__RefHeading___Toc3299642_1468164448"/>
      <w:bookmarkStart w:id="103" w:name="_Toc42"/>
      <w:bookmarkEnd w:id="102"/>
      <w:r>
        <w:rPr>
          <w:rtl w:val="true"/>
        </w:rPr>
        <w:t>تفسیر آخر للآیة</w:t>
      </w:r>
      <w:bookmarkStart w:id="104" w:name="pg16983_380666"/>
      <w:bookmarkEnd w:id="103"/>
    </w:p>
    <w:p>
      <w:pPr>
        <w:pStyle w:val="BookText"/>
        <w:rPr/>
      </w:pPr>
      <w:bookmarkEnd w:id="104"/>
      <w:r>
        <w:rPr>
          <w:rFonts w:ascii="IRNazanin" w:hAnsi="IRNazanin" w:eastAsia="IRNazanin"/>
          <w:color w:val="111111"/>
          <w:sz w:val="28"/>
          <w:sz w:val="28"/>
          <w:szCs w:val="28"/>
          <w:rtl w:val="true"/>
          <w:lang w:bidi="fa-IR"/>
        </w:rPr>
        <w:t>وهناک قول آخر عند بعض مفسّری العامة والخاصة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تارة یحکم به العقل وأخری الشرع وثالثة العقلاء، ولکن لا یمکن إحراز أنه معروف إلاّ عند الإصابة، فلا تدلّ الآیة علی 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علی هذا التفسیر تکون الآیة من الآیات الآدابیة والأخلاقیة، جامعة لأصول الأخلاق والمکارم، أو أنها واردة کتوجیه الرئیس فی إداریاته وتعامله مع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تقریبات أخری ترجع إلی الثانی فی روحها ومحتواها، فلا داعی لذکرها</w:t>
      </w:r>
      <w:r>
        <w:rPr>
          <w:rFonts w:eastAsia="IRNazanin" w:cs="IRNazanin"/>
          <w:color w:val="111111"/>
          <w:sz w:val="28"/>
          <w:szCs w:val="28"/>
          <w:rtl w:val="true"/>
          <w:lang w:bidi="fa-IR"/>
        </w:rPr>
        <w:t>.</w:t>
      </w:r>
    </w:p>
    <w:p>
      <w:pPr>
        <w:pStyle w:val="Heading6"/>
        <w:numPr>
          <w:ilvl w:val="5"/>
          <w:numId w:val="1"/>
        </w:numPr>
        <w:rPr/>
      </w:pPr>
      <w:bookmarkStart w:id="105" w:name="__RefHeading___Toc3299644_1468164448"/>
      <w:bookmarkStart w:id="106" w:name="_Toc43"/>
      <w:bookmarkEnd w:id="105"/>
      <w:r>
        <w:rPr>
          <w:rtl w:val="true"/>
        </w:rPr>
        <w:t>ترجیح التفسیر الأول</w:t>
      </w:r>
      <w:bookmarkEnd w:id="106"/>
    </w:p>
    <w:p>
      <w:pPr>
        <w:pStyle w:val="BookText"/>
        <w:rPr/>
      </w:pPr>
      <w:r>
        <w:rPr>
          <w:rFonts w:ascii="IRNazanin" w:hAnsi="IRNazanin" w:eastAsia="IRNazanin"/>
          <w:color w:val="111111"/>
          <w:sz w:val="28"/>
          <w:sz w:val="28"/>
          <w:szCs w:val="28"/>
          <w:rtl w:val="true"/>
          <w:lang w:bidi="fa-IR"/>
        </w:rPr>
        <w:t xml:space="preserve">وبالإلتفات إلی ظاهرة فی سیرة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التفسیر الأول، وتکون الآیة دالّة علی الإمضاء، وهذه الظاهرة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دأبهم وطریقتهم مخالفة السیرة العقلائیة والردع عنها بشکل مفاجئ ودفعة،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فی تلک الإعتبارات المرتبطة بالآداب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یستنکر علیهم من قبل العقلاء وینفر الناس منهم، وإنما کانت عملیة الردع والتغییر تدریجیة، کما نشاهد ذلک فی مسألة إطالة الشعر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مجاملة لما هو السائد آنذاک، مع أنّ هناک روایات تدلّ علی أنّ الحلق هو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الظاهرة تشکّل قرینة علی أنّ المقصود من العرف ما یأنس به الناس</w:t>
      </w:r>
      <w:r>
        <w:rPr>
          <w:rFonts w:eastAsia="IRNazanin" w:cs="IRNazanin"/>
          <w:color w:val="111111"/>
          <w:sz w:val="28"/>
          <w:szCs w:val="28"/>
          <w:rtl w:val="true"/>
          <w:lang w:bidi="fa-IR"/>
        </w:rPr>
        <w:t>.</w:t>
      </w:r>
      <w:r>
        <w:rPr>
          <w:rStyle w:val="FootnoteAnchor"/>
          <w:rtl w:val="true"/>
        </w:rPr>
        <w:footnoteReference w:id="12"/>
      </w:r>
    </w:p>
    <w:p>
      <w:pPr>
        <w:pStyle w:val="Heading6"/>
        <w:numPr>
          <w:ilvl w:val="5"/>
          <w:numId w:val="1"/>
        </w:numPr>
        <w:rPr/>
      </w:pPr>
      <w:bookmarkStart w:id="107" w:name="__RefHeading___Toc3299646_1468164448"/>
      <w:bookmarkStart w:id="108" w:name="_Toc44"/>
      <w:bookmarkEnd w:id="107"/>
      <w:r>
        <w:rPr>
          <w:rtl w:val="true"/>
        </w:rPr>
        <w:t>ظهور الآیة فی وظیفة الحاکم</w:t>
      </w:r>
      <w:bookmarkEnd w:id="10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من الآیة علاوة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أنها فی صدد</w:t>
      </w:r>
      <w:bookmarkStart w:id="109" w:name="pg16983_380669"/>
    </w:p>
    <w:p>
      <w:pPr>
        <w:pStyle w:val="BookText"/>
        <w:rPr/>
      </w:pPr>
      <w:bookmarkEnd w:id="109"/>
      <w:r>
        <w:rPr>
          <w:rFonts w:ascii="IRNazanin" w:hAnsi="IRNazanin" w:eastAsia="IRNazanin"/>
          <w:color w:val="111111"/>
          <w:sz w:val="28"/>
          <w:sz w:val="28"/>
          <w:szCs w:val="28"/>
          <w:rtl w:val="true"/>
          <w:lang w:bidi="fa-IR"/>
        </w:rPr>
        <w:t xml:space="preserve">بیان وظیفة الحاکم والرئیس والمتصدّی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أنها وظیفة إلزامیة أو آدابیة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تطبیقه القانون وإجرائه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 الرئیس بأنه إذا أراد إقامة أحکام الدین وإرسائها لابدّ أن یکون ذلک من خلال ما تعارف علیه الرعیة واعتادوا علیه بعد أن بنی عقلاؤهم واعتبروه، فیستیفد من العادات الموجودة فی ایجاد المفاهیم الشرعیة بدلاً من استحداث عرف جدید وعادة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یطبّق المفهوم الشرعی عند اختلاط النساء بالرجال، فلیطبّقه مع وفی العادات المألوفة فی وسط الرعیة آنذاک، لا باستحداث مظاهر جدیدة وأعراف مبتکرة لم یألفها هؤلاء ولم یأنسوا بها</w:t>
      </w:r>
      <w:r>
        <w:rPr>
          <w:rFonts w:eastAsia="IRNazanin" w:cs="IRNazanin"/>
          <w:color w:val="111111"/>
          <w:sz w:val="28"/>
          <w:szCs w:val="28"/>
          <w:rtl w:val="true"/>
          <w:lang w:bidi="fa-IR"/>
        </w:rPr>
        <w:t>.</w:t>
      </w:r>
    </w:p>
    <w:p>
      <w:pPr>
        <w:pStyle w:val="Heading6"/>
        <w:numPr>
          <w:ilvl w:val="5"/>
          <w:numId w:val="1"/>
        </w:numPr>
        <w:rPr/>
      </w:pPr>
      <w:bookmarkStart w:id="110" w:name="__RefHeading___Toc3299648_1468164448"/>
      <w:bookmarkStart w:id="111" w:name="_Toc45"/>
      <w:bookmarkEnd w:id="110"/>
      <w:r>
        <w:rPr>
          <w:rtl w:val="true"/>
        </w:rPr>
        <w:t>عدم دلالة الآیة علی إمضاء الإعتبار</w:t>
      </w:r>
      <w:bookmarkEnd w:id="111"/>
    </w:p>
    <w:p>
      <w:pPr>
        <w:pStyle w:val="BookText"/>
        <w:rPr/>
      </w:pPr>
      <w:r>
        <w:rPr>
          <w:rFonts w:ascii="IRNazanin" w:hAnsi="IRNazanin" w:eastAsia="IRNazanin"/>
          <w:color w:val="111111"/>
          <w:sz w:val="28"/>
          <w:sz w:val="28"/>
          <w:szCs w:val="28"/>
          <w:rtl w:val="true"/>
          <w:lang w:bidi="fa-IR"/>
        </w:rPr>
        <w:t>من هنا لم تکن الآیة دالّة علی إمضاء الإعتبار والقانون العقلائی من رأس، لنظرها إلی خصوص الإعتبارات السائدة والقوانین المتجذرة بین الناس، وقبولها فی مجال تطبیق الشرعیة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إمضاء للإعتبار العقلائی بما هو مجری لتنزیل الأحکام الشرعیة الکلّیة وتطبیقها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الفهم للآیة یثار سؤال نترک الإجابة عنه إلی حین، و هو کیف نمیّز فی مجال الإستظهار من الأدلّة بین العادة التی طبّق الحکم الشرعی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تکون بمثابة الموضوع القابل للتبدل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الحکم الشرعی الکلّی الخالد والباقی حتی مع انتفاء العادة وتغیّرها؟</w:t>
      </w:r>
    </w:p>
    <w:p>
      <w:pPr>
        <w:pStyle w:val="Heading5"/>
        <w:numPr>
          <w:ilvl w:val="4"/>
          <w:numId w:val="1"/>
        </w:numPr>
        <w:rPr/>
      </w:pPr>
      <w:bookmarkStart w:id="112" w:name="__RefHeading___Toc3299650_1468164448"/>
      <w:bookmarkStart w:id="113" w:name="_Toc46"/>
      <w:bookmarkEnd w:id="112"/>
      <w:r>
        <w:rPr>
          <w:rtl w:val="true"/>
        </w:rPr>
        <w:t>الدلیل الرابع</w:t>
      </w:r>
      <w:r>
        <w:rPr>
          <w:rtl w:val="true"/>
        </w:rPr>
        <w:t xml:space="preserve">: </w:t>
      </w:r>
      <w:r>
        <w:rPr>
          <w:rtl w:val="true"/>
        </w:rPr>
        <w:t>إنها صغریات لاعتبارات شرعیة</w:t>
      </w:r>
      <w:bookmarkEnd w:id="113"/>
    </w:p>
    <w:p>
      <w:pPr>
        <w:pStyle w:val="Heading6"/>
        <w:numPr>
          <w:ilvl w:val="5"/>
          <w:numId w:val="1"/>
        </w:numPr>
        <w:rPr/>
      </w:pPr>
      <w:bookmarkStart w:id="114" w:name="__RefHeading___Toc3299652_1468164448"/>
      <w:bookmarkStart w:id="115" w:name="_Toc47"/>
      <w:bookmarkEnd w:id="114"/>
      <w:r>
        <w:rPr>
          <w:rtl w:val="true"/>
        </w:rPr>
        <w:t>اشارة</w:t>
      </w:r>
      <w:bookmarkEnd w:id="11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یکفی فی إمضاء الإعتبارات العقلائیة المستجدة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صغری لاعتبار عقلائی معاصرٍ کلّی أعم من المستجدات وهی ممضی من قبل الشارع</w:t>
      </w:r>
      <w:r>
        <w:rPr>
          <w:rFonts w:eastAsia="IRNazanin" w:cs="IRNazanin"/>
          <w:color w:val="111111"/>
          <w:sz w:val="28"/>
          <w:szCs w:val="28"/>
          <w:rtl w:val="true"/>
          <w:lang w:bidi="fa-IR"/>
        </w:rPr>
        <w:t>.</w:t>
      </w:r>
      <w:bookmarkStart w:id="116" w:name="pg16983_380670"/>
    </w:p>
    <w:p>
      <w:pPr>
        <w:pStyle w:val="Heading6"/>
        <w:numPr>
          <w:ilvl w:val="5"/>
          <w:numId w:val="1"/>
        </w:numPr>
        <w:rPr/>
      </w:pPr>
      <w:bookmarkStart w:id="117" w:name="__RefHeading___Toc3299654_1468164448"/>
      <w:bookmarkStart w:id="118" w:name="_Toc48"/>
      <w:bookmarkEnd w:id="116"/>
      <w:bookmarkEnd w:id="117"/>
      <w:r>
        <w:rPr>
          <w:rtl w:val="true"/>
        </w:rPr>
        <w:t>مشکلة هذا التصویر</w:t>
      </w:r>
      <w:bookmarkEnd w:id="118"/>
    </w:p>
    <w:p>
      <w:pPr>
        <w:pStyle w:val="BookText"/>
        <w:rPr/>
      </w:pPr>
      <w:r>
        <w:rPr>
          <w:rFonts w:ascii="IRNazanin" w:hAnsi="IRNazanin" w:eastAsia="IRNazanin"/>
          <w:color w:val="111111"/>
          <w:sz w:val="28"/>
          <w:sz w:val="28"/>
          <w:szCs w:val="28"/>
          <w:rtl w:val="true"/>
          <w:lang w:bidi="fa-IR"/>
        </w:rPr>
        <w:t xml:space="preserve">و المشکلة التی تواجه هذا التصویر هی أنه ما هو الدلیل علی أنّ 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تناول الإعتبار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أمضی الطبیعی الموجود فی ضمن ذلک الشخص، ولم یقتصر علی شخص ذلک الإعتبار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فی عرض المستجدات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إمضاء الشارع لاعتبار خبر الثقة حجّةً عند العقلاء، فهل إنّ الإمضاء اقتصر علی حجّیة خبر الثقة أو الإمضاء تعلّق بالإعتبار الکلّی الطبیعی الموجود بوجود 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حجّیة الإطمئنان المرتکز وغیر المصرّح به فی دلیل الإمضاء؟</w:t>
      </w:r>
    </w:p>
    <w:p>
      <w:pPr>
        <w:pStyle w:val="BookText"/>
        <w:rPr/>
      </w:pPr>
      <w:r>
        <w:rPr>
          <w:rFonts w:ascii="IRNazanin" w:hAnsi="IRNazanin" w:eastAsia="IRNazanin"/>
          <w:color w:val="111111"/>
          <w:sz w:val="28"/>
          <w:sz w:val="28"/>
          <w:szCs w:val="28"/>
          <w:rtl w:val="true"/>
          <w:lang w:bidi="fa-IR"/>
        </w:rPr>
        <w:t xml:space="preserve">وتتبلور ثمرة هذه المشکلة بعد معرفة أنّ امضاء المستجدات معلّق علی کون الممضی المعاصر هو الطبیعی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تندرج تحته المستجدات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شخص خبر الثقة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عرض المستجدات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یتناول إمضاؤُه إمضائَها</w:t>
      </w:r>
      <w:r>
        <w:rPr>
          <w:rFonts w:eastAsia="IRNazanin" w:cs="IRNazanin"/>
          <w:color w:val="111111"/>
          <w:sz w:val="28"/>
          <w:szCs w:val="28"/>
          <w:rtl w:val="true"/>
          <w:lang w:bidi="fa-IR"/>
        </w:rPr>
        <w:t>.</w:t>
      </w:r>
    </w:p>
    <w:p>
      <w:pPr>
        <w:pStyle w:val="Heading6"/>
        <w:numPr>
          <w:ilvl w:val="5"/>
          <w:numId w:val="1"/>
        </w:numPr>
        <w:rPr/>
      </w:pPr>
      <w:bookmarkStart w:id="119" w:name="__RefHeading___Toc3299656_1468164448"/>
      <w:bookmarkStart w:id="120" w:name="_Toc49"/>
      <w:bookmarkEnd w:id="119"/>
      <w:r>
        <w:rPr>
          <w:rtl w:val="true"/>
        </w:rPr>
        <w:t>تقریب لصلاحیة الإمضاء للطبیعی</w:t>
      </w:r>
      <w:bookmarkEnd w:id="120"/>
    </w:p>
    <w:p>
      <w:pPr>
        <w:pStyle w:val="BookText"/>
        <w:rPr/>
      </w:pPr>
      <w:r>
        <w:rPr>
          <w:rFonts w:ascii="IRNazanin" w:hAnsi="IRNazanin" w:eastAsia="IRNazanin"/>
          <w:color w:val="111111"/>
          <w:sz w:val="28"/>
          <w:sz w:val="28"/>
          <w:szCs w:val="28"/>
          <w:rtl w:val="true"/>
          <w:lang w:bidi="fa-IR"/>
        </w:rPr>
        <w:t>ویمکن حسم المشکلة لصالح الإمضاء للطبیعی بالإلتفات إلی أنّ إعتبار العقلاء لحجّیة خبر الثقة لم یکن بسبب أنه خبر ثقة، وإنما من جهة أنه یفید الإطمئنان، ولکنّهم فی حینه لم یجدوا مصادیق إلاّ خبر الثقة والظهور مثلاً فاعتبروهما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والشارع حیث یعلم أنّ هذا الإعتبار یمکن تطبیقه علی مصادیق أخری فمعاصرته وعدم الردع عنه یکشف عن إمضائه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مخزون فی العقل الإجتماعی من الإعتبارات الکلّیة المعاصر للشارع هو مدعاة لأن یعمل به اللاحقون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کلّ جیل لاحق یحمل المخزون الحضاری للجیل السابق، کما ذکر علماء الإجتماع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ردع الشارع عنه مع التفاته إلیه دلیل إمضائه 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هذا التصویر مقتض لا أکثر؛ حیث إنّه مشروط بعدم</w:t>
      </w:r>
    </w:p>
    <w:p>
      <w:pPr>
        <w:pStyle w:val="BookText"/>
        <w:rPr/>
      </w:pPr>
      <w:r>
        <w:rPr>
          <w:rFonts w:ascii="IRNazanin" w:hAnsi="IRNazanin" w:eastAsia="IRNazanin"/>
          <w:color w:val="111111"/>
          <w:sz w:val="28"/>
          <w:sz w:val="28"/>
          <w:szCs w:val="28"/>
          <w:rtl w:val="true"/>
          <w:lang w:bidi="fa-IR"/>
        </w:rPr>
        <w:t xml:space="preserve">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المخالفة للکتاب والسنّة والردع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إذا ثبت إمضاء الکبری العقلائیة نستفید منه إمضاء المستجدات من المصادیق التی اعتبرها العقلاء، وهذا هو الوجه الذی ذکره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الذی ذکره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یتقوم بکون الإمضاء لفظیاً؟ فی حین أنّ الإعتبار عقلائی فی عرض المستجدات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مشکلة فی 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الکلّی والطبیعی الموجود فی الإعتبار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فی نظر العقلاء بلا داعٍ لفرض اعتبار خبر الثقة بخصوصه، فإنه مصداق تکوینی لکلّی الإطمئنان، فالإمضاء ینال الإطمئنان مباشرة لا بتوسط خبر الثقة؟</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أنّ الإمضاء قد نال خبر الثقة بملاک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فیه، کیف نکتفی بإمضاء الإطمئنان فی إمضاء المستجدات؟ وبعد أن کان هناک اعتبار عقلائی للکلّی وآخر للمصداق، کیف أمکن الإکتفاء باعتبار شرعی واحد للکلّی دون المصداق، مع أنّ الإعتبار الشرعی من حیث الإعتبار لا یختلف عن العقلائی، فکما کانت هناک حاجة للتعدد فی العقلائی کانت حاجة للتعدد فی الشرعی؟</w:t>
      </w:r>
    </w:p>
    <w:p>
      <w:pPr>
        <w:pStyle w:val="BookText"/>
        <w:rPr/>
      </w:pPr>
      <w:r>
        <w:rPr>
          <w:rFonts w:ascii="IRNazanin" w:hAnsi="IRNazanin" w:eastAsia="IRNazanin"/>
          <w:color w:val="111111"/>
          <w:sz w:val="28"/>
          <w:sz w:val="28"/>
          <w:szCs w:val="28"/>
          <w:rtl w:val="true"/>
          <w:lang w:bidi="fa-IR"/>
        </w:rPr>
        <w:t xml:space="preserve">ثمّ فی المستجدات، بل وحتی فی خبر الثقة، هل العقلاء یعتبرون هذا الموضوع الإطمئنان أو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الحجّیة العقلائیة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أن یکون الإمضاء لفظیاً أخذ فی موضوعه خبر الثقة، وإنما حیث لم یوجد معاصراً للشارع غیر خبر الثقة والظهور مصداقاً للإطمئنان، یقع السؤال هل إنّ الإمضاء یتعلّق بهما خاصة أو بالطبیعی الموجود فیهما وإن لم یکن الإمضاء لفظیاً؟ فیتساءل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سکوت الشارع مثلاً وعدم ردعه لهذا المعاصر مع کونه مدعاة</w:t>
      </w:r>
      <w:bookmarkStart w:id="121" w:name="pg16983_380675"/>
    </w:p>
    <w:p>
      <w:pPr>
        <w:pStyle w:val="BookText"/>
        <w:rPr/>
      </w:pPr>
      <w:bookmarkEnd w:id="121"/>
      <w:r>
        <w:rPr>
          <w:rFonts w:ascii="IRNazanin" w:hAnsi="IRNazanin" w:eastAsia="IRNazanin"/>
          <w:color w:val="111111"/>
          <w:sz w:val="28"/>
          <w:sz w:val="28"/>
          <w:szCs w:val="28"/>
          <w:rtl w:val="true"/>
          <w:lang w:bidi="fa-IR"/>
        </w:rPr>
        <w:t>للعمل به فی الشرعیات یدلّ علی إمضائهما أو إمضاء البعد المشترک الموجود بوجودهما؟</w:t>
      </w:r>
    </w:p>
    <w:p>
      <w:pPr>
        <w:pStyle w:val="BookText"/>
        <w:rPr/>
      </w:pPr>
      <w:r>
        <w:rPr>
          <w:rFonts w:ascii="IRNazanin" w:hAnsi="IRNazanin" w:eastAsia="IRNazanin"/>
          <w:color w:val="111111"/>
          <w:sz w:val="28"/>
          <w:sz w:val="28"/>
          <w:szCs w:val="28"/>
          <w:rtl w:val="true"/>
          <w:lang w:bidi="fa-IR"/>
        </w:rPr>
        <w:t>وأما وجه الحاجة إلی اعتبار العقلاء لخبر الثقة مصداقاً، ولیس هو مصداق تکوینی؛ لأنّ الإطمئنان المعتبر هو النوعی لا الشخصی، ومن ثمّ کان سبباً فی الحاجة إلی اعتبار المصداق، وحیث کان هناک اعتباران من العقلاء أحدهما فی بطن الآخر، کان تحلیل موضوع إمضاء الشارع ضرورةً لمعرفة أنه إمضاء للمصداق المعتبر أو للکلّی الموجود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الإعتبار العقلائی للإطمئنان هناک اعتباران؛ اعتبار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الکاشفیة النوعیة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واعتبار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اعتباره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اعتبار ثالث هو اعتبار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الإمضاء الشرعی یکون للإعتبار علماً، کذا فی المصداق علی مبنانا من حاجة کلّ جعل عقلائی إلی جعل شرعی یحتاج إلی اعتبار، ولکن لا کلّ مصداق مصداق کی نقع فی إشکال عدم إمضاء المستجدات، وإنما کلی المصداق بأن یمضی الشارع کلی ما یعتبره العقلاء مصداقاً</w:t>
      </w:r>
      <w:r>
        <w:rPr>
          <w:rFonts w:eastAsia="IRNazanin" w:cs="IRNazanin"/>
          <w:color w:val="111111"/>
          <w:sz w:val="28"/>
          <w:szCs w:val="28"/>
          <w:rtl w:val="true"/>
          <w:lang w:bidi="fa-IR"/>
        </w:rPr>
        <w:t>.</w:t>
      </w:r>
    </w:p>
    <w:p>
      <w:pPr>
        <w:pStyle w:val="Heading5"/>
        <w:numPr>
          <w:ilvl w:val="4"/>
          <w:numId w:val="1"/>
        </w:numPr>
        <w:rPr/>
      </w:pPr>
      <w:bookmarkStart w:id="122" w:name="__RefHeading___Toc3299658_1468164448"/>
      <w:bookmarkStart w:id="123" w:name="_Toc50"/>
      <w:bookmarkEnd w:id="122"/>
      <w:r>
        <w:rPr>
          <w:rtl w:val="true"/>
        </w:rPr>
        <w:t>الدلیل الخامس</w:t>
      </w:r>
      <w:r>
        <w:rPr>
          <w:rtl w:val="true"/>
        </w:rPr>
        <w:t xml:space="preserve">: </w:t>
      </w:r>
      <w:r>
        <w:rPr>
          <w:rtl w:val="true"/>
        </w:rPr>
        <w:t>کونها صغریات لکبریات شرعیة</w:t>
      </w:r>
      <w:bookmarkEnd w:id="123"/>
    </w:p>
    <w:p>
      <w:pPr>
        <w:pStyle w:val="Heading6"/>
        <w:numPr>
          <w:ilvl w:val="5"/>
          <w:numId w:val="1"/>
        </w:numPr>
        <w:rPr/>
      </w:pPr>
      <w:bookmarkStart w:id="124" w:name="__RefHeading___Toc3299660_1468164448"/>
      <w:bookmarkStart w:id="125" w:name="_Toc51"/>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 xml:space="preserve">أن تکون هناک کبریات شرعیة لفظیة، موضوعاتها اعتبارات عقلائیة؛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 هذه الکبریات فی الوقت الذی تدلّ علی إمضاء موضوعاتها العقلائیة، یستفاد منها فی امضاء الإعتبارات المستجدة، شریطة أن تکون صغری للإعتبار الذی أخذه الشارع موضوعاً للإمضاء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وحیث انتهینا إلی أنّ مجموعة من الحقوق المستجدة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بیوع تجزیئیة، وکان واحد من أدلّة إمضائها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سلیم ویسیر، إلاّ أنه یتطلب خبرة عملیة عالیة فی</w:t>
      </w:r>
      <w:bookmarkStart w:id="126" w:name="pg16983_380677"/>
    </w:p>
    <w:p>
      <w:pPr>
        <w:pStyle w:val="BookText"/>
        <w:rPr/>
      </w:pPr>
      <w:bookmarkEnd w:id="126"/>
      <w:r>
        <w:rPr>
          <w:rFonts w:ascii="IRNazanin" w:hAnsi="IRNazanin" w:eastAsia="IRNazanin"/>
          <w:color w:val="111111"/>
          <w:sz w:val="28"/>
          <w:sz w:val="28"/>
          <w:szCs w:val="28"/>
          <w:rtl w:val="true"/>
          <w:lang w:bidi="fa-IR"/>
        </w:rPr>
        <w:t>فهم هذه المستجدات وتحلیلها، کی یتمّ تصنیفها تحت کلّیاتها بشکل</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Heading6"/>
        <w:numPr>
          <w:ilvl w:val="5"/>
          <w:numId w:val="1"/>
        </w:numPr>
        <w:rPr/>
      </w:pPr>
      <w:bookmarkStart w:id="127" w:name="__RefHeading___Toc3299662_1468164448"/>
      <w:bookmarkStart w:id="128" w:name="_Toc52"/>
      <w:bookmarkEnd w:id="127"/>
      <w:r>
        <w:rPr>
          <w:rtl w:val="true"/>
        </w:rPr>
        <w:t>الخبرویة الموضوعیة</w:t>
      </w:r>
      <w:bookmarkEnd w:id="128"/>
    </w:p>
    <w:p>
      <w:pPr>
        <w:pStyle w:val="BookText"/>
        <w:rPr/>
      </w:pPr>
      <w:r>
        <w:rPr>
          <w:rFonts w:ascii="IRNazanin" w:hAnsi="IRNazanin" w:eastAsia="IRNazanin"/>
          <w:color w:val="111111"/>
          <w:sz w:val="28"/>
          <w:sz w:val="28"/>
          <w:szCs w:val="28"/>
          <w:rtl w:val="true"/>
          <w:lang w:bidi="fa-IR"/>
        </w:rPr>
        <w:t xml:space="preserve">وقد ألفتنا سابقاً إلی مقولة الشعرانی وتوصیته بأنّ علم الفقه من أصعب العلوم؛ لأنه من زاویة المحمول فقه، وأمّا من زاویة الموضوع فکلّ بابٍ علمٌ، فلابدّ من إلمام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العلوم کی یتمکن أن یستنطق الأدلّة بشکل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الفقهاء بأنّ المحقق أوسع باعاً من العلاّمة فی العبادات، والعلاّمة أوسع باعاً فی المعاملات لخبرته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علی هذا إمّا من الإجتهاد فی الموضوعات أو التقلید فیها لأهل الخبرة والإختصاص، وصِرفُ الإلمام والثقافة العامة لا یکفی؟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خاصة أننا نؤمن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أهل الإختصاص والخبرة، ولم یخاطب العموم إلاّ ما استثنی، کما فی الطهارة والنجاسة؛ حیث اکتفی بتشخیص العرف، مع الإلتفات إلی أننا نؤمن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خبرته بالموضوعات قد اعتمد نکات علمیة لا یلتفت إلیها إلاّ من کانت له إحاطة بالموضوع، فإنه یؤثر فی فهم الدلیل جنباً إلی جنب الدقة الأدبیة التی لها مدخلیة کبیرة فی جودة الإستظهار وقد لمسنا غفلة البعض فی فهم بعض نکات الأدلّة فی بعض الأبواب، کالهلال نتیجة عدم خبرتهم الکافیة بالموضوع فلکیاً، ممّا فوّت علیهم نکات أساسیة لها مدخلیة کبیرة فی تشکیل الظهور</w:t>
      </w:r>
      <w:r>
        <w:rPr>
          <w:rFonts w:eastAsia="IRNazanin" w:cs="IRNazanin"/>
          <w:color w:val="111111"/>
          <w:sz w:val="28"/>
          <w:szCs w:val="28"/>
          <w:rtl w:val="true"/>
          <w:lang w:bidi="fa-IR"/>
        </w:rPr>
        <w:t>.</w:t>
      </w:r>
    </w:p>
    <w:p>
      <w:pPr>
        <w:pStyle w:val="Heading5"/>
        <w:numPr>
          <w:ilvl w:val="4"/>
          <w:numId w:val="1"/>
        </w:numPr>
        <w:rPr/>
      </w:pPr>
      <w:bookmarkStart w:id="129" w:name="__RefHeading___Toc3299664_1468164448"/>
      <w:bookmarkStart w:id="130" w:name="_Toc53"/>
      <w:bookmarkEnd w:id="129"/>
      <w:r>
        <w:rPr>
          <w:rtl w:val="true"/>
        </w:rPr>
        <w:t>الدلیل السادس</w:t>
      </w:r>
      <w:r>
        <w:rPr>
          <w:rtl w:val="true"/>
        </w:rPr>
        <w:t xml:space="preserve">: </w:t>
      </w:r>
      <w:r>
        <w:rPr>
          <w:rtl w:val="true"/>
        </w:rPr>
        <w:t>ایکال الأمر إلی العقلاء</w:t>
      </w:r>
      <w:bookmarkEnd w:id="130"/>
    </w:p>
    <w:p>
      <w:pPr>
        <w:pStyle w:val="Heading6"/>
        <w:numPr>
          <w:ilvl w:val="5"/>
          <w:numId w:val="1"/>
        </w:numPr>
        <w:rPr/>
      </w:pPr>
      <w:bookmarkStart w:id="131" w:name="__RefHeading___Toc3299666_1468164448"/>
      <w:bookmarkStart w:id="132" w:name="_Toc54"/>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إنّ الحکم العقلی یحتلّ المرتبة الأولی فینال الکلّیات العالیة، و الإعتبار الشرعی یأتی فی الدرجة الثانیة لیلفت إلی مصادیق الکلّیات التی یدرکها العقل، حیث یعجز العقل عن تشخیصها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المساحة التی یترک الشارع الإعتبار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مصادیق</w:t>
      </w:r>
      <w:bookmarkStart w:id="133" w:name="pg16983_380679"/>
    </w:p>
    <w:p>
      <w:pPr>
        <w:pStyle w:val="BookText"/>
        <w:rPr/>
      </w:pPr>
      <w:bookmarkEnd w:id="133"/>
      <w:r>
        <w:rPr>
          <w:rFonts w:ascii="IRNazanin" w:hAnsi="IRNazanin" w:eastAsia="IRNazanin"/>
          <w:color w:val="111111"/>
          <w:sz w:val="28"/>
          <w:sz w:val="28"/>
          <w:szCs w:val="28"/>
          <w:rtl w:val="true"/>
          <w:lang w:bidi="fa-IR"/>
        </w:rPr>
        <w:t xml:space="preserve">الکلّیات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أوکل الأمر فی تشخیصها إلی الإعتبار العقلائی، بعد أن وجد أنّهم قادرون علی تشخیصها وتصنیفها بتجربتهم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کان هذا الایکال إمضاءً، ولیس ذلک تعبیراً عن نقص الشریعة وعدم استیعابها، وإنما تعبیر عن مرونتها وتجاوبها مع المستجدات علی مرّ الظروف والازمان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حصیلة ما یدور فی کلمات الأعلام وبشکل خفی وفی زوایا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ینسب إلی السیّد أبی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حال هذا الدلیل نلفت النظر إلی مقدّمتین</w:t>
      </w:r>
      <w:r>
        <w:rPr>
          <w:rFonts w:eastAsia="IRNazanin" w:cs="IRNazanin"/>
          <w:color w:val="111111"/>
          <w:sz w:val="28"/>
          <w:szCs w:val="28"/>
          <w:rtl w:val="true"/>
          <w:lang w:bidi="fa-IR"/>
        </w:rPr>
        <w:t>:</w:t>
      </w:r>
    </w:p>
    <w:p>
      <w:pPr>
        <w:pStyle w:val="Heading6"/>
        <w:numPr>
          <w:ilvl w:val="5"/>
          <w:numId w:val="1"/>
        </w:numPr>
        <w:rPr/>
      </w:pPr>
      <w:bookmarkStart w:id="134" w:name="__RefHeading___Toc3299668_1468164448"/>
      <w:bookmarkStart w:id="135" w:name="_Toc55"/>
      <w:bookmarkEnd w:id="134"/>
      <w:r>
        <w:rPr>
          <w:rtl w:val="true"/>
        </w:rPr>
        <w:t>حقیقة الإمضاء</w:t>
      </w:r>
      <w:bookmarkEnd w:id="135"/>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کان من حقّها أن تتقدم علی عرض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الإمضاء الشرعی هی الجعل والإعتبار من قبل الشارع، إذ مع عدم الجعل والإعتبار لا تنجیز ولا تعذیر ولا بیان من الشارع لکمال الفعل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الجعل لا یترتب أی شیء من المترتبات علی الجعل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الحکم العقلی القطعی النظری یترتب علیه حکم العقل بالتنجیز والتعذیر، حتی لو أنکرنا الملازمة بینه وبین حکم الشارع؛ لأنّ العقل بنفسه منجّز ومعذّر، فلا یحتاج إلی توسیط الشارع</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فرق فی الجعل الإمضائی بین أن یکون لفظیاً أو لا</w:t>
      </w:r>
      <w:r>
        <w:rPr>
          <w:rFonts w:eastAsia="IRNazanin" w:cs="IRNazanin"/>
          <w:color w:val="111111"/>
          <w:sz w:val="28"/>
          <w:szCs w:val="28"/>
          <w:rtl w:val="true"/>
          <w:lang w:bidi="fa-IR"/>
        </w:rPr>
        <w:t>.</w:t>
      </w:r>
      <w:r>
        <w:rPr>
          <w:rStyle w:val="FootnoteAnchor"/>
          <w:rtl w:val="true"/>
        </w:rPr>
        <w:footnoteReference w:id="13"/>
      </w:r>
      <w:bookmarkStart w:id="136" w:name="pg16983_380681"/>
    </w:p>
    <w:p>
      <w:pPr>
        <w:pStyle w:val="Heading6"/>
        <w:numPr>
          <w:ilvl w:val="5"/>
          <w:numId w:val="1"/>
        </w:numPr>
        <w:rPr/>
      </w:pPr>
      <w:bookmarkStart w:id="137" w:name="__RefHeading___Toc3299670_1468164448"/>
      <w:bookmarkStart w:id="138" w:name="_Toc56"/>
      <w:bookmarkEnd w:id="136"/>
      <w:bookmarkEnd w:id="137"/>
      <w:r>
        <w:rPr>
          <w:rtl w:val="true"/>
        </w:rPr>
        <w:t>الفرق بین التأسیس والإمضاء</w:t>
      </w:r>
      <w:bookmarkEnd w:id="138"/>
    </w:p>
    <w:p>
      <w:pPr>
        <w:pStyle w:val="BookText"/>
        <w:rPr/>
      </w:pPr>
      <w:r>
        <w:rPr>
          <w:rFonts w:ascii="IRNazanin" w:hAnsi="IRNazanin" w:eastAsia="IRNazanin"/>
          <w:color w:val="111111"/>
          <w:sz w:val="28"/>
          <w:sz w:val="28"/>
          <w:szCs w:val="28"/>
          <w:rtl w:val="true"/>
          <w:lang w:bidi="fa-IR"/>
        </w:rPr>
        <w:t xml:space="preserve">فما تصوّره البعض فی أنّ الفرق بین التأسیس والإمضاء هو أنّ الأول جعل دون الثانی، فإنه متابعة وتعاطی من قبل الشارع من دون 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 یظهر من عبارات بعض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ما تصوّره البعض من أنّ الفرق بینهما دالّی، حیث إنّ التأسیس ما ورد فیه نص لفظی، والإمضاء ما لم یرد فیه شیء، وإنما یحصل بمثل التقریر اللبی أیضاً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منهما جعل، وکلاً منهما قد یکون بلفظ وقد لا یکون بلفظ، وأنّ الفرق الحقیقی بینهما هو أنّ التأسیس اعتبار من رأس غیر مسبوق باعتبار العقلاء، وأنّ الثانی اعتبار لا من رأس، وقد یتصادقان فی مورد واحد من جهتین، فیکون الجعل من جهة من الجهات تأسیسیّاً ومن جهة أخری إمضائیاً، ومن ثمّ ذکر المتأخرون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إمضائی مع أنه لفظی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السکوت وعدم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قَبِلَه البعض 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عدم الجعل، وأنه شیء مقابل للإمضاء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کاشف إثباتی عن رضا الشارع القانونی واعتباره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فالإختلاف بین السکوت والتصریح القولی أو الفعلی إثباتی، وإلاّ فکُنه المستکشف وهو الإعتبار وامضاء ما اعتبره العقلاء واحد</w:t>
      </w:r>
      <w:r>
        <w:rPr>
          <w:rFonts w:eastAsia="IRNazanin" w:cs="IRNazanin"/>
          <w:color w:val="111111"/>
          <w:sz w:val="28"/>
          <w:szCs w:val="28"/>
          <w:rtl w:val="true"/>
          <w:lang w:bidi="fa-IR"/>
        </w:rPr>
        <w:t>.</w:t>
      </w:r>
      <w:r>
        <w:rPr>
          <w:rStyle w:val="FootnoteAnchor"/>
          <w:rtl w:val="true"/>
        </w:rPr>
        <w:footnoteReference w:id="14"/>
      </w:r>
      <w:bookmarkStart w:id="139" w:name="pg16983_380683"/>
    </w:p>
    <w:p>
      <w:pPr>
        <w:pStyle w:val="Heading6"/>
        <w:numPr>
          <w:ilvl w:val="5"/>
          <w:numId w:val="1"/>
        </w:numPr>
        <w:rPr/>
      </w:pPr>
      <w:bookmarkStart w:id="140" w:name="__RefHeading___Toc3299672_1468164448"/>
      <w:bookmarkStart w:id="141" w:name="_Toc57"/>
      <w:bookmarkEnd w:id="139"/>
      <w:bookmarkEnd w:id="140"/>
      <w:r>
        <w:rPr>
          <w:rtl w:val="true"/>
        </w:rPr>
        <w:t>کاشفیة السکوت عن الإمضاء</w:t>
      </w:r>
      <w:bookmarkEnd w:id="141"/>
    </w:p>
    <w:p>
      <w:pPr>
        <w:pStyle w:val="BookText"/>
        <w:rPr/>
      </w:pPr>
      <w:r>
        <w:rPr>
          <w:rFonts w:ascii="IRNazanin" w:hAnsi="IRNazanin" w:eastAsia="IRNazanin"/>
          <w:color w:val="111111"/>
          <w:sz w:val="28"/>
          <w:sz w:val="28"/>
          <w:szCs w:val="28"/>
          <w:rtl w:val="true"/>
          <w:lang w:bidi="fa-IR"/>
        </w:rPr>
        <w:t xml:space="preserve">نعم، یبقی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نقبل السکوت وعدم الردع دالاً علی الإمضاء، أو لابدّ من التصریح قولاً أو فعلاً به؟</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السکوت وعدم الردع دلالة وکاشفیة علی الإمضاء أو لا؟</w:t>
      </w:r>
    </w:p>
    <w:p>
      <w:pPr>
        <w:pStyle w:val="BookText"/>
        <w:rPr/>
      </w:pPr>
      <w:r>
        <w:rPr>
          <w:rFonts w:ascii="IRNazanin" w:hAnsi="IRNazanin" w:eastAsia="IRNazanin"/>
          <w:color w:val="111111"/>
          <w:sz w:val="28"/>
          <w:sz w:val="28"/>
          <w:szCs w:val="28"/>
          <w:rtl w:val="true"/>
          <w:lang w:bidi="fa-IR"/>
        </w:rPr>
        <w:t xml:space="preserve">الحق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الإعتبار العقلائی المتجذر والمتفشی والمنتشر فیکفی سکوت الشارع وعدم ردعه فی إمضائه، وبین غیر المتجذر والمتفشی فیحتاج فی إمضائه إلی تصریح، ولا یکفی فی الدلالة والکشف صِرفُ السکوت وعدم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تفصیل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الواقع تتمیم للسابق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الإعتبارات العقلائیة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 معقّداً من أسباب ومسبّبات، وبُعدین وضعی وتکلیفی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إلی إمضاء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کانت متجذرة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یوضّح اللفظُ معالمَ الإعتبار الممضی، فلو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التمسّک بإطلاق الإمضاء فی کلّیة موارد البیع العقلائی حتی المشکوک منها إمضاءُ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الإعتبارات الأخری فیکفی فیها الإمضاء غیر اللفظی</w:t>
      </w:r>
      <w:r>
        <w:rPr>
          <w:rFonts w:eastAsia="IRNazanin" w:cs="IRNazanin"/>
          <w:color w:val="111111"/>
          <w:sz w:val="28"/>
          <w:szCs w:val="28"/>
          <w:rtl w:val="true"/>
          <w:lang w:bidi="fa-IR"/>
        </w:rPr>
        <w:t>.</w:t>
      </w:r>
    </w:p>
    <w:p>
      <w:pPr>
        <w:pStyle w:val="Heading6"/>
        <w:numPr>
          <w:ilvl w:val="5"/>
          <w:numId w:val="1"/>
        </w:numPr>
        <w:rPr/>
      </w:pPr>
      <w:bookmarkStart w:id="142" w:name="__RefHeading___Toc3299674_1468164448"/>
      <w:bookmarkStart w:id="143" w:name="_Toc58"/>
      <w:bookmarkEnd w:id="142"/>
      <w:r>
        <w:rPr>
          <w:rtl w:val="true"/>
        </w:rPr>
        <w:t>المقصود من الإیکال</w:t>
      </w:r>
      <w:bookmarkEnd w:id="143"/>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الإعتبار العقلائی بما هو هو لا یکون منجّزاً ولا معذّراً ولا محرزاً یقینیاً للملاک، ومن هنا کان بحاجة إلی توسیط اعتبار الشرع کی یحرز الکمال ویحصل التنجیز والتعذیر وتتحقق الغایة من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فالإعتبار العقلائی بدون الإمضاء لا ینفع، والإمضاء بدون تفسیره بالجعل لا ینفع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نتساءل من القائل بالایکال، هل یقصد من الإیکال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نستکشف رضا الشارع القانونی بهذه الإعتبارات العقلائیة فی منطقة ما وراء التشریع؟ فهذا جیّد ومقبول، ولکنّه لا ینسجم مع تقریب القائل بالایکال؛ لأنه افترض محدودیة مساحة التشریع وأنّ ما وراءها من شأن العقلاء، فتصویر وجود إمضاء واعتبار شرعی یغطّی المساحة المتروکة للعقلاء ویمنحها الشرعیة خلاف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هناک کبریات شرعیة خصیصتها أنها قابلة للإنطباق علی مصادیق مستجدة معتبرة عند العقلاء؟ فهذا لا مانع منه، إلاّ أنه یرجع إلی بعض ما تقدّم من الوجوه و لا یکون وجهاً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دلیل الإیکال هو هذا الإحتمال، بقرینة تقسیمه الکلّیات إلی مدارج ثلاثة والترتب الذی وضعه العقل والشرع والعقلاء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تخویل الشارع العقلاء فی التشریع والتقنین، بمعنی أنّ لهم التولیة فی التشریع ضمن مساحة ونطاق معیّن؟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مرفوض؛ لأنّ الشارع لم یخوّل أحداً بالتشریع فی عرضه، وإنما إذا کان هناک تخویل فهو فی طوله، والطولیة تعنی التطبیق ووجود اعتبارات عقلائیة تطبیقیة للإعتبارات الشرعیة، کما أنّ الإعتبارات الشرعیة تطبیق للکبریات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یرجع إلی الإحتمال السابق</w:t>
      </w:r>
      <w:r>
        <w:rPr>
          <w:rFonts w:eastAsia="IRNazanin" w:cs="IRNazanin"/>
          <w:color w:val="111111"/>
          <w:sz w:val="28"/>
          <w:szCs w:val="28"/>
          <w:rtl w:val="true"/>
          <w:lang w:bidi="fa-IR"/>
        </w:rPr>
        <w:t>.</w:t>
      </w:r>
      <w:r>
        <w:rPr>
          <w:rStyle w:val="FootnoteAnchor"/>
          <w:rtl w:val="true"/>
        </w:rPr>
        <w:footnoteReference w:id="15"/>
      </w:r>
      <w:bookmarkStart w:id="144" w:name="pg16983_380688"/>
    </w:p>
    <w:p>
      <w:pPr>
        <w:pStyle w:val="BookText"/>
        <w:rPr/>
      </w:pPr>
      <w:bookmarkEnd w:id="144"/>
      <w:r>
        <w:rPr>
          <w:rFonts w:ascii="IRNazanin" w:hAnsi="IRNazanin" w:eastAsia="IRNazanin"/>
          <w:color w:val="111111"/>
          <w:sz w:val="28"/>
          <w:sz w:val="28"/>
          <w:szCs w:val="28"/>
          <w:rtl w:val="true"/>
          <w:lang w:bidi="fa-IR"/>
        </w:rPr>
        <w:t xml:space="preserve">وبالتأمل فی الوجوه السابقة نلاحظ أنها لا تدلّ إلاّ علی إمضاء الإعتبار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تطبیق موضوعی للإعتبار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فی الوقت الذی دلّت علی إمضاء هذا النوع من الإعتبارات العقلائیة کلٌ منها وضع ضابطة و حَدّ للتطبیق الذی یمضیه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الإنسداد مثلاً یدلّ علی أنّ ضابطة إمضاء التطبیق هی حالة الإنسداد، لا کلّ تطبیق ولا کلّ اعتبار من العقلاء حتی لو لم یکن تطبیقاً</w:t>
      </w:r>
      <w:r>
        <w:rPr>
          <w:rFonts w:eastAsia="IRNazanin" w:cs="IRNazanin"/>
          <w:color w:val="111111"/>
          <w:sz w:val="28"/>
          <w:szCs w:val="28"/>
          <w:rtl w:val="true"/>
          <w:lang w:bidi="fa-IR"/>
        </w:rPr>
        <w:t>.</w:t>
      </w:r>
    </w:p>
    <w:p>
      <w:pPr>
        <w:pStyle w:val="Heading5"/>
        <w:numPr>
          <w:ilvl w:val="4"/>
          <w:numId w:val="1"/>
        </w:numPr>
        <w:rPr/>
      </w:pPr>
      <w:bookmarkStart w:id="145" w:name="__RefHeading___Toc3299676_1468164448"/>
      <w:bookmarkStart w:id="146" w:name="_Toc59"/>
      <w:bookmarkEnd w:id="145"/>
      <w:r>
        <w:rPr>
          <w:rtl w:val="true"/>
        </w:rPr>
        <w:t>الدلیل السابع</w:t>
      </w:r>
      <w:r>
        <w:rPr>
          <w:rtl w:val="true"/>
        </w:rPr>
        <w:t xml:space="preserve">: </w:t>
      </w:r>
      <w:r>
        <w:rPr>
          <w:rtl w:val="true"/>
        </w:rPr>
        <w:t>حجّیتها من باب الإطمئنان</w:t>
      </w:r>
      <w:bookmarkEnd w:id="146"/>
    </w:p>
    <w:p>
      <w:pPr>
        <w:pStyle w:val="Heading6"/>
        <w:numPr>
          <w:ilvl w:val="5"/>
          <w:numId w:val="1"/>
        </w:numPr>
        <w:rPr/>
      </w:pPr>
      <w:bookmarkStart w:id="147" w:name="__RefHeading___Toc3299678_1468164448"/>
      <w:bookmarkStart w:id="148" w:name="_Toc60"/>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إنّ الإطمئنان حیث اعتبره العقلاء حجّة والشارع أمضاه، سیکون مَصنَعاً مولّداً للحجج الشرعیة؛ حیث إنّ کلّ مصداق مستجد یفید الإطمئنان سیکون حجّة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کنه هذه الدعوی تلتقی مع الوجه الذی ذکره الشیخ الإصفهانی، مع فارق سنشیر إلیه</w:t>
      </w:r>
      <w:r>
        <w:rPr>
          <w:rFonts w:eastAsia="IRNazanin" w:cs="IRNazanin"/>
          <w:color w:val="111111"/>
          <w:sz w:val="28"/>
          <w:szCs w:val="28"/>
          <w:rtl w:val="true"/>
          <w:lang w:bidi="fa-IR"/>
        </w:rPr>
        <w:t>.</w:t>
      </w:r>
    </w:p>
    <w:p>
      <w:pPr>
        <w:pStyle w:val="Heading6"/>
        <w:numPr>
          <w:ilvl w:val="5"/>
          <w:numId w:val="1"/>
        </w:numPr>
        <w:rPr/>
      </w:pPr>
      <w:bookmarkStart w:id="149" w:name="__RefHeading___Toc3299680_1468164448"/>
      <w:bookmarkStart w:id="150" w:name="_Toc61"/>
      <w:bookmarkEnd w:id="149"/>
      <w:r>
        <w:rPr>
          <w:rtl w:val="true"/>
        </w:rPr>
        <w:t>وقفة فی هذا الدلیل</w:t>
      </w:r>
      <w:bookmarkEnd w:id="150"/>
    </w:p>
    <w:p>
      <w:pPr>
        <w:pStyle w:val="BookText"/>
        <w:rPr/>
      </w:pPr>
      <w:r>
        <w:rPr>
          <w:rFonts w:ascii="IRNazanin" w:hAnsi="IRNazanin" w:eastAsia="IRNazanin"/>
          <w:color w:val="111111"/>
          <w:sz w:val="28"/>
          <w:sz w:val="28"/>
          <w:szCs w:val="28"/>
          <w:rtl w:val="true"/>
          <w:lang w:bidi="fa-IR"/>
        </w:rPr>
        <w:t xml:space="preserve">ولکن مع ذلک لنا وقفة مع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بعد الإلتفات إلی أنّ البحث فی الإطمئنان بوّابة البحث فی کلّ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اعتبره العقلاء حجّة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الإطمئنان الشخصی وإنما هو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والنوعی هو الذی یحصل عند الأکثر، وکلّ الحجج هی مصادیق الإطمئنان النوعی، حتّی الخبر الموثوق به، فإنّ القول بحجّیته یقصد منه النوعی لا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البعض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فالمغایرة بین القول بحجّیة خبر الثقة والموثوق به، بالنوعیة والشخصیة فاسدة جداً، وإنما الفرق هو أنّ مبنی حجّیة خبر الثقة یحصر المنشأ بصدق لهجة المخبر، وأمّا حجّیة الخبر الموثوق به فمناشؤه غیر محصورة، فالنسبة بینهما العموم والخصوص المطلق، لا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تصوّره البعض </w:t>
      </w:r>
      <w:r>
        <w:rPr>
          <w:rFonts w:eastAsia="IRNazanin" w:cs="IRNazanin"/>
          <w:color w:val="111111"/>
          <w:sz w:val="28"/>
          <w:szCs w:val="28"/>
          <w:rtl w:val="true"/>
          <w:lang w:bidi="fa-IR"/>
        </w:rPr>
        <w:t>].</w:t>
      </w:r>
      <w:bookmarkStart w:id="151" w:name="pg16983_380690"/>
    </w:p>
    <w:p>
      <w:pPr>
        <w:pStyle w:val="Heading6"/>
        <w:numPr>
          <w:ilvl w:val="5"/>
          <w:numId w:val="1"/>
        </w:numPr>
        <w:rPr/>
      </w:pPr>
      <w:bookmarkStart w:id="152" w:name="__RefHeading___Toc3299682_1468164448"/>
      <w:bookmarkStart w:id="153" w:name="_Toc62"/>
      <w:bookmarkEnd w:id="151"/>
      <w:bookmarkEnd w:id="152"/>
      <w:r>
        <w:rPr>
          <w:rtl w:val="true"/>
        </w:rPr>
        <w:t>دور الإطمئنان الشخصی فی حصول النوعی</w:t>
      </w:r>
      <w:bookmarkEnd w:id="153"/>
    </w:p>
    <w:p>
      <w:pPr>
        <w:pStyle w:val="BookText"/>
        <w:rPr/>
      </w:pPr>
      <w:r>
        <w:rPr>
          <w:rFonts w:ascii="IRNazanin" w:hAnsi="IRNazanin" w:eastAsia="IRNazanin"/>
          <w:color w:val="111111"/>
          <w:sz w:val="28"/>
          <w:sz w:val="28"/>
          <w:szCs w:val="28"/>
          <w:rtl w:val="true"/>
          <w:lang w:bidi="fa-IR"/>
        </w:rPr>
        <w:t>والشخصی یکون طریقاً لمعرفة حصول النوعی؛ لأنّ المنشأ لا یکون إلاّ نوعیاً، وعلی أساسه حصل الشخصی وإلاّ لم یبن علیه، فمنه یعرف أنه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فی عقله الإجتماعی ومخزون ذاکرته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بالعلم الإرتکازی والإجمالی والبسیط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علوماً جمّة، جاءته من الموروث البیئی وبشکل تلقائی عَفَوی ارتکازی ومن دون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والخبرةُ والتخصص والفن والإجتهاد کلّه مطلوب فی الإلتفات المرکب لا فی العلم البسیط، ومن ثمّ لم یکن حکراً علی البعض دون البعض الآخر، بل کان مفتوحاً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والإتصال بالآخرین یکون عبر العقل الإجتماعی والمخزون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یکن صالحاً للإحتجاج به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من الطبیعی یتمّ اکتشاف العام والنوعی والمشترک من خلال الشخصی؛ لأنّ ما لدی الشخص لیس إلاّ الموروث الإجتماعی، وهو لا یمتاز به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فالإطمئنان وسکون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من نوع المنشأ لنوع العقلاء وأکثریتهم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اعتبرت له الحجّیة العقلائیة، وکلّ هذا هو الذی یمضی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النوعی هو المعتبر، کان بحاجة إلی اعتبار مصادیقه، والمصادقةِ علیها من قِبَلهم، ولا یکفی صِرفُ کونه مصداقاً تکوینیاً ما لم یتفشَّ بینهم وینتشر، وهو لا یکون إلاّ باعتبارهم له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ولا یخفی أنّ هذا الدلیل ینفع فی خصوص الإعتبارات الظاهریة؛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ذاتی الإطمئنان وحقیقَتَه الکاشفیةُ علی خلاف دلیل الشیخ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دلیل عام غایته أنّا طبّقناه فی مجال التمثیل له</w:t>
      </w:r>
      <w:bookmarkStart w:id="154" w:name="pg16983_380692"/>
    </w:p>
    <w:p>
      <w:pPr>
        <w:pStyle w:val="BookText"/>
        <w:rPr/>
      </w:pPr>
      <w:bookmarkEnd w:id="154"/>
      <w:r>
        <w:rPr>
          <w:rFonts w:ascii="IRNazanin" w:hAnsi="IRNazanin" w:eastAsia="IRNazanin"/>
          <w:color w:val="111111"/>
          <w:sz w:val="28"/>
          <w:sz w:val="28"/>
          <w:szCs w:val="28"/>
          <w:rtl w:val="true"/>
          <w:lang w:bidi="fa-IR"/>
        </w:rPr>
        <w:t>بالخبر والإطمئنان</w:t>
      </w:r>
      <w:r>
        <w:rPr>
          <w:rFonts w:eastAsia="IRNazanin" w:cs="IRNazanin"/>
          <w:color w:val="111111"/>
          <w:sz w:val="28"/>
          <w:szCs w:val="28"/>
          <w:rtl w:val="true"/>
          <w:lang w:bidi="fa-IR"/>
        </w:rPr>
        <w:t>.</w:t>
      </w:r>
    </w:p>
    <w:p>
      <w:pPr>
        <w:pStyle w:val="Heading6"/>
        <w:numPr>
          <w:ilvl w:val="5"/>
          <w:numId w:val="1"/>
        </w:numPr>
        <w:rPr/>
      </w:pPr>
      <w:bookmarkStart w:id="155" w:name="__RefHeading___Toc3299684_1468164448"/>
      <w:bookmarkStart w:id="156" w:name="_Toc63"/>
      <w:bookmarkEnd w:id="155"/>
      <w:r>
        <w:rPr>
          <w:rtl w:val="true"/>
        </w:rPr>
        <w:t>خلل أخری فی دلیل الإطمئنان</w:t>
      </w:r>
      <w:bookmarkEnd w:id="156"/>
    </w:p>
    <w:p>
      <w:pPr>
        <w:pStyle w:val="BookText"/>
        <w:rPr/>
      </w:pPr>
      <w:r>
        <w:rPr>
          <w:rFonts w:ascii="IRNazanin" w:hAnsi="IRNazanin" w:eastAsia="IRNazanin"/>
          <w:color w:val="111111"/>
          <w:sz w:val="28"/>
          <w:sz w:val="28"/>
          <w:szCs w:val="28"/>
          <w:rtl w:val="true"/>
          <w:lang w:bidi="fa-IR"/>
        </w:rPr>
        <w:t>وممّا تقدّم نستطیع أن نشخّص الخلل فی ثلاث طروحات فی الإطمئنان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الإطمئنان لیست عقلائیة، وإنما باعتباره مصداقاً من مصادیق العلم، وهو حجّیة ذاتیة تکوینیة لا جعلیة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عرضیّة بین الإطمئنان وبقیة الأمارات العقلائیة کالخبر والظهور، لا أنّ هذه مصادیق للإطمئنان وأنها اعتبرت لاستبطانها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الإطمئنان المعتبر قبلاً من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خصوص حجّیة الظهور لمّا کانت مسلّمة، کانت کأنها لیست بمسألة أصولیة؛ ثمّ تطوّرت هذه الدعوی حتی قیل بأنّ الظهور لا یکون حجّة إلاّ إذا ولّد العلم الشخصی بالمراد، وعلی هذا الأساس یخرج من مباحث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راجت هذه الدعوی، سیّما مع تأییدها بما نراه من الأخذ بالظهور عند حصول العلم فی حالة المشافهة مع الآخرین، وأنّ أیّ احتمال للخلاف یمنع من الأخذ به ویوجب سؤال المخاطب من المتکلّم حتی یتأکّد من مراده</w:t>
      </w:r>
      <w:r>
        <w:rPr>
          <w:rFonts w:eastAsia="IRNazanin" w:cs="IRNazanin"/>
          <w:color w:val="111111"/>
          <w:sz w:val="28"/>
          <w:szCs w:val="28"/>
          <w:rtl w:val="true"/>
          <w:lang w:bidi="fa-IR"/>
        </w:rPr>
        <w:t>.</w:t>
      </w:r>
    </w:p>
    <w:p>
      <w:pPr>
        <w:pStyle w:val="Heading6"/>
        <w:numPr>
          <w:ilvl w:val="5"/>
          <w:numId w:val="1"/>
        </w:numPr>
        <w:rPr/>
      </w:pPr>
      <w:bookmarkStart w:id="157" w:name="__RefHeading___Toc3299686_1468164448"/>
      <w:bookmarkStart w:id="158" w:name="_Toc64"/>
      <w:bookmarkEnd w:id="157"/>
      <w:r>
        <w:rPr>
          <w:rtl w:val="true"/>
        </w:rPr>
        <w:t>عدم انضباط الإطمئنان الشخصی</w:t>
      </w:r>
      <w:bookmarkEnd w:id="1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الخلل فی الطرحة الثانیة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الشخصی فی حدّ نفسه لا یصلح للمحاجّة بین العقلاء؛ لأنه ذاتی غیر منضبط بمناشئ معینة، فلا یکون لغة خطاب مشترکة ما لم یکن أمراً نوعیاً منضبطاً متبانیاً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ظاهرة الحجج بعد أن وجدها العقلاء مناشئ تکوینیة توجب الإطمئنان عند النوع، فاعتبروها کمصادیق للکلّی النوعی الذی اعتبروه لغةَ تخاطبٍ و تفاهمٍ وتحاور بینهم</w:t>
      </w:r>
      <w:r>
        <w:rPr>
          <w:rFonts w:eastAsia="IRNazanin" w:cs="IRNazanin"/>
          <w:color w:val="111111"/>
          <w:sz w:val="28"/>
          <w:szCs w:val="28"/>
          <w:rtl w:val="true"/>
          <w:lang w:bidi="fa-IR"/>
        </w:rPr>
        <w:t>.</w:t>
      </w:r>
      <w:bookmarkStart w:id="159" w:name="pg16983_380695"/>
    </w:p>
    <w:p>
      <w:pPr>
        <w:pStyle w:val="BookText"/>
        <w:rPr/>
      </w:pPr>
      <w:bookmarkEnd w:id="159"/>
      <w:r>
        <w:rPr>
          <w:rFonts w:ascii="IRNazanin" w:hAnsi="IRNazanin" w:eastAsia="IRNazanin"/>
          <w:color w:val="111111"/>
          <w:sz w:val="28"/>
          <w:sz w:val="28"/>
          <w:szCs w:val="28"/>
          <w:rtl w:val="true"/>
          <w:lang w:bidi="fa-IR"/>
        </w:rPr>
        <w:t>وفی الواقع أنّ الدعوی الثالثة حصل فیها خلط، حیث إنّ صاحب الطرح أحسّ أنّ القیمة لیست للظهور بما هو ظهور، وإنما من جهة ما یستبطنه من إفادته الإطمئنان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الإحساس صحیح جداً، ولکنّه لیس الإطمئنان الشخصی، وإنما النوعی لما ذکرناه من أنّ الشخصی لا یصلح لغة مشترکة یحتجّ بها أحدهم الآخر، ویجعلها وسیلة لنقل مقاصده إلی الآخرین، وإنما خصوص ما کان من نوع المنشأ لنوع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خطورة الأطروحة الثالثة، فإنّ النزاع وإن کان بدواً بین الشخصیة والنوعیة، ولکنّه تترتب علیه آثار خطیرة؛ حیث إنّ البناء علی أنّ الظهور الحجّة هو الذی یفید الإطمئنان أو العلم الشخصی، یجرّنا إلی تجمید کثیر من المعالجات الظهوریة الدلالیة، کتقدیم الأظهر علی الظاهر وانقلاب النسبة وحمل المطلق علی المقید وغیرها الکثیر، فإنّها مع عدم تولیدها العلم الشخصی لابدّ من عدم قبولها</w:t>
      </w:r>
      <w:r>
        <w:rPr>
          <w:rFonts w:eastAsia="IRNazanin" w:cs="IRNazanin"/>
          <w:color w:val="111111"/>
          <w:sz w:val="28"/>
          <w:szCs w:val="28"/>
          <w:rtl w:val="true"/>
          <w:lang w:bidi="fa-IR"/>
        </w:rPr>
        <w:t>.</w:t>
      </w:r>
    </w:p>
    <w:p>
      <w:pPr>
        <w:pStyle w:val="Heading6"/>
        <w:numPr>
          <w:ilvl w:val="5"/>
          <w:numId w:val="1"/>
        </w:numPr>
        <w:rPr/>
      </w:pPr>
      <w:bookmarkStart w:id="160" w:name="__RefHeading___Toc3299688_1468164448"/>
      <w:bookmarkStart w:id="161" w:name="_Toc65"/>
      <w:bookmarkEnd w:id="160"/>
      <w:r>
        <w:rPr>
          <w:rtl w:val="true"/>
        </w:rPr>
        <w:t>حجّیة الإطمئنان النوعی</w:t>
      </w:r>
      <w:bookmarkEnd w:id="161"/>
    </w:p>
    <w:p>
      <w:pPr>
        <w:pStyle w:val="BookText"/>
        <w:rPr/>
      </w:pPr>
      <w:r>
        <w:rPr>
          <w:rFonts w:ascii="IRNazanin" w:hAnsi="IRNazanin" w:eastAsia="IRNazanin"/>
          <w:color w:val="111111"/>
          <w:sz w:val="28"/>
          <w:sz w:val="28"/>
          <w:szCs w:val="28"/>
          <w:rtl w:val="true"/>
          <w:lang w:bidi="fa-IR"/>
        </w:rPr>
        <w:t>وممّا تقدم یعرف الخلل فی الأطروحة الأولی، حیث ظهر أنّ الإطمئنان غیر العلم، وبحاجة إلی مشارکة العقلاء واعتبارهم حجّیته حتی یصلح للمحاجّة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الإطمئنان النوعی هو الحجّة، وأنّ الخبر والظهور وسائر الحجج هی فی طوله لا فی عرضه، مصادیق لا مباینات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وعلی ضوء ما انتهینا إلیه سیکون لنا عنایة فی بحث الحجج فی استنطاق أدلّتها لفهم حجّیة کبری الإطمئنان العقلائی، علاوة علی دلالتها علی حجّیة المورد والمصداق</w:t>
      </w:r>
      <w:r>
        <w:rPr>
          <w:rFonts w:eastAsia="IRNazanin" w:cs="IRNazanin"/>
          <w:color w:val="111111"/>
          <w:sz w:val="28"/>
          <w:szCs w:val="28"/>
          <w:rtl w:val="true"/>
          <w:lang w:bidi="fa-IR"/>
        </w:rPr>
        <w:t>.</w:t>
      </w:r>
    </w:p>
    <w:p>
      <w:pPr>
        <w:pStyle w:val="Heading6"/>
        <w:numPr>
          <w:ilvl w:val="5"/>
          <w:numId w:val="1"/>
        </w:numPr>
        <w:rPr/>
      </w:pPr>
      <w:bookmarkStart w:id="162" w:name="__RefHeading___Toc3299690_1468164448"/>
      <w:bookmarkStart w:id="163" w:name="_Toc66"/>
      <w:bookmarkEnd w:id="162"/>
      <w:r>
        <w:rPr>
          <w:rtl w:val="true"/>
        </w:rPr>
        <w:t>جریان سیرة العقلاء علی العمل بالإطمئنان الشخصی وتحلیل هذه السیرة</w:t>
      </w:r>
      <w:bookmarkEnd w:id="1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آحاد العقلاء لا یجرون علی العمل بالإطمئنان ما لم یصل درجة الشخصیة، ومجرد نوعیته لا یکفی فی العمل به، فنحن</w:t>
      </w:r>
      <w:bookmarkStart w:id="164" w:name="pg16983_380697"/>
    </w:p>
    <w:p>
      <w:pPr>
        <w:pStyle w:val="BookText"/>
        <w:rPr/>
      </w:pPr>
      <w:bookmarkEnd w:id="164"/>
      <w:r>
        <w:rPr>
          <w:rFonts w:ascii="IRNazanin" w:hAnsi="IRNazanin" w:eastAsia="IRNazanin"/>
          <w:color w:val="111111"/>
          <w:sz w:val="28"/>
          <w:sz w:val="28"/>
          <w:szCs w:val="28"/>
          <w:rtl w:val="true"/>
          <w:lang w:bidi="fa-IR"/>
        </w:rPr>
        <w:t>نقبل أنّ المعتبر هو النوعی، ولکن علی شرط أن یوصل إلی اطمئنان شخصی، وإلاّ لا یصلح للإحتجاج، وکأنّ المعتبر هو الشخصی المنضبط، الذی یکون من منشأ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التساؤل ربما کان دلیل واحد من الطروحات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یبنی العقلاء علی الإطمئنان مع عدم الشخصیة؟ 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لالتباس فی المورد من جهة وجود أمارة 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فی نفسها حجّة، إلاّ أنها تمنع من شخصیة الإطمئنان فحجّیته، ومن ثمّ أخذ عدمها فی حجّیة الإطمئنان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لأنّ الشخصی لم یحصل لایحاءات نفسیة، لأسباب ذاتیة غیر موضوعیة؟</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أنّ المنشأ النوعی مقیّد بعدم مضاد له، فمع وجوده لا اطمئنان شخصی، ولکن لعدم الإطمئنان النوعی لا معه، ومع عدم القرینة المضادة یحصلان معاً الشخصی والنوعی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یحاجّ من قبل العقلاء حتماً، ولا یعتنی بالأسباب الشخصیة التی حالت دون حصول الإطمئنان النوعی له</w:t>
      </w:r>
      <w:r>
        <w:rPr>
          <w:rFonts w:eastAsia="IRNazanin" w:cs="IRNazanin"/>
          <w:color w:val="111111"/>
          <w:sz w:val="28"/>
          <w:szCs w:val="28"/>
          <w:rtl w:val="true"/>
          <w:lang w:bidi="fa-IR"/>
        </w:rPr>
        <w:t>.</w:t>
      </w:r>
    </w:p>
    <w:p>
      <w:pPr>
        <w:pStyle w:val="Heading6"/>
        <w:numPr>
          <w:ilvl w:val="5"/>
          <w:numId w:val="1"/>
        </w:numPr>
        <w:rPr/>
      </w:pPr>
      <w:bookmarkStart w:id="165" w:name="__RefHeading___Toc3299692_1468164448"/>
      <w:bookmarkStart w:id="166" w:name="_Toc67"/>
      <w:bookmarkEnd w:id="165"/>
      <w:r>
        <w:rPr>
          <w:rtl w:val="true"/>
        </w:rPr>
        <w:t>النتائج التی انتهینا إلیها من أدلّة الإمضاء</w:t>
      </w:r>
      <w:bookmarkEnd w:id="16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إمضاء الإعتبارات العقلائیة التی تکون محلاً لتطبیق الحکم الشرعی،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إمضاء المنطبق العقلائی علی الإهمال مع ترک تشخیصه وتحدیده للوالی،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یشمل المرجع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ذلک من الدلیل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إمضاء الإعتبارات المستجدة الصغرویة التطبیقیة التی تکون مصداقاً لموضوع عقلائی کلّی أخذ فی الدلیل الشرعی، کما ظهر ذلک من دلیل الشیخ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إمضاء الإعتبارات الصغرویة للأغراض التی نعلم أنّ الشارع لا یرید إهمالها، کما ظهر ذلک من دلیل الإنسداد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إمضاء حجّیة الإطمئنان ومصادیقه المعاصرة والمستجدة،</w:t>
      </w:r>
      <w:bookmarkStart w:id="167" w:name="pg16983_380699"/>
    </w:p>
    <w:p>
      <w:pPr>
        <w:pStyle w:val="BookText"/>
        <w:rPr/>
      </w:pPr>
      <w:bookmarkEnd w:id="167"/>
      <w:r>
        <w:rPr>
          <w:rFonts w:ascii="IRNazanin" w:hAnsi="IRNazanin" w:eastAsia="IRNazanin"/>
          <w:color w:val="111111"/>
          <w:sz w:val="28"/>
          <w:sz w:val="28"/>
          <w:szCs w:val="28"/>
          <w:rtl w:val="true"/>
          <w:lang w:bidi="fa-IR"/>
        </w:rPr>
        <w:t>کما ظهر ذلک تفصیلاً من الدلیل السابع، وعموماً من دلیل الشیخ الإصفهانی والإنسداد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تبلورت حقیقة الإمضاء، وحقیقته النوعیة وضرورتها</w:t>
      </w:r>
      <w:r>
        <w:rPr>
          <w:rFonts w:eastAsia="IRNazanin" w:cs="IRNazanin"/>
          <w:color w:val="111111"/>
          <w:sz w:val="28"/>
          <w:szCs w:val="28"/>
          <w:rtl w:val="true"/>
          <w:lang w:bidi="fa-IR"/>
        </w:rPr>
        <w:t>.</w:t>
      </w:r>
    </w:p>
    <w:p>
      <w:pPr>
        <w:pStyle w:val="Heading6"/>
        <w:numPr>
          <w:ilvl w:val="5"/>
          <w:numId w:val="1"/>
        </w:numPr>
        <w:rPr/>
      </w:pPr>
      <w:bookmarkStart w:id="168" w:name="__RefHeading___Toc3299694_1468164448"/>
      <w:bookmarkStart w:id="169" w:name="_Toc68"/>
      <w:bookmarkEnd w:id="168"/>
      <w:r>
        <w:rPr>
          <w:rtl w:val="true"/>
        </w:rPr>
        <w:t>الإعتبار الشرعی بنحو الإقتضاء</w:t>
      </w:r>
      <w:bookmarkEnd w:id="169"/>
    </w:p>
    <w:p>
      <w:pPr>
        <w:pStyle w:val="BookText"/>
        <w:rPr/>
      </w:pPr>
      <w:r>
        <w:rPr>
          <w:rFonts w:ascii="IRNazanin" w:hAnsi="IRNazanin" w:eastAsia="IRNazanin"/>
          <w:color w:val="111111"/>
          <w:sz w:val="28"/>
          <w:sz w:val="28"/>
          <w:szCs w:val="28"/>
          <w:rtl w:val="true"/>
          <w:lang w:bidi="fa-IR"/>
        </w:rPr>
        <w:t>وختاماً نذکر أنّ غایة ما تثبته أدلّة الإمضاء هو الإعتبار الشرعی بنحو الإقتضاء، ومن ثمّ فهو معلّق علی عدم المانع؛ وهو الردع عن الإعتبار العقلائی الذی دلّ الدلیل علی إمضائه، وعلی عدم مخالفته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الواقع أنّ هذه المرحلة من البحث الأصولی عن الإعتبار العقلائی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المرحلة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الإمضاء الشرعی للإعتبار العقلائی وأدلّته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استوفینا البحث عنه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الردع والمخالفة</w:t>
      </w:r>
      <w:r>
        <w:rPr>
          <w:rFonts w:eastAsia="IRNazanin" w:cs="IRNazanin"/>
          <w:color w:val="111111"/>
          <w:sz w:val="28"/>
          <w:szCs w:val="28"/>
          <w:rtl w:val="true"/>
          <w:lang w:bidi="fa-IR"/>
        </w:rPr>
        <w:t>.</w:t>
      </w:r>
      <w:bookmarkStart w:id="170" w:name="pg16983_380701"/>
    </w:p>
    <w:p>
      <w:pPr>
        <w:pStyle w:val="Heading4"/>
        <w:numPr>
          <w:ilvl w:val="3"/>
          <w:numId w:val="1"/>
        </w:numPr>
        <w:rPr/>
      </w:pPr>
      <w:bookmarkStart w:id="171" w:name="__RefHeading___Toc3299696_1468164448"/>
      <w:bookmarkStart w:id="172" w:name="_Toc69"/>
      <w:bookmarkEnd w:id="170"/>
      <w:bookmarkEnd w:id="171"/>
      <w:r>
        <w:rPr/>
        <w:t>4</w:t>
      </w:r>
      <w:r>
        <w:rPr>
          <w:rtl w:val="true"/>
        </w:rPr>
        <w:t xml:space="preserve"> . </w:t>
      </w:r>
      <w:r>
        <w:rPr>
          <w:rtl w:val="true"/>
        </w:rPr>
        <w:t>فی الردع الشرعی وعدمه</w:t>
      </w:r>
      <w:bookmarkEnd w:id="172"/>
    </w:p>
    <w:p>
      <w:pPr>
        <w:pStyle w:val="Heading5"/>
        <w:numPr>
          <w:ilvl w:val="4"/>
          <w:numId w:val="1"/>
        </w:numPr>
        <w:rPr/>
      </w:pPr>
      <w:bookmarkStart w:id="173" w:name="__RefHeading___Toc3299698_1468164448"/>
      <w:bookmarkStart w:id="174" w:name="_Toc70"/>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ویکون البحث فیه ضمن نقاط</w:t>
      </w:r>
      <w:r>
        <w:rPr>
          <w:rFonts w:eastAsia="IRNazanin" w:cs="IRNazanin"/>
          <w:color w:val="111111"/>
          <w:sz w:val="28"/>
          <w:szCs w:val="28"/>
          <w:rtl w:val="true"/>
          <w:lang w:bidi="fa-IR"/>
        </w:rPr>
        <w:t>:</w:t>
      </w:r>
    </w:p>
    <w:p>
      <w:pPr>
        <w:pStyle w:val="Heading5"/>
        <w:numPr>
          <w:ilvl w:val="4"/>
          <w:numId w:val="1"/>
        </w:numPr>
        <w:rPr/>
      </w:pPr>
      <w:bookmarkStart w:id="175" w:name="__RefHeading___Toc3299700_1468164448"/>
      <w:bookmarkStart w:id="176" w:name="_Toc71"/>
      <w:bookmarkEnd w:id="175"/>
      <w:r>
        <w:rPr>
          <w:rtl w:val="true"/>
        </w:rPr>
        <w:t>النقطة الأولی</w:t>
      </w:r>
      <w:r>
        <w:rPr>
          <w:rtl w:val="true"/>
        </w:rPr>
        <w:t xml:space="preserve">: </w:t>
      </w:r>
      <w:r>
        <w:rPr>
          <w:rtl w:val="true"/>
        </w:rPr>
        <w:t>الحدیث عن عدم الردع فی الأصول</w:t>
      </w:r>
      <w:bookmarkEnd w:id="176"/>
    </w:p>
    <w:p>
      <w:pPr>
        <w:pStyle w:val="BookText"/>
        <w:rPr/>
      </w:pPr>
      <w:r>
        <w:rPr>
          <w:rFonts w:ascii="IRNazanin" w:hAnsi="IRNazanin" w:eastAsia="IRNazanin"/>
          <w:color w:val="111111"/>
          <w:sz w:val="28"/>
          <w:sz w:val="28"/>
          <w:szCs w:val="28"/>
          <w:rtl w:val="true"/>
          <w:lang w:bidi="fa-IR"/>
        </w:rPr>
        <w:t>قد وقع هذا البحث بشکل متناثر؛ حیث تکلّم عنه الأصولیون فی مواضع عدیدة عند الحدیث عن الردع عن السیر وخبر الواحد 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عدم المخالفة للکتاب والسنّة لم یبحث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بحث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بحث الشروط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بحث الأصولیون فی باب التعارض عن شرطیة عدم المخالفة عند بیان أنه شرط لحجّیة الخبر فی نفسه، وشرط لحجّیة الخبر وتقدّمه علی الخبر الآخر عند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فعُرِضت مسألة الردع والمخالفة ضمن مسائل أربع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شرطیة عدم مخالفة الکتاب والسنّة فی الشرط والصلح والنذر وأمر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تم بحثه فی الفقه فی مسألة الشروط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تم بحثه فی السیرة وخبر الواحد وغیرهما فی الأصول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شرطیة عدم مخالفة الکتاب والسنّة فی حجّیة الخبر فی نفسه، بمعنی أنّ حجّیته الإقتضائیة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بعدم المخالفة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شرطیة عدم المخالفة فی حجّیة الخبر عند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بحث هذه المسألة وسابقتها فی بحث التعارض </w:t>
      </w:r>
      <w:r>
        <w:rPr>
          <w:rFonts w:eastAsia="IRNazanin" w:cs="IRNazanin"/>
          <w:color w:val="111111"/>
          <w:sz w:val="28"/>
          <w:szCs w:val="28"/>
          <w:rtl w:val="true"/>
          <w:lang w:bidi="fa-IR"/>
        </w:rPr>
        <w:t>].</w:t>
      </w:r>
    </w:p>
    <w:p>
      <w:pPr>
        <w:pStyle w:val="Heading5"/>
        <w:numPr>
          <w:ilvl w:val="4"/>
          <w:numId w:val="1"/>
        </w:numPr>
        <w:rPr/>
      </w:pPr>
      <w:bookmarkStart w:id="177" w:name="__RefHeading___Toc3299702_1468164448"/>
      <w:bookmarkStart w:id="178" w:name="_Toc72"/>
      <w:bookmarkEnd w:id="177"/>
      <w:r>
        <w:rPr>
          <w:rtl w:val="true"/>
        </w:rPr>
        <w:t>النقطة الثانیة</w:t>
      </w:r>
      <w:r>
        <w:rPr>
          <w:rtl w:val="true"/>
        </w:rPr>
        <w:t xml:space="preserve">: </w:t>
      </w:r>
      <w:r>
        <w:rPr>
          <w:rtl w:val="true"/>
        </w:rPr>
        <w:t>البُعد المشترک بین المسائل الأربعة</w:t>
      </w:r>
      <w:bookmarkEnd w:id="178"/>
    </w:p>
    <w:p>
      <w:pPr>
        <w:pStyle w:val="Heading6"/>
        <w:numPr>
          <w:ilvl w:val="5"/>
          <w:numId w:val="1"/>
        </w:numPr>
        <w:rPr/>
      </w:pPr>
      <w:bookmarkStart w:id="179" w:name="__RefHeading___Toc3299704_1468164448"/>
      <w:bookmarkStart w:id="180" w:name="_Toc73"/>
      <w:bookmarkEnd w:id="179"/>
      <w:r>
        <w:rPr>
          <w:rtl w:val="true"/>
        </w:rPr>
        <w:t>اشارة</w:t>
      </w:r>
      <w:bookmarkEnd w:id="18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سؤال آثرناه فی هذه المرحلة وهو السؤال عن الفرق بین حیثیتی البحث فی المسألة الأولی والثانیة، وکذلک بین المسائل</w:t>
      </w:r>
    </w:p>
    <w:p>
      <w:pPr>
        <w:pStyle w:val="BookText"/>
        <w:rPr/>
      </w:pPr>
      <w:r>
        <w:rPr>
          <w:rFonts w:ascii="IRNazanin" w:hAnsi="IRNazanin" w:eastAsia="IRNazanin"/>
          <w:color w:val="111111"/>
          <w:sz w:val="28"/>
          <w:sz w:val="28"/>
          <w:szCs w:val="28"/>
          <w:rtl w:val="true"/>
          <w:lang w:bidi="fa-IR"/>
        </w:rPr>
        <w:t>الأخری وقبل الدخول فی البحث نلفت إلی البُعد المشترک بین المسائل ضمن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سابقاً إلی التدرّج بین العقل والشرع والعقلاء، ویترتب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ضابطة مایمکن قبوله من النقل أن لا یصطدم بعقل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باتفاق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یتنافی مع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الأصولیین علی اختلافهم فی الحدود، دون الأخباریین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العقلائی لابدّ أن لا یصطدم مع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القطعیین والظنیین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یمکن أن یکون مورداً للقبول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والقطعی متیقن، والظنی مختلف فی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بعد فرض وجود مقتضٍ لاعتباره شرعاً من خلال أدلّة الإمضاء، فعدم المخالفة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ألفتنا إلی أنّ کلاًّ من الدلیل النقلی والعقلائی، حجّیته مشروطة بعدم المخالفة القطعیة للعقل والکتاب والسنّة بالإتفاق وإنما الإختلاف جری فی المخالفة الظنیة علی صعید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یعتن الأخباری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مخالفة النقل للعقل النظری، فی حین أخذ الأصولی عدم المخالفة هذه أیضاً شرطاً فی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صعید الصغری کالإختلاف بین الأصولیین فی حدود شرطیة عدم المخالفة الظنیة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هذا الإتفاق والإختلاف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قوام حجّیة الدلیل الظنی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والعقلاء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الکشف و الطریقیة إلی الواقع، وواضح أنّ مثل هذا إذا اصطدم بکشف قطعی 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المخالفة الظنیة؛ فحیث إنّ کلاًّ منهما ظنی وقع الخلاف فی الإشتراط وعدمه، ومع الإشتراط جری البحث فی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یُعمل بالظن الأقوی أو لا، وما هو معیار الأقوائیة؟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الترتب الطبعی بین العقل والشرع والعقلاء علی مستوی الجعل وعلی مستوی الإحراز</w:t>
      </w:r>
      <w:bookmarkStart w:id="181" w:name="pg16983_380706"/>
    </w:p>
    <w:p>
      <w:pPr>
        <w:pStyle w:val="BookText"/>
        <w:rPr/>
      </w:pPr>
      <w:bookmarkEnd w:id="181"/>
      <w:r>
        <w:rPr>
          <w:rFonts w:ascii="IRNazanin" w:hAnsi="IRNazanin" w:eastAsia="IRNazanin"/>
          <w:color w:val="111111"/>
          <w:sz w:val="28"/>
          <w:sz w:val="28"/>
          <w:szCs w:val="28"/>
          <w:rtl w:val="true"/>
          <w:lang w:bidi="fa-IR"/>
        </w:rPr>
        <w:t>والکشف</w:t>
      </w:r>
      <w:r>
        <w:rPr>
          <w:rFonts w:eastAsia="IRNazanin" w:cs="IRNazanin"/>
          <w:color w:val="111111"/>
          <w:sz w:val="28"/>
          <w:szCs w:val="28"/>
          <w:rtl w:val="true"/>
          <w:lang w:bidi="fa-IR"/>
        </w:rPr>
        <w:t>.</w:t>
      </w:r>
    </w:p>
    <w:p>
      <w:pPr>
        <w:pStyle w:val="Heading6"/>
        <w:numPr>
          <w:ilvl w:val="5"/>
          <w:numId w:val="1"/>
        </w:numPr>
        <w:rPr/>
      </w:pPr>
      <w:bookmarkStart w:id="182" w:name="__RefHeading___Toc3299706_1468164448"/>
      <w:bookmarkStart w:id="183" w:name="_Toc74"/>
      <w:bookmarkEnd w:id="182"/>
      <w:r>
        <w:rPr>
          <w:rtl w:val="true"/>
        </w:rPr>
        <w:t>هیمنة الکتاب والسنّة</w:t>
      </w:r>
      <w:bookmarkEnd w:id="183"/>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ضابطتان لما یقبل وما لا یقبل من الإعتبار العقلائی فقط، وإنما هما ضابطتان لما یقبل وما لا یقبل من النقل الظنی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 قبول النقل الظنی هو أن لا یخالف العقلَ البدیهی والنظری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 العقل فی الهیمنة علی 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یکون نقلاً ظنیاً أو اعتباراً عقلائیاً </w:t>
      </w:r>
      <w:r>
        <w:rPr>
          <w:rFonts w:eastAsia="IRNazanin" w:cs="IRNazanin"/>
          <w:color w:val="111111"/>
          <w:sz w:val="28"/>
          <w:szCs w:val="28"/>
          <w:rtl w:val="true"/>
          <w:lang w:bidi="fa-IR"/>
        </w:rPr>
        <w:t>].</w:t>
      </w:r>
    </w:p>
    <w:p>
      <w:pPr>
        <w:pStyle w:val="Heading6"/>
        <w:numPr>
          <w:ilvl w:val="5"/>
          <w:numId w:val="1"/>
        </w:numPr>
        <w:rPr/>
      </w:pPr>
      <w:bookmarkStart w:id="184" w:name="__RefHeading___Toc3299708_1468164448"/>
      <w:bookmarkStart w:id="185" w:name="_Toc75"/>
      <w:bookmarkEnd w:id="184"/>
      <w:r>
        <w:rPr>
          <w:rtl w:val="true"/>
        </w:rPr>
        <w:t>قوة الدلالة وأهمیة الحکم</w:t>
      </w:r>
      <w:bookmarkEnd w:id="185"/>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تناسباً طردیاً غالباً بین درجة إحراز الدلیل وبین درجة أهمیة الحکم ومتن الجعل فالملاک؛ لأنّ المقنّن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یکون الشارع أو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یوظّف الدلالات بحسب درجة اهتمامه بالملاکات، فکلّما کان الملاک مهماً شدّد فی الدلالة علیه لیضمن وصوله أکثر</w:t>
      </w:r>
      <w:r>
        <w:rPr>
          <w:rFonts w:eastAsia="IRNazanin" w:cs="IRNazanin"/>
          <w:color w:val="111111"/>
          <w:sz w:val="28"/>
          <w:szCs w:val="28"/>
          <w:rtl w:val="true"/>
          <w:lang w:bidi="fa-IR"/>
        </w:rPr>
        <w:t>.</w:t>
      </w:r>
    </w:p>
    <w:p>
      <w:pPr>
        <w:pStyle w:val="Heading6"/>
        <w:numPr>
          <w:ilvl w:val="5"/>
          <w:numId w:val="1"/>
        </w:numPr>
        <w:rPr/>
      </w:pPr>
      <w:bookmarkStart w:id="186" w:name="__RefHeading___Toc3299710_1468164448"/>
      <w:bookmarkStart w:id="187" w:name="_Toc76"/>
      <w:bookmarkEnd w:id="186"/>
      <w:r>
        <w:rPr>
          <w:rtl w:val="true"/>
        </w:rPr>
        <w:t>ثمرات قاعدة التناسب الطردی</w:t>
      </w:r>
      <w:bookmarkEnd w:id="187"/>
    </w:p>
    <w:p>
      <w:pPr>
        <w:pStyle w:val="BookText"/>
        <w:rPr/>
      </w:pPr>
      <w:r>
        <w:rPr>
          <w:rFonts w:ascii="IRNazanin" w:hAnsi="IRNazanin" w:eastAsia="IRNazanin"/>
          <w:color w:val="111111"/>
          <w:sz w:val="28"/>
          <w:sz w:val="28"/>
          <w:szCs w:val="28"/>
          <w:rtl w:val="true"/>
          <w:lang w:bidi="fa-IR"/>
        </w:rPr>
        <w:t>ومن هذه القاعدة یتبلور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قوة دلالة الدلیل دلیل أهمیة ملاکه ومحوریته فی التشریع، فالکتاب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إنّی علی أهمیة الأحکام المدلولة ومحوریتها، ومن ثمّ کان لها الهیمنة والإشراف علی ما عداها من الأحکام، فأُخذ عدم مخالفتها شرطاً فیها ومرجّحاً عند التعارض</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تری الفقهاء فی تعاطیهم مع الأدلّة القطعیة بشکل وفی تعاطیهم فی الأدلّة الأخری بشکل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فتراهم فی مسألة الربا وقتل النفس وأمثالهما یتعاملون مع أدلّتها بمنتهی الدقة علی مستوی تحدید القیود وتطبیق موازین الدلالة وحلّ التعارضات، بخلاف تعاملهم مع</w:t>
      </w:r>
      <w:bookmarkStart w:id="188" w:name="pg16983_380708"/>
    </w:p>
    <w:p>
      <w:pPr>
        <w:pStyle w:val="BookText"/>
        <w:rPr/>
      </w:pPr>
      <w:bookmarkEnd w:id="188"/>
      <w:r>
        <w:rPr>
          <w:rFonts w:ascii="IRNazanin" w:hAnsi="IRNazanin" w:eastAsia="IRNazanin"/>
          <w:color w:val="111111"/>
          <w:sz w:val="28"/>
          <w:sz w:val="28"/>
          <w:szCs w:val="28"/>
          <w:rtl w:val="true"/>
          <w:lang w:bidi="fa-IR"/>
        </w:rPr>
        <w:t>الأحکام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نتیجة إدراکهم أنّ الشارع فی أمهات التشریع وکلّیاته وکبریاته وأساسیاته یوظّف الدلالة علیها بشکل آکد، ومن ثمّ فهو یؤطّر الدلیل الدالّ مؤکّداً علی هذا المحور ویقولبه بدقة خالیة من الإیهام والإلتباس والإهمال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سرّ ما ذکره الآخوند فی اجتماع 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الدلیل الأقوی هو الفعلی، والأضعف هو الإقتضائی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من أنّ قوة الدلالة دلیل الأهمیة، فیکون هو الفعلی والآخر یجمَّد ویکون اقتضائیاً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یرتفع العجب وإشکال الکثیر علی الآخوند فی أنه لا علاقة بین قوة الدلالة وضعفها، بین قوة الملاک وضعفه</w:t>
      </w:r>
      <w:r>
        <w:rPr>
          <w:rFonts w:eastAsia="IRNazanin" w:cs="IRNazanin"/>
          <w:color w:val="111111"/>
          <w:sz w:val="28"/>
          <w:szCs w:val="28"/>
          <w:rtl w:val="true"/>
          <w:lang w:bidi="fa-IR"/>
        </w:rPr>
        <w:t>.</w:t>
      </w:r>
    </w:p>
    <w:p>
      <w:pPr>
        <w:pStyle w:val="Heading6"/>
        <w:numPr>
          <w:ilvl w:val="5"/>
          <w:numId w:val="1"/>
        </w:numPr>
        <w:rPr/>
      </w:pPr>
      <w:bookmarkStart w:id="189" w:name="__RefHeading___Toc3299712_1468164448"/>
      <w:bookmarkStart w:id="190" w:name="_Toc77"/>
      <w:bookmarkEnd w:id="189"/>
      <w:r>
        <w:rPr>
          <w:rtl w:val="true"/>
        </w:rPr>
        <w:t>ضوابط المخالفة</w:t>
      </w:r>
      <w:bookmarkEnd w:id="19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ذکرت مجموعة ضوابط للمخالفة وعدمها فی المسألة الأولی، وعندما نمعن النظر فیها نجد أنها جمیعاً ضوابط أصولیة مما یشهد لعمومیة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 فی الفقه وفی موارد خمسة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الضوابط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ضابطة الشیخ الأعظم فی المخالفة المانعة عن الحجّیة هی المخالفة للحکم الفعلی المطلق فی دلیله، دون المخالفة للحکم الطبعی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یدلّ إلاّ علی ترتب الحکم علی موضوعه، من دون إطلاق فی الدلیل وبغضّ النظر عن الطوارئ والعناوین الثانویة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وواضح أنّ هذه الضابطة أصولیة، وإن طبّقت علی موارد محدودة، وذلک لتنوع ما یترتب علیها من الأحکام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اعتبار فیه دوام المباینة مع الحکم المستفاد من الکتاب والسنّة، فهو مخالف للکتاب والسنّة؛ کنذر صلاة المستحب طول العمر، وأما إذا لم یکن بنحو الدوام بل کان التباین اتفاقیاً و لبُرهة،</w:t>
      </w:r>
    </w:p>
    <w:p>
      <w:pPr>
        <w:pStyle w:val="BookText"/>
        <w:rPr/>
      </w:pPr>
      <w:r>
        <w:rPr>
          <w:rFonts w:ascii="IRNazanin" w:hAnsi="IRNazanin" w:eastAsia="IRNazanin"/>
          <w:color w:val="111111"/>
          <w:sz w:val="28"/>
          <w:sz w:val="28"/>
          <w:szCs w:val="28"/>
          <w:rtl w:val="true"/>
          <w:lang w:bidi="fa-IR"/>
        </w:rPr>
        <w:t>فلم یکن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المخالفة لحکم إلزامی فهی المانعة، دون ما إذا کانت لحکم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المقصود من المباح، اللاإقتضائی منه، المعبّر عنه فی کلماتهم بمنطقة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الإشتراط بلسان جعل الحکم بعنوانه، فهو یخالف للکتاب والسنّة؛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أشترط أن یکون هذا لک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ما إذا لم یکن کذلک؛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أشترط أن تفعل أو أن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 عرفاً مخالفاً فهو مخالف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المخالفة لحکم تکلیفی مترتب علی حکم وضعی فهی مخالفة ممنوعة؛ لأنّ الأحکام الوضعیة لا تسلب عنها آثارها؛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أشترط علیک أن لا تتصرف فی العین المشتراة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التصرف مرتب علی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وقوع التعارض مع الکتاب والسنّة کان المورد مخالفاً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الصیاغة تصریح برجوع هذه المسألة إلی المسألة الثالثة والرابعة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المخالفة لمتن الحکم الشرعی فهی ممنوعة، وإن کانت للدلیل فلا مانع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ذکرها الیزدی محتملاً لها من کلام الشیخ الأنصاری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غیر ذلک مما ذکر من الضوابط للمخالفة الممنوعة، وکلّها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تخص الشرط، وإنما هی عامة لها ولغیرها مما یدلّل علی أنها ضوابط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الأنسب ذکرها فی الأصول، سیما أنه أخذ فی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کلّ حجّة 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العنوان، ومن ثمّ تتأتی فیه کلّ ما ذکر فی الفقه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الشواهد الفقهیة التی ذکرت مع کلّ ضابطة لها أثرها فی تأمین صحة الضابطة وخَطَئِها</w:t>
      </w:r>
      <w:r>
        <w:rPr>
          <w:rFonts w:eastAsia="IRNazanin" w:cs="IRNazanin"/>
          <w:color w:val="111111"/>
          <w:sz w:val="28"/>
          <w:szCs w:val="28"/>
          <w:rtl w:val="true"/>
          <w:lang w:bidi="fa-IR"/>
        </w:rPr>
        <w:t>.</w:t>
      </w:r>
      <w:bookmarkStart w:id="191" w:name="pg16983_380713"/>
    </w:p>
    <w:p>
      <w:pPr>
        <w:pStyle w:val="Heading5"/>
        <w:numPr>
          <w:ilvl w:val="4"/>
          <w:numId w:val="1"/>
        </w:numPr>
        <w:rPr/>
      </w:pPr>
      <w:bookmarkStart w:id="192" w:name="__RefHeading___Toc3299714_1468164448"/>
      <w:bookmarkStart w:id="193" w:name="_Toc78"/>
      <w:bookmarkEnd w:id="191"/>
      <w:bookmarkEnd w:id="192"/>
      <w:r>
        <w:rPr>
          <w:rtl w:val="true"/>
        </w:rPr>
        <w:t>النقطة الثالثة</w:t>
      </w:r>
      <w:r>
        <w:rPr>
          <w:rtl w:val="true"/>
        </w:rPr>
        <w:t xml:space="preserve">: </w:t>
      </w:r>
      <w:r>
        <w:rPr>
          <w:rtl w:val="true"/>
        </w:rPr>
        <w:t>بیان المائز بین المسائل الأربعة</w:t>
      </w:r>
      <w:bookmarkEnd w:id="193"/>
    </w:p>
    <w:p>
      <w:pPr>
        <w:pStyle w:val="Heading6"/>
        <w:numPr>
          <w:ilvl w:val="5"/>
          <w:numId w:val="1"/>
        </w:numPr>
        <w:rPr/>
      </w:pPr>
      <w:bookmarkStart w:id="194" w:name="__RefHeading___Toc3299716_1468164448"/>
      <w:bookmarkStart w:id="195" w:name="_Toc79"/>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 xml:space="preserve">بعد هذه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رکّزت علی بیان البُعد المشترک بین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المائز بین المسألة الثانیة والأخریات</w:t>
      </w:r>
      <w:r>
        <w:rPr>
          <w:rFonts w:eastAsia="IRNazanin" w:cs="IRNazanin"/>
          <w:color w:val="111111"/>
          <w:sz w:val="28"/>
          <w:szCs w:val="28"/>
          <w:rtl w:val="true"/>
          <w:lang w:bidi="fa-IR"/>
        </w:rPr>
        <w:t>.</w:t>
      </w:r>
    </w:p>
    <w:p>
      <w:pPr>
        <w:pStyle w:val="Heading6"/>
        <w:numPr>
          <w:ilvl w:val="5"/>
          <w:numId w:val="1"/>
        </w:numPr>
        <w:rPr/>
      </w:pPr>
      <w:bookmarkStart w:id="196" w:name="__RefHeading___Toc3299718_1468164448"/>
      <w:bookmarkStart w:id="197" w:name="_Toc80"/>
      <w:bookmarkEnd w:id="196"/>
      <w:r>
        <w:rPr>
          <w:rtl w:val="true"/>
        </w:rPr>
        <w:t>المائز بین المسألة الثانیة والمسائل الأخری</w:t>
      </w:r>
      <w:bookmarkEnd w:id="197"/>
    </w:p>
    <w:p>
      <w:pPr>
        <w:pStyle w:val="BookText"/>
        <w:rPr/>
      </w:pPr>
      <w:r>
        <w:rPr>
          <w:rFonts w:ascii="IRNazanin" w:hAnsi="IRNazanin" w:eastAsia="IRNazanin"/>
          <w:color w:val="111111"/>
          <w:sz w:val="28"/>
          <w:sz w:val="28"/>
          <w:szCs w:val="28"/>
          <w:rtl w:val="true"/>
          <w:lang w:bidi="fa-IR"/>
        </w:rPr>
        <w:t xml:space="preserve">إنّ الحدیث حول الردع عن السیرة وعدمه، یفتقر إلی أمر زائد علی ماذکر فی ضابطة المخالفة، لابدّ من التوفّر علیه کی یتمّ الردع عن السیرة، وإن انطبقت علیها ضابطة المخالفة إلاّ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تواجد هذه النکتة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حجّة، فی حین أنه لو کان غیرها لما کان حجّة لتحقّق المانع وهو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وسائر القوانین العقلائیة المتجذرة لا یکفی فی المنع عن حجّیتها صِرفُ مخالفتها للکتاب والسنّة، وإنما لابدّ أن تکون دلالة المخالف من القوة بقدر یوازی التجذر الموجود فی القانون العقلائی کی یکون صالحاً للمنع والردع عنه، وبدونه یکون القانون المتجذر حجّة من دون أن یتأثر بهذه المخالفة</w:t>
      </w:r>
      <w:r>
        <w:rPr>
          <w:rFonts w:eastAsia="IRNazanin" w:cs="IRNazanin"/>
          <w:color w:val="111111"/>
          <w:sz w:val="28"/>
          <w:szCs w:val="28"/>
          <w:rtl w:val="true"/>
          <w:lang w:bidi="fa-IR"/>
        </w:rPr>
        <w:t>.</w:t>
      </w:r>
    </w:p>
    <w:p>
      <w:pPr>
        <w:pStyle w:val="Heading6"/>
        <w:numPr>
          <w:ilvl w:val="5"/>
          <w:numId w:val="1"/>
        </w:numPr>
        <w:rPr/>
      </w:pPr>
      <w:bookmarkStart w:id="198" w:name="__RefHeading___Toc3299720_1468164448"/>
      <w:bookmarkStart w:id="199" w:name="_Toc81"/>
      <w:bookmarkEnd w:id="198"/>
      <w:r>
        <w:rPr>
          <w:rtl w:val="true"/>
        </w:rPr>
        <w:t>التناسب بین قوة دلیل الردع ودرجة التجذر</w:t>
      </w:r>
      <w:bookmarkEnd w:id="199"/>
    </w:p>
    <w:p>
      <w:pPr>
        <w:pStyle w:val="BookText"/>
        <w:rPr/>
      </w:pPr>
      <w:r>
        <w:rPr>
          <w:rFonts w:ascii="IRNazanin" w:hAnsi="IRNazanin" w:eastAsia="IRNazanin"/>
          <w:color w:val="111111"/>
          <w:sz w:val="28"/>
          <w:sz w:val="28"/>
          <w:szCs w:val="28"/>
          <w:rtl w:val="true"/>
          <w:lang w:bidi="fa-IR"/>
        </w:rPr>
        <w:t>وهذا القید الزائد علی ضابطة المخالفة بُعد إثباتی لابدّ منه فی تقدیم الدلیل المخالف علی المخالف المتجذر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البناء المتجذر یصبح کالأمر البدیهی فی حیاة العقلاء، ومن ثمّ یکون صالحاً لأن یعتمده الشارع کقرینة فی کلامه، فإذا أراد الشارع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عنه لا باعتماده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تأکید دلالة دلیل المخالفة کی تکون صالحة للمنع والردع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کان من الضروری التناسب الطردی بین قوة دلیل الردع ودرجة التجذر، وهذا بخلاف ما لو لم یکن متجذراً؛ فإنّ صِرف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بإحدی الضوابط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المنع والردع وعدم الإعتبار الشرعی</w:t>
      </w:r>
      <w:bookmarkStart w:id="200" w:name="pg16983_380716"/>
    </w:p>
    <w:p>
      <w:pPr>
        <w:pStyle w:val="BookText"/>
        <w:rPr/>
      </w:pPr>
      <w:bookmarkEnd w:id="200"/>
      <w:r>
        <w:rPr>
          <w:rFonts w:ascii="IRNazanin" w:hAnsi="IRNazanin" w:eastAsia="IRNazanin"/>
          <w:color w:val="111111"/>
          <w:sz w:val="28"/>
          <w:sz w:val="28"/>
          <w:szCs w:val="28"/>
          <w:rtl w:val="true"/>
          <w:lang w:bidi="fa-IR"/>
        </w:rPr>
        <w:t>للمخالف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الشارع لایتلخّص فی التقنین والتبیین، وإنما یربّی العقلاء علی الشریعة، ومع مخالفة قانون من قوانینهم للکتاب والسنّة فهو منکر قانونی، فلابدّ للشارع أن یقتلعه من جذوره وهو لا یکون إلاّ بالردع المرکّز عنه بشکل یتناسب مع تجذره</w:t>
      </w:r>
      <w:r>
        <w:rPr>
          <w:rFonts w:eastAsia="IRNazanin" w:cs="IRNazanin"/>
          <w:color w:val="111111"/>
          <w:sz w:val="28"/>
          <w:szCs w:val="28"/>
          <w:rtl w:val="true"/>
          <w:lang w:bidi="fa-IR"/>
        </w:rPr>
        <w:t>.</w:t>
      </w:r>
    </w:p>
    <w:p>
      <w:pPr>
        <w:pStyle w:val="Heading6"/>
        <w:numPr>
          <w:ilvl w:val="5"/>
          <w:numId w:val="1"/>
        </w:numPr>
        <w:rPr/>
      </w:pPr>
      <w:bookmarkStart w:id="201" w:name="__RefHeading___Toc3299722_1468164448"/>
      <w:bookmarkStart w:id="202" w:name="_Toc82"/>
      <w:bookmarkEnd w:id="201"/>
      <w:r>
        <w:rPr>
          <w:rtl w:val="true"/>
        </w:rPr>
        <w:t>مائز المسألة الثالثة عن الرابعة</w:t>
      </w:r>
      <w:bookmarkEnd w:id="202"/>
    </w:p>
    <w:p>
      <w:pPr>
        <w:pStyle w:val="BookText"/>
        <w:rPr/>
      </w:pPr>
      <w:r>
        <w:rPr>
          <w:rFonts w:ascii="IRNazanin" w:hAnsi="IRNazanin" w:eastAsia="IRNazanin"/>
          <w:color w:val="111111"/>
          <w:sz w:val="28"/>
          <w:sz w:val="28"/>
          <w:szCs w:val="28"/>
          <w:rtl w:val="true"/>
          <w:lang w:bidi="fa-IR"/>
        </w:rPr>
        <w:t>إنّ المخالفة المانعة من حجّیة الخبر فی نفسه هی المخالفة المستقرة، أی تعارض الخبر مع الکتاب أو السنّة القطعیة بشکل مستقر، یکون مانعاً من حجّیة الخبر، ویکون ذلک فی حالة التباین أو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المخالفة المانعة من حجّیة الخبر عند تعارضه المستقر مع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لتقدیم الآخر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المخالفة غیر المستقرة مع الکتاب، کما إذا کان هناک عام قرآنی وخبر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مخالف غیر مستقر، بحیث لولا تعارضه مع الخبر الآخر لخَصَّص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غیر مخالف أصلاً معارض للخبر الأول، فإنه یتقدم علیه ویطرح المخالف غیر المستقر</w:t>
      </w:r>
      <w:r>
        <w:rPr>
          <w:rFonts w:eastAsia="IRNazanin" w:cs="IRNazanin"/>
          <w:color w:val="111111"/>
          <w:sz w:val="28"/>
          <w:szCs w:val="28"/>
          <w:rtl w:val="true"/>
          <w:lang w:bidi="fa-IR"/>
        </w:rPr>
        <w:t>.</w:t>
      </w:r>
    </w:p>
    <w:p>
      <w:pPr>
        <w:pStyle w:val="Heading6"/>
        <w:numPr>
          <w:ilvl w:val="5"/>
          <w:numId w:val="1"/>
        </w:numPr>
        <w:rPr/>
      </w:pPr>
      <w:bookmarkStart w:id="203" w:name="__RefHeading___Toc3299724_1468164448"/>
      <w:bookmarkStart w:id="204" w:name="_Toc83"/>
      <w:bookmarkEnd w:id="203"/>
      <w:r>
        <w:rPr>
          <w:rtl w:val="true"/>
        </w:rPr>
        <w:t>المائز بین المسألة الثالثة و الرابعة وبین المسألة الأولی</w:t>
      </w:r>
      <w:bookmarkEnd w:id="204"/>
    </w:p>
    <w:p>
      <w:pPr>
        <w:pStyle w:val="BookText"/>
        <w:rPr/>
      </w:pPr>
      <w:r>
        <w:rPr>
          <w:rFonts w:ascii="IRNazanin" w:hAnsi="IRNazanin" w:eastAsia="IRNazanin"/>
          <w:color w:val="111111"/>
          <w:sz w:val="28"/>
          <w:sz w:val="28"/>
          <w:szCs w:val="28"/>
          <w:rtl w:val="true"/>
          <w:lang w:bidi="fa-IR"/>
        </w:rPr>
        <w:t xml:space="preserve">البحث فی 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ماهیة المخالفة المانعة وحقیقتها، من دون فرق بین أن یکون المخالف جعلاً فقهیاً أو أصولیاً، ومن ثمّ کان البحث أصولیاً وإن ذکر فی الفقه، والبحث فی المسألتین الثالثة والرابعة فی أنه کیف تتحقق وتثبت ماهیة المخالفة المانعة، هل مع الحکومة أو مع الورود أو مع التخصیص أو مع العموم من وجه أو مع التباین أو غیر ذلک؟</w:t>
      </w:r>
    </w:p>
    <w:p>
      <w:pPr>
        <w:pStyle w:val="Heading6"/>
        <w:numPr>
          <w:ilvl w:val="5"/>
          <w:numId w:val="1"/>
        </w:numPr>
        <w:rPr/>
      </w:pPr>
      <w:bookmarkStart w:id="205" w:name="__RefHeading___Toc3299726_1468164448"/>
      <w:bookmarkStart w:id="206" w:name="_Toc84"/>
      <w:bookmarkEnd w:id="205"/>
      <w:r>
        <w:rPr>
          <w:rtl w:val="true"/>
        </w:rPr>
        <w:t>الإمضاء وعدم الردع</w:t>
      </w:r>
      <w:bookmarkEnd w:id="20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تساؤل 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احتجنا إلی الإمضاء وعدم الردع، ولِم</w:t>
      </w:r>
    </w:p>
    <w:p>
      <w:pPr>
        <w:pStyle w:val="BookText"/>
        <w:rPr/>
      </w:pPr>
      <w:r>
        <w:rPr>
          <w:rFonts w:ascii="IRNazanin" w:hAnsi="IRNazanin" w:eastAsia="IRNazanin"/>
          <w:color w:val="111111"/>
          <w:sz w:val="28"/>
          <w:sz w:val="28"/>
          <w:szCs w:val="28"/>
          <w:rtl w:val="true"/>
          <w:lang w:bidi="fa-IR"/>
        </w:rPr>
        <w:t>لا یکتفی بأدلّة الإمضاء عن البحث فی عدم الردع؟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الإمضاء فی نفسه بمنزلة الحجّة الإقتضائیة، والمخالفة مانع، ومن هنا کانت ضرورة البحث عن البُعدین</w:t>
      </w:r>
      <w:r>
        <w:rPr>
          <w:rFonts w:eastAsia="IRNazanin" w:cs="IRNazanin"/>
          <w:color w:val="111111"/>
          <w:sz w:val="28"/>
          <w:szCs w:val="28"/>
          <w:rtl w:val="true"/>
          <w:lang w:bidi="fa-IR"/>
        </w:rPr>
        <w:t>.</w:t>
      </w:r>
      <w:bookmarkStart w:id="207" w:name="pg16983_380720"/>
    </w:p>
    <w:p>
      <w:pPr>
        <w:pStyle w:val="Heading4"/>
        <w:numPr>
          <w:ilvl w:val="3"/>
          <w:numId w:val="1"/>
        </w:numPr>
        <w:rPr/>
      </w:pPr>
      <w:bookmarkStart w:id="208" w:name="__RefHeading___Toc3299728_1468164448"/>
      <w:bookmarkStart w:id="209" w:name="_Toc85"/>
      <w:bookmarkEnd w:id="207"/>
      <w:bookmarkEnd w:id="208"/>
      <w:r>
        <w:rPr/>
        <w:t>5</w:t>
      </w:r>
      <w:r>
        <w:rPr>
          <w:rtl w:val="true"/>
        </w:rPr>
        <w:t xml:space="preserve"> . </w:t>
      </w:r>
      <w:r>
        <w:rPr>
          <w:rtl w:val="true"/>
        </w:rPr>
        <w:t>سریان الإمضاء فی عمود الزمان</w:t>
      </w:r>
      <w:bookmarkEnd w:id="209"/>
    </w:p>
    <w:p>
      <w:pPr>
        <w:pStyle w:val="Heading5"/>
        <w:numPr>
          <w:ilvl w:val="4"/>
          <w:numId w:val="1"/>
        </w:numPr>
        <w:rPr/>
      </w:pPr>
      <w:bookmarkStart w:id="210" w:name="__RefHeading___Toc3299730_1468164448"/>
      <w:bookmarkStart w:id="211" w:name="_Toc86"/>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وهذا البحث تذییل لبحث الإمضاء والردع ولا ینحصر فی زاویة واحدة، وإنما یکون فی زوایا متعددة</w:t>
      </w:r>
      <w:r>
        <w:rPr>
          <w:rFonts w:eastAsia="IRNazanin" w:cs="IRNazanin"/>
          <w:color w:val="111111"/>
          <w:sz w:val="28"/>
          <w:szCs w:val="28"/>
          <w:rtl w:val="true"/>
          <w:lang w:bidi="fa-IR"/>
        </w:rPr>
        <w:t>.</w:t>
      </w:r>
    </w:p>
    <w:p>
      <w:pPr>
        <w:pStyle w:val="Heading5"/>
        <w:numPr>
          <w:ilvl w:val="4"/>
          <w:numId w:val="1"/>
        </w:numPr>
        <w:rPr/>
      </w:pPr>
      <w:bookmarkStart w:id="212" w:name="__RefHeading___Toc3299732_1468164448"/>
      <w:bookmarkStart w:id="213" w:name="_Toc87"/>
      <w:bookmarkEnd w:id="212"/>
      <w:r>
        <w:rPr>
          <w:rtl w:val="true"/>
        </w:rPr>
        <w:t>زوایا بحث إمضاء الإعتبارات العقلائیة أو ردعها</w:t>
      </w:r>
      <w:bookmarkEnd w:id="213"/>
    </w:p>
    <w:p>
      <w:pPr>
        <w:pStyle w:val="BookText"/>
        <w:rPr/>
      </w:pPr>
      <w:r>
        <w:rPr>
          <w:rFonts w:ascii="IRNazanin" w:hAnsi="IRNazanin" w:eastAsia="IRNazanin"/>
          <w:color w:val="111111"/>
          <w:sz w:val="28"/>
          <w:sz w:val="28"/>
          <w:szCs w:val="28"/>
          <w:rtl w:val="true"/>
          <w:lang w:bidi="fa-IR"/>
        </w:rPr>
        <w:t>الزاویة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تبدّل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لتبدّل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یکون بظهور مصادیق جدیدة، أکثر تعقیداً مما کانت علیه فی عصر تشریع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المحمول من جدید لمعرفة أنه من أیّ سنخ؟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تنفیذی ولائی أو قضائی أوتشریعی ثابت، بعد أن کان التصور السابق عنها أنها جمیعاً أو فی بعضها المعیّن تشریعیة ثابتة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الزاویة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طروّ عناوین ثانویة علی القضیة الشرعیة، ومعه یتمّ البحث عن طبیعة العلاقة بینهما، وأنّ التنافی دائمی أو اتفاقی وغیر ذلک من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الزاویة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موضوع الحکم الشرعی ثانیة للتأکد من أنّ المدلول المطابقی هو الموضوع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الموضوع هو الطبیعی الموجود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لاحظنا ذلک فی خبر الثقة والإطمئنان</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الزاویة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ستکون محور حدیثنا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الموضوع الذی تم إمضاؤه أو ردعه کالربا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المفاد المطابقی للدلیل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الموضوع الذی أنیط به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بل الموضوع شیء آخر کان یصدق علی الربا آنذاک، و هذا التشریع مما أوجب حرمة الربا، وأما الآن فالربا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المفاد المطابقی للدلیل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موجوداً إلاّ أنه لیس مصداقاً للموضوع الأصلی بعدُ فلا یکون حراماً حینئذ؟</w:t>
      </w:r>
      <w:bookmarkStart w:id="214" w:name="pg16983_380722"/>
    </w:p>
    <w:p>
      <w:pPr>
        <w:pStyle w:val="BookText"/>
        <w:rPr/>
      </w:pPr>
      <w:bookmarkEnd w:id="214"/>
      <w:r>
        <w:rPr>
          <w:rFonts w:ascii="IRNazanin" w:hAnsi="IRNazanin" w:eastAsia="IRNazanin"/>
          <w:color w:val="111111"/>
          <w:sz w:val="28"/>
          <w:sz w:val="28"/>
          <w:szCs w:val="28"/>
          <w:rtl w:val="true"/>
          <w:lang w:bidi="fa-IR"/>
        </w:rPr>
        <w:t>الزاویة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الحکم وثباته بلحاظ الدرجة الإحرازیة للحکم؛ فإذا کانت ظنیة کالظهور کان قابلاً للتبدل، وإذا کانت قطعیة بحسب الدلیل المحرز فی نفسه لا بحسب وقوع الإختلاف فیه لم یکن قابلاً للتبدل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الحرمة هل هو الذی أخذ فی لسان الدلیل وهو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تکون حرمته ثابتة فی کلّ زمان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الموضوع عدم استئصال رؤوس الأموال الضعیفة، أو إضعاف رأس 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بیت المال أو الأموال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کان ینطبق علی الربا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کانت العملة بید غیرهم ولم یکن الإقتصاد مقنَّناً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الیوم فالربویات لیس فیها إضعاف لرأس مال المسلمین، حیث صار الإقتصاد مقنَّناً ومنضبطاً ومغلقاً، فیبقی الحرام ما کان فیه إضعاف لا الربا السائد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دیة العاقلة، فهل هی حکم شرعی فی نفسها، أو أنّ الحکم الشرعی هو عقد ضمان الجریرة الذی کان أحد مصادیقه ضمان العشیرة، وأمّا الآن وبعد تفکک العلاقة الأسَریة، فلا تکون العشیرة مصداقاً للحکم الکلّی؟</w:t>
      </w:r>
    </w:p>
    <w:p>
      <w:pPr>
        <w:pStyle w:val="Heading5"/>
        <w:numPr>
          <w:ilvl w:val="4"/>
          <w:numId w:val="1"/>
        </w:numPr>
        <w:rPr/>
      </w:pPr>
      <w:bookmarkStart w:id="215" w:name="__RefHeading___Toc3299734_1468164448"/>
      <w:bookmarkStart w:id="216" w:name="_Toc88"/>
      <w:bookmarkEnd w:id="215"/>
      <w:r>
        <w:rPr>
          <w:rtl w:val="true"/>
        </w:rPr>
        <w:t>مناط الإمضاء الشرعی للإعتبار العقلائی</w:t>
      </w:r>
      <w:bookmarkEnd w:id="216"/>
    </w:p>
    <w:p>
      <w:pPr>
        <w:pStyle w:val="Heading6"/>
        <w:numPr>
          <w:ilvl w:val="5"/>
          <w:numId w:val="1"/>
        </w:numPr>
        <w:rPr/>
      </w:pPr>
      <w:bookmarkStart w:id="217" w:name="__RefHeading___Toc3299736_1468164448"/>
      <w:bookmarkStart w:id="218" w:name="_Toc89"/>
      <w:bookmarkEnd w:id="217"/>
      <w:r>
        <w:rPr>
          <w:rtl w:val="true"/>
        </w:rPr>
        <w:t>اشارة</w:t>
      </w:r>
      <w:bookmarkEnd w:id="2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 الإلتفات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الدخول فی بحث الزاویة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القضیة العقلائیة الممضاة لا یلزم دوماً أن تکون صغری 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ذکرنا أنّ الإعتبار العقلائی یکون فی الرتبة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التسلسل الطبعی بین العقل والشرع والعقلاء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فهو تطبیق للشرع، کما أنّ الشرع تطبیق بالنسبة إلی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لما ذکرناه من أنّ لفیفاً من العقلاء لم یتقید بالدین، ومن ثمّ اضطروا إلی تقنین مجموعة من القوانین یملأ بها المساحة الخاصة بالشرع، والشرع لم یلغ کلّ هذه الإعتبارات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یؤسّس شیئاً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نظمها</w:t>
      </w:r>
    </w:p>
    <w:p>
      <w:pPr>
        <w:pStyle w:val="BookText"/>
        <w:rPr/>
      </w:pPr>
      <w:r>
        <w:rPr>
          <w:rFonts w:ascii="IRNazanin" w:hAnsi="IRNazanin" w:eastAsia="IRNazanin"/>
          <w:color w:val="111111"/>
          <w:sz w:val="28"/>
          <w:sz w:val="28"/>
          <w:szCs w:val="28"/>
          <w:rtl w:val="true"/>
          <w:lang w:bidi="fa-IR"/>
        </w:rPr>
        <w:t>وهذّبها وأمضاها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هذه الإعتبارات الممضاة هی فی عرض الشارع وفی مصاف القضایا الشرعیة، لا فی طولها ومن صغریاتها،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الأحکام الشرعیة التی تکون فی مصاف الأحکام العقلیة ولیست من صغریاتها، کالأحکام اللازمة للحکم العقلی بناء علی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والإمضاء الذی یتناول مثل هذه الإعتبارات لیس أکثر من اعتبار شرعی مطابق لهذه الإعتبارات العقلائیة، ومن ثمّ لو نسخ العقلاء اعتبارهم لا یتأثر اعتبار الشارع ویبقی ثابتاً لا یزول</w:t>
      </w:r>
      <w:r>
        <w:rPr>
          <w:rStyle w:val="FootnoteAnchor"/>
          <w:rtl w:val="true"/>
        </w:rPr>
        <w:footnoteReference w:id="17"/>
      </w:r>
      <w:r>
        <w:rPr>
          <w:rFonts w:ascii="IRNazanin" w:hAnsi="IRNazanin" w:eastAsia="IRNazanin"/>
          <w:color w:val="111111"/>
          <w:sz w:val="28"/>
          <w:sz w:val="28"/>
          <w:szCs w:val="28"/>
          <w:rtl w:val="true"/>
          <w:lang w:bidi="fa-IR"/>
        </w:rPr>
        <w:t>لأنّ الإمضاء لا یلزمه التقید باعتبار العقلاء والدوران مداره وجوداً وعدماً، حدوثاً وبقاءً؛ حیث إنّ الإمضاء قد یکون لموضوع الحجّیة العقلائیة و المعتبر هو أیضاً من قبلهم، فیرهن الشارع اعتباره بالموضوع العقلائی، فإنه هو الموضوع لحکمه، ومعه لو غیّر العقلاء محمولهم لا یتأثر اعتبار الشارع بعد أن کانت ماهیة البیع مازالت موجودة عند العقلاء، غایتها أنها بلحاظ المحمول أضحت فاسدة بنظرهم</w:t>
      </w:r>
      <w:r>
        <w:rPr>
          <w:rFonts w:eastAsia="IRNazanin" w:cs="IRNazanin"/>
          <w:color w:val="111111"/>
          <w:sz w:val="28"/>
          <w:szCs w:val="28"/>
          <w:rtl w:val="true"/>
          <w:lang w:bidi="fa-IR"/>
        </w:rPr>
        <w:t>.</w:t>
      </w:r>
      <w:r>
        <w:rPr>
          <w:rStyle w:val="FootnoteAnchor"/>
          <w:rtl w:val="true"/>
        </w:rPr>
        <w:footnoteReference w:id="1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الإمضاء یکون للبیع الصحیح عقلائیاً، ولکن لا بنحو الأبد بحیث یعلّق بقاء الصحة الشرعیة علی بقاء الصحة العقلائیة، وإنما الصحیح المعاصر له، وإن تبدّل اعتبارهم للصحة إلی فساد بعد ذلک</w:t>
      </w:r>
      <w:r>
        <w:rPr>
          <w:rFonts w:eastAsia="IRNazanin" w:cs="IRNazanin"/>
          <w:color w:val="111111"/>
          <w:sz w:val="28"/>
          <w:szCs w:val="28"/>
          <w:rtl w:val="true"/>
          <w:lang w:bidi="fa-IR"/>
        </w:rPr>
        <w:t>.</w:t>
      </w:r>
      <w:bookmarkStart w:id="219" w:name="pg16983_380726"/>
    </w:p>
    <w:p>
      <w:pPr>
        <w:pStyle w:val="BookText"/>
        <w:rPr/>
      </w:pPr>
      <w:bookmarkEnd w:id="219"/>
      <w:r>
        <w:rPr>
          <w:rFonts w:ascii="IRNazanin" w:hAnsi="IRNazanin" w:eastAsia="IRNazanin"/>
          <w:color w:val="111111"/>
          <w:sz w:val="28"/>
          <w:sz w:val="28"/>
          <w:szCs w:val="28"/>
          <w:rtl w:val="true"/>
          <w:lang w:bidi="fa-IR"/>
        </w:rPr>
        <w:t xml:space="preserve">ومن هنا لابدّ أن ندقّق جیداً فی أنّ الشارع بأیّ نحو أناط إمضاءه للإعتبار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للموضوع أو للمحمول أو لهما معاً، دائماً أو خصوص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نتمکن أن نحکم أنه من الإمضاء الثابت أو الممکن الزوال</w:t>
      </w:r>
      <w:r>
        <w:rPr>
          <w:rFonts w:eastAsia="IRNazanin" w:cs="IRNazanin"/>
          <w:color w:val="111111"/>
          <w:sz w:val="28"/>
          <w:szCs w:val="28"/>
          <w:rtl w:val="true"/>
          <w:lang w:bidi="fa-IR"/>
        </w:rPr>
        <w:t>.</w:t>
      </w:r>
      <w:r>
        <w:rPr>
          <w:rStyle w:val="FootnoteAnchor"/>
          <w:rtl w:val="true"/>
        </w:rPr>
        <w:footnoteReference w:id="19"/>
      </w:r>
    </w:p>
    <w:p>
      <w:pPr>
        <w:pStyle w:val="Heading6"/>
        <w:numPr>
          <w:ilvl w:val="5"/>
          <w:numId w:val="1"/>
        </w:numPr>
        <w:rPr/>
      </w:pPr>
      <w:bookmarkStart w:id="220" w:name="__RefHeading___Toc3299738_1468164448"/>
      <w:bookmarkStart w:id="221" w:name="_Toc90"/>
      <w:bookmarkEnd w:id="220"/>
      <w:r>
        <w:rPr>
          <w:rtl w:val="true"/>
        </w:rPr>
        <w:t>فقه المقاصد</w:t>
      </w:r>
      <w:bookmarkEnd w:id="221"/>
    </w:p>
    <w:p>
      <w:pPr>
        <w:pStyle w:val="BookText"/>
        <w:rPr/>
      </w:pPr>
      <w:r>
        <w:rPr>
          <w:rFonts w:ascii="IRNazanin" w:hAnsi="IRNazanin" w:eastAsia="IRNazanin"/>
          <w:color w:val="111111"/>
          <w:sz w:val="28"/>
          <w:sz w:val="28"/>
          <w:szCs w:val="28"/>
          <w:rtl w:val="true"/>
          <w:lang w:bidi="fa-IR"/>
        </w:rPr>
        <w:t xml:space="preserve">وأیضاً لابدّ من الإلتفات إلی مسألة أثیرت من قدیم فی أوساط الأصولیین والمتکلّمین، وهی أننا هل نبنی علی فقه المقاصد أو فقه الأحکام؟ بمعنی أننا عندما نستظهر هل نجمّد علی المفاد المطابقی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فقه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نفتّش عما وراء ذلک الحکم من مقصد وغایة وملاک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فقه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یکون المدلول المطابقی مجرد تطبیق للملاک؟</w:t>
      </w:r>
    </w:p>
    <w:p>
      <w:pPr>
        <w:pStyle w:val="BookText"/>
        <w:rPr/>
      </w:pPr>
      <w:r>
        <w:rPr>
          <w:rFonts w:ascii="IRNazanin" w:hAnsi="IRNazanin" w:eastAsia="IRNazanin"/>
          <w:color w:val="111111"/>
          <w:sz w:val="28"/>
          <w:sz w:val="28"/>
          <w:szCs w:val="28"/>
          <w:rtl w:val="true"/>
          <w:lang w:bidi="fa-IR"/>
        </w:rPr>
        <w:t>وقد تبنّتْ مدرسة الرأی هذه الوجهة وإن کان المقصد ظنیاً، فی حین أنّ مدرسة الإمامیة لم تقبل المقصد الظنی، وأنّ العلة إنما یؤخذ بها إذا ذکرت فی لسان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أجاد المیرزا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صیاغة هذه الوجهة فی قالب فنی، حیث ذکر أنّ العلّة التی یؤخذ بها لابدّ من ذکرها فی الدلیل الشرعی، ومع حرف التعلیل، ومع شرط فهم العرف لها أنها علّة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هذه المسألة وثیقة الصلة بالزاویة التی نروم البحث عنها وإن کانت أعم؛ حیث لا یخصّصون البحث بالإعتبارات العقلائیة الممضاة وإنما یجرونها فی عموم الأحکام الشرعیة، فی</w:t>
      </w:r>
      <w:bookmarkStart w:id="222" w:name="pg16983_380729"/>
    </w:p>
    <w:p>
      <w:pPr>
        <w:pStyle w:val="BookText"/>
        <w:rPr/>
      </w:pPr>
      <w:bookmarkEnd w:id="222"/>
      <w:r>
        <w:rPr>
          <w:rFonts w:ascii="IRNazanin" w:hAnsi="IRNazanin" w:eastAsia="IRNazanin"/>
          <w:color w:val="111111"/>
          <w:sz w:val="28"/>
          <w:sz w:val="28"/>
          <w:szCs w:val="28"/>
          <w:rtl w:val="true"/>
          <w:lang w:bidi="fa-IR"/>
        </w:rPr>
        <w:t>حین أنّ مسألتنا خاصة فی الموضوعات العقلائیة الممضاة؛ حیث یبحث عن أنّ الإمضاء هل کان لها أو لموضوع آخر کان الموضوع المطابقی قد صادف أنه مصداقه عند التشریع؟</w:t>
      </w:r>
    </w:p>
    <w:p>
      <w:pPr>
        <w:pStyle w:val="Heading6"/>
        <w:numPr>
          <w:ilvl w:val="5"/>
          <w:numId w:val="1"/>
        </w:numPr>
        <w:rPr/>
      </w:pPr>
      <w:bookmarkStart w:id="223" w:name="__RefHeading___Toc3299740_1468164448"/>
      <w:bookmarkStart w:id="224" w:name="_Toc91"/>
      <w:bookmarkEnd w:id="223"/>
      <w:r>
        <w:rPr>
          <w:rtl w:val="true"/>
        </w:rPr>
        <w:t>الأصل الأولی هو الثبات</w:t>
      </w:r>
      <w:bookmarkEnd w:id="224"/>
    </w:p>
    <w:p>
      <w:pPr>
        <w:pStyle w:val="BookText"/>
        <w:rPr/>
      </w:pPr>
      <w:r>
        <w:rPr>
          <w:rFonts w:ascii="IRNazanin" w:hAnsi="IRNazanin" w:eastAsia="IRNazanin"/>
          <w:color w:val="111111"/>
          <w:sz w:val="28"/>
          <w:sz w:val="28"/>
          <w:szCs w:val="28"/>
          <w:rtl w:val="true"/>
          <w:lang w:bidi="fa-IR"/>
        </w:rPr>
        <w:t xml:space="preserve">الأصل الاولی فی کلّ دلیل شرعی الثبات بمفاده المطابقی من دون فرق بین أن یکون تأسیساً أو إمضاءً،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إلی یوم القیامة وحرام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الأدلّة علی العموم الأزمانی وعدم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الید عن المفاد المطابقی یحتاج إلی قرینة مخصصة لأدلّة النسخ، وإلاّ مع عدم وجود القرینة وعند الشک فالمرجع هو الأصل الأولی</w:t>
      </w:r>
      <w:r>
        <w:rPr>
          <w:rFonts w:eastAsia="IRNazanin" w:cs="IRNazanin"/>
          <w:color w:val="111111"/>
          <w:sz w:val="28"/>
          <w:szCs w:val="28"/>
          <w:rtl w:val="true"/>
          <w:lang w:bidi="fa-IR"/>
        </w:rPr>
        <w:t>.</w:t>
      </w:r>
    </w:p>
    <w:p>
      <w:pPr>
        <w:pStyle w:val="Heading5"/>
        <w:numPr>
          <w:ilvl w:val="4"/>
          <w:numId w:val="1"/>
        </w:numPr>
        <w:rPr/>
      </w:pPr>
      <w:bookmarkStart w:id="225" w:name="__RefHeading___Toc3299742_1468164448"/>
      <w:bookmarkStart w:id="226" w:name="_Toc92"/>
      <w:bookmarkEnd w:id="225"/>
      <w:r>
        <w:rPr>
          <w:rtl w:val="true"/>
        </w:rPr>
        <w:t>قرائن عدم عمومیة الإمضاء</w:t>
      </w:r>
      <w:bookmarkEnd w:id="226"/>
    </w:p>
    <w:p>
      <w:pPr>
        <w:pStyle w:val="Heading6"/>
        <w:numPr>
          <w:ilvl w:val="5"/>
          <w:numId w:val="1"/>
        </w:numPr>
        <w:rPr/>
      </w:pPr>
      <w:bookmarkStart w:id="227" w:name="__RefHeading___Toc3299744_1468164448"/>
      <w:bookmarkStart w:id="228" w:name="_Toc93"/>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وقد تذکر مجموعة من القرائن التی یمکن الإعتماد علی أحدها فی مسألتنا لاستظهار أنّ الموضوع غیر ما ذکر مطابقةً فی الدلیل، وبالتالی فإمضاؤه لیس عاماً، وإنما مادام یصدق علیه الموضوع الأصلی المستظهر بواسطة القرینة،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قرینة الملاک والغرض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المقاصد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استظهار أنّ الموضوع الممضی هو الطبیعی الموجود فی المذکور مطابقة، کما زعمناه فی الإطمئنان وخبر الثقة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قرینة الإرشاد، وأنّ المطابقی لم یجعل وإنما مرشد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انعدام مصداقه واستحداث مصداق جدید</w:t>
      </w:r>
      <w:r>
        <w:rPr>
          <w:rFonts w:eastAsia="IRNazanin" w:cs="IRNazanin"/>
          <w:color w:val="111111"/>
          <w:sz w:val="28"/>
          <w:szCs w:val="28"/>
          <w:rtl w:val="true"/>
          <w:lang w:bidi="fa-IR"/>
        </w:rPr>
        <w:t>.</w:t>
      </w:r>
    </w:p>
    <w:p>
      <w:pPr>
        <w:pStyle w:val="Heading6"/>
        <w:numPr>
          <w:ilvl w:val="5"/>
          <w:numId w:val="1"/>
        </w:numPr>
        <w:rPr/>
      </w:pPr>
      <w:bookmarkStart w:id="229" w:name="__RefHeading___Toc3299746_1468164448"/>
      <w:bookmarkStart w:id="230" w:name="_Toc94"/>
      <w:bookmarkEnd w:id="229"/>
      <w:r>
        <w:rPr>
          <w:rtl w:val="true"/>
        </w:rPr>
        <w:t>تقییم تلک القرائن</w:t>
      </w:r>
      <w:bookmarkEnd w:id="230"/>
    </w:p>
    <w:p>
      <w:pPr>
        <w:pStyle w:val="BookText"/>
        <w:rPr/>
      </w:pPr>
      <w:r>
        <w:rPr>
          <w:rFonts w:ascii="IRNazanin" w:hAnsi="IRNazanin" w:eastAsia="IRNazanin"/>
          <w:color w:val="111111"/>
          <w:sz w:val="28"/>
          <w:sz w:val="28"/>
          <w:szCs w:val="28"/>
          <w:rtl w:val="true"/>
          <w:lang w:bidi="fa-IR"/>
        </w:rPr>
        <w:t>ومدی صلوحها للقرینیة علی عدم إرادة المفاد المطابقی جداً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قَبِلَها الأعلام بشرط أن تصاغ فی دلیل الشارع وتجعل بشکل صریح فی التعلیل وبعنوان مفهوم فی العلّة،</w:t>
      </w:r>
    </w:p>
    <w:p>
      <w:pPr>
        <w:pStyle w:val="BookText"/>
        <w:rPr/>
      </w:pPr>
      <w:r>
        <w:rPr>
          <w:rFonts w:ascii="IRNazanin" w:hAnsi="IRNazanin" w:eastAsia="IRNazanin"/>
          <w:color w:val="111111"/>
          <w:sz w:val="28"/>
          <w:sz w:val="28"/>
          <w:szCs w:val="28"/>
          <w:rtl w:val="true"/>
          <w:lang w:bidi="fa-IR"/>
        </w:rPr>
        <w:t>ولا یکفی صرف الحدس والظن بها فی تقیید الحکم وتخصیصه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وغالب الإثارات الفقهیة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تلتقی تحت عنوان تأثیر الزمان والمکان فی تغیّر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تنطلق من هذه القرینة، ولکن المؤسّف أنها کثیراً مّا تعتمد الظن والحدس فی اقتناص هذه القرینة، وهو لا یکفی فی التلاعب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تردّد فی کلمات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کالشهید الصدر وغیره، من التعبیر بروح الشریعة وجعله معیاراً فی تقیید بعض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من قبیل الإعتماد علی الظن بالملاک والحدس به، وإنما هو من التمسک بجعل عام فوقانی فی تقیید جعول تحتانیة نازلة تصادفه أو تنافیه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من رفع الید عن المفاد المطابقی بقرینة التکهّن بالملاک، وإنما ینطلق من قانون التنازع بین القوانین، وضرورة عدم مصادمة التشریعات الفرعیة لکلّیات الشریعة وأساسیاتها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وجدنا أنّ التمسک بإطلاق قانون فرعی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یصطدم مع حکم مصرف الأنفال، وأنه لسدّ حاجة المسلمین، فلابدّ من تقنینه بشکل لا یصادم سدّ الحاجة، فلا یسمح والحالة هذه لأصحاب رؤوس الأموال بأن یحوزوا کیف یشاءوا أو متی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مقبولة أیضاً، ولکن علی شرط الإلتزام الدقیق بقواعد الظهور المدونة فی الأصول، من قبیل قاعدة احترازیة القیود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 مع القرینة الخاصة وضمن الضبط الأصولی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کانت القاعدة الاولیة لصالح المولویة بل شطر منه، کما ذکروا، وهو التعیینی التعینی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والقرینة علی الإرشاد من قبیل وجود حکم عقلی مستقل، فنعلم أنّ الشارع لیس فی صدد تأسیس مستقل، خاصة إذا کان البیان الشرعی فیه بُعد تطبیقی لذلک المستقل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نقبل أنّ هناک کثیراً من الموضوعات</w:t>
      </w:r>
      <w:bookmarkStart w:id="231" w:name="pg16983_380733"/>
    </w:p>
    <w:p>
      <w:pPr>
        <w:pStyle w:val="BookText"/>
        <w:rPr/>
      </w:pPr>
      <w:bookmarkEnd w:id="231"/>
      <w:r>
        <w:rPr>
          <w:rFonts w:ascii="IRNazanin" w:hAnsi="IRNazanin" w:eastAsia="IRNazanin"/>
          <w:color w:val="111111"/>
          <w:sz w:val="28"/>
          <w:sz w:val="28"/>
          <w:szCs w:val="28"/>
          <w:rtl w:val="true"/>
          <w:lang w:bidi="fa-IR"/>
        </w:rPr>
        <w:t>الشرعیة قد حصل خلط بین ماهیتها ومصادیقها التی کانت آنذاک، ومن هنا کان من الضروری تحریر ماهیة الموضوع وتجریدها عن مصادیقها، لأنها هی الموضوع لا غیر، ومن ثمّ یمکن تطبیقها علی کلّ مصداق جدید لظهور الماهیة فیه، ولکن کلّ هذا لابدّ أن یتمّ بحذر أصولی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هذه الخطوة کتوسعة الماهیة من جانب وتضییقها من جانب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الربا؛ حیث قیّد بالمجحِف، ومن ثمّ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 الخارجی دون الداخلی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علیه</w:t>
      </w:r>
      <w:r>
        <w:rPr>
          <w:rFonts w:eastAsia="IRNazanin" w:cs="IRNazanin"/>
          <w:color w:val="111111"/>
          <w:sz w:val="28"/>
          <w:szCs w:val="28"/>
          <w:rtl w:val="true"/>
          <w:lang w:bidi="fa-IR"/>
        </w:rPr>
        <w:t>.</w:t>
      </w:r>
    </w:p>
    <w:p>
      <w:pPr>
        <w:pStyle w:val="Heading6"/>
        <w:numPr>
          <w:ilvl w:val="5"/>
          <w:numId w:val="1"/>
        </w:numPr>
        <w:rPr/>
      </w:pPr>
      <w:bookmarkStart w:id="232" w:name="__RefHeading___Toc3299748_1468164448"/>
      <w:bookmarkStart w:id="233" w:name="_Toc95"/>
      <w:bookmarkEnd w:id="232"/>
      <w:r>
        <w:rPr>
          <w:rtl w:val="true"/>
        </w:rPr>
        <w:t>نتیجة ما تقدّم</w:t>
      </w:r>
      <w:bookmarkEnd w:id="233"/>
    </w:p>
    <w:p>
      <w:pPr>
        <w:pStyle w:val="BookText"/>
        <w:rPr/>
      </w:pPr>
      <w:r>
        <w:rPr>
          <w:rFonts w:ascii="IRNazanin" w:hAnsi="IRNazanin" w:eastAsia="IRNazanin"/>
          <w:color w:val="111111"/>
          <w:sz w:val="28"/>
          <w:sz w:val="28"/>
          <w:szCs w:val="28"/>
          <w:rtl w:val="true"/>
          <w:lang w:bidi="fa-IR"/>
        </w:rPr>
        <w:t>ومما تقدّم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الجمود ورفض کلّ المحاولات الجدیدة و إبقاء ما کان علماً، کان غیر صحیح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وبالمقابل لابدّ أن تکون المحاولات منهجیة، وعلی ضوابط علم الأصول وأسسه لا مرتجلة ومن دون غطاء أصولی، وإنما تنطلق من الإستسحان والتجاوب مع متطلبات العصر کیف ما کان، ولو کان ذلک علی حساب الفقه الإمامی</w:t>
      </w:r>
      <w:r>
        <w:rPr>
          <w:rFonts w:eastAsia="IRNazanin" w:cs="IRNazanin"/>
          <w:color w:val="111111"/>
          <w:sz w:val="28"/>
          <w:szCs w:val="28"/>
          <w:rtl w:val="true"/>
          <w:lang w:bidi="fa-IR"/>
        </w:rPr>
        <w:t xml:space="preserve">. </w:t>
      </w:r>
      <w:r>
        <w:rPr>
          <w:rStyle w:val="FootnoteAnchor"/>
          <w:rtl w:val="true"/>
        </w:rPr>
        <w:footnoteReference w:id="20"/>
      </w:r>
      <w:bookmarkStart w:id="234" w:name="pg16983_380737"/>
    </w:p>
    <w:p>
      <w:pPr>
        <w:pStyle w:val="Heading3"/>
        <w:numPr>
          <w:ilvl w:val="2"/>
          <w:numId w:val="1"/>
        </w:numPr>
        <w:rPr/>
      </w:pPr>
      <w:bookmarkStart w:id="235" w:name="__RefHeading___Toc3299750_1468164448"/>
      <w:bookmarkStart w:id="236" w:name="_Toc96"/>
      <w:bookmarkEnd w:id="234"/>
      <w:bookmarkEnd w:id="235"/>
      <w:r>
        <w:rPr/>
        <w:t>2</w:t>
      </w:r>
      <w:r>
        <w:rPr>
          <w:rtl w:val="true"/>
        </w:rPr>
        <w:t xml:space="preserve"> . </w:t>
      </w:r>
      <w:r>
        <w:rPr>
          <w:rtl w:val="true"/>
        </w:rPr>
        <w:t>التعبد بالظن</w:t>
      </w:r>
      <w:bookmarkEnd w:id="2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3299752_1468164448"/>
      <w:bookmarkStart w:id="238" w:name="_Toc97"/>
      <w:bookmarkEnd w:id="237"/>
      <w:r>
        <w:rPr>
          <w:rtl w:val="true"/>
        </w:rPr>
        <w:t>اشارة</w:t>
      </w:r>
      <w:bookmarkStart w:id="239" w:name="pg16983_380741"/>
      <w:bookmarkEnd w:id="238"/>
    </w:p>
    <w:p>
      <w:pPr>
        <w:pStyle w:val="Heading4"/>
        <w:numPr>
          <w:ilvl w:val="3"/>
          <w:numId w:val="1"/>
        </w:numPr>
        <w:rPr/>
      </w:pPr>
      <w:bookmarkStart w:id="240" w:name="__RefHeading___Toc3299754_1468164448"/>
      <w:bookmarkStart w:id="241" w:name="_Toc98"/>
      <w:bookmarkEnd w:id="239"/>
      <w:bookmarkEnd w:id="240"/>
      <w:r>
        <w:rPr/>
        <w:t>1</w:t>
      </w:r>
      <w:r>
        <w:rPr>
          <w:rtl w:val="true"/>
        </w:rPr>
        <w:t xml:space="preserve"> . </w:t>
      </w:r>
      <w:r>
        <w:rPr>
          <w:rtl w:val="true"/>
        </w:rPr>
        <w:t>معانی إقتضاء الحجّیة</w:t>
      </w:r>
      <w:bookmarkEnd w:id="241"/>
    </w:p>
    <w:p>
      <w:pPr>
        <w:pStyle w:val="BookText"/>
        <w:rPr/>
      </w:pPr>
      <w:r>
        <w:rPr>
          <w:rFonts w:ascii="IRNazanin" w:hAnsi="IRNazanin" w:eastAsia="IRNazanin"/>
          <w:color w:val="111111"/>
          <w:sz w:val="28"/>
          <w:sz w:val="28"/>
          <w:szCs w:val="28"/>
          <w:rtl w:val="true"/>
          <w:lang w:bidi="fa-IR"/>
        </w:rPr>
        <w:t xml:space="preserve">ألفت الآخوند صاحب الکفایة إلی أنّ الظن لا یتصف بالحجّیة العقلیة والشرعیة بالذات، بمعنی أنه لیس هو علّة تامة للحجّیة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بقسمیها الشرعیة والعقلیة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 مقتضی أیضاً للحجّیة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اقتضاء الحجّیة یقع علی معان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دلیل بالفعل یدلّ علی حجّیته بعمومه بعد عدم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الآخوند أراد نفی هذا المعنی من الإقتضاء للحجّیة فی خصوص الحجّیة الشرعیة، فهو مقبول بل قَبِلَه أغلب الأعلام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ذکره الفشارکی من أنّ صرف الإحتمال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الشک والظن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درجة من الکاشفیة، وعلی هذا الأساس کان فیه اقتضاء التنجیز عقلاً، ما لم یأت مؤمّن یؤمّن عنه یکون مانعاً من هذا الإقتضاء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 الخوئی هذا المعنی فی بدایة أصالة الإشتغال ولم یذکره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سلیم ونقبله فی الظن، وبالتالی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مقتض للحجّیة عقلاً، بمعنی أنّ فیه درجة من الکاشفیة توجب التنجیز لولا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ملاک فی الظن یجعله صالحاً لأن یعتبره الشارع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أیضاً نقبله فی الظن، فهو مقتض للحجّیة الشرعیة بمعنی أنّ فیه ملاکاً اقتضائیاً یجعله مؤهّلاً لأن یعتبره الشارع ویجعله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هناک بحثاً فی موضوع الحجّیة، هل هو الدرجة من الکاشفیة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منشؤه وموجبه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والظهور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وتحدید أنّ المعتبر من الظن هو النوعی أو الشخصی یتوقف فی الجملة علی تحدید موضوع الحجّیة، وأنّه الظن أو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أثار الأعلام هذا البحث فی تضاعیف کلماتهم فی الظن، علماً أنا قد انتهینا فی بحث القطع إلی أنّ الحجّیة للدلیل لا لدرجة کاشفیة القطع خلافاً لما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یقصدوه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الأعلام</w:t>
      </w:r>
      <w:r>
        <w:rPr>
          <w:rFonts w:eastAsia="IRNazanin" w:cs="IRNazanin"/>
          <w:color w:val="111111"/>
          <w:sz w:val="28"/>
          <w:szCs w:val="28"/>
          <w:rtl w:val="true"/>
          <w:lang w:bidi="fa-IR"/>
        </w:rPr>
        <w:t>.</w:t>
      </w:r>
      <w:bookmarkStart w:id="242" w:name="pg16983_380745"/>
    </w:p>
    <w:p>
      <w:pPr>
        <w:pStyle w:val="Heading4"/>
        <w:numPr>
          <w:ilvl w:val="3"/>
          <w:numId w:val="1"/>
        </w:numPr>
        <w:rPr/>
      </w:pPr>
      <w:bookmarkStart w:id="243" w:name="__RefHeading___Toc3299756_1468164448"/>
      <w:bookmarkStart w:id="244" w:name="_Toc99"/>
      <w:bookmarkEnd w:id="242"/>
      <w:bookmarkEnd w:id="243"/>
      <w:r>
        <w:rPr/>
        <w:t>2</w:t>
      </w:r>
      <w:r>
        <w:rPr>
          <w:rtl w:val="true"/>
        </w:rPr>
        <w:t xml:space="preserve"> . </w:t>
      </w:r>
      <w:r>
        <w:rPr>
          <w:rtl w:val="true"/>
        </w:rPr>
        <w:t>إمکان التعبد بالظن</w:t>
      </w:r>
      <w:bookmarkEnd w:id="244"/>
    </w:p>
    <w:p>
      <w:pPr>
        <w:pStyle w:val="Heading5"/>
        <w:numPr>
          <w:ilvl w:val="4"/>
          <w:numId w:val="1"/>
        </w:numPr>
        <w:rPr/>
      </w:pPr>
      <w:bookmarkStart w:id="245" w:name="__RefHeading___Toc3299758_1468164448"/>
      <w:bookmarkStart w:id="246" w:name="_Toc100"/>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 xml:space="preserve">إنّ حدیث الأعلام فی هذا البحث یکون فی الإمکان العقلی، فیقع بحثهم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وجود أدلّة عقلیة مانعة من التعبد وتقییمها، بعد أن کان الإقتضاء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الرقم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فی بحث حجّیة خبر الواحد والظواهر یشیرون إلی دعوی للأخباریین، وهی وجود أدلّة شرعیة مانعة عن العمل بالظن بشکل مطلق لا فی خصوص خبر الواحد أو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کالآیات الناهیة عن العمل بالظن التی ادّعی إباؤها عن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هذا کان الأنسب استقدام ذلک البحث وجعله شقاً ثانیاً لبحث إمکان التعبد بالظن، وهو إمکان التعبد بالظن شرعاً</w:t>
      </w:r>
      <w:r>
        <w:rPr>
          <w:rFonts w:eastAsia="IRNazanin" w:cs="IRNazanin"/>
          <w:color w:val="111111"/>
          <w:sz w:val="28"/>
          <w:szCs w:val="28"/>
          <w:rtl w:val="true"/>
          <w:lang w:bidi="fa-IR"/>
        </w:rPr>
        <w:t>.</w:t>
      </w:r>
    </w:p>
    <w:p>
      <w:pPr>
        <w:pStyle w:val="Heading5"/>
        <w:numPr>
          <w:ilvl w:val="4"/>
          <w:numId w:val="1"/>
        </w:numPr>
        <w:rPr/>
      </w:pPr>
      <w:bookmarkStart w:id="247" w:name="__RefHeading___Toc3299760_1468164448"/>
      <w:bookmarkStart w:id="248" w:name="_Toc101"/>
      <w:bookmarkEnd w:id="247"/>
      <w:r>
        <w:rPr>
          <w:rtl w:val="true"/>
        </w:rPr>
        <w:t>محاذیر ابن قبة</w:t>
      </w:r>
      <w:bookmarkEnd w:id="248"/>
    </w:p>
    <w:p>
      <w:pPr>
        <w:pStyle w:val="Heading6"/>
        <w:numPr>
          <w:ilvl w:val="5"/>
          <w:numId w:val="1"/>
        </w:numPr>
        <w:rPr/>
      </w:pPr>
      <w:bookmarkStart w:id="249" w:name="__RefHeading___Toc3299762_1468164448"/>
      <w:bookmarkStart w:id="250" w:name="_Toc102"/>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و ابن قبة ألفت إلی إشکالین فی التعبد بالظن یمنعان من القول بالإمکان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الإخبار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واحد ظنی لجاز الإخبار عنه تعالی کذلک، وهو معلوم البطلان إجماعاً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تعالی، فمع إمکان الإخبار والظن عنه، معناه إمکان الخبر عنه تعالی ظناً وهو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تحلیل الحرام وعکسه، ومنه انفتح البحث فی کیفیة الجمع بین الحکم الظاهری والواقعی</w:t>
      </w:r>
      <w:r>
        <w:rPr>
          <w:rFonts w:eastAsia="IRNazanin" w:cs="IRNazanin"/>
          <w:color w:val="111111"/>
          <w:sz w:val="28"/>
          <w:szCs w:val="28"/>
          <w:rtl w:val="true"/>
          <w:lang w:bidi="fa-IR"/>
        </w:rPr>
        <w:t>.</w:t>
      </w:r>
    </w:p>
    <w:p>
      <w:pPr>
        <w:pStyle w:val="Heading6"/>
        <w:numPr>
          <w:ilvl w:val="5"/>
          <w:numId w:val="1"/>
        </w:numPr>
        <w:rPr/>
      </w:pPr>
      <w:bookmarkStart w:id="251" w:name="__RefHeading___Toc3299764_1468164448"/>
      <w:bookmarkStart w:id="252" w:name="_Toc103"/>
      <w:bookmarkEnd w:id="251"/>
      <w:r>
        <w:rPr>
          <w:rtl w:val="true"/>
        </w:rPr>
        <w:t>جواب الشیخ الأعظم عن الإشکال الأول</w:t>
      </w:r>
      <w:bookmarkEnd w:id="252"/>
    </w:p>
    <w:p>
      <w:pPr>
        <w:pStyle w:val="BookText"/>
        <w:rPr/>
      </w:pPr>
      <w:r>
        <w:rPr>
          <w:rFonts w:ascii="IRNazanin" w:hAnsi="IRNazanin" w:eastAsia="IRNazanin"/>
          <w:color w:val="111111"/>
          <w:sz w:val="28"/>
          <w:sz w:val="28"/>
          <w:szCs w:val="28"/>
          <w:rtl w:val="true"/>
          <w:lang w:bidi="fa-IR"/>
        </w:rPr>
        <w:t xml:space="preserve">هناک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الوقوع، وهو دلیل تعبدی فیقتصر فیه علی مورده وهو الإخبار عنه تعالی، هذا أولاً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الإخبار الظنی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إذا کان بنحو الموجبة</w:t>
      </w:r>
      <w:bookmarkStart w:id="253" w:name="pg16983_380747"/>
    </w:p>
    <w:p>
      <w:pPr>
        <w:pStyle w:val="BookText"/>
        <w:rPr/>
      </w:pPr>
      <w:bookmarkEnd w:id="253"/>
      <w:r>
        <w:rPr>
          <w:rFonts w:ascii="IRNazanin" w:hAnsi="IRNazanin" w:eastAsia="IRNazanin"/>
          <w:color w:val="111111"/>
          <w:sz w:val="28"/>
          <w:sz w:val="28"/>
          <w:szCs w:val="28"/>
          <w:rtl w:val="true"/>
          <w:lang w:bidi="fa-IR"/>
        </w:rPr>
        <w:t xml:space="preserve">الکلّیة، بما فی ذلک أسس الدین وأصوله، وأمّا إذا کان بنحو الموجبة الجزئیة فی تفاصیل العقیدة والفروع فلا مشکلة فی الإخبار الظنی بها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الموجبة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وبُثّ واُعلن بنحو القطع، وأما الظن فهو فی الإخبار عنهم بالواسطة وهو غیر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أجوبة الشیخ المختصة بالإشکال الأول، وسنری أنها أجوبة قانونیة عقلیة قد اعتمد علیها الأعلام فی الفقه</w:t>
      </w:r>
      <w:r>
        <w:rPr>
          <w:rFonts w:eastAsia="IRNazanin" w:cs="IRNazanin"/>
          <w:color w:val="111111"/>
          <w:sz w:val="28"/>
          <w:szCs w:val="28"/>
          <w:rtl w:val="true"/>
          <w:lang w:bidi="fa-IR"/>
        </w:rPr>
        <w:t>.</w:t>
      </w:r>
    </w:p>
    <w:p>
      <w:pPr>
        <w:pStyle w:val="Heading6"/>
        <w:numPr>
          <w:ilvl w:val="5"/>
          <w:numId w:val="1"/>
        </w:numPr>
        <w:rPr/>
      </w:pPr>
      <w:bookmarkStart w:id="254" w:name="__RefHeading___Toc3299766_1468164448"/>
      <w:bookmarkStart w:id="255" w:name="_Toc104"/>
      <w:bookmarkEnd w:id="254"/>
      <w:r>
        <w:rPr>
          <w:rtl w:val="true"/>
        </w:rPr>
        <w:t>جواب آخر من الشیخ</w:t>
      </w:r>
      <w:bookmarkEnd w:id="255"/>
    </w:p>
    <w:p>
      <w:pPr>
        <w:pStyle w:val="BookText"/>
        <w:rPr/>
      </w:pPr>
      <w:r>
        <w:rPr>
          <w:rFonts w:ascii="IRNazanin" w:hAnsi="IRNazanin" w:eastAsia="IRNazanin"/>
          <w:color w:val="111111"/>
          <w:sz w:val="28"/>
          <w:sz w:val="28"/>
          <w:szCs w:val="28"/>
          <w:rtl w:val="true"/>
          <w:lang w:bidi="fa-IR"/>
        </w:rPr>
        <w:t xml:space="preserve">هناک جواب آخر منه إلاّ أنه مشترک بین الإشکالین وهو التزام العقلاء بالإمکان حتی یثبت المانع، وهو تطبیق القاعدة الشهیرة التی ذکرها ابن سینا، ولو ثبتت فی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ترتبت علیها آثار جمّة، ولا تخص الطرق وإنما تعمّ حتی الإعتبارات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الإلتفات إلی أنه قد ذکرت تفسیرات ثلاثة لهذه القاعدة، واحدة للشیخ وأخری للآخوند وثالثة للسیّد الخوئی وسنعرض لها بعدئذ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تنافی بین إمکان التعبد بالظن وبین کون الأصل العملی حرمة العمل بالظن کما سنوضّح</w:t>
      </w:r>
      <w:r>
        <w:rPr>
          <w:rFonts w:eastAsia="IRNazanin" w:cs="IRNazanin"/>
          <w:color w:val="111111"/>
          <w:sz w:val="28"/>
          <w:szCs w:val="28"/>
          <w:rtl w:val="true"/>
          <w:lang w:bidi="fa-IR"/>
        </w:rPr>
        <w:t>.</w:t>
      </w:r>
    </w:p>
    <w:p>
      <w:pPr>
        <w:pStyle w:val="Heading5"/>
        <w:numPr>
          <w:ilvl w:val="4"/>
          <w:numId w:val="1"/>
        </w:numPr>
        <w:rPr/>
      </w:pPr>
      <w:bookmarkStart w:id="256" w:name="__RefHeading___Toc3299768_1468164448"/>
      <w:bookmarkStart w:id="257" w:name="_Toc105"/>
      <w:bookmarkEnd w:id="256"/>
      <w:r>
        <w:rPr>
          <w:rtl w:val="true"/>
        </w:rPr>
        <w:t>عرض آخر من البحث</w:t>
      </w:r>
      <w:bookmarkEnd w:id="257"/>
    </w:p>
    <w:p>
      <w:pPr>
        <w:pStyle w:val="Heading6"/>
        <w:numPr>
          <w:ilvl w:val="5"/>
          <w:numId w:val="1"/>
        </w:numPr>
        <w:rPr/>
      </w:pPr>
      <w:bookmarkStart w:id="258" w:name="__RefHeading___Toc3299770_1468164448"/>
      <w:bookmarkStart w:id="259" w:name="_Toc106"/>
      <w:bookmarkEnd w:id="258"/>
      <w:r>
        <w:rPr>
          <w:rtl w:val="true"/>
        </w:rPr>
        <w:t>اشارة</w:t>
      </w:r>
      <w:bookmarkEnd w:id="25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عرض آخر حدیث ذکر فی مجلة تراثنا حاول أن یستفید من هذه الشبهة فی التسویة بین التجربة البشریة والقانونیة وبین القانون الدینی،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إذا فتحنا باب الظن والتخمین فی الشریعة وتناسینا وأغفلنا سماویة الشریعة وخلودها وسرّ وجودها الذی هو عجز البشر عن الإهتداء للکمالات الواقعیة، لا یصبح فرق بینها وبین التجربة البشریة، فإنها مثلها تصیب وتخطئ ولا معنی لأولویة الشریعة</w:t>
      </w:r>
      <w:bookmarkStart w:id="260" w:name="pg16983_380749"/>
    </w:p>
    <w:p>
      <w:pPr>
        <w:pStyle w:val="BookText"/>
        <w:rPr/>
      </w:pPr>
      <w:bookmarkEnd w:id="260"/>
      <w:r>
        <w:rPr>
          <w:rFonts w:ascii="IRNazanin" w:hAnsi="IRNazanin" w:eastAsia="IRNazanin"/>
          <w:color w:val="111111"/>
          <w:sz w:val="28"/>
          <w:sz w:val="28"/>
          <w:szCs w:val="28"/>
          <w:rtl w:val="true"/>
          <w:lang w:bidi="fa-IR"/>
        </w:rPr>
        <w:t>الظنیة ونسبتها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الجلالی أجاب عن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قال إنّا نعتمد الظن فی الشریعة؟ بل إنما مسلکنا مسلک السیّد المرتضی و ابن ادریس و ابن قبة، و هو العمل بالإطمئنان و الموثوق به</w:t>
      </w:r>
      <w:r>
        <w:rPr>
          <w:rFonts w:eastAsia="IRNazanin" w:cs="IRNazanin"/>
          <w:color w:val="111111"/>
          <w:sz w:val="28"/>
          <w:szCs w:val="28"/>
          <w:rtl w:val="true"/>
          <w:lang w:bidi="fa-IR"/>
        </w:rPr>
        <w:t>.</w:t>
      </w:r>
    </w:p>
    <w:p>
      <w:pPr>
        <w:pStyle w:val="Heading6"/>
        <w:numPr>
          <w:ilvl w:val="5"/>
          <w:numId w:val="1"/>
        </w:numPr>
        <w:rPr/>
      </w:pPr>
      <w:bookmarkStart w:id="261" w:name="__RefHeading___Toc3299772_1468164448"/>
      <w:bookmarkStart w:id="262" w:name="_Toc107"/>
      <w:bookmarkEnd w:id="261"/>
      <w:r>
        <w:rPr>
          <w:rtl w:val="true"/>
        </w:rPr>
        <w:t>عرض الشبهة بلسان الفخر الرازی</w:t>
      </w:r>
      <w:bookmarkEnd w:id="262"/>
    </w:p>
    <w:p>
      <w:pPr>
        <w:pStyle w:val="BookText"/>
        <w:rPr/>
      </w:pPr>
      <w:r>
        <w:rPr>
          <w:rFonts w:ascii="IRNazanin" w:hAnsi="IRNazanin" w:eastAsia="IRNazanin"/>
          <w:color w:val="111111"/>
          <w:sz w:val="28"/>
          <w:sz w:val="28"/>
          <w:szCs w:val="28"/>
          <w:rtl w:val="true"/>
          <w:lang w:bidi="fa-IR"/>
        </w:rPr>
        <w:t xml:space="preserve">عرض ثالث للشبهة أرسله أحد مشایخ الشام لأحد علماء البحرین یستهدف منها ضرب العصمة المطلقة التی یقول بها الإمامیة للرسول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العرض مقتبس من الفخر الرازی،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الإمامیة إذا سوّغت العمل بالظن یلزمهم القول بالعصمة النسبیة فی الإمام لا المطلقة، وذلک لأنّ الإمامیة یستدلّون علی إطلاق العصمة بأنّ الحق إذا نصب شخصاً وکان یحتمل الخطأ والزلل فی حقه، فأمر عبیده باتّباعه مطلقاً أمر منه تعالی بمعصیته، وهو ممتنع، ومن ثمّ کانت العصمة ضرورة فی السفیر الإلهی، حینئذ علیهم أن لا یعملوا بالظن لوجود المحذور فیه عینه، أو یرفعوا الید عن ضرورة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الشیخ البحرانی بأنّ العمل بالظن مع الضرورة والإضطرار کأکل المیتة لا ابتداءً</w:t>
      </w:r>
      <w:r>
        <w:rPr>
          <w:rFonts w:eastAsia="IRNazanin" w:cs="IRNazanin"/>
          <w:color w:val="111111"/>
          <w:sz w:val="28"/>
          <w:szCs w:val="28"/>
          <w:rtl w:val="true"/>
          <w:lang w:bidi="fa-IR"/>
        </w:rPr>
        <w:t>.</w:t>
      </w:r>
    </w:p>
    <w:p>
      <w:pPr>
        <w:pStyle w:val="Heading6"/>
        <w:numPr>
          <w:ilvl w:val="5"/>
          <w:numId w:val="1"/>
        </w:numPr>
        <w:rPr/>
      </w:pPr>
      <w:bookmarkStart w:id="263" w:name="__RefHeading___Toc3299774_1468164448"/>
      <w:bookmarkStart w:id="264" w:name="_Toc108"/>
      <w:bookmarkEnd w:id="263"/>
      <w:r>
        <w:rPr>
          <w:rtl w:val="true"/>
        </w:rPr>
        <w:t>الصیغة الحدیثة للشبهة</w:t>
      </w:r>
      <w:bookmarkEnd w:id="264"/>
    </w:p>
    <w:p>
      <w:pPr>
        <w:pStyle w:val="BookText"/>
        <w:rPr/>
      </w:pPr>
      <w:r>
        <w:rPr>
          <w:rFonts w:ascii="IRNazanin" w:hAnsi="IRNazanin" w:eastAsia="IRNazanin"/>
          <w:color w:val="111111"/>
          <w:sz w:val="28"/>
          <w:sz w:val="28"/>
          <w:szCs w:val="28"/>
          <w:rtl w:val="true"/>
          <w:lang w:bidi="fa-IR"/>
        </w:rPr>
        <w:t>وعرض رابع صیغ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الإمامیة أجابوا عن شبهة ابن قبة بأنّ الإصابة الغالبیة فی الظن کافیة عن قبح الأمر باتّباعه، ومن ثمّ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قلتم بذلک بعینه فی الإمام بدلاً من اشتراط عصمته، فإنّ إصابته الغالبة تکفی فی الأمر باتّباعه ولیس شرطاً أن یکون دائم الإصابة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العرض استهدف إبطال شرطیة النص علی الإمام بالإستعاضة عنه بالعدالة والفقاهة، حیث إنّهما یؤمّنان الإصابة الغالبة فی الزعیم العلمی أو الإداری</w:t>
      </w:r>
      <w:r>
        <w:rPr>
          <w:rFonts w:eastAsia="IRNazanin" w:cs="IRNazanin"/>
          <w:color w:val="111111"/>
          <w:sz w:val="28"/>
          <w:szCs w:val="28"/>
          <w:rtl w:val="true"/>
          <w:lang w:bidi="fa-IR"/>
        </w:rPr>
        <w:t>.</w:t>
      </w:r>
      <w:bookmarkStart w:id="265" w:name="pg16983_380751"/>
    </w:p>
    <w:p>
      <w:pPr>
        <w:pStyle w:val="Heading6"/>
        <w:numPr>
          <w:ilvl w:val="5"/>
          <w:numId w:val="1"/>
        </w:numPr>
        <w:rPr/>
      </w:pPr>
      <w:bookmarkStart w:id="266" w:name="__RefHeading___Toc3299776_1468164448"/>
      <w:bookmarkStart w:id="267" w:name="_Toc109"/>
      <w:bookmarkEnd w:id="265"/>
      <w:bookmarkEnd w:id="266"/>
      <w:r>
        <w:rPr>
          <w:rtl w:val="true"/>
        </w:rPr>
        <w:t>عمق الشبهة الأولی</w:t>
      </w:r>
      <w:bookmarkEnd w:id="267"/>
    </w:p>
    <w:p>
      <w:pPr>
        <w:pStyle w:val="BookText"/>
        <w:rPr/>
      </w:pPr>
      <w:r>
        <w:rPr>
          <w:rFonts w:ascii="IRNazanin" w:hAnsi="IRNazanin" w:eastAsia="IRNazanin"/>
          <w:color w:val="111111"/>
          <w:sz w:val="28"/>
          <w:sz w:val="28"/>
          <w:szCs w:val="28"/>
          <w:rtl w:val="true"/>
          <w:lang w:bidi="fa-IR"/>
        </w:rPr>
        <w:t xml:space="preserve">من الصیاغات المتقدّمة یتّضح عمق الشبهة الأولی التی أثارها ابن قبة وما یترتب علیها من لوازم ونتائج خطیرة، والغریب أنّ کثیراً من الأعلام بعد الشیخ أهمل الحدیث حولها، مع أنّ خطورتها من جهة وأهمیة الأجوبة التی ذکرها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تستبطنه من قواعد قانونیة هامة فی نفسها لا یستغنی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اهتمام الأعلام بها علی حدّ اهتمامهم بالشبهة الثانیة</w:t>
      </w:r>
      <w:r>
        <w:rPr>
          <w:rFonts w:eastAsia="IRNazanin" w:cs="IRNazanin"/>
          <w:color w:val="111111"/>
          <w:sz w:val="28"/>
          <w:szCs w:val="28"/>
          <w:rtl w:val="true"/>
          <w:lang w:bidi="fa-IR"/>
        </w:rPr>
        <w:t>.</w:t>
      </w:r>
    </w:p>
    <w:p>
      <w:pPr>
        <w:pStyle w:val="Heading6"/>
        <w:numPr>
          <w:ilvl w:val="5"/>
          <w:numId w:val="1"/>
        </w:numPr>
        <w:rPr/>
      </w:pPr>
      <w:bookmarkStart w:id="268" w:name="__RefHeading___Toc3299778_1468164448"/>
      <w:bookmarkStart w:id="269" w:name="_Toc110"/>
      <w:bookmarkEnd w:id="268"/>
      <w:r>
        <w:rPr>
          <w:rtl w:val="true"/>
        </w:rPr>
        <w:t>تقییم الجواب الأول من الشیخ</w:t>
      </w:r>
      <w:bookmarkEnd w:id="269"/>
    </w:p>
    <w:p>
      <w:pPr>
        <w:pStyle w:val="BookText"/>
        <w:rPr/>
      </w:pPr>
      <w:r>
        <w:rPr>
          <w:rFonts w:ascii="IRNazanin" w:hAnsi="IRNazanin" w:eastAsia="IRNazanin"/>
          <w:color w:val="111111"/>
          <w:sz w:val="28"/>
          <w:sz w:val="28"/>
          <w:szCs w:val="28"/>
          <w:rtl w:val="true"/>
          <w:lang w:bidi="fa-IR"/>
        </w:rPr>
        <w:t>فی الجواب الأول للشیخ مسامحة؛ حیث یقبل الإمکان العقلی فی الإخبار عن اللّه تعالی ظناً وأنّه لا مانع عقلی منه، غایة الأمر یمنع عنه الإجماع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حقیقة الإخبار عنه تعالی هی السفارة الإلهیة، فکلامه یعنی عدم شرطیة المعجز لولا الإجماع، مع أنهم ذکروا أدلّة متعددة علی ضرورة المعجز، وأنها هی التی تکسب الخبر عنه تعالی صفة العلمیة، وبدونه یمتنع عقلاً أن یکون الخبر عنه تعالی حجّة</w:t>
      </w:r>
      <w:r>
        <w:rPr>
          <w:rFonts w:eastAsia="IRNazanin" w:cs="IRNazanin"/>
          <w:color w:val="111111"/>
          <w:sz w:val="28"/>
          <w:szCs w:val="28"/>
          <w:rtl w:val="true"/>
          <w:lang w:bidi="fa-IR"/>
        </w:rPr>
        <w:t>.</w:t>
      </w:r>
    </w:p>
    <w:p>
      <w:pPr>
        <w:pStyle w:val="Heading6"/>
        <w:numPr>
          <w:ilvl w:val="5"/>
          <w:numId w:val="1"/>
        </w:numPr>
        <w:rPr/>
      </w:pPr>
      <w:bookmarkStart w:id="270" w:name="__RefHeading___Toc3299780_1468164448"/>
      <w:bookmarkStart w:id="271" w:name="_Toc111"/>
      <w:bookmarkEnd w:id="270"/>
      <w:r>
        <w:rPr>
          <w:rtl w:val="true"/>
        </w:rPr>
        <w:t>تعلیق المحقق العراقی</w:t>
      </w:r>
      <w:bookmarkEnd w:id="271"/>
    </w:p>
    <w:p>
      <w:pPr>
        <w:pStyle w:val="BookText"/>
        <w:rPr/>
      </w:pPr>
      <w:r>
        <w:rPr>
          <w:rFonts w:ascii="IRNazanin" w:hAnsi="IRNazanin" w:eastAsia="IRNazanin"/>
          <w:color w:val="111111"/>
          <w:sz w:val="28"/>
          <w:sz w:val="28"/>
          <w:szCs w:val="28"/>
          <w:rtl w:val="true"/>
          <w:lang w:bidi="fa-IR"/>
        </w:rPr>
        <w:t>وقد علّق الشیخ العراقی علی جواب الشیخ بإمکان التفکیک فی الخبر عن اللّه تعالی بین الخبر بالحکم التکلیفی عنه تعالی فیمکن التعبد، وبین الخبر الذی یلزمه الإخبار عن نبوة نفسه فلا یکفی الظن ویمتنع التعبد به، ولابدّ من العلم الوجدانی، إلاّ أنه استدرک علی الشق الأول بأنه لا یکون حجّة، لأنه حدسی لا حسی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الواقع إنّ هذا الإستدراک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تخطئة لما ذکره أولاً من إمکان التفکیک، وأنّ الخبر عنه تعالی مهما کان المخبر به لا یکون إلاّ من خلال قناة النبوة والإمامة، ومعه لابدّ من العلم ولا یکفی الظن</w:t>
      </w:r>
      <w:r>
        <w:rPr>
          <w:rFonts w:eastAsia="IRNazanin" w:cs="IRNazanin"/>
          <w:color w:val="111111"/>
          <w:sz w:val="28"/>
          <w:szCs w:val="28"/>
          <w:rtl w:val="true"/>
          <w:lang w:bidi="fa-IR"/>
        </w:rPr>
        <w:t>.</w:t>
      </w:r>
      <w:bookmarkStart w:id="272" w:name="pg16983_380753"/>
    </w:p>
    <w:p>
      <w:pPr>
        <w:pStyle w:val="Heading6"/>
        <w:numPr>
          <w:ilvl w:val="5"/>
          <w:numId w:val="1"/>
        </w:numPr>
        <w:rPr/>
      </w:pPr>
      <w:bookmarkStart w:id="273" w:name="__RefHeading___Toc3299782_1468164448"/>
      <w:bookmarkStart w:id="274" w:name="_Toc112"/>
      <w:bookmarkEnd w:id="272"/>
      <w:bookmarkEnd w:id="273"/>
      <w:r>
        <w:rPr>
          <w:rtl w:val="true"/>
        </w:rPr>
        <w:t>تقییم الجواب الثانی للشیخ</w:t>
      </w:r>
      <w:bookmarkEnd w:id="274"/>
    </w:p>
    <w:p>
      <w:pPr>
        <w:pStyle w:val="BookText"/>
        <w:rPr/>
      </w:pPr>
      <w:r>
        <w:rPr>
          <w:rFonts w:ascii="IRNazanin" w:hAnsi="IRNazanin" w:eastAsia="IRNazanin"/>
          <w:color w:val="111111"/>
          <w:sz w:val="28"/>
          <w:sz w:val="28"/>
          <w:szCs w:val="28"/>
          <w:rtl w:val="true"/>
          <w:lang w:bidi="fa-IR"/>
        </w:rPr>
        <w:t>الحق أنه جواب متین، وهو عین ما أثرناه فی بحث الإعتبار من أنّ هناک تناسباً طردیاً بین درجة الملاک ودرجة الدلالة علیه وإحرازه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العملی بأنّ الغرض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فرق بین أن یکون عقائدیاً أو فرعیاً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أهمیةً کان التحفظ علیه أکثر بالضرورة لضمان تحصیله وتحقیقه، ولا یکون إلاّ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وأساسیات العقیدة والفروع بدرجة من الأهمیة تستوجب أن یکون حفظها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الإعتبار علی وزان التکوین، والتکوین کلما کان أشدّ وجوداً کان أشدّ أثراً وظهوراً وجلاءً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نلاحظ أنّ الأدلّة علی التوحید والمعاد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أجلی من الأدلّة علی النبوة، والأدلّة علی النبوة العامة أجلی من الأدلّة علی النبوة الخاصة، والأدلّة علی النبوة أجلی من الأدلّة علی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تناسباً مع الترتب الطبیعی بین هذه الحقائق من حیث الدرجة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وبحکم موازاة الإعتبار للتکوین لابدّ أن یکون الإحراز له أشدّ ظهوراً فی الأهمّ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الإعتبار العقلائی نجد ظاهرة التناسب الطردی واضحة، فإنهم یعیدون أهمیة کبری لأساسیات اعتباراتهم دون الجزئیات والتفاصیل فتجدهم أنهم یعتنون بها ویبالغون فی حفظها ودیمومتها بنفس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الإعتبار الشرعی یوازی الإعتبار العقلائی لا یشذّ عنه فی 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والإستقراء کفیل فی إثبات ذلک، وأنّ الشارع جری علی ما جری علیه العقلاء</w:t>
      </w:r>
      <w:r>
        <w:rPr>
          <w:rFonts w:eastAsia="IRNazanin" w:cs="IRNazanin"/>
          <w:color w:val="111111"/>
          <w:sz w:val="28"/>
          <w:szCs w:val="28"/>
          <w:rtl w:val="true"/>
          <w:lang w:bidi="fa-IR"/>
        </w:rPr>
        <w:t>.</w:t>
      </w:r>
    </w:p>
    <w:p>
      <w:pPr>
        <w:pStyle w:val="Heading6"/>
        <w:numPr>
          <w:ilvl w:val="5"/>
          <w:numId w:val="1"/>
        </w:numPr>
        <w:rPr/>
      </w:pPr>
      <w:bookmarkStart w:id="275" w:name="__RefHeading___Toc3299784_1468164448"/>
      <w:bookmarkStart w:id="276" w:name="_Toc113"/>
      <w:bookmarkEnd w:id="275"/>
      <w:r>
        <w:rPr>
          <w:rtl w:val="true"/>
        </w:rPr>
        <w:t>إتقان جواب الشیخ</w:t>
      </w:r>
      <w:bookmarkEnd w:id="2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یتضح أنّ ما أجاب به الشیخ لیس بدعاً فی الفکر الدینی</w:t>
      </w:r>
      <w:bookmarkStart w:id="277" w:name="pg16983_380755"/>
    </w:p>
    <w:p>
      <w:pPr>
        <w:pStyle w:val="BookText"/>
        <w:rPr/>
      </w:pPr>
      <w:bookmarkEnd w:id="277"/>
      <w:r>
        <w:rPr>
          <w:rFonts w:ascii="IRNazanin" w:hAnsi="IRNazanin" w:eastAsia="IRNazanin"/>
          <w:color w:val="111111"/>
          <w:sz w:val="28"/>
          <w:sz w:val="28"/>
          <w:szCs w:val="28"/>
          <w:rtl w:val="true"/>
          <w:lang w:bidi="fa-IR"/>
        </w:rPr>
        <w:t>والشریعة، وإنما هو مقتضی القانون العقلی والعقلائی، وموافق للظاهرة التکوینیة، والذی یرصد حرکة الفقه یلاحظ بوضوح أنّ الفقهاء لا یعتمدون علی القاعدة الفقهیة ذات الفروع والشعب الکثیرة إذا کان دلیلها روایة واحدة عامة ما لم تعضد بالشهرة وأمثالها، انطلاقاً من أنّ الدلیل لابدّ أن یتناسب طرداً مع قوّتها ومحوریتها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من الضروری تصنیف الحجج والأمارات إلی درجات بعد أن کان بعضها لا یصلح دلیلاً علی إثبات قواعد أساسیة یبنی علیها فی أبواب کثیرة، وإنما تحتاج إلی نمط قوی من الأدلّة یتناسب طرداً مع قوّتها، بعد الإلتفات إلی أنّ عملیة التصنیف ممارسة وبشکل ارتکازی فی الفقه، ومن هنا تجدهم یعبّرون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یثبت هذا الحکم ولیس فیه إلاّ روایة ذکرها الشیخ ولم یذکرها الکلینی و الصدوق، ولم یفت بها أحد؟</w:t>
      </w:r>
      <w:r>
        <w:rPr>
          <w:rStyle w:val="FootnoteAnchor"/>
          <w:rtl w:val="true"/>
        </w:rPr>
        <w:footnoteReference w:id="21"/>
      </w:r>
    </w:p>
    <w:p>
      <w:pPr>
        <w:pStyle w:val="Heading6"/>
        <w:numPr>
          <w:ilvl w:val="5"/>
          <w:numId w:val="1"/>
        </w:numPr>
        <w:rPr/>
      </w:pPr>
      <w:bookmarkStart w:id="278" w:name="__RefHeading___Toc3299786_1468164448"/>
      <w:bookmarkStart w:id="279" w:name="_Toc114"/>
      <w:bookmarkEnd w:id="278"/>
      <w:r>
        <w:rPr>
          <w:rtl w:val="true"/>
        </w:rPr>
        <w:t>نتائج کلام الشیخ</w:t>
      </w:r>
      <w:bookmarkEnd w:id="279"/>
    </w:p>
    <w:p>
      <w:pPr>
        <w:pStyle w:val="BookText"/>
        <w:rPr/>
      </w:pPr>
      <w:r>
        <w:rPr>
          <w:rFonts w:ascii="IRNazanin" w:hAnsi="IRNazanin" w:eastAsia="IRNazanin"/>
          <w:color w:val="111111"/>
          <w:sz w:val="28"/>
          <w:sz w:val="28"/>
          <w:szCs w:val="28"/>
          <w:rtl w:val="true"/>
          <w:lang w:bidi="fa-IR"/>
        </w:rPr>
        <w:t>ویستفاد من جواب الشیخ هذا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التدلیل علی مدّعی الآخوند فی بحث اجتماع الأمر والنهی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الأقوی دلالة أقوی ملاکاً فالحکم فیه فعلی، والأضعف دلالة أضعف ملاکاً فالحکم فیه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عن الشبهة التی أثیرت حدیثاً</w:t>
      </w:r>
      <w:r>
        <w:rPr>
          <w:rStyle w:val="FootnoteAnchor"/>
          <w:rtl w:val="true"/>
        </w:rPr>
        <w:footnoteReference w:id="22"/>
      </w:r>
      <w:r>
        <w:rPr>
          <w:rFonts w:ascii="IRNazanin" w:hAnsi="IRNazanin" w:eastAsia="IRNazanin"/>
          <w:color w:val="111111"/>
          <w:sz w:val="28"/>
          <w:sz w:val="28"/>
          <w:szCs w:val="28"/>
          <w:rtl w:val="true"/>
          <w:lang w:bidi="fa-IR"/>
        </w:rPr>
        <w:t>حیث إنّ الشریعة لم تشذ عن التکوین والإعتبارات العقلائیة فلم تعتمد الظن فی کلّ تفاصیلها کی یکون حالها حال التجربة القانونیة البشریة، وإنما اعتمدت العلم فی أسسها تارکة الظن للجزئیات والتفاصیل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الإجابة عن شبهة الرازی التی نقلها الشیخ الشامی، حیث اتضح أنّ العصمة ضرورة لتأمین العلم فی المساحة التی أشرنا إلیها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أسس العقیدة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معصوم بعد أن لم تکن کلّ الشریعة علی وتیرة واحدة، کما یقرّ هو أنّ هناک أصولاً وفروعاً، وأنّ منها الضروری والأساسی وغیره، ونحن لم نقبل الظن فی الجمیع، وإنما فی خصوص التفاصیل والجزئیات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مدارسة معارف الدین، لحفظه عن اندراسه و لبقاء أسسه علمیة جیلاً بعد جیل، ومنه یتضح أنّ واحدة من أهمّ مسؤولیات الحوزات العلمیة هی حفظ هذه الأسس علی مستوی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أساسیات الدین لابدّ أن تکون قطعیة علی صعید الأصول والفروع، فلا یکفی فیها الإخبار الظنی، ویمتنع التعبد بالظن فیها دون التفاصیل والجزئیات علی الصعیدین فیکفی الظن فیها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تتضح ضرورة تعیین الإمام بالنص السماوی وضرورة عصمته لتأمین العلم فی الأخذ عن السماء فی الأساسیات</w:t>
      </w:r>
      <w:r>
        <w:rPr>
          <w:rFonts w:eastAsia="IRNazanin" w:cs="IRNazanin"/>
          <w:color w:val="111111"/>
          <w:sz w:val="28"/>
          <w:szCs w:val="28"/>
          <w:rtl w:val="true"/>
          <w:lang w:bidi="fa-IR"/>
        </w:rPr>
        <w:t>.</w:t>
      </w:r>
      <w:bookmarkStart w:id="280" w:name="pg16983_380760"/>
    </w:p>
    <w:p>
      <w:pPr>
        <w:pStyle w:val="BookText"/>
        <w:rPr/>
      </w:pPr>
      <w:bookmarkEnd w:id="280"/>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ضرورة تأمین القنوات والوسائل العلمیة حفظاً لهذه الأسس من الضیاع، وصیانة لها من الإندراس، بل إدامتها علمیة کما هو المطلوب فیها المناسب لأهمیتها ومحوریتها</w:t>
      </w:r>
      <w:r>
        <w:rPr>
          <w:rFonts w:eastAsia="IRNazanin" w:cs="IRNazanin"/>
          <w:color w:val="111111"/>
          <w:sz w:val="28"/>
          <w:szCs w:val="28"/>
          <w:rtl w:val="true"/>
          <w:lang w:bidi="fa-IR"/>
        </w:rPr>
        <w:t>.</w:t>
      </w:r>
      <w:r>
        <w:rPr>
          <w:rStyle w:val="FootnoteAnchor"/>
          <w:rtl w:val="true"/>
        </w:rPr>
        <w:footnoteReference w:id="24"/>
      </w:r>
    </w:p>
    <w:p>
      <w:pPr>
        <w:pStyle w:val="Heading6"/>
        <w:numPr>
          <w:ilvl w:val="5"/>
          <w:numId w:val="1"/>
        </w:numPr>
        <w:rPr/>
      </w:pPr>
      <w:bookmarkStart w:id="281" w:name="__RefHeading___Toc3299788_1468164448"/>
      <w:bookmarkStart w:id="282" w:name="_Toc115"/>
      <w:bookmarkEnd w:id="281"/>
      <w:r>
        <w:rPr>
          <w:rtl w:val="true"/>
        </w:rPr>
        <w:t>تقییم الجواب الثالث من الشیخ</w:t>
      </w:r>
      <w:bookmarkEnd w:id="282"/>
    </w:p>
    <w:p>
      <w:pPr>
        <w:pStyle w:val="BookText"/>
        <w:rPr/>
      </w:pPr>
      <w:r>
        <w:rPr>
          <w:rFonts w:ascii="IRNazanin" w:hAnsi="IRNazanin" w:eastAsia="IRNazanin"/>
          <w:color w:val="111111"/>
          <w:sz w:val="28"/>
          <w:sz w:val="28"/>
          <w:szCs w:val="28"/>
          <w:rtl w:val="true"/>
          <w:lang w:bidi="fa-IR"/>
        </w:rPr>
        <w:t xml:space="preserve">فالحق أنه متین جداً ومکمّل لسابقه؛ حیث إنه یلخص ظاهرة التعبد بالظن بالتفاصیل علی صعید الأصول والفروع فی الإخبار بواسطة عن اللّه تعالی، أی فی الإخبار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الإخبار الأول الذی هو الإخبار عن اللّه تعالی فلابدّ أن یکون قطعیاً، مع ضرورة استمرار القطعیة فی الأحکام الأساسیة إلی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یلفت إلی نکتة أخری وهی ضرورة کون الملقی الأول قطعیاً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أدق التفاصیل، وأما کیفیة الإلقاء والملقی إلیه فلا مانع أن تکون ظنیة، ولکن فی التفاصیل دون الأسس</w:t>
      </w:r>
      <w:r>
        <w:rPr>
          <w:rFonts w:eastAsia="IRNazanin" w:cs="IRNazanin"/>
          <w:color w:val="111111"/>
          <w:sz w:val="28"/>
          <w:szCs w:val="28"/>
          <w:rtl w:val="true"/>
          <w:lang w:bidi="fa-IR"/>
        </w:rPr>
        <w:t>.</w:t>
      </w:r>
    </w:p>
    <w:p>
      <w:pPr>
        <w:pStyle w:val="Heading6"/>
        <w:numPr>
          <w:ilvl w:val="5"/>
          <w:numId w:val="1"/>
        </w:numPr>
        <w:rPr/>
      </w:pPr>
      <w:bookmarkStart w:id="283" w:name="__RefHeading___Toc3299790_1468164448"/>
      <w:bookmarkStart w:id="284" w:name="_Toc116"/>
      <w:bookmarkEnd w:id="283"/>
      <w:r>
        <w:rPr>
          <w:rtl w:val="true"/>
        </w:rPr>
        <w:t>المائز بین الجواب الثانی والثالث</w:t>
      </w:r>
      <w:bookmarkEnd w:id="2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یتبلور الفرق بین هذا الجواب وسابقه، حیث إنّ السابق کان فی صدد بیان ضرورة القطعیة فی الأسس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فرق بین الخبر عنه تعالی مباشرة أو بالواسطة، ومن کلّ الجهات علی مستوی الملقی والملقی إلیه وکیفیة الإلقاء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یکون الملقی فیها قطعیاً بأن یکون معصوماً</w:t>
      </w:r>
      <w:bookmarkStart w:id="285" w:name="pg16983_380762"/>
    </w:p>
    <w:p>
      <w:pPr>
        <w:pStyle w:val="BookText"/>
        <w:rPr/>
      </w:pPr>
      <w:bookmarkEnd w:id="2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عن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لابدّ أن تکون الکیفیة قطعیة بأن تکون نصاً فی المضمون، ومثله لابدّ أن یکون الملقی إلیه قطعیاً بأن یکون مجموعة من الناس یتحقق من نقلهم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الثالث فیتحدث عن خصوص الملقی دون الملقی إلیه ودون کیفیة الإلقاء، وعن خصوص الأول الذی ینقل عن السماء مباشرة دون من ینقل بالواسطة</w:t>
      </w:r>
      <w:r>
        <w:rPr>
          <w:rFonts w:eastAsia="IRNazanin" w:cs="IRNazanin"/>
          <w:color w:val="111111"/>
          <w:sz w:val="28"/>
          <w:szCs w:val="28"/>
          <w:rtl w:val="true"/>
          <w:lang w:bidi="fa-IR"/>
        </w:rPr>
        <w:t>.</w:t>
      </w:r>
    </w:p>
    <w:p>
      <w:pPr>
        <w:pStyle w:val="Heading6"/>
        <w:numPr>
          <w:ilvl w:val="5"/>
          <w:numId w:val="1"/>
        </w:numPr>
        <w:rPr/>
      </w:pPr>
      <w:bookmarkStart w:id="286" w:name="__RefHeading___Toc3299792_1468164448"/>
      <w:bookmarkStart w:id="287" w:name="_Toc117"/>
      <w:bookmarkEnd w:id="286"/>
      <w:r>
        <w:rPr>
          <w:rtl w:val="true"/>
        </w:rPr>
        <w:t xml:space="preserve">الإستدلال علی رأی الشیخ </w:t>
      </w:r>
      <w:r>
        <w:rPr>
          <w:rtl w:val="true"/>
        </w:rPr>
        <w:t>(</w:t>
      </w:r>
      <w:r>
        <w:rPr>
          <w:rtl w:val="true"/>
        </w:rPr>
        <w:t>قدس سره</w:t>
      </w:r>
      <w:r>
        <w:rPr>
          <w:rtl w:val="true"/>
        </w:rPr>
        <w:t>)</w:t>
      </w:r>
      <w:bookmarkEnd w:id="287"/>
    </w:p>
    <w:p>
      <w:pPr>
        <w:pStyle w:val="BookText"/>
        <w:rPr/>
      </w:pPr>
      <w:r>
        <w:rPr>
          <w:rFonts w:ascii="IRNazanin" w:hAnsi="IRNazanin" w:eastAsia="IRNazanin"/>
          <w:color w:val="111111"/>
          <w:sz w:val="28"/>
          <w:sz w:val="28"/>
          <w:szCs w:val="28"/>
          <w:rtl w:val="true"/>
          <w:lang w:bidi="fa-IR"/>
        </w:rPr>
        <w:t>والدلیل علی 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دور الملقی الأول یختلف عن دور من ینقل عنه، فإنّ الأول مهمّته الصدع بالرسالة والبثّ والنشر والإعلان الرسمی عن الفکرة والحکم، فهو الناطق الرسمی عن السماء، بخلاف غیره فإنه مجرد ناقل ومخبر و 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 الناطق الرسمی منزّل فی عالم الإعتبار بمنزلة المقنّن، ومن هنا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دلیل عقل المرسل</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فهو لسان المقنّن، وهو نوع استخلاف له فی المقنّن، فحدیثه لیس إخباراً صرفاً وإنما اعتبار ممزوج بالإخبار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کان من الضروری وجود نوع من السنخیة بین الملقی الأول والملقی عنه، وفی ما نحن فیه المقنّن هو اللّه تعالی، فلابدّ فی خلیفته أن یکون قطعیاً حتی فی الجزئیات الصغیرة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فی الفلسفة والعرفان والروایات أنّ التلقّی عن اللّه</w:t>
      </w:r>
      <w:bookmarkStart w:id="288" w:name="pg16983_380764"/>
    </w:p>
    <w:p>
      <w:pPr>
        <w:pStyle w:val="BookText"/>
        <w:rPr/>
      </w:pPr>
      <w:bookmarkEnd w:id="288"/>
      <w:r>
        <w:rPr>
          <w:rFonts w:ascii="IRNazanin" w:hAnsi="IRNazanin" w:eastAsia="IRNazanin"/>
          <w:color w:val="111111"/>
          <w:sz w:val="28"/>
          <w:sz w:val="28"/>
          <w:szCs w:val="28"/>
          <w:rtl w:val="true"/>
          <w:lang w:bidi="fa-IR"/>
        </w:rPr>
        <w:t>تعلی من سنخ خاص وهو التلقی الإنبائی، وهذا لا یتسنّی لکلّ أحد، وإنما لخصوص من ترقّت روحه إلی درجة خاصة یؤهّل فیها للإنباء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الدرجة یکون معصوماً عن الخطأ بحدّ لا یعقل، ولا موضوع للخطأ فیه، فیکون قطعیاً بحیث یعرفه الآخرون أنه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ذلک یمکن اشتراط عدالة خاصة والأعلمیة فی مرجع التقلید بقانون السنخیة أو بعنوان أنه أول مُلقٍ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الجواب تتضح المغالطة فی شبهة الرازی؛ حیث إنّا لا نقبل المجتهد فی أداء الأول، علاوة علی عدم قبولنا لتقلیده فی الأسس والضروریات، فلا معنی للنقض علی الشیعة فی عقیدتهم بالعصمة بقبولهم بظاهرة الإجتهاد بعد أن تبلور أنّ القبول بظاهرة الإجتهاد فی دائرة ضیّقة وفی ما عداها لا نقبل سوی العلم، ولا طریق له فی الخبر الأول عن السماء سوی العصمة</w:t>
      </w:r>
      <w:r>
        <w:rPr>
          <w:rFonts w:eastAsia="IRNazanin" w:cs="IRNazanin"/>
          <w:color w:val="111111"/>
          <w:sz w:val="28"/>
          <w:szCs w:val="28"/>
          <w:rtl w:val="true"/>
          <w:lang w:bidi="fa-IR"/>
        </w:rPr>
        <w:t>.</w:t>
      </w:r>
    </w:p>
    <w:p>
      <w:pPr>
        <w:pStyle w:val="Heading6"/>
        <w:numPr>
          <w:ilvl w:val="5"/>
          <w:numId w:val="1"/>
        </w:numPr>
        <w:rPr/>
      </w:pPr>
      <w:bookmarkStart w:id="289" w:name="__RefHeading___Toc3299794_1468164448"/>
      <w:bookmarkStart w:id="290" w:name="_Toc118"/>
      <w:bookmarkEnd w:id="289"/>
      <w:r>
        <w:rPr>
          <w:rtl w:val="true"/>
        </w:rPr>
        <w:t>الإجابة عن الشبهة الرابعة</w:t>
      </w:r>
      <w:bookmarkEnd w:id="290"/>
    </w:p>
    <w:p>
      <w:pPr>
        <w:pStyle w:val="BookText"/>
        <w:rPr/>
      </w:pPr>
      <w:r>
        <w:rPr>
          <w:rFonts w:ascii="IRNazanin" w:hAnsi="IRNazanin" w:eastAsia="IRNazanin"/>
          <w:color w:val="111111"/>
          <w:sz w:val="28"/>
          <w:sz w:val="28"/>
          <w:szCs w:val="28"/>
          <w:rtl w:val="true"/>
          <w:lang w:bidi="fa-IR"/>
        </w:rPr>
        <w:t>ومن هدی هاتین الإجابتین یمکن علاج الشبهة الرابعة، حیث عرفت أنّ الإمامیة لا تکتفی بغلبة الإصابة بشکل مطلق، وإنما فی خصوص التفاصیل والجزئیات، وأمّا الأسس فلابدّ فیها من العلم، وکذا مطلقاً فی الخبر المباشر عن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معیار الإصابة الغالبة فی الظن والحکم الظاهری هو الحکم الواقعی، فإصابة الظن غالباً تکون بلحاظه، وأمّا مع عدم انضباط الواقع فلا موضوع للظن الغالب الإصابة، نظیر التصویب المطلق فإنّه ممتنع؛ لأنه یلزم من فرضه انتفاؤه بعد أن لم یکن هناک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فرض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مع استبدال العصمة المطلقة بالنسبیة، واستبدال العلم بالظن یلزم عدمهما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العصمة والظن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میزان واقعی یقاس إلیه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والعصمة المطلقة فالنص ضرورة، وأنّ مقولتنا فی إمکان التعبد بالظن لیست مطلقة وإنما فی خصوص</w:t>
      </w:r>
      <w:bookmarkStart w:id="291" w:name="pg16983_380767"/>
    </w:p>
    <w:p>
      <w:pPr>
        <w:pStyle w:val="BookText"/>
        <w:rPr/>
      </w:pPr>
      <w:bookmarkEnd w:id="291"/>
      <w:r>
        <w:rPr>
          <w:rFonts w:ascii="IRNazanin" w:hAnsi="IRNazanin" w:eastAsia="IRNazanin"/>
          <w:color w:val="111111"/>
          <w:sz w:val="28"/>
          <w:sz w:val="28"/>
          <w:szCs w:val="28"/>
          <w:rtl w:val="true"/>
          <w:lang w:bidi="fa-IR"/>
        </w:rPr>
        <w:t xml:space="preserve">التفاصیل، وفی التفاصیل یکون فی خصوص الإخبار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یلزم منه جواز الإخبار ظناً عن اللّه تعالی، للفرق بین الحالتین؛ لأنّ الإخبار عن المعصوم صرف خبر وحکایة وروایة وکشف، والخبر عنه تعالی فیه حالة الصدع والبثّ والإعلان الرسمی</w:t>
      </w:r>
      <w:r>
        <w:rPr>
          <w:rFonts w:eastAsia="IRNazanin" w:cs="IRNazanin"/>
          <w:color w:val="111111"/>
          <w:sz w:val="28"/>
          <w:szCs w:val="28"/>
          <w:rtl w:val="true"/>
          <w:lang w:bidi="fa-IR"/>
        </w:rPr>
        <w:t>.</w:t>
      </w:r>
    </w:p>
    <w:p>
      <w:pPr>
        <w:pStyle w:val="Heading6"/>
        <w:numPr>
          <w:ilvl w:val="5"/>
          <w:numId w:val="1"/>
        </w:numPr>
        <w:rPr/>
      </w:pPr>
      <w:bookmarkStart w:id="292" w:name="__RefHeading___Toc3299796_1468164448"/>
      <w:bookmarkStart w:id="293" w:name="_Toc119"/>
      <w:bookmarkEnd w:id="292"/>
      <w:r>
        <w:rPr>
          <w:rtl w:val="true"/>
        </w:rPr>
        <w:t>صیاغة أخری للشبهة</w:t>
      </w:r>
      <w:bookmarkEnd w:id="293"/>
    </w:p>
    <w:p>
      <w:pPr>
        <w:pStyle w:val="BookText"/>
        <w:rPr/>
      </w:pPr>
      <w:r>
        <w:rPr>
          <w:rFonts w:ascii="IRNazanin" w:hAnsi="IRNazanin" w:eastAsia="IRNazanin"/>
          <w:color w:val="111111"/>
          <w:sz w:val="28"/>
          <w:sz w:val="28"/>
          <w:szCs w:val="28"/>
          <w:rtl w:val="true"/>
          <w:lang w:bidi="fa-IR"/>
        </w:rPr>
        <w:t xml:space="preserve">نعم، بقیت هناک صیاغة خامسة لشبهة تستهدف إلغاء شرطیة العصمة فالإمامة فی الجانب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والسلطة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إمکان نیابة الفقیه عن الإمام فی الحکومة یلزمه عدم لزوم العصمة فی هذا الجانب، فیکفی الفقیه العادل دوماً، أو ننکر الولایة للفقیه</w:t>
      </w:r>
      <w:r>
        <w:rPr>
          <w:rFonts w:eastAsia="IRNazanin" w:cs="IRNazanin"/>
          <w:color w:val="111111"/>
          <w:sz w:val="28"/>
          <w:szCs w:val="28"/>
          <w:rtl w:val="true"/>
          <w:lang w:bidi="fa-IR"/>
        </w:rPr>
        <w:t>.</w:t>
      </w:r>
    </w:p>
    <w:p>
      <w:pPr>
        <w:pStyle w:val="Heading6"/>
        <w:numPr>
          <w:ilvl w:val="5"/>
          <w:numId w:val="1"/>
        </w:numPr>
        <w:rPr/>
      </w:pPr>
      <w:bookmarkStart w:id="294" w:name="__RefHeading___Toc3299798_1468164448"/>
      <w:bookmarkStart w:id="295" w:name="_Toc120"/>
      <w:bookmarkEnd w:id="294"/>
      <w:r>
        <w:rPr>
          <w:rtl w:val="true"/>
        </w:rPr>
        <w:t>ردّ الشبهة</w:t>
      </w:r>
      <w:bookmarkEnd w:id="295"/>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العصمة والإمامة ضرورة حتی فی زمن الغیبة الکبری، وفی حال نیابة الفقیه؛ لأنّا نعتقد أنّ واحدة من أهمّ أدوار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الوجودی والتکوینی وهو الهدایة الإیصالیة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بالتصرف فی النفوس وهدایتها من جانب وأرشدة الطائفة عن الإعوجاج بحیث لا تزیغ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المقام لا یمکن أن ینوب عنه أحد فیه لا الفقیه ولا غیره، وإنما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یقوم بهذه المهمّة مباشرة، ونحن ننتفع به ولو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فولایة الفقیه ونیابته نسبیة لا مطلقة فی جانب دون آخر، کیف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حیاتنا، وما زلنا نعتصم به فی مجال العمل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قبولنا لنیابة الفقیه وولایته النسبیة وفی حیثیة معینة من باب الإضطرار وانسداد باب الوصول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من جملة أسباب غیبته وکنّا وراء غیبته ووراء تأخیر ظهوره، وإلاّ مع وجود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الوضع الطبیعی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موضوع لولایة غیره إطلاقاً</w:t>
      </w:r>
      <w:r>
        <w:rPr>
          <w:rFonts w:eastAsia="IRNazanin" w:cs="IRNazanin"/>
          <w:color w:val="111111"/>
          <w:sz w:val="28"/>
          <w:szCs w:val="28"/>
          <w:rtl w:val="true"/>
          <w:lang w:bidi="fa-IR"/>
        </w:rPr>
        <w:t>.</w:t>
      </w:r>
      <w:bookmarkStart w:id="296" w:name="pg16983_380769"/>
    </w:p>
    <w:p>
      <w:pPr>
        <w:pStyle w:val="Heading6"/>
        <w:numPr>
          <w:ilvl w:val="5"/>
          <w:numId w:val="1"/>
        </w:numPr>
        <w:rPr/>
      </w:pPr>
      <w:bookmarkStart w:id="297" w:name="__RefHeading___Toc3299800_1468164448"/>
      <w:bookmarkStart w:id="298" w:name="_Toc121"/>
      <w:bookmarkEnd w:id="296"/>
      <w:bookmarkEnd w:id="297"/>
      <w:r>
        <w:rPr>
          <w:rtl w:val="true"/>
        </w:rPr>
        <w:t>لزوم العصمة علماً وعملاً</w:t>
      </w:r>
      <w:bookmarkEnd w:id="298"/>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فی جوابه الثالث لابن قبة یأتی بنفسه هنا وفی البعد العملی، حیث إنّه لابدّ من أمان، فکما أنّ المؤدّی الأول لابدّ أن یکون معصوماً، کذلک فی جانب العمل لابدّ أن یکون المنفّذ الأول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فمهمّة الإمام لا تتلخّص فی حفظ الدین علماً وإنما حفظه عملاً أیضاً،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انحراف الأمة علی مستوی الفکر وعلی مستوی العمل والتطبیق، وبدونه لا مانع من انحراف الأمة علی کلّ الصعیدین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فتّشنا فی أوراق علماء السنّة لوجدنا أنهم یؤمنون بالعصمة من دون تصریح، ومن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الأمة لا تجتمع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والحفظ العملی یتحقق بالجانب الملکوتی، والمحفوظ للإمام حتی فی زمن غیبته لا ینوب عنه أحد کما سلف، کذا یتحقق باستلام السلطة العامة علی الأمة، أو السلطة الخفیة کما کان فی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یمارسون الجانب العملی من خلال سلطتهم علی شیعتهم وأتباعهم، فکانوا أشبه بالدولة فی ضمن الدولة، ولم تکن دولة بنی أمیة والعباس الوحیدة وإنما کان الإمام یمارس السلطة بشکل خفی غیر معلن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انتقلت هذه الظاهرة فی الحفظ إلی المرجعیة، فهی لیست مقاماً علمیاً فقط، وإنما فیه جانب الحفظ العملی والسلطة والحکومة، والدراسات السیاسیة الحدیثة أقرّت هذا الفهم للمرجعیة الشیعیة کما أنّ بعض التقاریر التاریخیة یؤیّد ذلک إلاّ أنّ دور الفقیه دون دور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9" w:name="__RefHeading___Toc3299802_1468164448"/>
      <w:bookmarkStart w:id="300" w:name="_Toc122"/>
      <w:bookmarkEnd w:id="299"/>
      <w:r>
        <w:rPr>
          <w:rtl w:val="true"/>
        </w:rPr>
        <w:t>تقییم جواب الشیخ المشترک عن إشکالی ابن قبة</w:t>
      </w:r>
      <w:bookmarkStart w:id="301" w:name="pg16983_380771"/>
      <w:bookmarkEnd w:id="300"/>
    </w:p>
    <w:p>
      <w:pPr>
        <w:pStyle w:val="BookText"/>
        <w:rPr/>
      </w:pPr>
      <w:bookmarkEnd w:id="301"/>
      <w:r>
        <w:rPr>
          <w:rFonts w:ascii="IRNazanin" w:hAnsi="IRNazanin" w:eastAsia="IRNazanin"/>
          <w:color w:val="111111"/>
          <w:sz w:val="28"/>
          <w:sz w:val="28"/>
          <w:szCs w:val="28"/>
          <w:rtl w:val="true"/>
          <w:lang w:bidi="fa-IR"/>
        </w:rPr>
        <w:t>وقد اشتهر فی لسان المحققین بقاعدة الإمکان وینسب إلی الشیخ الرئیس حیث قال فی آخر النمط العاشر من الإشارات والتنبیهات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علیک الإعتصام بحبل التوقف وإن أزعجک استنکار ما یوعاه سمعک ما لم تتبرهن استحالته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تسرح أمثال ذلک إلی بقعة الإمکان ما لم یذدک عنه قائم البرهان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واختار الشیخ الأعظم إمکان التعبد بالظن بدعوی أنّ بناء العقلاء علی الحکم بالإمکان ما لم تثبت الإستحالة</w:t>
      </w:r>
      <w:r>
        <w:rPr>
          <w:rFonts w:eastAsia="IRNazanin" w:cs="IRNazanin"/>
          <w:color w:val="111111"/>
          <w:sz w:val="28"/>
          <w:szCs w:val="28"/>
          <w:rtl w:val="true"/>
          <w:lang w:bidi="fa-IR"/>
        </w:rPr>
        <w:t>.</w:t>
      </w:r>
    </w:p>
    <w:p>
      <w:pPr>
        <w:pStyle w:val="Heading6"/>
        <w:numPr>
          <w:ilvl w:val="5"/>
          <w:numId w:val="1"/>
        </w:numPr>
        <w:rPr/>
      </w:pPr>
      <w:bookmarkStart w:id="302" w:name="__RefHeading___Toc3299804_1468164448"/>
      <w:bookmarkStart w:id="303" w:name="_Toc123"/>
      <w:bookmarkEnd w:id="302"/>
      <w:r>
        <w:rPr>
          <w:rtl w:val="true"/>
        </w:rPr>
        <w:t>مناقشة صاحب الکفایة</w:t>
      </w:r>
      <w:bookmarkEnd w:id="303"/>
    </w:p>
    <w:p>
      <w:pPr>
        <w:pStyle w:val="BookText"/>
        <w:rPr/>
      </w:pPr>
      <w:r>
        <w:rPr>
          <w:rFonts w:ascii="IRNazanin" w:hAnsi="IRNazanin" w:eastAsia="IRNazanin"/>
          <w:color w:val="111111"/>
          <w:sz w:val="28"/>
          <w:sz w:val="28"/>
          <w:szCs w:val="28"/>
          <w:rtl w:val="true"/>
          <w:lang w:bidi="fa-IR"/>
        </w:rPr>
        <w:t>واستشکل علیه صاحب الکفایة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یثبت بناء من العقلاء علی ترتیب آثار الإمکان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البناء العقلائی یحتاج إلی إمضاء، والقطعی منه غیر موجود، والظنی منه غیر مفید؛ إذ لا یمکن إثبات إمکان العمل بالظن بنفس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التنزّل لا فائدة فی هذا البحث أصلاً؛ إذ مع قیام الدلیل علی الوقوع لا نحتاج إلی البحث عن الإمکان، فإنّ الوقوع أخص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الدلیل علی الوقوع لا فائدة فی البحث عن الإمکان؛ إذ البحث أصولی لابدّ فیه من ترتّب ثمرة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الإمکان فی عبارة ابن سینا بمعنی الإحتمال البدوی، ویقصد من مقولته هذه عدم المسارعة فی الحکم علی شیء أنه ممتنع، وإنما إبقاؤه مردّداً حتی یتضح أمره</w:t>
      </w:r>
      <w:r>
        <w:rPr>
          <w:rFonts w:eastAsia="IRNazanin" w:cs="IRNazanin"/>
          <w:color w:val="111111"/>
          <w:sz w:val="28"/>
          <w:szCs w:val="28"/>
          <w:rtl w:val="true"/>
          <w:lang w:bidi="fa-IR"/>
        </w:rPr>
        <w:t>.</w:t>
      </w:r>
    </w:p>
    <w:p>
      <w:pPr>
        <w:pStyle w:val="Heading6"/>
        <w:numPr>
          <w:ilvl w:val="5"/>
          <w:numId w:val="1"/>
        </w:numPr>
        <w:rPr/>
      </w:pPr>
      <w:bookmarkStart w:id="304" w:name="__RefHeading___Toc3299806_1468164448"/>
      <w:bookmarkStart w:id="305" w:name="_Toc124"/>
      <w:bookmarkEnd w:id="304"/>
      <w:r>
        <w:rPr>
          <w:rtl w:val="true"/>
        </w:rPr>
        <w:t>نقد المناقشة الثالثة</w:t>
      </w:r>
      <w:bookmarkEnd w:id="30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الوقوع إنما یکون أدلّ دلیل علی الإمکان حالة کون الدلیل الدالّ علی الواقع قطعیاً وبدیهیاً، وأما مع کونه ظنیاً فلا یصلح دلیلاً علی الإمکان، سیّما مع وجود شبهة فی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یفهم تأویل</w:t>
      </w:r>
      <w:bookmarkStart w:id="306" w:name="pg16983_380774"/>
    </w:p>
    <w:p>
      <w:pPr>
        <w:pStyle w:val="BookText"/>
        <w:rPr/>
      </w:pPr>
      <w:bookmarkEnd w:id="306"/>
      <w:r>
        <w:rPr>
          <w:rFonts w:ascii="IRNazanin" w:hAnsi="IRNazanin" w:eastAsia="IRNazanin"/>
          <w:color w:val="111111"/>
          <w:sz w:val="28"/>
          <w:sz w:val="28"/>
          <w:szCs w:val="28"/>
          <w:rtl w:val="true"/>
          <w:lang w:bidi="fa-IR"/>
        </w:rPr>
        <w:t>البعض للدلیل الظنی علی الواجب المعلّق أو المشروط مع وجود دلیل علی الإمتناع والإستحالة، مع أنّ الوقوع والتعبد حاصل بمنطق الآخوند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حتی مع الدلیل القطعی النظری علی التعبد لا یصلح دلیلاً علی الإمکان بحدّ یغنی عن البحث فیه لقبوله التزلزل حتی بالظن وإن لم یکن معتبراً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أوضحناه فی بحث القطع فی البحث مع الأخباریین </w:t>
      </w:r>
      <w:r>
        <w:rPr>
          <w:rFonts w:eastAsia="IRNazanin" w:cs="IRNazanin"/>
          <w:color w:val="111111"/>
          <w:sz w:val="28"/>
          <w:szCs w:val="28"/>
          <w:rtl w:val="true"/>
          <w:lang w:bidi="fa-IR"/>
        </w:rPr>
        <w:t>].</w:t>
      </w:r>
    </w:p>
    <w:p>
      <w:pPr>
        <w:pStyle w:val="Heading6"/>
        <w:numPr>
          <w:ilvl w:val="5"/>
          <w:numId w:val="1"/>
        </w:numPr>
        <w:rPr/>
      </w:pPr>
      <w:bookmarkStart w:id="307" w:name="__RefHeading___Toc3299808_1468164448"/>
      <w:bookmarkStart w:id="308" w:name="_Toc125"/>
      <w:bookmarkEnd w:id="307"/>
      <w:r>
        <w:rPr>
          <w:rtl w:val="true"/>
        </w:rPr>
        <w:t>إتقان إثارة الشیخ</w:t>
      </w:r>
      <w:bookmarkEnd w:id="308"/>
    </w:p>
    <w:p>
      <w:pPr>
        <w:pStyle w:val="BookText"/>
        <w:rPr/>
      </w:pPr>
      <w:r>
        <w:rPr>
          <w:rFonts w:ascii="IRNazanin" w:hAnsi="IRNazanin" w:eastAsia="IRNazanin"/>
          <w:color w:val="111111"/>
          <w:sz w:val="28"/>
          <w:sz w:val="28"/>
          <w:szCs w:val="28"/>
          <w:rtl w:val="true"/>
          <w:lang w:bidi="fa-IR"/>
        </w:rPr>
        <w:t xml:space="preserve">ومن هنا وبعد أن اتضح أنّ الوقوع لیس دائماً دلیلاً علی الإمکان، تأتی إثارة الشیخ فی محلّها، وهی أنه فی الدلیل الحجّة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فرق بین أن یکون فی الأصول أو فی الفروع، قطعیاً نظریاً أو ظنیاً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یتابع من دون حاجة إلی إثبات الإمکان بمعنی بیان زیف الأدلّة المعارضة المثبتة للإمتناع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الذاتی أم الوقوعی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إثارته عامة لکلّ اعتبار، ولیست خاصة بالظاهری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الدالّ علی قاعدة فقهیة مثلاً هل یؤخذ به بنفسه ویکتفی به أو لابدّ من إحراز إمکان هذه القاعدة بتفنیذ الأدلّة الدالّة علی امتناعها وبطلانها؟</w:t>
      </w:r>
    </w:p>
    <w:p>
      <w:pPr>
        <w:pStyle w:val="BookText"/>
        <w:rPr/>
      </w:pPr>
      <w:r>
        <w:rPr>
          <w:rFonts w:ascii="IRNazanin" w:hAnsi="IRNazanin" w:eastAsia="IRNazanin"/>
          <w:color w:val="111111"/>
          <w:sz w:val="28"/>
          <w:sz w:val="28"/>
          <w:szCs w:val="28"/>
          <w:rtl w:val="true"/>
          <w:lang w:bidi="fa-IR"/>
        </w:rPr>
        <w:t xml:space="preserve">بل هذه الإثارة منطقیة مرتبطة بکلّ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دینیة کانت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یستند إلی الدلیل المعتمد فی نفسه فی إثبات شیء أو لابدّ من بیان إمکان الشیء ببیان فساد الأدلّة المانعة والمعارضة؟ فما ذکره الآخوند من أنّ الوقوع دلیل کاف علی الإمکان، ومن ثمّ لا نحتاج إلی دلیل آخر علیه مرفوض فی الوقوع الظنی والقطعی النظری، وغالب التعبد من هذین القسمین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یکون لإثارة الشیخ معنی وموقع إذا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الحجّیة لا تسند إلی الحالة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 أو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للمقدّمات والدلیل فی الأول، وللمنشأ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 وخبر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إذ لو کانت للحالة النفسیة لم تکن قابلة لحالة 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فالقطع</w:t>
      </w:r>
      <w:bookmarkStart w:id="309" w:name="pg16983_380776"/>
    </w:p>
    <w:p>
      <w:pPr>
        <w:pStyle w:val="BookText"/>
        <w:rPr/>
      </w:pPr>
      <w:bookmarkEnd w:id="309"/>
      <w:r>
        <w:rPr>
          <w:rFonts w:ascii="IRNazanin" w:hAnsi="IRNazanin" w:eastAsia="IRNazanin"/>
          <w:color w:val="111111"/>
          <w:sz w:val="28"/>
          <w:sz w:val="28"/>
          <w:szCs w:val="28"/>
          <w:rtl w:val="true"/>
          <w:lang w:bidi="fa-IR"/>
        </w:rPr>
        <w:t>إذا کان هو الحجّة کان تمام الموضوع ولا معنی لتعلیقه علی بیان زیف ما قیل فی الإمتناع</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وعلی أساس 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المرتکز عند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البحث مع الأخباریین فی تحدید العلاقة بین العقل والنقل والذی هو بحث عویص؛ إذ أنّ کلاًّ من الفریقین کان علی حق فی زاویة من زوایا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انتهینا هناک إلی أنّ العلاقة هی الإنطلاق من بدیهیاتهما إلی نظریاتهما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کون الحجّیة للمقدّمات لم یکن مجال للموازنة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وسیوافینا بحث لا یقلّ إشکالاً وتعقیداً عن البحث فی العلاقة بین النقل والعقل وهو البحث عن کیفیة الجمع بین الثقلین، الکتاب والسنّة اللّذین هما رمز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هذه الإثارة اختار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الإمکان استناداً إلی بناء العقلاء، علماً أنّ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الإمکان الوقوعی لا الماهوی الذاتی؛ لأنّ الإعتبار خفیف المؤونة فلا مانع منه، بالإضافة إلی ما تقدّم فی الأمر الأول من اقتضاء الظن للحجّیة عقلاً وشرعاً، والإشکال کله فی الإمکان الوقوعی، کما أنّ بناء العقلاء بعد الفحص عن المانع الوقوعی وعدم الوجدان من دون فرق بین عدم العثور علی دلیل أو مع العثور علیه وعدم کونه مقنعاً و إن لم یتمکن من بیان زیفه، فیبنون علی الإمکان ولا یشترطون عدم الوجود</w:t>
      </w:r>
      <w:r>
        <w:rPr>
          <w:rFonts w:eastAsia="IRNazanin" w:cs="IRNazanin"/>
          <w:color w:val="111111"/>
          <w:sz w:val="28"/>
          <w:szCs w:val="28"/>
          <w:rtl w:val="true"/>
          <w:lang w:bidi="fa-IR"/>
        </w:rPr>
        <w:t>.</w:t>
      </w:r>
    </w:p>
    <w:p>
      <w:pPr>
        <w:pStyle w:val="Heading6"/>
        <w:numPr>
          <w:ilvl w:val="5"/>
          <w:numId w:val="1"/>
        </w:numPr>
        <w:rPr/>
      </w:pPr>
      <w:bookmarkStart w:id="310" w:name="__RefHeading___Toc3299810_1468164448"/>
      <w:bookmarkStart w:id="311" w:name="_Toc126"/>
      <w:bookmarkEnd w:id="310"/>
      <w:r>
        <w:rPr>
          <w:rtl w:val="true"/>
        </w:rPr>
        <w:t>تقریب الإصفهانی لمختار الشیخ</w:t>
      </w:r>
      <w:bookmarkEnd w:id="3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والشیخ الإصفهانی قرّب مختار الشیخ بالإلفات إلی أنّ المعرفة الدینیة عقائدیة وعملیة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یطلب فیه معرفة الشیء بما هو هو، فالکمال فی نفس العلم نظیر الحکمة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نظیر الحکمة</w:t>
      </w:r>
      <w:bookmarkStart w:id="312" w:name="pg16983_380779"/>
    </w:p>
    <w:p>
      <w:pPr>
        <w:pStyle w:val="BookText"/>
        <w:rPr/>
      </w:pPr>
      <w:bookmarkEnd w:id="312"/>
      <w:r>
        <w:rPr>
          <w:rFonts w:ascii="IRNazanin" w:hAnsi="IRNazanin" w:eastAsia="IRNazanin"/>
          <w:color w:val="111111"/>
          <w:sz w:val="28"/>
          <w:sz w:val="28"/>
          <w:szCs w:val="28"/>
          <w:rtl w:val="true"/>
          <w:lang w:bidi="fa-IR"/>
        </w:rPr>
        <w:t>العملیة، فإنّ المطلوب فیه العمل والجری، لا معرفة الشیء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الأول لا یعقل الجزم بثبوته إلاّ مع الجزم بإمکانه، فلا یجامع احتمال الإستحالة، وفی الثانی یکفی صِرف وجود الحجّة علیه من دون حاجة للجزم بتحققّه فلا ینافی احتمال الإستحالة، فإنه لیس بحجّة، والحجّة لا یزاحمها إلاّ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التقریب جیّد، ولکنّه یحتاج إلی تعمیق وإصلاح</w:t>
      </w:r>
      <w:r>
        <w:rPr>
          <w:rFonts w:eastAsia="IRNazanin" w:cs="IRNazanin"/>
          <w:color w:val="111111"/>
          <w:sz w:val="28"/>
          <w:szCs w:val="28"/>
          <w:rtl w:val="true"/>
          <w:lang w:bidi="fa-IR"/>
        </w:rPr>
        <w:t>.</w:t>
      </w:r>
    </w:p>
    <w:p>
      <w:pPr>
        <w:pStyle w:val="Heading6"/>
        <w:numPr>
          <w:ilvl w:val="5"/>
          <w:numId w:val="1"/>
        </w:numPr>
        <w:rPr/>
      </w:pPr>
      <w:bookmarkStart w:id="313" w:name="__RefHeading___Toc3299812_1468164448"/>
      <w:bookmarkStart w:id="314" w:name="_Toc127"/>
      <w:bookmarkEnd w:id="313"/>
      <w:r>
        <w:rPr>
          <w:rtl w:val="true"/>
        </w:rPr>
        <w:t>تعمیق فی تقریب الإصفهانی</w:t>
      </w:r>
      <w:bookmarkEnd w:id="314"/>
    </w:p>
    <w:p>
      <w:pPr>
        <w:pStyle w:val="BookText"/>
        <w:rPr/>
      </w:pPr>
      <w:r>
        <w:rPr>
          <w:rFonts w:ascii="IRNazanin" w:hAnsi="IRNazanin" w:eastAsia="IRNazanin"/>
          <w:color w:val="111111"/>
          <w:sz w:val="28"/>
          <w:sz w:val="28"/>
          <w:szCs w:val="28"/>
          <w:rtl w:val="true"/>
          <w:lang w:bidi="fa-IR"/>
        </w:rPr>
        <w:t>التعمیق هو أنّ المعرفة العقائدیة تتعلّق بالتکوینیات والخارج، والمعرفة العملیة تتعلّق بالإعتبارات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ألفتنا إلی أنّ ملاک الإعتبار لا یصل إلیه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کان الإعتبار ضرورة لسدّ الفراغ الذی یعجز العقل عن ملئه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معنی لمطالبة العقل أن لا یتابع الإعتبار إلاّ بعد معرفة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وشرطیة معرفة الإمکان الوقوعی وتعلیق التعبد بالظن أو بأیّ اعتبار علیه، هو عبارة أخری عن تعلیق التعبد علی معرفة ملاکه وأنّه صحیح ولیس بلغو ولا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المقنّن لابدّ أن یعرف صواب الملاک وأثره، دون العامل سوی علمه الإجمالی بالملاک، من جهة حجّیة نفس المقنّن لدیه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فالشیخ حینما قال ببناء العقلاء علی الإمکان لا یقصد الإمکان الماهوی ولا الإحتمال وإنما یقصد الإمکان الوقوعی فی الإعتباریات، وهو عبارة عن بنائهم علی تمامیة الحجّة وبلوغ نصابها عند عدم وجدان المانع من دون حاجة إلی إثبات عدم الوجود المعلّق علی اکتناه الملاک ومعرفته، وهو مما لا سبیل للعقل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الفحص، فلربّما یصل العقل إلی موانع فی حالات معینة، ولکن یکتفی بعدم ثبوتها وعدم وجدان موانع أخری فی البناء علی الإمکان</w:t>
      </w:r>
      <w:r>
        <w:rPr>
          <w:rFonts w:eastAsia="IRNazanin" w:cs="IRNazanin"/>
          <w:color w:val="111111"/>
          <w:sz w:val="28"/>
          <w:szCs w:val="28"/>
          <w:rtl w:val="true"/>
          <w:lang w:bidi="fa-IR"/>
        </w:rPr>
        <w:t>.</w:t>
      </w:r>
      <w:bookmarkStart w:id="315" w:name="pg16983_380781"/>
    </w:p>
    <w:p>
      <w:pPr>
        <w:pStyle w:val="BookText"/>
        <w:rPr/>
      </w:pPr>
      <w:bookmarkEnd w:id="315"/>
      <w:r>
        <w:rPr>
          <w:rFonts w:ascii="IRNazanin" w:hAnsi="IRNazanin" w:eastAsia="IRNazanin"/>
          <w:color w:val="111111"/>
          <w:sz w:val="28"/>
          <w:sz w:val="28"/>
          <w:szCs w:val="28"/>
          <w:rtl w:val="true"/>
          <w:lang w:bidi="fa-IR"/>
        </w:rPr>
        <w:t xml:space="preserve">وهذه اللفتة من الشیخ هی تعبیر عما أکّد علیه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لعجزها ومحدودیتها</w:t>
      </w:r>
      <w:r>
        <w:rPr>
          <w:rFonts w:eastAsia="IRNazanin" w:cs="IRNazanin"/>
          <w:color w:val="111111"/>
          <w:sz w:val="28"/>
          <w:szCs w:val="28"/>
          <w:rtl w:val="true"/>
          <w:lang w:bidi="fa-IR"/>
        </w:rPr>
        <w:t>.</w:t>
      </w:r>
    </w:p>
    <w:p>
      <w:pPr>
        <w:pStyle w:val="Heading6"/>
        <w:numPr>
          <w:ilvl w:val="5"/>
          <w:numId w:val="1"/>
        </w:numPr>
        <w:rPr/>
      </w:pPr>
      <w:bookmarkStart w:id="316" w:name="__RefHeading___Toc3299814_1468164448"/>
      <w:bookmarkStart w:id="317" w:name="_Toc128"/>
      <w:bookmarkEnd w:id="316"/>
      <w:r>
        <w:rPr>
          <w:rtl w:val="true"/>
        </w:rPr>
        <w:t>نقد المناقشة الثانیة للآخوند</w:t>
      </w:r>
      <w:bookmarkEnd w:id="317"/>
    </w:p>
    <w:p>
      <w:pPr>
        <w:pStyle w:val="BookText"/>
        <w:rPr/>
      </w:pPr>
      <w:r>
        <w:rPr>
          <w:rFonts w:ascii="IRNazanin" w:hAnsi="IRNazanin" w:eastAsia="IRNazanin"/>
          <w:color w:val="111111"/>
          <w:sz w:val="28"/>
          <w:sz w:val="28"/>
          <w:szCs w:val="28"/>
          <w:rtl w:val="true"/>
          <w:lang w:bidi="fa-IR"/>
        </w:rPr>
        <w:t>من هنا یتبلور ما فی مناقشة الآخوند الثانیة للشیخ من ضعف؛ حیث اتضح أنّ هذا البناء هو نفس البناء علی لغة القانون أو أصل الإعتبار دلیل إمضائه عقلی وهو إدراک العقل لعجزه، ومن ثمّ إدراکه لضرورة الإعتبار، فلا یحتاج إلی إمضاء شرعی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علی الإمکان بعد الفحص وعدم الوجدان هو نتیجة بنائهم علی لغة الإعتبار کبدیل وکتعویض عن عجز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 عدم الوجود نقض لخلفیة تأسیس لغة الإعتبار وهی عجز العقل؛ لأنّ عدم الوجود یحتاج إلی إحاطة بالملاک والواقع التکوینی وهو مسدود</w:t>
      </w:r>
      <w:r>
        <w:rPr>
          <w:rFonts w:eastAsia="IRNazanin" w:cs="IRNazanin"/>
          <w:color w:val="111111"/>
          <w:sz w:val="28"/>
          <w:szCs w:val="28"/>
          <w:rtl w:val="true"/>
          <w:lang w:bidi="fa-IR"/>
        </w:rPr>
        <w:t>.</w:t>
      </w:r>
    </w:p>
    <w:p>
      <w:pPr>
        <w:pStyle w:val="Heading6"/>
        <w:numPr>
          <w:ilvl w:val="5"/>
          <w:numId w:val="1"/>
        </w:numPr>
        <w:rPr/>
      </w:pPr>
      <w:bookmarkStart w:id="318" w:name="__RefHeading___Toc3299816_1468164448"/>
      <w:bookmarkStart w:id="319" w:name="_Toc129"/>
      <w:bookmarkEnd w:id="318"/>
      <w:r>
        <w:rPr>
          <w:rtl w:val="true"/>
        </w:rPr>
        <w:t>قاعدة الإمکان ولیدة قاعدة التناسب</w:t>
      </w:r>
      <w:bookmarkEnd w:id="319"/>
    </w:p>
    <w:p>
      <w:pPr>
        <w:pStyle w:val="BookText"/>
        <w:rPr/>
      </w:pPr>
      <w:r>
        <w:rPr>
          <w:rFonts w:ascii="IRNazanin" w:hAnsi="IRNazanin" w:eastAsia="IRNazanin"/>
          <w:color w:val="111111"/>
          <w:sz w:val="28"/>
          <w:sz w:val="28"/>
          <w:szCs w:val="28"/>
          <w:rtl w:val="true"/>
          <w:lang w:bidi="fa-IR"/>
        </w:rPr>
        <w:t>هذه القاعدة هی فی الواقع ولیدة قاعدة التناسب الطردی بین أهمیة الحکم ودرجة الدلالة علیه، فالجذر العقلی لقاعدة الإمکان فی الإعتباریات هو التناسب المذکور، وعلی أساسه کان بناء العقلاء، بعد أن عرفت أنه لا یکون جزافاً وإنما ینطلق من نکتة عقلیة مع خلفیة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الدلیل العقائدی لابدّ من التثبت من الإمکان وعدم الإعتماد علیه لوحده بخلاف الفروع لأنها دون الإعتقادیات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تفاصیل العقیدة کالفروع فالظن المعتبر حجّة فیها ویکفی فیها</w:t>
      </w:r>
    </w:p>
    <w:p>
      <w:pPr>
        <w:pStyle w:val="BookText"/>
        <w:rPr/>
      </w:pPr>
      <w:r>
        <w:rPr>
          <w:rFonts w:ascii="IRNazanin" w:hAnsi="IRNazanin" w:eastAsia="IRNazanin"/>
          <w:color w:val="111111"/>
          <w:sz w:val="28"/>
          <w:sz w:val="28"/>
          <w:szCs w:val="28"/>
          <w:rtl w:val="true"/>
          <w:lang w:bidi="fa-IR"/>
        </w:rPr>
        <w:t>عدم الوجدان فی البناء علی الإمکان، ولیس شرطاً العلم بعدم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إصلاح فی بیان الشیخ الإصفهانی</w:t>
      </w:r>
      <w:r>
        <w:rPr>
          <w:rFonts w:eastAsia="IRNazanin" w:cs="IRNazanin"/>
          <w:color w:val="111111"/>
          <w:sz w:val="28"/>
          <w:szCs w:val="28"/>
          <w:rtl w:val="true"/>
          <w:lang w:bidi="fa-IR"/>
        </w:rPr>
        <w:t>.</w:t>
      </w:r>
    </w:p>
    <w:p>
      <w:pPr>
        <w:pStyle w:val="Heading6"/>
        <w:numPr>
          <w:ilvl w:val="5"/>
          <w:numId w:val="1"/>
        </w:numPr>
        <w:rPr/>
      </w:pPr>
      <w:bookmarkStart w:id="320" w:name="__RefHeading___Toc3299818_1468164448"/>
      <w:bookmarkStart w:id="321" w:name="_Toc130"/>
      <w:bookmarkEnd w:id="320"/>
      <w:r>
        <w:rPr>
          <w:rtl w:val="true"/>
        </w:rPr>
        <w:t>جریان قاعدة الإمکان فی العقیدة</w:t>
      </w:r>
      <w:bookmarkEnd w:id="3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بعد الإلتفات إلی الجذر العقلی أمکن إجراء 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بحکم العقل لا ببناء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أساسیات العقیدة أیضاً، بل فی مجمل المعرفة العقلیة، وأنّه لیس شرطاً العلم بعدم وجود المانع وإنما یکفی عدم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عدم العثور أم عدم وضوح ما ذکر مانعاً وإن لم یتمکن من بیان زیفه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وضوح الأدلّة المثبتة وصراحتها مع الفحص الکافی والمفعم عن المانع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یحکم العقل بالإمکان ویدعو الإنسان إلی الإلتزام بالأدلّة المثبتة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الأرجح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اللهث وراء احتمال المانع المرجوح والإلتزام به، وإنکار ما دلّ الدلیل علیه أو التشکیک فیه الذی یستبطن الحطّ من قیمة دلالة الدلیل المثبت، وترجیح کفة القوی الدونیة المشاغبة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أهمل منطق أرسطو البحث فی هذه الزاویة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بیان طبیعة العلاقة بین العقل النظری والعملی بالقوی الدونیة المشاغبة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مدرسة أهل البیت نظرت لهذه العلاقة، حیث ذکرت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یقینکم ظناً ولا ظنکم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التی تقرب من البدیهیات أو المفعمة بالفحص قد تعارض بقوة مشاغبة تحول بین هذه المقدّمات ونتائجها حیث تملی علی الإنسان أن یرفع یده عنها وتدعوه للایمان بها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الإنسان فی مثل هذه الحالة البناء علی الإمکان الوقوعی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هذه المقدّمات التی لم تفد علماً بسبب الموانع التی لم یتمکن من علاجها والإکتفاء بالظن وبالبناء علیه بدلاً من الشطب علیها وعدم الأخذ بها مستبدلاً إیاها بالشبهات الواهیة المرجوحة فی قبال الأدلّة المثبتة</w:t>
      </w:r>
      <w:r>
        <w:rPr>
          <w:rFonts w:eastAsia="IRNazanin" w:cs="IRNazanin"/>
          <w:color w:val="111111"/>
          <w:sz w:val="28"/>
          <w:szCs w:val="28"/>
          <w:rtl w:val="true"/>
          <w:lang w:bidi="fa-IR"/>
        </w:rPr>
        <w:t>.</w:t>
      </w:r>
      <w:bookmarkStart w:id="322" w:name="pg16983_380785"/>
    </w:p>
    <w:p>
      <w:pPr>
        <w:pStyle w:val="Heading4"/>
        <w:numPr>
          <w:ilvl w:val="3"/>
          <w:numId w:val="1"/>
        </w:numPr>
        <w:rPr/>
      </w:pPr>
      <w:bookmarkStart w:id="323" w:name="__RefHeading___Toc3299820_1468164448"/>
      <w:bookmarkStart w:id="324" w:name="_Toc131"/>
      <w:bookmarkEnd w:id="322"/>
      <w:bookmarkEnd w:id="323"/>
      <w:r>
        <w:rPr/>
        <w:t>3</w:t>
      </w:r>
      <w:r>
        <w:rPr>
          <w:rtl w:val="true"/>
        </w:rPr>
        <w:t xml:space="preserve"> . </w:t>
      </w:r>
      <w:r>
        <w:rPr>
          <w:rtl w:val="true"/>
        </w:rPr>
        <w:t>الجمع بین الحکم الظاهری والواقعی</w:t>
      </w:r>
      <w:bookmarkEnd w:id="324"/>
    </w:p>
    <w:p>
      <w:pPr>
        <w:pStyle w:val="Heading5"/>
        <w:numPr>
          <w:ilvl w:val="4"/>
          <w:numId w:val="1"/>
        </w:numPr>
        <w:rPr/>
      </w:pPr>
      <w:bookmarkStart w:id="325" w:name="__RefHeading___Toc3299822_1468164448"/>
      <w:bookmarkStart w:id="326" w:name="_Toc132"/>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ألفتنا سابقاً إلی الإشکال الثانی لابن قبة المانع عن التعبد بالظن، وهو لزوم تحلیل الحرام وتحریم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محاذیر ذلک فی أربعة 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الحکم، حیث یلزم اجتماع المتقابلین أو الضدین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الإرادة، حیث یلزم اجتماع الإرادة والکراهة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الملاک، حیث یؤدّی إلی الإلقاء فی المفسدة أو تفویت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الإمتثال، حیث لا یعقل الجمع بین الإنبعاث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إشکال ابن قبة لا یخص الإعتبار الشرعی وإنما هو عام لکلّ اعتبار، کما أنه لا یخص الحکم الظاهری الأصولی وإنما هو إشکال علی الحکم الظاهری فی نفسه، سواء کان أصولیاً أم فقهیاً، کأصالة الطهارة والحل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یعرف أنّ هذا البحث فی الواقع فصل من فصول بحث الإعتبار العام ولیس خاصاً بالظن وبالشرعی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أیضاً أنّ الجواب عن إشکال ابن قبة لیس هو کلّ البحث وإنما واحدة من أهدافه الجزئیة، وإلاّ فهناک ثمرات تترتب علی هذا البحث أهمّ بکثیر من ثمرة الإجابة عن ابن قبة،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طبیعة العلاقة بین الحکم الظاهری والواقعی فی نفسها بغضّ النظر عن إشکال ابن 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بحث الإجزاء والقول به وعدمه بالفقرة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سنخ الحکم الظاهری وأنّه واحد أو متعدّد؟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أنّ درجات الأحکام الظاهریة ورتبها مختلفة أو أنها جمیعاً فی رتبة واحدة؟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مراتب الحکم الواحد، وبالتالی لابدّ أن یرصد التنافی بین الأحکام أنه فی أیّ مرتبة؟</w:t>
      </w:r>
      <w:bookmarkStart w:id="327" w:name="pg16983_380787"/>
    </w:p>
    <w:p>
      <w:pPr>
        <w:pStyle w:val="BookText"/>
        <w:rPr/>
      </w:pPr>
      <w:bookmarkEnd w:id="32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أنّ التنافی فی کلّ مرتبة یختلف ماهیة، وبالتالی علاجاً عن التنافی فی مرتبة أخری</w:t>
      </w:r>
      <w:r>
        <w:rPr>
          <w:rFonts w:eastAsia="IRNazanin" w:cs="IRNazanin"/>
          <w:color w:val="111111"/>
          <w:sz w:val="28"/>
          <w:szCs w:val="28"/>
          <w:rtl w:val="true"/>
          <w:lang w:bidi="fa-IR"/>
        </w:rPr>
        <w:t>.</w:t>
      </w:r>
    </w:p>
    <w:p>
      <w:pPr>
        <w:pStyle w:val="Heading5"/>
        <w:numPr>
          <w:ilvl w:val="4"/>
          <w:numId w:val="1"/>
        </w:numPr>
        <w:rPr/>
      </w:pPr>
      <w:bookmarkStart w:id="328" w:name="__RefHeading___Toc3299824_1468164448"/>
      <w:bookmarkStart w:id="329" w:name="_Toc133"/>
      <w:bookmarkEnd w:id="328"/>
      <w:r>
        <w:rPr>
          <w:rtl w:val="true"/>
        </w:rPr>
        <w:t>الأقوال فی حقیقة الحکم الظاهری</w:t>
      </w:r>
      <w:bookmarkEnd w:id="329"/>
    </w:p>
    <w:p>
      <w:pPr>
        <w:pStyle w:val="Heading6"/>
        <w:numPr>
          <w:ilvl w:val="5"/>
          <w:numId w:val="1"/>
        </w:numPr>
        <w:rPr/>
      </w:pPr>
      <w:bookmarkStart w:id="330" w:name="__RefHeading___Toc3299826_1468164448"/>
      <w:bookmarkStart w:id="331" w:name="_Toc134"/>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الحکم الطریقی، أو الحکم المماثل، أو الواقع التنزیلی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اختلاف تعبیرات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کلّ هذه أنّ جعل الحکم الظاهری هو جعل المؤدّی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باتّباع الأمارة أو متابعتها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عن سابقه أنّ هذا وجوب تکلیفی طریقی، متعلّقه اتّباع الأمارة فی کلّ الأمارات ومهما کان مفادها، فی حین أنّ السابق یتبع المؤدّی، فیختلف باختلافه؛ إن کان حرمةً فحرمةٌ وإن کان وجوباً فوجوبٌ وهکذا، فهو نسخة بدل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طریق محض، بمعنی أنه حکم وضعی یسمّی الطریقیة أو العلم التعبدی أو إلغاء احتمال الخلاف أو تنزیل الظن منزلة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تبنّاه المیرزا وذکره الشیخ فی إحدی تنبیهات الإنسداد بشکل مفصل وفی أول بحث التعارض بشکل موجز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والفرق بین هذا القول وسابقه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الطریقیة هی عین الجعل وهی حکم وضعی، فی حین أنّ الأول یفسّر الظاهری بأنه حکم تکلیفی فرعی، ملاکه الإستطراق والکاشفیة لا أنّ المجعول هو الإستطراق</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الحکم الطریقی لا ینحصر بهذا القسم، وإنما هناک قسم آخر ملاکه الحفظ والوجوب الإحتیاط فی الفروج والدماء، وقسم ثالث ملاکه التسهیل کأصالة الحلّ علی قول، وأقسام أخر، وإن</w:t>
      </w:r>
      <w:bookmarkStart w:id="332" w:name="pg16983_380789"/>
    </w:p>
    <w:p>
      <w:pPr>
        <w:pStyle w:val="BookText"/>
        <w:rPr/>
      </w:pPr>
      <w:bookmarkEnd w:id="332"/>
      <w:r>
        <w:rPr>
          <w:rFonts w:ascii="IRNazanin" w:hAnsi="IRNazanin" w:eastAsia="IRNazanin"/>
          <w:color w:val="111111"/>
          <w:sz w:val="28"/>
          <w:sz w:val="28"/>
          <w:szCs w:val="28"/>
          <w:rtl w:val="true"/>
          <w:lang w:bidi="fa-IR"/>
        </w:rPr>
        <w:t>سمّیت مثل هذه بالحکم الطریقی لأنّ فی ملاکها شائبة من الإستطراق ولکن لیس هو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الکلّ أنّ متنها لیس الکشف وإنما المعتبر مظنون الظن ومنکشف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حکم وضعی وهو الحجّیة لا الطریقیة، وهو ما یصحّ الإحتجاج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کلامٍ أنه قول مستقل عن الرابع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المنجّز والمعذّر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أیضاً علی کلامٍ فی اختلافه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حکم طریقی متأخر رتبة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المنجّز والمعذّر العقلی، بمعنی أنّ الطرق غیر مردوع عنها شرعاً، وهو کاف فی منجّزیتها ومعذّریتها عقلاً</w:t>
      </w:r>
      <w:r>
        <w:rPr>
          <w:rFonts w:eastAsia="IRNazanin" w:cs="IRNazanin"/>
          <w:color w:val="111111"/>
          <w:sz w:val="28"/>
          <w:szCs w:val="28"/>
          <w:rtl w:val="true"/>
          <w:lang w:bidi="fa-IR"/>
        </w:rPr>
        <w:t>.</w:t>
      </w:r>
    </w:p>
    <w:p>
      <w:pPr>
        <w:pStyle w:val="Heading6"/>
        <w:numPr>
          <w:ilvl w:val="5"/>
          <w:numId w:val="1"/>
        </w:numPr>
        <w:rPr/>
      </w:pPr>
      <w:bookmarkStart w:id="333" w:name="__RefHeading___Toc3299828_1468164448"/>
      <w:bookmarkStart w:id="334" w:name="_Toc135"/>
      <w:bookmarkEnd w:id="333"/>
      <w:r>
        <w:rPr>
          <w:rtl w:val="true"/>
        </w:rPr>
        <w:t>التصویب والتخطئة</w:t>
      </w:r>
      <w:bookmarkEnd w:id="334"/>
    </w:p>
    <w:p>
      <w:pPr>
        <w:pStyle w:val="BookText"/>
        <w:rPr/>
      </w:pPr>
      <w:r>
        <w:rPr>
          <w:rFonts w:ascii="IRNazanin" w:hAnsi="IRNazanin" w:eastAsia="IRNazanin"/>
          <w:color w:val="111111"/>
          <w:sz w:val="28"/>
          <w:sz w:val="28"/>
          <w:szCs w:val="28"/>
          <w:rtl w:val="true"/>
          <w:lang w:bidi="fa-IR"/>
        </w:rPr>
        <w:t>هذه مقدّمة لعرض نظریة الشیخ وهی البحث عن حقیقة التصویب وأقسامه وفرقه عن التخطئة، ومنه ینجرّ الحدیث إلی اشتراک الأحکام بین العالم والجاهل والاستدلال علیه</w:t>
      </w:r>
      <w:r>
        <w:rPr>
          <w:rFonts w:eastAsia="IRNazanin" w:cs="IRNazanin"/>
          <w:color w:val="111111"/>
          <w:sz w:val="28"/>
          <w:szCs w:val="28"/>
          <w:rtl w:val="true"/>
          <w:lang w:bidi="fa-IR"/>
        </w:rPr>
        <w:t>.</w:t>
      </w:r>
    </w:p>
    <w:p>
      <w:pPr>
        <w:pStyle w:val="Heading6"/>
        <w:numPr>
          <w:ilvl w:val="5"/>
          <w:numId w:val="1"/>
        </w:numPr>
        <w:rPr/>
      </w:pPr>
      <w:bookmarkStart w:id="335" w:name="__RefHeading___Toc3299830_1468164448"/>
      <w:bookmarkStart w:id="336" w:name="_Toc136"/>
      <w:bookmarkEnd w:id="335"/>
      <w:r>
        <w:rPr>
          <w:rtl w:val="true"/>
        </w:rPr>
        <w:t>التصویب المنسوب إلی جلّ الأشاعرة</w:t>
      </w:r>
      <w:bookmarkEnd w:id="3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تشکیک المیرزا فی هذه النسبة وأنّه لم یقل به إلاّ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خلوّ الواقع عن الحکم وعدم شریعة واقعیة فی مساحة الظن، وإنما هی مؤدّی الحکم الظاهری، الذی هو مؤدّی رأی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بامتناعه شرعاً للإجماع علی وجود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یصاب وقد لا یصاب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یصاغ علی ضوء ما یصل إلیه المجتهد، بالإضافة إلی الروایات الکثیرة جداً علی وجود واقع،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یُقَرِّبُکُمْ مِنَ الْجَنَّةِ وَ یُبَاعِدُکُمْ مِنَ النَّارِ إِلاّ وَ قَدْ أَمَرْتُکُمْ بِهِ وَ مَا مِنْ</w:t>
      </w:r>
      <w:bookmarkStart w:id="337" w:name="pg16983_380791"/>
    </w:p>
    <w:p>
      <w:pPr>
        <w:pStyle w:val="BookText"/>
        <w:rPr/>
      </w:pPr>
      <w:bookmarkEnd w:id="337"/>
      <w:r>
        <w:rPr>
          <w:rFonts w:ascii="Amiri" w:hAnsi="Amiri" w:eastAsia="Amiri" w:cs="Amiri"/>
          <w:color w:val="111111"/>
          <w:sz w:val="28"/>
          <w:sz w:val="28"/>
          <w:szCs w:val="28"/>
          <w:rtl w:val="true"/>
          <w:lang w:bidi="ar-SA"/>
        </w:rPr>
        <w:t>شَیْ‌ءٍ یُقَرِّبُکُمْ مِنَ النَّارِ وَ یُبَاعِدُکُمْ مِنَ الْجَنَّةِ إِلاّ وَ قَدْ نَهَیْتُکُمْ عَنْهُ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باستحالته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 غیر المستقل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الطریق الشرعی والحکم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شرّع لأجل طریقیته، وإنما یؤخذ به لأجل إصابته وتنجیزه، فلابدّ من فرض واقع یطابقه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یفحص المجتهد ویحاول أن یصوغ فهماً لنفسه لولا وجود واقع یحاول اکتناهه واکتشافه؟ وما قد یقال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أوجب علیه ذلک؛ 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یعنی أنه مع عصیانه لهذا الوجوب لا یوجد سوی عصیان واحد لا عصیانات متعددة بعدد أحکام الشریعة، وهو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باستحالته بحکم العقل المستقل؛ حیث ألفتنا إلی أنّ فی کلّ فعل للإنسان کمالاً أو نقصاً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أنّ الإنسان یعجز عن إدراکه بعقله فیستعین بالشرع سدّاً لهذا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أمر تکوینی منحفظ، والإعتبار الشرعی لیس إلاّ وسیلة کشف عن ذلک الواقع بشکل غالبی من دون أن یتخطاه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کانت النبوة والشریعة ضرورة، وبهذا یبطل التصویب القائم علی فرض إنکار الواقع فالإعتبار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وجذر نظریة التصویب هذه إنکار الحسن والقبح العقلیین، وأنه تعالی یفعل ما یشاء لا عن سابق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الشریعة تصاغ علی ضوء فهم المجتهدین، وهم یختلفون بالوجدان، فینتج أنّ الشریعة متناقضة متخالفة وهو باطل بالضرورة</w:t>
      </w:r>
      <w:r>
        <w:rPr>
          <w:rFonts w:eastAsia="IRNazanin" w:cs="IRNazanin"/>
          <w:color w:val="111111"/>
          <w:sz w:val="28"/>
          <w:szCs w:val="28"/>
          <w:rtl w:val="true"/>
          <w:lang w:bidi="fa-IR"/>
        </w:rPr>
        <w:t>.</w:t>
      </w:r>
    </w:p>
    <w:p>
      <w:pPr>
        <w:pStyle w:val="Heading6"/>
        <w:numPr>
          <w:ilvl w:val="5"/>
          <w:numId w:val="1"/>
        </w:numPr>
        <w:rPr/>
      </w:pPr>
      <w:bookmarkStart w:id="338" w:name="__RefHeading___Toc3299832_1468164448"/>
      <w:bookmarkStart w:id="339" w:name="_Toc137"/>
      <w:bookmarkEnd w:id="338"/>
      <w:r>
        <w:rPr>
          <w:rtl w:val="true"/>
        </w:rPr>
        <w:t>التصویب المنسوب إلی المعتزلة</w:t>
      </w:r>
      <w:bookmarkEnd w:id="3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هناک واقعاً للشریعة،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فهم المجتهد علی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الواقع فی حقه وحق تابعیه إلی ما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یتضح مرادهم بالدقة من کلماتهم، فبقی مردداً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التشریع والإنشاء والإعتبار معلّق علی عدم فهم المجتهد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طور وجوده الفعلی معلّق علی عدم فهم المجتهد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نظیر ما التزم به المیرزا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تشریع الأجزاء غیر الرکنیة بالعالم، وهو یرجع إلی تقیید الأحکام بالعالم، وأنّ الجاهل لا واقع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علی الإشتراک فی الأحکام بین العالم والجاهل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الکثیرة جداً الدالّة علی وجود واقع مشترک بین الجاهل والعالم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إنشاءات الأحکام جمیعاً لم تقیّد بالعالم، فرفع الید عن مثل هذا الإطلاق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استحالة الإشتراک وبالتالی تقیّد مرحلة الخطاب والتنجیز وأنّ ذلک عین تقیید التشریع، أکل الدهر علیه وشرب؛ حیث إنّ فیه خلطاً بین مراحل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التشریع والإنشاء وبین التنجیز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الحاجة إلی الإعتبار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استفدنا منه فی إبطال التصویب الأشعری وإثبات أنّ هناک واقعاً،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نستفید منه فی إثبات أنّ هذا الواقع مشترک بین الجمیع، إلاّ إذا دلّ دلیل خاص علی الإختصاص فی حالة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یرجع إلی أنّ الحکم الإنشائی لم یقیّد بشی، وبالتالی الفعلی الناقص ومن قِبَل المولی مثله لمطابقة هذه المرحلة لمرحلة الإنشائی تماماً، والفارق هو أنّ القیود التی أخذت فی الإنشاء من قبل الشارع قد تحققت فی الفعلیة الناقصة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سیکون قید العلم راجعاً إلی الفعلیة التامّة، وهی لا مانع من أن تتخالف مع الفعلیة الناقصة، فقد تقیّد بعدم الحرج وعدم</w:t>
      </w:r>
      <w:bookmarkStart w:id="340" w:name="pg16983_380795"/>
    </w:p>
    <w:p>
      <w:pPr>
        <w:pStyle w:val="BookText"/>
        <w:rPr/>
      </w:pPr>
      <w:bookmarkEnd w:id="340"/>
      <w:r>
        <w:rPr>
          <w:rFonts w:ascii="IRNazanin" w:hAnsi="IRNazanin" w:eastAsia="IRNazanin"/>
          <w:color w:val="111111"/>
          <w:sz w:val="28"/>
          <w:sz w:val="28"/>
          <w:szCs w:val="28"/>
          <w:rtl w:val="true"/>
          <w:lang w:bidi="fa-IR"/>
        </w:rPr>
        <w:t>الضرر، کذا قد تقیّد بعدم فهم المجتهد لخلاف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القدر من التصویب لا دلیل عقلی علی بطلانه، بل التزم به الآخوند کما سیتضح، ومن ثمّ نترک تقییمه إلی حین عرض کلام الآخوند</w:t>
      </w:r>
      <w:r>
        <w:rPr>
          <w:rFonts w:eastAsia="IRNazanin" w:cs="IRNazanin"/>
          <w:color w:val="111111"/>
          <w:sz w:val="28"/>
          <w:szCs w:val="28"/>
          <w:rtl w:val="true"/>
          <w:lang w:bidi="fa-IR"/>
        </w:rPr>
        <w:t>.</w:t>
      </w:r>
    </w:p>
    <w:p>
      <w:pPr>
        <w:pStyle w:val="Heading6"/>
        <w:numPr>
          <w:ilvl w:val="5"/>
          <w:numId w:val="1"/>
        </w:numPr>
        <w:rPr/>
      </w:pPr>
      <w:bookmarkStart w:id="341" w:name="__RefHeading___Toc3299834_1468164448"/>
      <w:bookmarkStart w:id="342" w:name="_Toc138"/>
      <w:bookmarkEnd w:id="341"/>
      <w:r>
        <w:rPr>
          <w:rtl w:val="true"/>
        </w:rPr>
        <w:t>نظریة الشیخ فی الحکم الظاهری</w:t>
      </w:r>
      <w:bookmarkEnd w:id="342"/>
    </w:p>
    <w:p>
      <w:pPr>
        <w:pStyle w:val="BookText"/>
        <w:rPr/>
      </w:pPr>
      <w:r>
        <w:rPr>
          <w:rFonts w:ascii="IRNazanin" w:hAnsi="IRNazanin" w:eastAsia="IRNazanin"/>
          <w:color w:val="111111"/>
          <w:sz w:val="28"/>
          <w:sz w:val="28"/>
          <w:szCs w:val="28"/>
          <w:rtl w:val="true"/>
          <w:lang w:bidi="fa-IR"/>
        </w:rPr>
        <w:t>المبنی الرسمی للشیخ فی الحکم الظاهری أنه حکم طریقی أو جعل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 الذی اقترحه لعلاج الإشکال الثانی لابن قبة هو المصلحة السلوکیة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سبقه إلیه القمی والفصول،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العلاّمة أنه یلتزم بها تبعاً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المحذور علی صعید الملاک، وأنّه مستلّ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الشیخ حلاً فی صورة انفتاح باب العلم حیث لا یکفی غلبة إصابة الظن حلاً للمشکل، فلابدّ من تتمیم ملاکی لتلافی محذور ابن قبة یتدارک به ما یفوت من الملاک، فی حین أنّ الظاهر من الآخرین أنها حلّ مطلقاً مع الإنفتاح ومع الإنسداد</w:t>
      </w:r>
      <w:r>
        <w:rPr>
          <w:rFonts w:eastAsia="IRNazanin" w:cs="IRNazanin"/>
          <w:color w:val="111111"/>
          <w:sz w:val="28"/>
          <w:szCs w:val="28"/>
          <w:rtl w:val="true"/>
          <w:lang w:bidi="fa-IR"/>
        </w:rPr>
        <w:t>.</w:t>
      </w:r>
    </w:p>
    <w:p>
      <w:pPr>
        <w:pStyle w:val="Heading6"/>
        <w:numPr>
          <w:ilvl w:val="5"/>
          <w:numId w:val="1"/>
        </w:numPr>
        <w:rPr/>
      </w:pPr>
      <w:bookmarkStart w:id="343" w:name="__RefHeading___Toc3299836_1468164448"/>
      <w:bookmarkStart w:id="344" w:name="_Toc139"/>
      <w:bookmarkEnd w:id="343"/>
      <w:r>
        <w:rPr>
          <w:rtl w:val="true"/>
        </w:rPr>
        <w:t>کنه المصلحة السلوکیة</w:t>
      </w:r>
      <w:bookmarkEnd w:id="344"/>
    </w:p>
    <w:p>
      <w:pPr>
        <w:pStyle w:val="BookText"/>
        <w:rPr/>
      </w:pPr>
      <w:r>
        <w:rPr>
          <w:rFonts w:ascii="IRNazanin" w:hAnsi="IRNazanin" w:eastAsia="IRNazanin"/>
          <w:color w:val="111111"/>
          <w:sz w:val="28"/>
          <w:sz w:val="28"/>
          <w:szCs w:val="28"/>
          <w:rtl w:val="true"/>
          <w:lang w:bidi="fa-IR"/>
        </w:rPr>
        <w:t>وکُنه المصلحة السلوکیة أنّ فی المتابعة والإنقیاد والبناء العملی والإلتزام والتقید بالحکم الظاهری مصلحة یتدارک بها ما یفوت من کمال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التسلیم والإنقیاد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فعل جانحی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تعوض ما یفوت مع الخطأ، فهی تتدارک مصلحه‌الوقت الفائتة بسبب الحکم الظاهری لو انکشف الخلاف خارج الوقت، وتتدارک مصحلة فضیلة أول الوقت لو انکشف الخلاف أثناء الوقت، وترمم المفسدة والنقص الذی وقع فیه المکلّف لارتکابه الحرام الواقعی بسبب خطأ الحکم الظاهری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5" w:name="__RefHeading___Toc3299838_1468164448"/>
      <w:bookmarkStart w:id="346" w:name="_Toc140"/>
      <w:bookmarkEnd w:id="345"/>
      <w:r>
        <w:rPr>
          <w:rtl w:val="true"/>
        </w:rPr>
        <w:t>المناقشة فی النظریة</w:t>
      </w:r>
      <w:bookmarkStart w:id="347" w:name="pg16983_380798"/>
      <w:bookmarkEnd w:id="346"/>
    </w:p>
    <w:p>
      <w:pPr>
        <w:pStyle w:val="BookText"/>
        <w:rPr/>
      </w:pPr>
      <w:bookmarkEnd w:id="347"/>
      <w:r>
        <w:rPr>
          <w:rFonts w:ascii="IRNazanin" w:hAnsi="IRNazanin" w:eastAsia="IRNazanin"/>
          <w:color w:val="111111"/>
          <w:sz w:val="28"/>
          <w:sz w:val="28"/>
          <w:szCs w:val="28"/>
          <w:rtl w:val="true"/>
          <w:lang w:bidi="fa-IR"/>
        </w:rPr>
        <w:t>وقد نوقش هذا الحلّ بأنه صیاغة أخری للتصویب الباطل بالإجماع؛ إذ مع عدم انکشاف الواقع إلی الأبد ستکون المصلحة السلوکیة بدیلاً لمصلحة الواقع، فیکون الواقع ذا مصلحتین، فیکون الحکم الواقعی تخییریاً بالنسبة للظان بخلافه وهو نحو من أنحاء التصویب</w:t>
      </w:r>
      <w:r>
        <w:rPr>
          <w:rFonts w:eastAsia="IRNazanin" w:cs="IRNazanin"/>
          <w:color w:val="111111"/>
          <w:sz w:val="28"/>
          <w:szCs w:val="28"/>
          <w:rtl w:val="true"/>
          <w:lang w:bidi="fa-IR"/>
        </w:rPr>
        <w:t>.</w:t>
      </w:r>
    </w:p>
    <w:p>
      <w:pPr>
        <w:pStyle w:val="Heading6"/>
        <w:numPr>
          <w:ilvl w:val="5"/>
          <w:numId w:val="1"/>
        </w:numPr>
        <w:rPr/>
      </w:pPr>
      <w:bookmarkStart w:id="348" w:name="__RefHeading___Toc3299840_1468164448"/>
      <w:bookmarkStart w:id="349" w:name="_Toc141"/>
      <w:bookmarkEnd w:id="348"/>
      <w:r>
        <w:rPr>
          <w:rtl w:val="true"/>
        </w:rPr>
        <w:t>جواب الشیخ عن المناقشة</w:t>
      </w:r>
      <w:bookmarkEnd w:id="34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من تفسیرات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المصلحة السلوکیة لم تغیّر الواقع عما هو علیه؛ لأنّ المصلحة فی سلوک الحکم الظاهری والإلتزام والإنقیاد له والتسلیم به لا فی المتعلّق</w:t>
      </w:r>
      <w:r>
        <w:rPr>
          <w:rStyle w:val="FootnoteAnchor"/>
          <w:rtl w:val="true"/>
        </w:rPr>
        <w:footnoteReference w:id="31"/>
      </w:r>
      <w:r>
        <w:rPr>
          <w:rFonts w:ascii="Amiri" w:hAnsi="Amiri" w:eastAsia="Amiri" w:cs="Amiri"/>
          <w:color w:val="111111"/>
          <w:sz w:val="28"/>
          <w:sz w:val="28"/>
          <w:szCs w:val="28"/>
          <w:rtl w:val="true"/>
          <w:lang w:bidi="ar-SA"/>
        </w:rPr>
        <w:t>، فإنّ</w:t>
      </w:r>
    </w:p>
    <w:p>
      <w:pPr>
        <w:pStyle w:val="BookText"/>
        <w:rPr/>
      </w:pPr>
      <w:r>
        <w:rPr>
          <w:rFonts w:ascii="IRNazanin" w:hAnsi="IRNazanin" w:eastAsia="IRNazanin"/>
          <w:color w:val="111111"/>
          <w:sz w:val="28"/>
          <w:sz w:val="28"/>
          <w:szCs w:val="28"/>
          <w:rtl w:val="true"/>
          <w:lang w:bidi="fa-IR"/>
        </w:rPr>
        <w:t>الإنقیاد فعل جانحی یتدارک بمصلحته ما فات المکلّف من کمال الفعل، فلا علاقة له بالتصویب</w:t>
      </w:r>
      <w:r>
        <w:rPr>
          <w:rFonts w:eastAsia="IRNazanin" w:cs="IRNazanin"/>
          <w:color w:val="111111"/>
          <w:sz w:val="28"/>
          <w:szCs w:val="28"/>
          <w:rtl w:val="true"/>
          <w:lang w:bidi="fa-IR"/>
        </w:rPr>
        <w:t>.</w:t>
      </w:r>
      <w:r>
        <w:rPr>
          <w:rStyle w:val="FootnoteAnchor"/>
          <w:rtl w:val="true"/>
        </w:rPr>
        <w:footnoteReference w:id="3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الإنقیاد والتسلیم والإخبات بیّن الکمال والمصلحة؛ لأنه تسخیر للقوی الدونیة لقوة العقل، وإن کان فی الفعل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الکمال وتلک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حتی فی مورد</w:t>
      </w:r>
      <w:bookmarkStart w:id="350" w:name="pg16983_380802"/>
    </w:p>
    <w:p>
      <w:pPr>
        <w:pStyle w:val="BookText"/>
        <w:rPr/>
      </w:pPr>
      <w:bookmarkEnd w:id="350"/>
      <w:r>
        <w:rPr>
          <w:rFonts w:ascii="IRNazanin" w:hAnsi="IRNazanin" w:eastAsia="IRNazanin"/>
          <w:color w:val="111111"/>
          <w:sz w:val="28"/>
          <w:sz w:val="28"/>
          <w:szCs w:val="28"/>
          <w:rtl w:val="true"/>
          <w:lang w:bidi="fa-IR"/>
        </w:rPr>
        <w:t>انسداد باب العلم، کذا فی مورد مطابقة الحکم الظاهری للواقع لوجود الإنقیاد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لحسن الإنقیاد کان التقید بشریعة 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عقلائیة أفضل وأکمل من عدم التقید والإنضباط، مع أنّ المدرک شیء باطل، ولکنّه من حیث الإنقیاد والإنضباط وتسخیر قواه الدونیة للعقل کان أکمل من التحرر وانفلات القوی النازلة، بل وتسخیر العقل لها</w:t>
      </w:r>
      <w:r>
        <w:rPr>
          <w:rFonts w:eastAsia="IRNazanin" w:cs="IRNazanin"/>
          <w:color w:val="111111"/>
          <w:sz w:val="28"/>
          <w:szCs w:val="28"/>
          <w:rtl w:val="true"/>
          <w:lang w:bidi="fa-IR"/>
        </w:rPr>
        <w:t>.</w:t>
      </w:r>
    </w:p>
    <w:p>
      <w:pPr>
        <w:pStyle w:val="Heading6"/>
        <w:numPr>
          <w:ilvl w:val="5"/>
          <w:numId w:val="1"/>
        </w:numPr>
        <w:rPr/>
      </w:pPr>
      <w:bookmarkStart w:id="351" w:name="__RefHeading___Toc3299842_1468164448"/>
      <w:bookmarkStart w:id="352" w:name="_Toc142"/>
      <w:bookmarkEnd w:id="351"/>
      <w:r>
        <w:rPr>
          <w:rtl w:val="true"/>
        </w:rPr>
        <w:t>نتائج البحث</w:t>
      </w:r>
      <w:bookmarkEnd w:id="352"/>
    </w:p>
    <w:p>
      <w:pPr>
        <w:pStyle w:val="BookText"/>
        <w:rPr/>
      </w:pPr>
      <w:r>
        <w:rPr>
          <w:rFonts w:ascii="Amiri" w:hAnsi="Amiri" w:eastAsia="Amiri" w:cs="Amiri"/>
          <w:color w:val="111111"/>
          <w:sz w:val="28"/>
          <w:sz w:val="28"/>
          <w:szCs w:val="28"/>
          <w:rtl w:val="true"/>
          <w:lang w:bidi="ar-SA"/>
        </w:rPr>
        <w:t>ویتلخّص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المصلحة السلوکیة یمکن لها أن تعالج إشکال ابن قبة علی مستوی الملاک بأن تتدارک ما یفوت من مصلحة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وتدارکها لما یفوت لا یخص صورة إمکان العلم بالواقع وانفتاحه، بل یعمّ الإنسداد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غیر التصویب الباطل؛ حیث إنّها تحفظ الواقع علی واقعیته ولا تتلاعب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والکمال والمصلحة فی الإنقیاد بیّن لا یحتاج إلی دلیل</w:t>
      </w:r>
      <w:r>
        <w:rPr>
          <w:rFonts w:eastAsia="IRNazanin" w:cs="IRNazanin"/>
          <w:color w:val="111111"/>
          <w:sz w:val="28"/>
          <w:szCs w:val="28"/>
          <w:rtl w:val="true"/>
          <w:lang w:bidi="fa-IR"/>
        </w:rPr>
        <w:t>.</w:t>
      </w:r>
    </w:p>
    <w:p>
      <w:pPr>
        <w:pStyle w:val="Heading6"/>
        <w:numPr>
          <w:ilvl w:val="5"/>
          <w:numId w:val="1"/>
        </w:numPr>
        <w:rPr/>
      </w:pPr>
      <w:bookmarkStart w:id="353" w:name="__RefHeading___Toc3299844_1468164448"/>
      <w:bookmarkStart w:id="354" w:name="_Toc143"/>
      <w:bookmarkEnd w:id="353"/>
      <w:r>
        <w:rPr>
          <w:rtl w:val="true"/>
        </w:rPr>
        <w:t>الدلیل علی وقوع هذا التدارک</w:t>
      </w:r>
      <w:bookmarkEnd w:id="354"/>
    </w:p>
    <w:p>
      <w:pPr>
        <w:pStyle w:val="BookText"/>
        <w:rPr/>
      </w:pPr>
      <w:r>
        <w:rPr>
          <w:rFonts w:ascii="IRNazanin" w:hAnsi="IRNazanin" w:eastAsia="IRNazanin"/>
          <w:color w:val="111111"/>
          <w:sz w:val="28"/>
          <w:sz w:val="28"/>
          <w:szCs w:val="28"/>
          <w:rtl w:val="true"/>
          <w:lang w:bidi="fa-IR"/>
        </w:rPr>
        <w:t xml:space="preserve">نعم، وقوع هذا التدارک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یفوت من مصلحة الفعل علی تقدیر خطأ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دلیل، وبه یکون هذا الحلّ المقترح واقعیاً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هو الروایات المتظافرة المذکورة فی کتاب وسائل الشیعة</w:t>
      </w:r>
      <w:r>
        <w:rPr>
          <w:rStyle w:val="FootnoteAnchor"/>
          <w:rtl w:val="true"/>
        </w:rPr>
        <w:footnoteReference w:id="33"/>
      </w:r>
      <w:r>
        <w:rPr>
          <w:rFonts w:ascii="IRNazanin" w:hAnsi="IRNazanin" w:eastAsia="IRNazanin"/>
          <w:color w:val="111111"/>
          <w:sz w:val="28"/>
          <w:sz w:val="28"/>
          <w:szCs w:val="28"/>
          <w:rtl w:val="true"/>
          <w:lang w:bidi="fa-IR"/>
        </w:rPr>
        <w:t>فإنّ جملة منها کالروایة السادسة والثالثة عشر والتاسعة عشر وغیرها دلّت علی أنّ السعة فی الأخذ بالحکم الظاهری إنما هو لنکتة التسلیم، وهذا یعنی أنها لیست فی صدد بیان المعذّریة فقط،</w:t>
      </w:r>
    </w:p>
    <w:p>
      <w:pPr>
        <w:pStyle w:val="BookText"/>
        <w:rPr/>
      </w:pPr>
      <w:r>
        <w:rPr>
          <w:rFonts w:ascii="IRNazanin" w:hAnsi="IRNazanin" w:eastAsia="IRNazanin"/>
          <w:color w:val="111111"/>
          <w:sz w:val="28"/>
          <w:sz w:val="28"/>
          <w:szCs w:val="28"/>
          <w:rtl w:val="true"/>
          <w:lang w:bidi="fa-IR"/>
        </w:rPr>
        <w:t>وإلاّ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عَمِلتَ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التسلیم وراء هذه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التسلیم بیّن المصلحة، فإلفات الإمام إلیه یدلّ علی أنّ فیه تعویضاً عمّا یفوت من الواقع</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الوقت نفسه تدلّ هذه الروایات علی التخییر عند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النظر عن کونه فقهیاً أو أصولیاً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أنکره السیّد الخوئی وأنکر وجود روایات معتبرة علیه</w:t>
      </w:r>
      <w:r>
        <w:rPr>
          <w:rFonts w:eastAsia="IRNazanin" w:cs="IRNazanin"/>
          <w:color w:val="111111"/>
          <w:sz w:val="28"/>
          <w:szCs w:val="28"/>
          <w:rtl w:val="true"/>
          <w:lang w:bidi="fa-IR"/>
        </w:rPr>
        <w:t xml:space="preserve">. </w:t>
      </w:r>
      <w:r>
        <w:rPr>
          <w:rStyle w:val="FootnoteAnchor"/>
          <w:rtl w:val="true"/>
        </w:rPr>
        <w:footnoteReference w:id="35"/>
      </w:r>
      <w:bookmarkStart w:id="355" w:name="pg16983_380806"/>
    </w:p>
    <w:p>
      <w:pPr>
        <w:pStyle w:val="BookText"/>
        <w:rPr/>
      </w:pPr>
      <w:bookmarkEnd w:id="355"/>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بالمصلحة السلوکیة وثبوتها فی الروایات یدلّ علی إجزاء الحکم الظاهری عن الواقعی کقاعدة عامة إلاّ ما دلّ الدلیل علی استثنائه؟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إلاّ بمقدار ما فات، ومن ثمّ لو انکشف الخلاف فی الوقت فلن یفته إلاّ فضیلة الأداء فی أوّل الوقت، فتتدارکها المصلحة السلوکیة، و لو انکشف بعد الوقت فلن یفته سوی فضیلة الوقت، فتتدارکها المصلحة السلوکیة، وأمّا القضاء فلم یفته حتی یتدارک، فلا تدلّ المصلحة السلوکیة علی الإجزاء</w:t>
      </w:r>
      <w:r>
        <w:rPr>
          <w:rFonts w:eastAsia="IRNazanin" w:cs="IRNazanin"/>
          <w:color w:val="111111"/>
          <w:sz w:val="28"/>
          <w:szCs w:val="28"/>
          <w:rtl w:val="true"/>
          <w:lang w:bidi="fa-IR"/>
        </w:rPr>
        <w:t>.</w:t>
      </w:r>
    </w:p>
    <w:p>
      <w:pPr>
        <w:pStyle w:val="Heading6"/>
        <w:numPr>
          <w:ilvl w:val="5"/>
          <w:numId w:val="1"/>
        </w:numPr>
        <w:rPr/>
      </w:pPr>
      <w:bookmarkStart w:id="356" w:name="__RefHeading___Toc3299846_1468164448"/>
      <w:bookmarkStart w:id="357" w:name="_Toc144"/>
      <w:bookmarkEnd w:id="356"/>
      <w:r>
        <w:rPr>
          <w:rtl w:val="true"/>
        </w:rPr>
        <w:t>العرض الصحیح للمصلحة السلوکیة</w:t>
      </w:r>
      <w:bookmarkEnd w:id="357"/>
    </w:p>
    <w:p>
      <w:pPr>
        <w:pStyle w:val="BookText"/>
        <w:rPr/>
      </w:pPr>
      <w:r>
        <w:rPr>
          <w:rFonts w:ascii="IRNazanin" w:hAnsi="IRNazanin" w:eastAsia="IRNazanin"/>
          <w:color w:val="111111"/>
          <w:sz w:val="28"/>
          <w:sz w:val="28"/>
          <w:szCs w:val="28"/>
          <w:rtl w:val="true"/>
          <w:lang w:bidi="fa-IR"/>
        </w:rPr>
        <w:t xml:space="preserve">الحق فی المصلحة السلوکیة ما ذکره القمی فی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یظهر من الروایات، ویختلف عن بیان الشیخ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المصلحة والکمال فی سلوک الأمارة والحکم الظاهری لا لموضوعیة له، وإنما بما هو مصداق أوجده الشارع للتسلیم والإخبات والإنقیاد العام للرسول والمعصومین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أنّ الشیخ صوّر المصلحة فی نفس الإنقیاد للحکم الأصولی بما هو هو، مع أنّ الظاهر من الروایات أنّ المصلحة إما کانت فی الأخذ بالحکم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الأخذ به أخذ بقول المعصوم الذی أمرنا باتّباعه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مصداق من مصادیق التسلیم والردّ إلیهم ونوع من</w:t>
      </w:r>
      <w:bookmarkStart w:id="358" w:name="pg16983_380809"/>
    </w:p>
    <w:p>
      <w:pPr>
        <w:pStyle w:val="BookText"/>
        <w:rPr/>
      </w:pPr>
      <w:bookmarkEnd w:id="358"/>
      <w:r>
        <w:rPr>
          <w:rFonts w:ascii="IRNazanin" w:hAnsi="IRNazanin" w:eastAsia="IRNazanin"/>
          <w:color w:val="111111"/>
          <w:sz w:val="28"/>
          <w:sz w:val="28"/>
          <w:szCs w:val="28"/>
          <w:rtl w:val="true"/>
          <w:lang w:bidi="fa-IR"/>
        </w:rPr>
        <w:t xml:space="preserve">أنواع امتثال الأمر العام الواقعی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الأمر بالتسلیم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حیث مصداقیته هو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مصداقیته کانت بتوسط الشارع وجعله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لیست فی الإنقیاد إلی القانون الظاهری، وإنما الإنقیاد له بما أنه یحقّق صغری الإنقیاد للمقنّن</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359" w:name="__RefHeading___Toc3299848_1468164448"/>
      <w:bookmarkStart w:id="360" w:name="_Toc145"/>
      <w:bookmarkEnd w:id="359"/>
      <w:r>
        <w:rPr>
          <w:rtl w:val="true"/>
        </w:rPr>
        <w:t>نتائج العرض الصحیح</w:t>
      </w:r>
      <w:bookmarkEnd w:id="360"/>
    </w:p>
    <w:p>
      <w:pPr>
        <w:pStyle w:val="BookText"/>
        <w:rPr/>
      </w:pPr>
      <w:r>
        <w:rPr>
          <w:rFonts w:ascii="IRNazanin" w:hAnsi="IRNazanin" w:eastAsia="IRNazanin"/>
          <w:color w:val="111111"/>
          <w:sz w:val="28"/>
          <w:sz w:val="28"/>
          <w:szCs w:val="28"/>
          <w:rtl w:val="true"/>
          <w:lang w:bidi="fa-IR"/>
        </w:rPr>
        <w:t>وبهذا العرض للمصحلة السلوکیة یتبلور أمران</w:t>
      </w:r>
      <w:r>
        <w:rPr>
          <w:rFonts w:eastAsia="IRNazanin" w:cs="IRNazanin"/>
          <w:color w:val="111111"/>
          <w:sz w:val="28"/>
          <w:szCs w:val="28"/>
          <w:rtl w:val="true"/>
          <w:lang w:bidi="fa-IR"/>
        </w:rPr>
        <w:t>:</w:t>
      </w:r>
    </w:p>
    <w:p>
      <w:pPr>
        <w:pStyle w:val="Heading6"/>
        <w:numPr>
          <w:ilvl w:val="5"/>
          <w:numId w:val="1"/>
        </w:numPr>
        <w:rPr/>
      </w:pPr>
      <w:bookmarkStart w:id="361" w:name="__RefHeading___Toc3299850_1468164448"/>
      <w:bookmarkStart w:id="362" w:name="_Toc146"/>
      <w:bookmarkEnd w:id="361"/>
      <w:r>
        <w:rPr>
          <w:rtl w:val="true"/>
        </w:rPr>
        <w:t>الأمر الأول</w:t>
      </w:r>
      <w:r>
        <w:rPr>
          <w:rtl w:val="true"/>
        </w:rPr>
        <w:t xml:space="preserve">: </w:t>
      </w:r>
      <w:r>
        <w:rPr>
          <w:rtl w:val="true"/>
        </w:rPr>
        <w:t>الفرق بین الصیاغتین</w:t>
      </w:r>
      <w:bookmarkEnd w:id="3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صیاغة التصویب هی کون الواقع علی ضوء ما فهمه المجتهد، وقد جاءت أکثر المناقشات للتصویب علی ضوء صیاغته </w:t>
      </w:r>
      <w:r>
        <w:rPr>
          <w:rFonts w:eastAsia="IRNazanin" w:cs="IRNazanin"/>
          <w:color w:val="111111"/>
          <w:sz w:val="28"/>
          <w:szCs w:val="28"/>
          <w:rtl w:val="true"/>
          <w:lang w:bidi="fa-IR"/>
        </w:rPr>
        <w:t>[</w:t>
      </w:r>
      <w:bookmarkStart w:id="363" w:name="pg16983_380811"/>
    </w:p>
    <w:p>
      <w:pPr>
        <w:pStyle w:val="BookText"/>
        <w:rPr/>
      </w:pPr>
      <w:bookmarkEnd w:id="363"/>
      <w:r>
        <w:rPr>
          <w:rFonts w:ascii="IRNazanin" w:hAnsi="IRNazanin" w:eastAsia="IRNazanin"/>
          <w:color w:val="111111"/>
          <w:sz w:val="28"/>
          <w:sz w:val="28"/>
          <w:szCs w:val="28"/>
          <w:rtl w:val="true"/>
          <w:lang w:bidi="fa-IR"/>
        </w:rPr>
        <w:t xml:space="preserve">بما فی ذلک مناقشة الشیخ له، ودفاعه عن المصلحة السلوکیة بتصویره أنها لیست تصویباً لأنّ الواقع علی ما هو علیه وأنّ المصلحة فی الإنقیاد للحکم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جذر التصویب وخلفیته هو وضع تفسیر وتبریر قانونی لممارسات الصحابة فی قبال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بجعل موضوعیة لاجتهادهم وفهمهم فی قبال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هذا التفسیر بالصیاغة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الحریّ أن یؤخذ بعین الإعتبار هذا الجذر فی مناقشة التصویب بإلغاء کلّ محوریة وموضوعیة للمجتهد وتلخیصها وحصرها بالواقع بما هو هو، والإنقیاد لقول المعصوم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والصیاغة التی ذکرناها للمصلحة السلوکیة تکفلت هذا الأمر حیث إنها حفظت الواقع علی ما هو علیه، وألغت موضوعیة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رأی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بتصویر أنّ المصلحة فی الإنقیاد إلی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بالتخطئة علی الصعیدین، وتنفی موضوعیة الحکم الظاهری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لصیاغة الشیخ فإنّها رکّزت علی حفظ التخطئة بالنسبة إلی الواقع والحکم الفقهی بتصویر أنّ المصلحة فی الإنقیاد، ولکنّها علی صعید الحکم الظاهری جعلت موضوعیة للحکم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منه رأی المجتهد وفتواه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فهو نوع تصویب بالنسبة إلی الحکم الأصولی، فی حین أنّا ذکرنا أنّ مفاد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قالت إنّ هناک مصلحة فی سلوک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فی صدد حفظ التخطئة بالنسبة إلی الواقع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بتصویر أنّ المصلحة فی الإنقیاد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ترید بیان أنّ منشأ المصلحة من جهة أنّ الأخذ بالأمارة أخذ وتسلیم لقول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یکن امتثالاً للواقع المجهول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4" w:name="__RefHeading___Toc3299852_1468164448"/>
      <w:bookmarkStart w:id="365" w:name="_Toc147"/>
      <w:bookmarkEnd w:id="364"/>
      <w:r>
        <w:rPr>
          <w:rtl w:val="true"/>
        </w:rPr>
        <w:t>الأمر الثانی</w:t>
      </w:r>
      <w:r>
        <w:rPr>
          <w:rtl w:val="true"/>
        </w:rPr>
        <w:t xml:space="preserve">: </w:t>
      </w:r>
      <w:r>
        <w:rPr>
          <w:rtl w:val="true"/>
        </w:rPr>
        <w:t>تصویر الإنقیاد فی صورة الخطأ</w:t>
      </w:r>
      <w:bookmarkStart w:id="366" w:name="pg16983_380813"/>
      <w:bookmarkEnd w:id="365"/>
    </w:p>
    <w:p>
      <w:pPr>
        <w:pStyle w:val="BookText"/>
        <w:rPr/>
      </w:pPr>
      <w:bookmarkEnd w:id="366"/>
      <w:r>
        <w:rPr>
          <w:rFonts w:ascii="IRNazanin" w:hAnsi="IRNazanin" w:eastAsia="IRNazanin"/>
          <w:color w:val="111111"/>
          <w:sz w:val="28"/>
          <w:sz w:val="28"/>
          <w:szCs w:val="28"/>
          <w:rtl w:val="true"/>
          <w:lang w:bidi="fa-IR"/>
        </w:rPr>
        <w:t xml:space="preserve">إنّ متعلّق الأمر هو الإنقیاد، ومتعلّق المتعلّق هو الحکم الظاهری بما أنه مصداق لقول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هنا قد یتصور أنه مع عدم قول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وخطأ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للإنقیاد علی حدّ ما لو أخطأ الحکم الظاهری الواقع، فإنه لا یتحقق امتثالٌ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مع عدم صدور هذا الحکم الظاهری من الرسول لابدّ أن لا یتحقق انقیاد فیه، ومن ثمّ لا تدارک فی صورة الخطأ لعدم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تحقق الإنقیاد لأنه فعل جانحی، ومن ثمّ فهو کسائر الأفعال الجانحیة یتقوم بالصورة الذهنیة للحکم الظاهری، وهو حاصل فی صورة الخطأ ولا یتخلف أبداً، وإن لم یکن هناک واقع وخارج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الظاهری تارة یکون مصیباً وأخری مخطئاً وثالثة لا یکون له وجود وإنما یتخیل الإنسان أنه حکم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المجتهد مشتبهاً فی استدلاله أو تصوّر أنّ السند صحیح ولم یکن کذلک، وغیر ذلک من الحالات التی ترجع إلی التقصیر فی السعی وعدم استفراغ الوسع بالشکل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الحالة علی تصویر الشیخ للمصلحة السلوکیه لا یتحقق الإنقیاد لعدم وجود حکم ظاهری، فلا یتحقق الإنقیاد للحکم الظاهری، بخلافه علی ما صوّرناه؛ فإنّ الإنقیاد لمّا کان لقول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الواقع انقیاد لمقام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تحققه ولو مع التخیّل؛ لعدم تقیده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حتی لو لم یکن هناک واقع للحکم الظاهری أمکن تصور الإنقیاد لمقام الرسالة نتیجة تصور الحکم الظاهری وتخیله</w:t>
      </w:r>
      <w:r>
        <w:rPr>
          <w:rFonts w:eastAsia="IRNazanin" w:cs="IRNazanin"/>
          <w:color w:val="111111"/>
          <w:sz w:val="28"/>
          <w:szCs w:val="28"/>
          <w:rtl w:val="true"/>
          <w:lang w:bidi="fa-IR"/>
        </w:rPr>
        <w:t>.</w:t>
      </w:r>
    </w:p>
    <w:p>
      <w:pPr>
        <w:pStyle w:val="Heading6"/>
        <w:numPr>
          <w:ilvl w:val="5"/>
          <w:numId w:val="1"/>
        </w:numPr>
        <w:rPr/>
      </w:pPr>
      <w:bookmarkStart w:id="367" w:name="__RefHeading___Toc3299854_1468164448"/>
      <w:bookmarkStart w:id="368" w:name="_Toc148"/>
      <w:bookmarkEnd w:id="367"/>
      <w:r>
        <w:rPr>
          <w:rtl w:val="true"/>
        </w:rPr>
        <w:t>عرض نظریة صاحب الکفایة</w:t>
      </w:r>
      <w:bookmarkEnd w:id="36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الآخوند عالج الإشکال علی مستوی الملاک بأنه فی موارد العسر والحرج تکفی أغلبیة الإصابة مسوّغاً لجعل الحکم الظاهری، فلا ملاک فی عرض ملاک الفعل الواقعی کی یلزم المحذور عند خطأ</w:t>
      </w:r>
      <w:bookmarkStart w:id="369" w:name="pg16983_380815"/>
    </w:p>
    <w:p>
      <w:pPr>
        <w:pStyle w:val="BookText"/>
        <w:rPr/>
      </w:pPr>
      <w:bookmarkEnd w:id="369"/>
      <w:r>
        <w:rPr>
          <w:rFonts w:ascii="IRNazanin" w:hAnsi="IRNazanin" w:eastAsia="IRNazanin"/>
          <w:color w:val="111111"/>
          <w:sz w:val="28"/>
          <w:sz w:val="28"/>
          <w:szCs w:val="28"/>
          <w:rtl w:val="true"/>
          <w:lang w:bidi="fa-IR"/>
        </w:rPr>
        <w:t>الحکم الظاهری، وإنما الملاک هو التحفظ علی الواقع، والفائت الیسیر لا قبح فیه إزاء حفظ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الأمارات والأصول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الأصول غیر المحرزة فالمصلحة فیها هی التسهیل ورفع الحیرة وانتظام المعیشة، وهی ستکون مزاحمة لمصلحة الواقع إلاّ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تکن فی الفعل، وإنما کانت فی جعل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کسر وانکسار فی ملاک الواقع فیبقی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العلاج یتماشی مع مجموعة من التفسیرات التی سیذکرها للحکم الظاهری</w:t>
      </w:r>
      <w:r>
        <w:rPr>
          <w:rFonts w:eastAsia="IRNazanin" w:cs="IRNazanin"/>
          <w:color w:val="111111"/>
          <w:sz w:val="28"/>
          <w:szCs w:val="28"/>
          <w:rtl w:val="true"/>
          <w:lang w:bidi="fa-IR"/>
        </w:rPr>
        <w:t>.</w:t>
      </w:r>
    </w:p>
    <w:p>
      <w:pPr>
        <w:pStyle w:val="Heading6"/>
        <w:numPr>
          <w:ilvl w:val="5"/>
          <w:numId w:val="1"/>
        </w:numPr>
        <w:rPr/>
      </w:pPr>
      <w:bookmarkStart w:id="370" w:name="__RefHeading___Toc3299856_1468164448"/>
      <w:bookmarkStart w:id="371" w:name="_Toc149"/>
      <w:bookmarkEnd w:id="370"/>
      <w:r>
        <w:rPr>
          <w:rtl w:val="true"/>
        </w:rPr>
        <w:t>اختلاف کلمات الآخوند فی تفسیر الحکم الظاهری</w:t>
      </w:r>
      <w:bookmarkEnd w:id="371"/>
    </w:p>
    <w:p>
      <w:pPr>
        <w:pStyle w:val="BookText"/>
        <w:rPr/>
      </w:pPr>
      <w:r>
        <w:rPr>
          <w:rFonts w:ascii="IRNazanin" w:hAnsi="IRNazanin" w:eastAsia="IRNazanin"/>
          <w:color w:val="111111"/>
          <w:sz w:val="28"/>
          <w:sz w:val="28"/>
          <w:szCs w:val="28"/>
          <w:rtl w:val="true"/>
          <w:lang w:bidi="fa-IR"/>
        </w:rPr>
        <w:t>وفی علاجه للمحذور علی مستوی متن الحکم، فقد اختلفت کلماته فی تفسیر الحکم الظاهری، وعلی ضوء ذلک اختلف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بعض کلماته أنه جَعلُ التنجیز والتعذیر، وفی بعض آخر أنه جَعلُ مفهوم الحجّیة کحکم وضعی، وفی ثالثة أنه جَعلُ الحجّیة بمعنی جعل الأمر التکلیفی باتّباع الأمارة، وفی رابعة أنه جَعلُ الحکم الطریقی کالشیخ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6"/>
        <w:numPr>
          <w:ilvl w:val="5"/>
          <w:numId w:val="1"/>
        </w:numPr>
        <w:rPr/>
      </w:pPr>
      <w:bookmarkStart w:id="372" w:name="__RefHeading___Toc3299858_1468164448"/>
      <w:bookmarkStart w:id="373" w:name="_Toc150"/>
      <w:bookmarkEnd w:id="372"/>
      <w:r>
        <w:rPr>
          <w:rtl w:val="true"/>
        </w:rPr>
        <w:t>نتائج التفسیرات علی صعید اجتماع الحکمین</w:t>
      </w:r>
      <w:bookmarkEnd w:id="373"/>
    </w:p>
    <w:p>
      <w:pPr>
        <w:pStyle w:val="BookText"/>
        <w:rPr/>
      </w:pPr>
      <w:r>
        <w:rPr>
          <w:rFonts w:ascii="IRNazanin" w:hAnsi="IRNazanin" w:eastAsia="IRNazanin"/>
          <w:color w:val="111111"/>
          <w:sz w:val="28"/>
          <w:sz w:val="28"/>
          <w:szCs w:val="28"/>
          <w:rtl w:val="true"/>
          <w:lang w:bidi="fa-IR"/>
        </w:rPr>
        <w:t>وعلی کلّ هذه التفسیرات لا مشکلة علی صعید اجتماع الحکمین؛ لأنه فی الأول والثانی والثالث المجعول هو الحکم الأصولی، ولا جعل للحکم الفقهی کی یلزم اجتماع المتماثلین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الرابع، وإن کان المجعول هو الحکم الفقهی إلاّ أنه طریقی، وقد ذکروا أنه فی صورة الخطأ لا وجود له، وفی صورة الإصابة فهو ظلّ الحکم الفقهی الواقعی وفی طولِه، لا فی عرضه ومماثل له</w:t>
      </w:r>
      <w:r>
        <w:rPr>
          <w:rFonts w:eastAsia="IRNazanin" w:cs="IRNazanin"/>
          <w:color w:val="111111"/>
          <w:sz w:val="28"/>
          <w:szCs w:val="28"/>
          <w:rtl w:val="true"/>
          <w:lang w:bidi="fa-IR"/>
        </w:rPr>
        <w:t>.</w:t>
      </w:r>
    </w:p>
    <w:p>
      <w:pPr>
        <w:pStyle w:val="Heading6"/>
        <w:numPr>
          <w:ilvl w:val="5"/>
          <w:numId w:val="1"/>
        </w:numPr>
        <w:rPr/>
      </w:pPr>
      <w:bookmarkStart w:id="374" w:name="__RefHeading___Toc3299860_1468164448"/>
      <w:bookmarkStart w:id="375" w:name="_Toc151"/>
      <w:bookmarkEnd w:id="374"/>
      <w:r>
        <w:rPr>
          <w:rtl w:val="true"/>
        </w:rPr>
        <w:t>نتائج التفسیرات علی صعید التنافی فی الإرادة</w:t>
      </w:r>
      <w:bookmarkEnd w:id="3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محذور التنافی فی الإرادة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صوّره فی خصوص</w:t>
      </w:r>
      <w:bookmarkStart w:id="376" w:name="pg16983_380817"/>
    </w:p>
    <w:p>
      <w:pPr>
        <w:pStyle w:val="BookText"/>
        <w:rPr/>
      </w:pPr>
      <w:bookmarkEnd w:id="376"/>
      <w:r>
        <w:rPr>
          <w:rFonts w:ascii="IRNazanin" w:hAnsi="IRNazanin" w:eastAsia="IRNazanin"/>
          <w:color w:val="111111"/>
          <w:sz w:val="28"/>
          <w:sz w:val="28"/>
          <w:szCs w:val="28"/>
          <w:rtl w:val="true"/>
          <w:lang w:bidi="fa-IR"/>
        </w:rPr>
        <w:t xml:space="preserve">الأصول العملیة غیر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الواقع إلزامیاً، و أخری صوّره فی کلّ حکم ظاهری حتی لو کان هو إلزامیاً والواقع ترخیصیاً</w:t>
      </w:r>
      <w:r>
        <w:rPr>
          <w:rFonts w:eastAsia="IRNazanin" w:cs="IRNazanin"/>
          <w:color w:val="111111"/>
          <w:sz w:val="28"/>
          <w:szCs w:val="28"/>
          <w:rtl w:val="true"/>
          <w:lang w:bidi="fa-IR"/>
        </w:rPr>
        <w:t>.</w:t>
      </w:r>
    </w:p>
    <w:p>
      <w:pPr>
        <w:pStyle w:val="Heading6"/>
        <w:numPr>
          <w:ilvl w:val="5"/>
          <w:numId w:val="1"/>
        </w:numPr>
        <w:rPr/>
      </w:pPr>
      <w:bookmarkStart w:id="377" w:name="__RefHeading___Toc3299862_1468164448"/>
      <w:bookmarkStart w:id="378" w:name="_Toc152"/>
      <w:bookmarkEnd w:id="377"/>
      <w:r>
        <w:rPr>
          <w:rtl w:val="true"/>
        </w:rPr>
        <w:t>رفع التنافی بذکر حلّین</w:t>
      </w:r>
      <w:bookmarkEnd w:id="378"/>
    </w:p>
    <w:p>
      <w:pPr>
        <w:pStyle w:val="BookText"/>
        <w:rPr/>
      </w:pPr>
      <w:r>
        <w:rPr>
          <w:rFonts w:ascii="IRNazanin" w:hAnsi="IRNazanin" w:eastAsia="IRNazanin"/>
          <w:color w:val="111111"/>
          <w:sz w:val="28"/>
          <w:sz w:val="28"/>
          <w:szCs w:val="28"/>
          <w:rtl w:val="true"/>
          <w:lang w:bidi="fa-IR"/>
        </w:rPr>
        <w:t xml:space="preserve">وقد اقترح حلّین لهذا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لم یکن الحلّ المذکور لتنافی الحکمین کافیاً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من الأول منهما إلی الثانی لسبب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مرحلة الإرادة إنشائی مجمّد وبالتالی فلا یصل نفس الحکم الواقعی إلی مرحلة الفعلیة حتی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مرحلة الإرادة والحکم، فعلی ناقص من قبل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والإرادة الإنشائیة إرادة تعلیقیة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معلّقة علی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لها إلاّ بالقوة ومن ثمّ لا تنافی الإرادة الموجودة الفعلیة فی الحکم الظاهری، والإرادة الفعلیة الناقصة تجتمع مع إرادة أخری فعلیة تامّة إذا کان التضاد بینهما اتفاقیاً لا غالبیاً ولا دائمیاً، وإلاّ وقع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الإجتماع أنّ الفعلیة الناقصة عبارة عن الشوق الفعلی للحکم الواقعی غیر الواصل لدرجة تحریک العضلات، والفعلیة التامّة عبارة عن الشوق الذی بلغ حدّاً لا یتخلّف عند معلوله</w:t>
      </w:r>
      <w:r>
        <w:rPr>
          <w:rFonts w:eastAsia="IRNazanin" w:cs="IRNazanin"/>
          <w:color w:val="111111"/>
          <w:sz w:val="28"/>
          <w:szCs w:val="28"/>
          <w:rtl w:val="true"/>
          <w:lang w:bidi="fa-IR"/>
        </w:rPr>
        <w:t>.</w:t>
      </w:r>
    </w:p>
    <w:p>
      <w:pPr>
        <w:pStyle w:val="Heading6"/>
        <w:numPr>
          <w:ilvl w:val="5"/>
          <w:numId w:val="1"/>
        </w:numPr>
        <w:rPr/>
      </w:pPr>
      <w:bookmarkStart w:id="379" w:name="__RefHeading___Toc3299864_1468164448"/>
      <w:bookmarkStart w:id="380" w:name="_Toc153"/>
      <w:bookmarkEnd w:id="379"/>
      <w:r>
        <w:rPr>
          <w:rtl w:val="true"/>
        </w:rPr>
        <w:t>سرّ عدوله من الحلّ الأول إلی الثانی</w:t>
      </w:r>
      <w:bookmarkEnd w:id="38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الفعلی الناقص یطابق الإنشائی، فکلّ قید یؤخذ فی الإنشائی إذاً ذلک القید یتحقق الفعلی الناقص، والفرض أنّ القیود الشرعیة للحکم الواقعی قد تحققت، فلا معنی حینئذ لأن نفرض الحکم الواقعی إنشائیاً غیر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الإنشائی لا یترتب علیه أی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من أنّ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إرادته لولائیة، والحکم لا وجود له سوی علی مستوی الصیاغة، والفعل لا یتصف بالملاک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الحکم الواقعی إنشائی صرف</w:t>
      </w:r>
      <w:bookmarkStart w:id="381" w:name="pg16983_380819"/>
    </w:p>
    <w:p>
      <w:pPr>
        <w:pStyle w:val="BookText"/>
        <w:rPr/>
      </w:pPr>
      <w:bookmarkEnd w:id="381"/>
      <w:r>
        <w:rPr>
          <w:rFonts w:ascii="IRNazanin" w:hAnsi="IRNazanin" w:eastAsia="IRNazanin"/>
          <w:color w:val="111111"/>
          <w:sz w:val="28"/>
          <w:sz w:val="28"/>
          <w:szCs w:val="28"/>
          <w:rtl w:val="true"/>
          <w:lang w:bidi="fa-IR"/>
        </w:rPr>
        <w:t xml:space="preserve">نوعٌ من التصویب؛ إذ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لم یکن للواقع 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 إلی أی شیء وتخطی عن أی شیء؟</w:t>
      </w:r>
    </w:p>
    <w:p>
      <w:pPr>
        <w:pStyle w:val="BookText"/>
        <w:rPr/>
      </w:pPr>
      <w:r>
        <w:rPr>
          <w:rFonts w:ascii="IRNazanin" w:hAnsi="IRNazanin" w:eastAsia="IRNazanin"/>
          <w:color w:val="111111"/>
          <w:sz w:val="28"/>
          <w:sz w:val="28"/>
          <w:szCs w:val="28"/>
          <w:rtl w:val="true"/>
          <w:lang w:bidi="fa-IR"/>
        </w:rPr>
        <w:t>فالمتعیّن هو الحلّ الثانی بعد الإلتفات إلی أنّ الشیخ ألفت إلیه بشکل خاطف، وإن لم ینبّه إلی ذلک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 أنّ التنافی بین الإرادتین کاشف إنّی عن أنّ الشارع أخذ فی الفعلیة التامّة للحکم الواقعی عدم کون الظاهری علی خلافه</w:t>
      </w:r>
      <w:r>
        <w:rPr>
          <w:rFonts w:eastAsia="IRNazanin" w:cs="IRNazanin"/>
          <w:color w:val="111111"/>
          <w:sz w:val="28"/>
          <w:szCs w:val="28"/>
          <w:rtl w:val="true"/>
          <w:lang w:bidi="fa-IR"/>
        </w:rPr>
        <w:t>.</w:t>
      </w:r>
    </w:p>
    <w:p>
      <w:pPr>
        <w:pStyle w:val="Heading6"/>
        <w:numPr>
          <w:ilvl w:val="5"/>
          <w:numId w:val="1"/>
        </w:numPr>
        <w:rPr/>
      </w:pPr>
      <w:bookmarkStart w:id="382" w:name="__RefHeading___Toc3299866_1468164448"/>
      <w:bookmarkStart w:id="383" w:name="_Toc154"/>
      <w:bookmarkEnd w:id="382"/>
      <w:r>
        <w:rPr>
          <w:rtl w:val="true"/>
        </w:rPr>
        <w:t xml:space="preserve">أطروحة المحقق الإصفهانی </w:t>
      </w:r>
      <w:r>
        <w:rPr>
          <w:rtl w:val="true"/>
        </w:rPr>
        <w:t>(</w:t>
      </w:r>
      <w:r>
        <w:rPr>
          <w:rtl w:val="true"/>
        </w:rPr>
        <w:t>قدس سره</w:t>
      </w:r>
      <w:r>
        <w:rPr>
          <w:rtl w:val="true"/>
        </w:rPr>
        <w:t xml:space="preserve">) </w:t>
      </w:r>
      <w:r>
        <w:rPr>
          <w:rtl w:val="true"/>
        </w:rPr>
        <w:t>فی حلّ التنافی</w:t>
      </w:r>
      <w:bookmarkEnd w:id="383"/>
    </w:p>
    <w:p>
      <w:pPr>
        <w:pStyle w:val="BookText"/>
        <w:rPr/>
      </w:pPr>
      <w:r>
        <w:rPr>
          <w:rFonts w:ascii="IRNazanin" w:hAnsi="IRNazanin" w:eastAsia="IRNazanin"/>
          <w:color w:val="111111"/>
          <w:sz w:val="28"/>
          <w:sz w:val="28"/>
          <w:szCs w:val="28"/>
          <w:rtl w:val="true"/>
          <w:lang w:bidi="fa-IR"/>
        </w:rPr>
        <w:t xml:space="preserve">الإصفهانی نفی التضاد بین الأحکام أنفسها لأنها اعتباریة، والإعتبار خفیف المؤونة، لا یجری فیه أحکام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قَبِلَ ذلک الشیخ العراقی وکلّ من جاء بعد الإصفهانی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أیضاً وجود التنافی فی مقام الإمتثال؛ وذلک لوصول الظاهری وعدم وصول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نفی التنافی علی صعید الملاک بما ذکره الآخوند، وعالج التنافی علی صعید الإرادة بالحلّ الثانی للآخوند</w:t>
      </w:r>
      <w:r>
        <w:rPr>
          <w:rFonts w:eastAsia="IRNazanin" w:cs="IRNazanin"/>
          <w:color w:val="111111"/>
          <w:sz w:val="28"/>
          <w:szCs w:val="28"/>
          <w:rtl w:val="true"/>
          <w:lang w:bidi="fa-IR"/>
        </w:rPr>
        <w:t>.</w:t>
      </w:r>
    </w:p>
    <w:p>
      <w:pPr>
        <w:pStyle w:val="Heading6"/>
        <w:numPr>
          <w:ilvl w:val="5"/>
          <w:numId w:val="1"/>
        </w:numPr>
        <w:rPr/>
      </w:pPr>
      <w:bookmarkStart w:id="384" w:name="__RefHeading___Toc3299868_1468164448"/>
      <w:bookmarkStart w:id="385" w:name="_Toc155"/>
      <w:bookmarkEnd w:id="384"/>
      <w:r>
        <w:rPr>
          <w:rtl w:val="true"/>
        </w:rPr>
        <w:t xml:space="preserve">حقیقة الحکم الظاهری عند الإصفهانی </w:t>
      </w:r>
      <w:r>
        <w:rPr>
          <w:rtl w:val="true"/>
        </w:rPr>
        <w:t>(</w:t>
      </w:r>
      <w:r>
        <w:rPr>
          <w:rtl w:val="true"/>
        </w:rPr>
        <w:t>قدس سره</w:t>
      </w:r>
      <w:r>
        <w:rPr>
          <w:rtl w:val="true"/>
        </w:rPr>
        <w:t>)</w:t>
      </w:r>
      <w:bookmarkEnd w:id="385"/>
    </w:p>
    <w:p>
      <w:pPr>
        <w:pStyle w:val="BookText"/>
        <w:rPr/>
      </w:pPr>
      <w:r>
        <w:rPr>
          <w:rFonts w:ascii="IRNazanin" w:hAnsi="IRNazanin" w:eastAsia="IRNazanin"/>
          <w:color w:val="111111"/>
          <w:sz w:val="28"/>
          <w:sz w:val="28"/>
          <w:szCs w:val="28"/>
          <w:rtl w:val="true"/>
          <w:lang w:bidi="fa-IR"/>
        </w:rPr>
        <w:t>ذهب فی أکثر مواضع من أصوله إلی أنه جَعلُ الحجّیة کحکم وضعی وفی بعض کلماته إلی أنه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أکثر مواضع من فقهه أنه جَعلُ الحکم المماثل وفی تعبیرٍ أنه اعتبار الشارع للخبر بحیث یصحّ أن یحتج به، وربما یقصد منه جعل الحجّیة</w:t>
      </w:r>
      <w:r>
        <w:rPr>
          <w:rFonts w:eastAsia="IRNazanin" w:cs="IRNazanin"/>
          <w:color w:val="111111"/>
          <w:sz w:val="28"/>
          <w:szCs w:val="28"/>
          <w:rtl w:val="true"/>
          <w:lang w:bidi="fa-IR"/>
        </w:rPr>
        <w:t>.</w:t>
      </w:r>
    </w:p>
    <w:p>
      <w:pPr>
        <w:pStyle w:val="Heading6"/>
        <w:numPr>
          <w:ilvl w:val="5"/>
          <w:numId w:val="1"/>
        </w:numPr>
        <w:rPr/>
      </w:pPr>
      <w:bookmarkStart w:id="386" w:name="__RefHeading___Toc3299870_1468164448"/>
      <w:bookmarkStart w:id="387" w:name="_Toc156"/>
      <w:bookmarkEnd w:id="386"/>
      <w:r>
        <w:rPr>
          <w:rtl w:val="true"/>
        </w:rPr>
        <w:t>اختلاف ألسنة الأدلّة علی حجّیة خبر الواحد</w:t>
      </w:r>
      <w:bookmarkEnd w:id="38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إلفاتة مهمة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ألسنة الأدلّة علی حجّیة خبر الواحد والأمارات لیست موحّدة وإنما بعضها بلسان جعل الحجّیة، وآخر بلسان جعل الحکم المماثل، وثالث بلسان جعل الأمر بالإتّباع، ورابع بلسان جعل التنجیز والتعذیر</w:t>
      </w:r>
      <w:r>
        <w:rPr>
          <w:rFonts w:eastAsia="IRNazanin" w:cs="IRNazanin"/>
          <w:color w:val="111111"/>
          <w:sz w:val="28"/>
          <w:szCs w:val="28"/>
          <w:rtl w:val="true"/>
          <w:lang w:bidi="fa-IR"/>
        </w:rPr>
        <w:t>.</w:t>
      </w:r>
      <w:bookmarkStart w:id="388" w:name="pg16983_380822"/>
    </w:p>
    <w:p>
      <w:pPr>
        <w:pStyle w:val="Heading6"/>
        <w:numPr>
          <w:ilvl w:val="5"/>
          <w:numId w:val="1"/>
        </w:numPr>
        <w:rPr/>
      </w:pPr>
      <w:bookmarkStart w:id="389" w:name="__RefHeading___Toc3299872_1468164448"/>
      <w:bookmarkStart w:id="390" w:name="_Toc157"/>
      <w:bookmarkEnd w:id="388"/>
      <w:bookmarkEnd w:id="389"/>
      <w:r>
        <w:rPr>
          <w:rtl w:val="true"/>
        </w:rPr>
        <w:t>وجه اتخاذ القول بجعل الحکم المماثل عند الإصفهانی</w:t>
      </w:r>
      <w:bookmarkEnd w:id="390"/>
    </w:p>
    <w:p>
      <w:pPr>
        <w:pStyle w:val="BookText"/>
        <w:rPr/>
      </w:pPr>
      <w:r>
        <w:rPr>
          <w:rFonts w:ascii="IRNazanin" w:hAnsi="IRNazanin" w:eastAsia="IRNazanin"/>
          <w:color w:val="111111"/>
          <w:sz w:val="28"/>
          <w:sz w:val="28"/>
          <w:szCs w:val="28"/>
          <w:rtl w:val="true"/>
          <w:lang w:bidi="fa-IR"/>
        </w:rPr>
        <w:t xml:space="preserve">والذی ألجأه إلی القول بجعل الحکم المماثل فی الأمارة، مبناه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الکثیر من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الشرعی الفقهی من أنّ فعلیته بوصوله، حیث یفترض أنّ الحکم الشرعی له مراتب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ما یمکن أن یکون داعیاً وهی مرتبة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الفعلیة، وهی متقومة بالوصول، وإلاّ لم یکن داعیاً وباعثاً فعلاً بعد أن کانت الدعوة فعلاً متقومة بالوصول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عین ما ذکره الکثیر من الأعلام فی الحکم الأصولی بحجّة 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فسّرت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لأجل التنجیز والتعذیر، وقوام ذلک بالوصول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اضطر الشیخ الإصفهانی لأن یقول بأنّ الحکم الأصولی هو الحکم المماثل بعد أن وجد أنّ کلّ الصیاغات الأُخری فی تفسیر الحجّیة لا تحقّق الوصول</w:t>
      </w:r>
      <w:r>
        <w:rPr>
          <w:rFonts w:eastAsia="IRNazanin" w:cs="IRNazanin"/>
          <w:color w:val="111111"/>
          <w:sz w:val="28"/>
          <w:szCs w:val="28"/>
          <w:rtl w:val="true"/>
          <w:lang w:bidi="fa-IR"/>
        </w:rPr>
        <w:t>.</w:t>
      </w:r>
    </w:p>
    <w:p>
      <w:pPr>
        <w:pStyle w:val="Heading6"/>
        <w:numPr>
          <w:ilvl w:val="5"/>
          <w:numId w:val="1"/>
        </w:numPr>
        <w:rPr/>
      </w:pPr>
      <w:bookmarkStart w:id="391" w:name="__RefHeading___Toc3299874_1468164448"/>
      <w:bookmarkStart w:id="392" w:name="_Toc158"/>
      <w:bookmarkEnd w:id="391"/>
      <w:r>
        <w:rPr>
          <w:rtl w:val="true"/>
        </w:rPr>
        <w:t>أطروحة النائینی فی الجمع بین الحکم الواقعی والظاهری</w:t>
      </w:r>
      <w:bookmarkEnd w:id="392"/>
    </w:p>
    <w:p>
      <w:pPr>
        <w:pStyle w:val="BookText"/>
        <w:rPr/>
      </w:pPr>
      <w:r>
        <w:rPr>
          <w:rFonts w:ascii="IRNazanin" w:hAnsi="IRNazanin" w:eastAsia="IRNazanin"/>
          <w:color w:val="111111"/>
          <w:sz w:val="28"/>
          <w:sz w:val="28"/>
          <w:szCs w:val="28"/>
          <w:rtl w:val="true"/>
          <w:lang w:bidi="fa-IR"/>
        </w:rPr>
        <w:t xml:space="preserve">المیرزا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التنافی بین الحکم الواقعی والظاهری بذهابه إلی عدم وجود حکم ظاهری فی الأمارات والأصول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المقصود من ذلک عدم وجود حکم ظاهری فقهی 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هناک حکم أصولی وهو العلم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وجود حکم ظاهری مطلقاً حتی الأصولی وإنما هناک علم؟</w:t>
      </w:r>
    </w:p>
    <w:p>
      <w:pPr>
        <w:pStyle w:val="BookText"/>
        <w:rPr/>
      </w:pPr>
      <w:r>
        <w:rPr>
          <w:rFonts w:ascii="IRNazanin" w:hAnsi="IRNazanin" w:eastAsia="IRNazanin"/>
          <w:color w:val="111111"/>
          <w:sz w:val="28"/>
          <w:sz w:val="28"/>
          <w:szCs w:val="28"/>
          <w:rtl w:val="true"/>
          <w:lang w:bidi="fa-IR"/>
        </w:rPr>
        <w:t>الظاهر هو الأول؛ لأنه فی صدد نفی کلام الشیخ، فالحکم الظاهری الأصولی موجود حتماً لوجود جعل وتعبد للظن علماً، وهو الذی یعبّر عنه بجعل الطریقیة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السیّد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فی تفسیر مبنی المیرزا ، أنه</w:t>
      </w:r>
      <w:bookmarkStart w:id="393" w:name="pg16983_380824"/>
    </w:p>
    <w:p>
      <w:pPr>
        <w:pStyle w:val="BookText"/>
        <w:rPr/>
      </w:pPr>
      <w:bookmarkEnd w:id="393"/>
      <w:r>
        <w:rPr>
          <w:rFonts w:ascii="IRNazanin" w:hAnsi="IRNazanin" w:eastAsia="IRNazanin"/>
          <w:color w:val="111111"/>
          <w:sz w:val="28"/>
          <w:sz w:val="28"/>
          <w:szCs w:val="28"/>
          <w:rtl w:val="true"/>
          <w:lang w:bidi="fa-IR"/>
        </w:rPr>
        <w:t>ینفی الحکم الظاهری الفقهی والأصولی معاً، وإن کان هناک جعل وتعبد</w:t>
      </w:r>
      <w:r>
        <w:rPr>
          <w:rFonts w:eastAsia="IRNazanin" w:cs="IRNazanin"/>
          <w:color w:val="111111"/>
          <w:sz w:val="28"/>
          <w:szCs w:val="28"/>
          <w:rtl w:val="true"/>
          <w:lang w:bidi="fa-IR"/>
        </w:rPr>
        <w:t>.</w:t>
      </w:r>
    </w:p>
    <w:p>
      <w:pPr>
        <w:pStyle w:val="Heading6"/>
        <w:numPr>
          <w:ilvl w:val="5"/>
          <w:numId w:val="1"/>
        </w:numPr>
        <w:rPr/>
      </w:pPr>
      <w:bookmarkStart w:id="394" w:name="__RefHeading___Toc3299876_1468164448"/>
      <w:bookmarkStart w:id="395" w:name="_Toc159"/>
      <w:bookmarkEnd w:id="394"/>
      <w:r>
        <w:rPr>
          <w:rtl w:val="true"/>
        </w:rPr>
        <w:t>مقدمة فی خصائص العلم التکوینی</w:t>
      </w:r>
      <w:bookmarkEnd w:id="395"/>
    </w:p>
    <w:p>
      <w:pPr>
        <w:pStyle w:val="BookText"/>
        <w:rPr/>
      </w:pPr>
      <w:r>
        <w:rPr>
          <w:rFonts w:ascii="IRNazanin" w:hAnsi="IRNazanin" w:eastAsia="IRNazanin"/>
          <w:color w:val="111111"/>
          <w:sz w:val="28"/>
          <w:sz w:val="28"/>
          <w:szCs w:val="28"/>
          <w:rtl w:val="true"/>
          <w:lang w:bidi="fa-IR"/>
        </w:rPr>
        <w:t>وقبل الدخول فی تفاصیل هذه الزاویة لابدّ من التنبه إلی مقدمة ألفت إلیها المیرزا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التکوینی له ثلاث 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صفة قائمة بنفس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إنشاء النفس فی صقعها صورةً علی طبق ذی الصورة وتلک الصورة هی المعلومة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الکاشفیة التامّة عن المعلوم والمحرزیة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جهة إضافة الصورة لذی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الخصیصة مترتبة علی الأولی؛ لأنّ إحراز الواقع وکشفه إنما یکون بتوسط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 والبناء العملی علی وفق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ولید العلم وأثره</w:t>
      </w:r>
      <w:r>
        <w:rPr>
          <w:rFonts w:eastAsia="IRNazanin" w:cs="IRNazanin"/>
          <w:color w:val="111111"/>
          <w:sz w:val="28"/>
          <w:szCs w:val="28"/>
          <w:rtl w:val="true"/>
          <w:lang w:bidi="fa-IR"/>
        </w:rPr>
        <w:t>].</w:t>
      </w:r>
    </w:p>
    <w:p>
      <w:pPr>
        <w:pStyle w:val="Heading6"/>
        <w:numPr>
          <w:ilvl w:val="5"/>
          <w:numId w:val="1"/>
        </w:numPr>
        <w:rPr/>
      </w:pPr>
      <w:bookmarkStart w:id="396" w:name="__RefHeading___Toc3299878_1468164448"/>
      <w:bookmarkStart w:id="397" w:name="_Toc160"/>
      <w:bookmarkEnd w:id="396"/>
      <w:r>
        <w:rPr>
          <w:rtl w:val="true"/>
        </w:rPr>
        <w:t>معنی اعتبار الشیء علماً</w:t>
      </w:r>
      <w:bookmarkEnd w:id="397"/>
    </w:p>
    <w:p>
      <w:pPr>
        <w:pStyle w:val="BookText"/>
        <w:rPr/>
      </w:pPr>
      <w:r>
        <w:rPr>
          <w:rFonts w:ascii="IRNazanin" w:hAnsi="IRNazanin" w:eastAsia="IRNazanin"/>
          <w:color w:val="111111"/>
          <w:sz w:val="28"/>
          <w:sz w:val="28"/>
          <w:szCs w:val="28"/>
          <w:rtl w:val="true"/>
          <w:lang w:bidi="fa-IR"/>
        </w:rPr>
        <w:t>ویسمّی العلم بلحاظ الخاصیة الأولی بالقطع الصفتی التکوینی، وبلحاظ الخاصیة الثانیة بالقطع الطریقی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والمجعول فی باب الطرق والأمارات هی الخاصیة الثانیة من خصائص العلم، وفی باب الأصول المحرزة هی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الأمارات والأصول المحرزة بدیل اعتباری للمحرز التکوینی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الإعتبار علی وزان التکوین، کان من الضروری فی اعتبار شیء بدیلاً للعلم، أن یلحظ فیه أحد جهات العلم وخاصیاته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لم ینزّل منزلة العلم ولم یعتبر کبدیل عنه فلیس شرطاً ملاحظة أحد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الحیثیة الأولی فلم تلحظ فی أی اعتبار من الشارع وأما الحیثیة الثانیة فقد لوحظت فی اعتبار الأمارات، فالمجعول فیها هو نفس الطریقیة والمحرزیة والکاشفیة؛ حیث</w:t>
      </w:r>
    </w:p>
    <w:p>
      <w:pPr>
        <w:pStyle w:val="BookText"/>
        <w:rPr/>
      </w:pPr>
      <w:r>
        <w:rPr>
          <w:rFonts w:ascii="IRNazanin" w:hAnsi="IRNazanin" w:eastAsia="IRNazanin"/>
          <w:color w:val="111111"/>
          <w:sz w:val="28"/>
          <w:sz w:val="28"/>
          <w:szCs w:val="28"/>
          <w:rtl w:val="true"/>
          <w:lang w:bidi="fa-IR"/>
        </w:rPr>
        <w:t>اعتبرها الشارع کاشفة وجَعَلَها عِلماً من حیث کاشفیته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 لذلک بصحّة احتجاج العقلاء علی من قامت عنده الأمارة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یقم عندک علم؟ وما ورد فی وجوب التعلّم؛ حیث جعل مصداقه الفحص فی أخبار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الخاصیة الثالثة فقد لوحظت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الأصول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ولیداً من الکشف، ومن ثمّ کان البناء إحرازیاً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اعتبار الأصول التنزیلیة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 بما أنه متولّد من الکاشفیة، فإنّ المجعول فیها هو الطهارة البنائیة لا الطهارة فی نفسها،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طهارة أصولیة بنائیة لا فقهیة، ومن ثمّ اختلفت عن الإستصحاب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سمّیت تنزیلیة لأنّ الحکم المنشأ فیها حکم منزّل منزلة الواقع، فالطهارة المجعولة فی الأصل من سنخ الطهارة الواقعیة، فهو من سنخ الحکم الطریقی الذی إن أصاب کان مطابقاً للواقع، أو من سنخ الحکم الطریقی الذی هو فی صورة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الأصول العملیة التعبدیة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البرائة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یجعل فیها حتی البناء، وإنما جعل منشأ التعذیر والتنجیز فهی لرفع الحیرة والتردد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الجعل فی الأصل المحرز هو للبناء، ولکنّه البناء المتولّد من الکشف ولکن العبارات حول تفسیر رؤیة المیرزا فی حقیقة المجعول فی الأصول المحرزة تعددت واضطربت؛ حیث تجد أنّ البعض یعبّر أنّ المجعول فیها أماریتها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یعبّر فی الإستصحاب أنّ الیقین السابق اعتبر 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یحکی عن المیرزا أنّ المجعول هو البناء وحرمة النقض</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بعد تتبع طویل أنّ المجعول فی الأصول المحرزة عند المیرزا هو البناء العملی المتولّد من الکاشفیة، وبالتحدید هو حکم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بفعل 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rtl w:val="true"/>
          <w:lang w:bidi="fa-IR"/>
        </w:rPr>
        <w:t>].</w:t>
      </w:r>
      <w:bookmarkStart w:id="398" w:name="pg16983_380828"/>
    </w:p>
    <w:p>
      <w:pPr>
        <w:pStyle w:val="BookText"/>
        <w:rPr/>
      </w:pPr>
      <w:bookmarkEnd w:id="398"/>
      <w:r>
        <w:rPr>
          <w:rFonts w:ascii="IRNazanin" w:hAnsi="IRNazanin" w:eastAsia="IRNazanin"/>
          <w:color w:val="111111"/>
          <w:sz w:val="28"/>
          <w:sz w:val="28"/>
          <w:szCs w:val="28"/>
          <w:rtl w:val="true"/>
          <w:lang w:bidi="fa-IR"/>
        </w:rPr>
        <w:t xml:space="preserve">نعم، بالتبع أو بالعرض أو بالإنتزاع یکون الجعل لأماریته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جعل وضعی، نظیر جعل الجزئیة والشرطیة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نحو اعتبار له بواسطة أثره وهو البناء، مع الإلتفات إلی أنّ کاشفیة غالب الأصول المحرزة فعل، وهو أقل کاشفیة من اللفظ، ومن ثمّ سمّی أمارة، إلاّ أنها أمارة فعلیة، علاوة علی تسمیته بالأصل</w:t>
      </w:r>
      <w:r>
        <w:rPr>
          <w:rFonts w:eastAsia="IRNazanin" w:cs="IRNazanin"/>
          <w:color w:val="111111"/>
          <w:sz w:val="28"/>
          <w:szCs w:val="28"/>
          <w:rtl w:val="true"/>
          <w:lang w:bidi="fa-IR"/>
        </w:rPr>
        <w:t>.</w:t>
      </w:r>
    </w:p>
    <w:p>
      <w:pPr>
        <w:pStyle w:val="Heading6"/>
        <w:numPr>
          <w:ilvl w:val="5"/>
          <w:numId w:val="1"/>
        </w:numPr>
        <w:rPr/>
      </w:pPr>
      <w:bookmarkStart w:id="399" w:name="__RefHeading___Toc3299880_1468164448"/>
      <w:bookmarkStart w:id="400" w:name="_Toc161"/>
      <w:bookmarkEnd w:id="399"/>
      <w:r>
        <w:rPr>
          <w:rtl w:val="true"/>
        </w:rPr>
        <w:t>المائز بین الأمارة والأصل المحرز</w:t>
      </w:r>
      <w:bookmarkEnd w:id="400"/>
    </w:p>
    <w:p>
      <w:pPr>
        <w:pStyle w:val="BookText"/>
        <w:rPr/>
      </w:pPr>
      <w:r>
        <w:rPr>
          <w:rFonts w:ascii="IRNazanin" w:hAnsi="IRNazanin" w:eastAsia="IRNazanin"/>
          <w:color w:val="111111"/>
          <w:sz w:val="28"/>
          <w:sz w:val="28"/>
          <w:szCs w:val="28"/>
          <w:rtl w:val="true"/>
          <w:lang w:bidi="fa-IR"/>
        </w:rPr>
        <w:t>وبهذا یتبلور الفرق بین الأمارة والأصل المحرز، فإنّ الأصل المحرز برزخ بین الأمارة والأصل، فهی فرش الأمارات وعرش الأصول، بالإضافة إلی فرق آخر وهو أنّ الأمارة لم یؤخذ فی موضوعها الشک وعدم العلم شرعاً، وإنما أخذ عقلاً بخلافه فی الأصل فإنّ الشک مأخوذ شرعاً فی موضوع الأصل</w:t>
      </w:r>
      <w:r>
        <w:rPr>
          <w:rFonts w:eastAsia="IRNazanin" w:cs="IRNazanin"/>
          <w:color w:val="111111"/>
          <w:sz w:val="28"/>
          <w:szCs w:val="28"/>
          <w:rtl w:val="true"/>
          <w:lang w:bidi="fa-IR"/>
        </w:rPr>
        <w:t>.</w:t>
      </w:r>
    </w:p>
    <w:p>
      <w:pPr>
        <w:pStyle w:val="Heading6"/>
        <w:numPr>
          <w:ilvl w:val="5"/>
          <w:numId w:val="1"/>
        </w:numPr>
        <w:rPr/>
      </w:pPr>
      <w:bookmarkStart w:id="401" w:name="__RefHeading___Toc3299882_1468164448"/>
      <w:bookmarkStart w:id="402" w:name="_Toc162"/>
      <w:bookmarkEnd w:id="401"/>
      <w:r>
        <w:rPr>
          <w:rtl w:val="true"/>
        </w:rPr>
        <w:t>الأصل المحرز عند الآخوند</w:t>
      </w:r>
      <w:bookmarkEnd w:id="402"/>
    </w:p>
    <w:p>
      <w:pPr>
        <w:pStyle w:val="BookText"/>
        <w:rPr/>
      </w:pPr>
      <w:r>
        <w:rPr>
          <w:rFonts w:ascii="IRNazanin" w:hAnsi="IRNazanin" w:eastAsia="IRNazanin"/>
          <w:color w:val="111111"/>
          <w:sz w:val="28"/>
          <w:sz w:val="28"/>
          <w:szCs w:val="28"/>
          <w:rtl w:val="true"/>
          <w:lang w:bidi="fa-IR"/>
        </w:rPr>
        <w:t>إلاّ أنّ الآخوند والإصفهانی یؤکّدان علی أنّ حقیقة الأصل المحرز جَعلُ المؤدّی أو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إرجاعه إلی الأصل التنزیلی الذی هو صورةً حکم فقهی، ولبّاً حکم أصولی؛ لأنه مجعول فی ظرف الشک، حیث أخذ فی موضوعه شرعاً</w:t>
      </w:r>
      <w:r>
        <w:rPr>
          <w:rFonts w:eastAsia="IRNazanin" w:cs="IRNazanin"/>
          <w:color w:val="111111"/>
          <w:sz w:val="28"/>
          <w:szCs w:val="28"/>
          <w:rtl w:val="true"/>
          <w:lang w:bidi="fa-IR"/>
        </w:rPr>
        <w:t>.</w:t>
      </w:r>
    </w:p>
    <w:p>
      <w:pPr>
        <w:pStyle w:val="Heading6"/>
        <w:numPr>
          <w:ilvl w:val="5"/>
          <w:numId w:val="1"/>
        </w:numPr>
        <w:rPr/>
      </w:pPr>
      <w:bookmarkStart w:id="403" w:name="__RefHeading___Toc3299884_1468164448"/>
      <w:bookmarkStart w:id="404" w:name="_Toc163"/>
      <w:bookmarkEnd w:id="403"/>
      <w:r>
        <w:rPr>
          <w:rtl w:val="true"/>
        </w:rPr>
        <w:t>مناقشة العراقی فی الأصل التنزیلی</w:t>
      </w:r>
      <w:bookmarkEnd w:id="404"/>
    </w:p>
    <w:p>
      <w:pPr>
        <w:pStyle w:val="BookText"/>
        <w:rPr/>
      </w:pPr>
      <w:r>
        <w:rPr>
          <w:rFonts w:ascii="IRNazanin" w:hAnsi="IRNazanin" w:eastAsia="IRNazanin"/>
          <w:color w:val="111111"/>
          <w:sz w:val="28"/>
          <w:sz w:val="28"/>
          <w:szCs w:val="28"/>
          <w:rtl w:val="true"/>
          <w:lang w:bidi="fa-IR"/>
        </w:rPr>
        <w:t>ثمّ إنّ الشیخ العراقی ناقش فی الأصل التنزیلی بأنّ العقل یحکم بضرورة إحراز المصلّی یقیناً أو تعبداً لشرائط الصلاة حتی یسوّغ له الدخول والفراغ منها، وکثیر من الأحیان یُحرَز الشرط بأصالة الطهارة مع أنه أصل تنزیلی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أصل إحرازی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لا یلتزم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ما هو شرط الصلاة، هی الطهارة الأعم من الواقعیة والظاهریة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القول بالإجزاء حیث حقق ما هو شرط الصلاة</w:t>
      </w:r>
      <w:bookmarkStart w:id="405" w:name="pg16983_380830"/>
    </w:p>
    <w:p>
      <w:pPr>
        <w:pStyle w:val="BookText"/>
        <w:rPr/>
      </w:pPr>
      <w:bookmarkEnd w:id="405"/>
      <w:r>
        <w:rPr>
          <w:rFonts w:ascii="IRNazanin" w:hAnsi="IRNazanin" w:eastAsia="IRNazanin"/>
          <w:color w:val="111111"/>
          <w:sz w:val="28"/>
          <w:sz w:val="28"/>
          <w:szCs w:val="28"/>
          <w:rtl w:val="true"/>
          <w:lang w:bidi="fa-IR"/>
        </w:rPr>
        <w:t>واقعاً وهو الطهارة الظاهریة</w:t>
      </w:r>
      <w:r>
        <w:rPr>
          <w:rFonts w:eastAsia="IRNazanin" w:cs="IRNazanin"/>
          <w:color w:val="111111"/>
          <w:sz w:val="28"/>
          <w:szCs w:val="28"/>
          <w:rtl w:val="true"/>
          <w:lang w:bidi="fa-IR"/>
        </w:rPr>
        <w:t>. ]</w:t>
      </w:r>
    </w:p>
    <w:p>
      <w:pPr>
        <w:pStyle w:val="Heading6"/>
        <w:numPr>
          <w:ilvl w:val="5"/>
          <w:numId w:val="1"/>
        </w:numPr>
        <w:rPr/>
      </w:pPr>
      <w:bookmarkStart w:id="406" w:name="__RefHeading___Toc3299886_1468164448"/>
      <w:bookmarkStart w:id="407" w:name="_Toc164"/>
      <w:bookmarkEnd w:id="406"/>
      <w:r>
        <w:rPr>
          <w:rtl w:val="true"/>
        </w:rPr>
        <w:t>الإجابة عن مناقشة العراقی</w:t>
      </w:r>
      <w:bookmarkEnd w:id="407"/>
    </w:p>
    <w:p>
      <w:pPr>
        <w:pStyle w:val="BookText"/>
        <w:rPr/>
      </w:pPr>
      <w:r>
        <w:rPr>
          <w:rFonts w:ascii="IRNazanin" w:hAnsi="IRNazanin" w:eastAsia="IRNazanin"/>
          <w:color w:val="111111"/>
          <w:sz w:val="28"/>
          <w:sz w:val="28"/>
          <w:szCs w:val="28"/>
          <w:rtl w:val="true"/>
          <w:lang w:bidi="fa-IR"/>
        </w:rPr>
        <w:t>وقد حاول الأعلام الإجابة عن هذا الإشکال، یعثر علیه القارئ فی خفایا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التنزیلی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یستفاد من حکم واقعی کما فعله الآخوند تبعاً للنراقی، وذلک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 تشکّل قرینة علی أنّ الشارع جعل هذا الحکم البنائی مستهدفاً فی ذلک رفع الحیرة بالبناء تنزیلاً علی وجود الطهارة لکی ترتب علیها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لرفع الحیرة تجاه تحقیق شروط الصلاة، فالشارع یعذر عن حکم العقل بالإحراز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أکثر وضوحاً وعمقاً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یحکم بضرورة إحراز الطهارة إما یقیناً أو تعبداً، ولکنّه من دون أن یقید الطهارة بالواقعیة، وأصالة الطهارة توفّر إحرازاً وجدانیاً للطهارة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إحرازاً تعبدیاً للطهارة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یعنی الإجزاء؛ لأنّ غایة ما یفیده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وجود الشرط الظاهری المجعول بلسان التنزیل والإناطة والتعلیق والرهن بالواقع فهو جعل مراعی ومغیّی بعدم انکشاف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طاهر 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بلسان الواقع وتوسعة الشرط کی یحصل 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فرق الأصل الشرعی العملی المحض عن العقلی أنّ العقلی لا بناء فیه وإنما تعذیر وتنجیز صرف، و فی الشرعی بناء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فقط أنّ هذا شرعی وذاک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الحق هو الأول</w:t>
      </w:r>
      <w:r>
        <w:rPr>
          <w:rFonts w:eastAsia="IRNazanin" w:cs="IRNazanin"/>
          <w:color w:val="111111"/>
          <w:sz w:val="28"/>
          <w:szCs w:val="28"/>
          <w:rtl w:val="true"/>
          <w:lang w:bidi="fa-IR"/>
        </w:rPr>
        <w:t>.</w:t>
      </w:r>
    </w:p>
    <w:p>
      <w:pPr>
        <w:pStyle w:val="Heading6"/>
        <w:numPr>
          <w:ilvl w:val="5"/>
          <w:numId w:val="1"/>
        </w:numPr>
        <w:rPr/>
      </w:pPr>
      <w:bookmarkStart w:id="408" w:name="__RefHeading___Toc3299888_1468164448"/>
      <w:bookmarkStart w:id="409" w:name="_Toc165"/>
      <w:bookmarkEnd w:id="408"/>
      <w:r>
        <w:rPr>
          <w:rtl w:val="true"/>
        </w:rPr>
        <w:t xml:space="preserve">تقریر الشاهرودی لمبنی النائینی </w:t>
      </w:r>
      <w:r>
        <w:rPr>
          <w:rtl w:val="true"/>
        </w:rPr>
        <w:t>(</w:t>
      </w:r>
      <w:r>
        <w:rPr>
          <w:rtl w:val="true"/>
        </w:rPr>
        <w:t>قدس سرهما</w:t>
      </w:r>
      <w:r>
        <w:rPr>
          <w:rtl w:val="true"/>
        </w:rPr>
        <w:t>)</w:t>
      </w:r>
      <w:bookmarkEnd w:id="4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المقدّمة، وبعد أن اتضح أنّ المجعول فی الأمارات</w:t>
      </w:r>
      <w:bookmarkStart w:id="410" w:name="pg16983_380832"/>
    </w:p>
    <w:p>
      <w:pPr>
        <w:pStyle w:val="BookText"/>
        <w:rPr/>
      </w:pPr>
      <w:bookmarkEnd w:id="410"/>
      <w:r>
        <w:rPr>
          <w:rFonts w:ascii="IRNazanin" w:hAnsi="IRNazanin" w:eastAsia="IRNazanin"/>
          <w:color w:val="111111"/>
          <w:sz w:val="28"/>
          <w:sz w:val="28"/>
          <w:szCs w:val="28"/>
          <w:rtl w:val="true"/>
          <w:lang w:bidi="fa-IR"/>
        </w:rPr>
        <w:t>الکاشفیة نرجع إلی ما ذکره السیّد الشاهرودی، فقد أثار تساؤلاً حول ما یظهر من الکلمات عن المیرزا فی جعل الأمارة علماً تعبداً أنه کیف یعتبر الشیء الذی لیس بعلم علماً، إن کان بلحاظ التنجیز والتعذیر أو البناء عادت الأمارة أصلاً؟</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التنجیز منوط بالعلم، وقبح العقاب معلّق علی عدم العلم، فالتعبد کیف یوجد الظن علماً حقیقة کی یترتب التنجیز ویرتفع قبح العقاب؟</w:t>
      </w:r>
    </w:p>
    <w:p>
      <w:pPr>
        <w:pStyle w:val="Heading6"/>
        <w:numPr>
          <w:ilvl w:val="5"/>
          <w:numId w:val="1"/>
        </w:numPr>
        <w:rPr/>
      </w:pPr>
      <w:bookmarkStart w:id="411" w:name="__RefHeading___Toc3299890_1468164448"/>
      <w:bookmarkStart w:id="412" w:name="_Toc166"/>
      <w:bookmarkEnd w:id="411"/>
      <w:r>
        <w:rPr>
          <w:rtl w:val="true"/>
        </w:rPr>
        <w:t>علم تعبدی أو علم وجدانی حاصل من التعبد</w:t>
      </w:r>
      <w:bookmarkEnd w:id="412"/>
    </w:p>
    <w:p>
      <w:pPr>
        <w:pStyle w:val="BookText"/>
        <w:rPr/>
      </w:pPr>
      <w:r>
        <w:rPr>
          <w:rFonts w:ascii="IRNazanin" w:hAnsi="IRNazanin" w:eastAsia="IRNazanin"/>
          <w:color w:val="111111"/>
          <w:sz w:val="28"/>
          <w:sz w:val="28"/>
          <w:szCs w:val="28"/>
          <w:rtl w:val="true"/>
          <w:lang w:bidi="fa-IR"/>
        </w:rPr>
        <w:t xml:space="preserve">من هنا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مبنی المیرزا هو أنه لا یرید أن یقول إنّ المجعول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مفهوم الطریقیة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الطرق بناءات عقلائیة ممضاة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نکتة أساسیة نستفید منها فیصلاً للأمر، وقد قبلها الشیخ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جعل تأسیسی فیها وإنما الجعل إمضائی، والإمضاء یکون سبباً تکوینیاً فی حصول حالة العلم العادی والإطمئنان عند العقلاء، وأنّ ما اعتادوا به من أمارات لیست إصابتها غالبیة وإنما أکثر من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التعبدی یقصد منه علم وجدانی بسبب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الإضافة نشویة، فهو علم ناشئ من التعبد</w:t>
      </w:r>
      <w:r>
        <w:rPr>
          <w:rFonts w:eastAsia="IRNazanin" w:cs="IRNazanin"/>
          <w:color w:val="111111"/>
          <w:sz w:val="28"/>
          <w:szCs w:val="28"/>
          <w:rtl w:val="true"/>
          <w:lang w:bidi="fa-IR"/>
        </w:rPr>
        <w:t>. ]</w:t>
      </w:r>
    </w:p>
    <w:p>
      <w:pPr>
        <w:pStyle w:val="Heading6"/>
        <w:numPr>
          <w:ilvl w:val="5"/>
          <w:numId w:val="1"/>
        </w:numPr>
        <w:rPr/>
      </w:pPr>
      <w:bookmarkStart w:id="413" w:name="__RefHeading___Toc3299892_1468164448"/>
      <w:bookmarkStart w:id="414" w:name="_Toc167"/>
      <w:bookmarkEnd w:id="413"/>
      <w:r>
        <w:rPr>
          <w:rtl w:val="true"/>
        </w:rPr>
        <w:t>تساؤلات حول تقریر الشاهرودی لمبنی النائینی</w:t>
      </w:r>
      <w:bookmarkEnd w:id="414"/>
    </w:p>
    <w:p>
      <w:pPr>
        <w:pStyle w:val="BookText"/>
        <w:rPr/>
      </w:pPr>
      <w:r>
        <w:rPr>
          <w:rFonts w:ascii="IRNazanin" w:hAnsi="IRNazanin" w:eastAsia="IRNazanin"/>
          <w:color w:val="111111"/>
          <w:sz w:val="28"/>
          <w:sz w:val="28"/>
          <w:szCs w:val="28"/>
          <w:rtl w:val="true"/>
          <w:lang w:bidi="fa-IR"/>
        </w:rPr>
        <w:t>هذا وقد أثیرت مجموعة من التساؤلات حول نظریة المیرزا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التساؤل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الظن علماً فاعتبار الشارع له علماً</w:t>
      </w:r>
      <w:bookmarkStart w:id="415" w:name="pg16983_380835"/>
    </w:p>
    <w:p>
      <w:pPr>
        <w:pStyle w:val="BookText"/>
        <w:rPr/>
      </w:pPr>
      <w:bookmarkEnd w:id="415"/>
      <w:r>
        <w:rPr>
          <w:rFonts w:ascii="IRNazanin" w:hAnsi="IRNazanin" w:eastAsia="IRNazanin"/>
          <w:color w:val="111111"/>
          <w:sz w:val="28"/>
          <w:sz w:val="28"/>
          <w:szCs w:val="28"/>
          <w:rtl w:val="true"/>
          <w:lang w:bidi="fa-IR"/>
        </w:rPr>
        <w:t>تحصیل للحاصل، وإن لم یکن علماً فلا معنی لصیرورته علماً بالإعتبار والجعل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السیّد الشاهرودی عن الشق الثانی من السؤال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الأول فیدفعه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الشارع إن کان تأسیساً فهو تحصیل للحاصل، وأما إذا کان إمضاءً لما اعتبره العقلاء فلا تحصیل للحاصل؛ إذ هو جعل شرعی إمضائی للعلم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التساؤل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اعتبار العقلاء للظن علماً من جهة الکاشفیة أو من جهة الإذعان والوثوق؟ والکاشفیة هل تزداد فی الظن باعتبار العقلاء وتتبدل أو لا؟</w:t>
      </w:r>
    </w:p>
    <w:p>
      <w:pPr>
        <w:pStyle w:val="BookText"/>
        <w:rPr/>
      </w:pPr>
      <w:r>
        <w:rPr>
          <w:rFonts w:ascii="IRNazanin" w:hAnsi="IRNazanin" w:eastAsia="IRNazanin"/>
          <w:color w:val="111111"/>
          <w:sz w:val="28"/>
          <w:sz w:val="28"/>
          <w:szCs w:val="28"/>
          <w:rtl w:val="true"/>
          <w:lang w:bidi="fa-IR"/>
        </w:rPr>
        <w:t xml:space="preserve">ومصبّ هذا 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الإعتبار العقلائی، فی حین أنّ الأول موجّه للحجّیة الشرعیة</w:t>
      </w:r>
      <w:r>
        <w:rPr>
          <w:rFonts w:eastAsia="IRNazanin" w:cs="IRNazanin"/>
          <w:color w:val="111111"/>
          <w:sz w:val="28"/>
          <w:szCs w:val="28"/>
          <w:rtl w:val="true"/>
          <w:lang w:bidi="fa-IR"/>
        </w:rPr>
        <w:t>.</w:t>
      </w:r>
    </w:p>
    <w:p>
      <w:pPr>
        <w:pStyle w:val="Heading6"/>
        <w:numPr>
          <w:ilvl w:val="5"/>
          <w:numId w:val="1"/>
        </w:numPr>
        <w:rPr/>
      </w:pPr>
      <w:bookmarkStart w:id="416" w:name="__RefHeading___Toc3299894_1468164448"/>
      <w:bookmarkStart w:id="417" w:name="_Toc168"/>
      <w:bookmarkEnd w:id="416"/>
      <w:r>
        <w:rPr>
          <w:rtl w:val="true"/>
        </w:rPr>
        <w:t>اعتبار الأمارة حکم تکلیفی</w:t>
      </w:r>
      <w:bookmarkEnd w:id="417"/>
    </w:p>
    <w:p>
      <w:pPr>
        <w:pStyle w:val="BookText"/>
        <w:rPr/>
      </w:pPr>
      <w:r>
        <w:rPr>
          <w:rFonts w:ascii="IRNazanin" w:hAnsi="IRNazanin" w:eastAsia="IRNazanin"/>
          <w:color w:val="111111"/>
          <w:sz w:val="28"/>
          <w:sz w:val="28"/>
          <w:szCs w:val="28"/>
          <w:rtl w:val="true"/>
          <w:lang w:bidi="fa-IR"/>
        </w:rPr>
        <w:t>التساؤل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أثاره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الأمارة علماً حکم وضعی، وقانون الحکم الوضعی أن یکون بلحاظ حکم تکلیفی یکون موضوعاً له، فلا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اعتبار الأمارة علماً فی إطار جعل وضعی فقط وإنما لابدّ من جعل تکلیفی أیضاً یکون الجعل الوضعی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ذهب الشیخ الأنصاری إلی أنّ الحکم الوضعی غیر متأصل بالجعل، وأنّ المتأصل هو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وآخرون تمکّنوا من تصویر تأصّله، ولکنّهم مع ذلک اشترطوا ترتّب الأثر التکلیفی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المنسجم مع تعریف الفقه بأنه العلم الباحث عن الإقتضاء واللاإقتضاء فی فعل المکلّف، الدالّ علی انحصار محمولات الفقه بالحکم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کلّ هذا، خالف السیّد الشاهرودی هذا الإتّجاه تماماً حیث</w:t>
      </w:r>
    </w:p>
    <w:p>
      <w:pPr>
        <w:pStyle w:val="BookText"/>
        <w:rPr/>
      </w:pPr>
      <w:r>
        <w:rPr>
          <w:rFonts w:ascii="IRNazanin" w:hAnsi="IRNazanin" w:eastAsia="IRNazanin"/>
          <w:color w:val="111111"/>
          <w:sz w:val="28"/>
          <w:sz w:val="28"/>
          <w:szCs w:val="28"/>
          <w:rtl w:val="true"/>
          <w:lang w:bidi="fa-IR"/>
        </w:rPr>
        <w:t>صوّر أنّ المتأصل هو الوضعی وأنّ التکلیفی یکون بلحاظه</w:t>
      </w:r>
      <w:r>
        <w:rPr>
          <w:rFonts w:eastAsia="IRNazanin" w:cs="IRNazanin"/>
          <w:color w:val="111111"/>
          <w:sz w:val="28"/>
          <w:szCs w:val="28"/>
          <w:rtl w:val="true"/>
          <w:lang w:bidi="fa-IR"/>
        </w:rPr>
        <w:t>.</w:t>
      </w:r>
    </w:p>
    <w:p>
      <w:pPr>
        <w:pStyle w:val="Heading6"/>
        <w:numPr>
          <w:ilvl w:val="5"/>
          <w:numId w:val="1"/>
        </w:numPr>
        <w:rPr/>
      </w:pPr>
      <w:bookmarkStart w:id="418" w:name="__RefHeading___Toc3299896_1468164448"/>
      <w:bookmarkStart w:id="419" w:name="_Toc169"/>
      <w:bookmarkEnd w:id="418"/>
      <w:r>
        <w:rPr>
          <w:rtl w:val="true"/>
        </w:rPr>
        <w:t>صیاغات للتساؤل الثالث</w:t>
      </w:r>
      <w:bookmarkEnd w:id="419"/>
    </w:p>
    <w:p>
      <w:pPr>
        <w:pStyle w:val="BookText"/>
        <w:rPr/>
      </w:pPr>
      <w:r>
        <w:rPr>
          <w:rFonts w:ascii="IRNazanin" w:hAnsi="IRNazanin" w:eastAsia="IRNazanin"/>
          <w:color w:val="111111"/>
          <w:sz w:val="28"/>
          <w:sz w:val="28"/>
          <w:szCs w:val="28"/>
          <w:rtl w:val="true"/>
          <w:lang w:bidi="fa-IR"/>
        </w:rPr>
        <w:t>ویضیف المحقق العراقی أنّ الحکم التکلیفی المجعول فی مورد الأمارات هو وجوب إتّباع الأمارة والإستناد إلیها کفعل أصولی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صیاغة أخری لتساؤله إنّ جعل الأمارة علماً تنزیل، والتنزیل لابدّ أن یکون بلحاظ أثر المنزّل علیه، ولیس هو إلاّ الحکم التکلیفی</w:t>
      </w:r>
      <w:bookmarkStart w:id="420" w:name="pg16983_380837"/>
    </w:p>
    <w:p>
      <w:pPr>
        <w:pStyle w:val="BookText"/>
        <w:rPr/>
      </w:pPr>
      <w:bookmarkEnd w:id="420"/>
      <w:r>
        <w:rPr>
          <w:rFonts w:ascii="IRNazanin" w:hAnsi="IRNazanin" w:eastAsia="IRNazanin"/>
          <w:color w:val="111111"/>
          <w:sz w:val="28"/>
          <w:sz w:val="28"/>
          <w:szCs w:val="28"/>
          <w:rtl w:val="true"/>
          <w:lang w:bidi="fa-IR"/>
        </w:rPr>
        <w:t>باتّباع الأمارة؛ إذ لم یعهد تنزیل بدون أثر ووجه 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وصیاغة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الأمارة علماً من دون جعل تکلیفی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الصیاغات الثلاث تختلف سنخاً؛ فإنّ الأولی تنطلق من فهم کلام المیرزا أنّ الجعل فی الأمارات حکم وضعی، و الثانیة من فرض أنّ الجعل من خلال التنزیل اللفظی البیانی، و الثالثة تنطلق من قانون الجعل مهما کان نوعه لابدّ له من مصحح وإلاّ کان لغواً</w:t>
      </w:r>
      <w:r>
        <w:rPr>
          <w:rFonts w:eastAsia="IRNazanin" w:cs="IRNazanin"/>
          <w:color w:val="111111"/>
          <w:sz w:val="28"/>
          <w:szCs w:val="28"/>
          <w:rtl w:val="true"/>
          <w:lang w:bidi="fa-IR"/>
        </w:rPr>
        <w:t>.</w:t>
      </w:r>
    </w:p>
    <w:p>
      <w:pPr>
        <w:pStyle w:val="Heading6"/>
        <w:numPr>
          <w:ilvl w:val="5"/>
          <w:numId w:val="1"/>
        </w:numPr>
        <w:rPr/>
      </w:pPr>
      <w:bookmarkStart w:id="421" w:name="__RefHeading___Toc3299898_1468164448"/>
      <w:bookmarkStart w:id="422" w:name="_Toc170"/>
      <w:bookmarkEnd w:id="421"/>
      <w:r>
        <w:rPr>
          <w:rtl w:val="true"/>
        </w:rPr>
        <w:t>ملاحظات علی التساؤل الثالث</w:t>
      </w:r>
      <w:bookmarkEnd w:id="422"/>
    </w:p>
    <w:p>
      <w:pPr>
        <w:pStyle w:val="BookText"/>
        <w:rPr/>
      </w:pPr>
      <w:r>
        <w:rPr>
          <w:rFonts w:ascii="IRNazanin" w:hAnsi="IRNazanin" w:eastAsia="IRNazanin"/>
          <w:color w:val="111111"/>
          <w:sz w:val="28"/>
          <w:sz w:val="28"/>
          <w:szCs w:val="28"/>
          <w:rtl w:val="true"/>
          <w:lang w:bidi="fa-IR"/>
        </w:rPr>
        <w:t>ویلاحظ علی الصیاغة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منخرمة فی عدّة موارد من الفقه، حیث إنّ هناک جملة من الأحکام الوضعیة لا یترتب علیها أی أثر تکلیفی، وإنما تقع موضوعاً مباشراً للحکم العقلی، فلیکن ما نحن فیه من تلک الموارد، فلا حاجة إلی فرض جعل تکلیفی علاوة علی الجعل الوضعی للأمارة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ما ذکر فی تعریف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الوضعی أیضاً مرتبط بفعل المکلّف فهو من المحمولات کالإقتضاء واللاإقتضاء</w:t>
      </w:r>
      <w:r>
        <w:rPr>
          <w:rFonts w:eastAsia="IRNazanin" w:cs="IRNazanin"/>
          <w:color w:val="111111"/>
          <w:sz w:val="28"/>
          <w:szCs w:val="28"/>
          <w:rtl w:val="true"/>
          <w:lang w:bidi="fa-IR"/>
        </w:rPr>
        <w:t>.</w:t>
      </w:r>
    </w:p>
    <w:p>
      <w:pPr>
        <w:pStyle w:val="Heading6"/>
        <w:numPr>
          <w:ilvl w:val="5"/>
          <w:numId w:val="1"/>
        </w:numPr>
        <w:rPr/>
      </w:pPr>
      <w:bookmarkStart w:id="423" w:name="__RefHeading___Toc3299900_1468164448"/>
      <w:bookmarkStart w:id="424" w:name="_Toc171"/>
      <w:bookmarkEnd w:id="423"/>
      <w:r>
        <w:rPr>
          <w:rtl w:val="true"/>
        </w:rPr>
        <w:t>أقسام التنزیل</w:t>
      </w:r>
      <w:bookmarkEnd w:id="424"/>
    </w:p>
    <w:p>
      <w:pPr>
        <w:pStyle w:val="BookText"/>
        <w:rPr/>
      </w:pPr>
      <w:r>
        <w:rPr>
          <w:rFonts w:ascii="IRNazanin" w:hAnsi="IRNazanin" w:eastAsia="IRNazanin"/>
          <w:color w:val="111111"/>
          <w:sz w:val="28"/>
          <w:sz w:val="28"/>
          <w:szCs w:val="28"/>
          <w:rtl w:val="true"/>
          <w:lang w:bidi="fa-IR"/>
        </w:rPr>
        <w:t>ویلاحظ علی الصیاغة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أشرنا سابقاً تبعاً للمحقق العراقی وتفصیل السیّد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التشبیه، وهو شأن لفظی بلاغی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یذکر الأعلام أنه لابدّ أن یکون بلحاظ کلّ أو أهم آثار المنزّل علیه، مع بناء الأکثر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المجعول فی هذا القسم هو الأثر، وأمّا التنزیل فلیس بجعل، وإنما هو تشبیه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سنخ الحکم والجعل لا من سنخ الدلالة علی الجعل، فهو بنفسه جعل وإن جاء فی لسان الشارع بصورة تشبیه، إلاّ أنه لبّاً وکنهاً جعل، ولساناً وشکلاً تنزیل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الفرق بین القسمین فی ترتب أهمّ الآثار أو کلّها، حیث إنّه</w:t>
      </w:r>
      <w:bookmarkStart w:id="425" w:name="pg16983_380839"/>
    </w:p>
    <w:p>
      <w:pPr>
        <w:pStyle w:val="BookText"/>
        <w:rPr/>
      </w:pPr>
      <w:bookmarkEnd w:id="425"/>
      <w:r>
        <w:rPr>
          <w:rFonts w:ascii="IRNazanin" w:hAnsi="IRNazanin" w:eastAsia="IRNazanin"/>
          <w:color w:val="111111"/>
          <w:sz w:val="28"/>
          <w:sz w:val="28"/>
          <w:szCs w:val="28"/>
          <w:rtl w:val="true"/>
          <w:lang w:bidi="fa-IR"/>
        </w:rPr>
        <w:t>فی القسم الأول یکون الجعل لأهمّ الآثار وأبرزها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القسم الثانی لکلّ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والضابطة فی التمییز بین القسمین أنّ المشبه به إن کان حکماً وجعلاً فهو تنزیل من القسم الثانی، وإن لم یکن من سنخ الجعل بأن کان أمراً تکوینیاً فهو تنزیل من القسم الأول، أی إنه تنزیل لفظی بیانی دلالی</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426" w:name="__RefHeading___Toc3299902_1468164448"/>
      <w:bookmarkStart w:id="427" w:name="_Toc172"/>
      <w:bookmarkEnd w:id="426"/>
      <w:r>
        <w:rPr>
          <w:rtl w:val="true"/>
        </w:rPr>
        <w:t>اعتبار الأمارة من أیّ أقسام التنزیل؟</w:t>
      </w:r>
      <w:bookmarkEnd w:id="427"/>
    </w:p>
    <w:p>
      <w:pPr>
        <w:pStyle w:val="BookText"/>
        <w:rPr/>
      </w:pPr>
      <w:r>
        <w:rPr>
          <w:rFonts w:ascii="IRNazanin" w:hAnsi="IRNazanin" w:eastAsia="IRNazanin"/>
          <w:color w:val="111111"/>
          <w:sz w:val="28"/>
          <w:sz w:val="28"/>
          <w:szCs w:val="28"/>
          <w:rtl w:val="true"/>
          <w:lang w:bidi="fa-IR"/>
        </w:rPr>
        <w:t xml:space="preserve">والمحقق العراقی فهم من تنزیل الأمارة منزلة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تنزیل من القسم الأول؛ لأنّ المشبه به أمر تکوینی وهو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ثمّ فرّع علیه أنه لابدّ أن یکون بلحاظ أهمّ آثاره، ویکون ذلک الأثر هو المجعول ولیس إلاّ الحکم التکلیفی بالإتّباع</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صحیح إن کان التنزیل من القسم الأول، إلاّ أنه یمکن أن</w:t>
      </w:r>
      <w:bookmarkStart w:id="428" w:name="pg16983_380841"/>
    </w:p>
    <w:p>
      <w:pPr>
        <w:pStyle w:val="BookText"/>
        <w:rPr/>
      </w:pPr>
      <w:bookmarkEnd w:id="428"/>
      <w:r>
        <w:rPr>
          <w:rFonts w:ascii="IRNazanin" w:hAnsi="IRNazanin" w:eastAsia="IRNazanin"/>
          <w:color w:val="111111"/>
          <w:sz w:val="28"/>
          <w:sz w:val="28"/>
          <w:szCs w:val="28"/>
          <w:rtl w:val="true"/>
          <w:lang w:bidi="fa-IR"/>
        </w:rPr>
        <w:t xml:space="preserve">یکون من القسم الثانی بالإلتفات إلی أنّ هناک حالاتٍ جُعِلَ فیها العلمُ الإعتباری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البیّنة حیث إنها ظن إلاّ أنها جعلت بیّنة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یمکن أن یکون تنزیل الأمارة من باب الجعل والتوسعة فی الوجود الإعتباری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المشبه به عنواناً تکوینیاً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التنزیل لفظیاً وبلحاظ أهمّ آثاره، وإنما إذا کان العنوان التکوینی له أفراد اعتباریة مجعولة أمکن أن یکون التنزیل بلحاظها، ومن ثمّ یکون من سنخ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بعض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کشهادة 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اعتبرت علماً وبیّنة، أمکن أن یکون تنزیل باقی الظنون من الأمارات من سنخ الجعل وتوسعة الوجود الإعتباری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والمتأمل فی کلمات المیرزا یجد قرائن علی أنه یفهم أنّ جعل الأمارة وضعی لا تنزیلی کی یطالب بالأثر</w:t>
      </w:r>
      <w:r>
        <w:rPr>
          <w:rFonts w:eastAsia="IRNazanin" w:cs="IRNazanin"/>
          <w:color w:val="111111"/>
          <w:sz w:val="28"/>
          <w:szCs w:val="28"/>
          <w:rtl w:val="true"/>
          <w:lang w:bidi="fa-IR"/>
        </w:rPr>
        <w:t>.</w:t>
      </w:r>
    </w:p>
    <w:p>
      <w:pPr>
        <w:pStyle w:val="Heading6"/>
        <w:numPr>
          <w:ilvl w:val="5"/>
          <w:numId w:val="1"/>
        </w:numPr>
        <w:rPr/>
      </w:pPr>
      <w:bookmarkStart w:id="429" w:name="__RefHeading___Toc3299904_1468164448"/>
      <w:bookmarkStart w:id="430" w:name="_Toc173"/>
      <w:bookmarkEnd w:id="429"/>
      <w:r>
        <w:rPr>
          <w:rtl w:val="true"/>
        </w:rPr>
        <w:t>الفرق بین مصحّح الجعل وأثره</w:t>
      </w:r>
      <w:bookmarkEnd w:id="430"/>
    </w:p>
    <w:p>
      <w:pPr>
        <w:pStyle w:val="BookText"/>
        <w:rPr/>
      </w:pPr>
      <w:r>
        <w:rPr>
          <w:rFonts w:ascii="IRNazanin" w:hAnsi="IRNazanin" w:eastAsia="IRNazanin"/>
          <w:color w:val="111111"/>
          <w:sz w:val="28"/>
          <w:sz w:val="28"/>
          <w:szCs w:val="28"/>
          <w:rtl w:val="true"/>
          <w:lang w:bidi="fa-IR"/>
        </w:rPr>
        <w:t>ویلاحظ علی الصیاغة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المتأخرین میّزوا بین مصحّح الجعل وأثره؛ حیث یکفی فی المصحّح أن یکون أثراً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الإستصحاب مثلاً ذکروا أنه لابدّ أن یجری إما فی أثر شرعی أو فی موضوع أثر شرعی، ولکنّه مع ذلک نجد أنّ الإستصحاب یجری فی الطهارة لتصحیح الصلاة مع أنه استصحاب فی مقام الإمتثال، مما أوجب أن یتنبه الأعلام لنکتة وهی أنه لیس شرطاً فی الإستصحاب أن یکون فی أثر أو موضوع أثر شرعی، وإنما شرط الجعل إما الأثر أو المصحّح وإن کان أثراً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جعل الأمارة علماً المصحّح، وهو الأثر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التنجیز والتعذیر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واللغویة مع عدم المصحّح لا مع عدم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وجود المصحّح لا یلزم وجود جعل تکلیفی جنباً إلی جنب جعل الأمارة علماً، فلا یثبت مطلوب المحقق العراقی</w:t>
      </w:r>
      <w:r>
        <w:rPr>
          <w:rFonts w:eastAsia="IRNazanin" w:cs="IRNazanin"/>
          <w:color w:val="111111"/>
          <w:sz w:val="28"/>
          <w:szCs w:val="28"/>
          <w:rtl w:val="true"/>
          <w:lang w:bidi="fa-IR"/>
        </w:rPr>
        <w:t>.</w:t>
      </w:r>
    </w:p>
    <w:p>
      <w:pPr>
        <w:pStyle w:val="Heading6"/>
        <w:numPr>
          <w:ilvl w:val="5"/>
          <w:numId w:val="1"/>
        </w:numPr>
        <w:rPr/>
      </w:pPr>
      <w:bookmarkStart w:id="431" w:name="__RefHeading___Toc3299906_1468164448"/>
      <w:bookmarkStart w:id="432" w:name="_Toc174"/>
      <w:bookmarkEnd w:id="431"/>
      <w:r>
        <w:rPr>
          <w:rtl w:val="true"/>
        </w:rPr>
        <w:t>المختار فی المسألة</w:t>
      </w:r>
      <w:bookmarkEnd w:id="432"/>
    </w:p>
    <w:p>
      <w:pPr>
        <w:pStyle w:val="BookText"/>
        <w:rPr/>
      </w:pPr>
      <w:r>
        <w:rPr>
          <w:rFonts w:ascii="IRNazanin" w:hAnsi="IRNazanin" w:eastAsia="IRNazanin"/>
          <w:color w:val="111111"/>
          <w:sz w:val="28"/>
          <w:sz w:val="28"/>
          <w:szCs w:val="28"/>
          <w:rtl w:val="true"/>
          <w:lang w:bidi="fa-IR"/>
        </w:rPr>
        <w:t>الحق مع المیرزا فی تفسیره لحقیقة جعل الحکم الظاهری، إمّا لامتناع الوجوه الأخری أو لعدم موافقتها للأدلّة الشرعیة؛ وذلک لأنّ الحکم الواقعی یتنجّز علی المکلّف بالعلم، وهذه قضیة عقلیة موضوعها الحکم الواقعی المعلوم ومحمولها التنجیز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جعلاً للتنجیز</w:t>
      </w:r>
      <w:bookmarkStart w:id="433" w:name="pg16983_380844"/>
    </w:p>
    <w:p>
      <w:pPr>
        <w:pStyle w:val="BookText"/>
        <w:rPr/>
      </w:pPr>
      <w:bookmarkEnd w:id="433"/>
      <w:r>
        <w:rPr>
          <w:rFonts w:ascii="IRNazanin" w:hAnsi="IRNazanin" w:eastAsia="IRNazanin"/>
          <w:color w:val="111111"/>
          <w:sz w:val="28"/>
          <w:sz w:val="28"/>
          <w:szCs w:val="28"/>
          <w:rtl w:val="true"/>
          <w:lang w:bidi="fa-IR"/>
        </w:rPr>
        <w:t>والتعذیر؛ لأنهما شأنان عقلیان، فی حین أنّ هذا الجعل لا یخرج عن کونه نیابة وبدیلاً عن القطع فی المنجّزیة والمعذّریة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ذکروا أنّ ملاک جعل الحجّة هو التنجیز والتعذیر، ومع هذا لا بد أن یکون الجعل للحیثیة التی تکون بدیلاً عن موضوع القضیة العقلیة وهو العلم</w:t>
      </w:r>
      <w:r>
        <w:rPr>
          <w:rFonts w:eastAsia="IRNazanin" w:cs="IRNazanin"/>
          <w:color w:val="111111"/>
          <w:sz w:val="28"/>
          <w:szCs w:val="28"/>
          <w:rtl w:val="true"/>
          <w:lang w:bidi="fa-IR"/>
        </w:rPr>
        <w:t>.</w:t>
      </w:r>
    </w:p>
    <w:p>
      <w:pPr>
        <w:pStyle w:val="Heading6"/>
        <w:numPr>
          <w:ilvl w:val="5"/>
          <w:numId w:val="1"/>
        </w:numPr>
        <w:rPr/>
      </w:pPr>
      <w:bookmarkStart w:id="434" w:name="__RefHeading___Toc3299908_1468164448"/>
      <w:bookmarkStart w:id="435" w:name="_Toc175"/>
      <w:bookmarkEnd w:id="434"/>
      <w:r>
        <w:rPr>
          <w:rtl w:val="true"/>
        </w:rPr>
        <w:t>عدم إمکان تصرف الشارع فی موضوع القضیة العقلیة</w:t>
      </w:r>
      <w:bookmarkEnd w:id="435"/>
    </w:p>
    <w:p>
      <w:pPr>
        <w:pStyle w:val="BookText"/>
        <w:rPr/>
      </w:pPr>
      <w:r>
        <w:rPr>
          <w:rFonts w:ascii="IRNazanin" w:hAnsi="IRNazanin" w:eastAsia="IRNazanin"/>
          <w:color w:val="111111"/>
          <w:sz w:val="28"/>
          <w:sz w:val="28"/>
          <w:szCs w:val="28"/>
          <w:rtl w:val="true"/>
          <w:lang w:bidi="fa-IR"/>
        </w:rPr>
        <w:t>إلاّ أنّ هذا البیان یواجه إشکالاً أشار إلیه الأعلام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کما لا یمکنه التصرف فی محمول القضیة العقلیة لأنه عقلی، کذا لا معنی للتصرف فی الموضوع، لأنّ العقل یحکم علی ضوء ما یراه هو موضوعاً وعلّة، وإلاّ لم یحکم</w:t>
      </w:r>
      <w:r>
        <w:rPr>
          <w:rFonts w:eastAsia="IRNazanin" w:cs="IRNazanin"/>
          <w:color w:val="111111"/>
          <w:sz w:val="28"/>
          <w:szCs w:val="28"/>
          <w:rtl w:val="true"/>
          <w:lang w:bidi="fa-IR"/>
        </w:rPr>
        <w:t>.</w:t>
      </w:r>
    </w:p>
    <w:p>
      <w:pPr>
        <w:pStyle w:val="Heading6"/>
        <w:numPr>
          <w:ilvl w:val="5"/>
          <w:numId w:val="1"/>
        </w:numPr>
        <w:rPr/>
      </w:pPr>
      <w:bookmarkStart w:id="436" w:name="__RefHeading___Toc3299910_1468164448"/>
      <w:bookmarkStart w:id="437" w:name="_Toc176"/>
      <w:bookmarkEnd w:id="436"/>
      <w:r>
        <w:rPr>
          <w:rtl w:val="true"/>
        </w:rPr>
        <w:t>جواب الأعلام</w:t>
      </w:r>
      <w:bookmarkEnd w:id="437"/>
    </w:p>
    <w:p>
      <w:pPr>
        <w:pStyle w:val="BookText"/>
        <w:rPr/>
      </w:pPr>
      <w:r>
        <w:rPr>
          <w:rFonts w:ascii="IRNazanin" w:hAnsi="IRNazanin" w:eastAsia="IRNazanin"/>
          <w:color w:val="111111"/>
          <w:sz w:val="28"/>
          <w:sz w:val="28"/>
          <w:szCs w:val="28"/>
          <w:rtl w:val="true"/>
          <w:lang w:bidi="fa-IR"/>
        </w:rPr>
        <w:t>وقد أجاب الأعلام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بالتنجیز والتعذیر من حکم العقل غیر المستقل المنبثق عن حکم الشرع وإرادته، وبالتالی فهو منوط بإرادة الشارع، فله أن یجعل بدائل للعلم فی استعلام شریعته، کما أنّ له أن یمنع من الإعتماد علی بعض حالات العلم کطریق إلی شرعیته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الإجابة غیر وافیة بعد أن کان إدراک العقل وحکمه قد علّقه علی العلم بحکم الشارع، فأیّ بدیل لا یکون علماً لا یعتنی به العقل، ومن ثمّ جاءت نظریة المیرزا جواباً وحلاً لهذا المشکل، حیث صوّرت أنّ بدائل الشارع قد اعتبرها علماً، ومن ثمّ یتحقق موضوع حکم العقل وهو العلم بالحکم الواقعی، ولکنّه علم تعبدی لا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المبانی الأخری فإن کانت فی صدد وضع تفسیر للحجّة بما أنها منجّزة للحکم الواقعی فهی غیر موفقة لعدم تصویرها وجود علم بالحکم الواقعی لا وجداناً ولا تعبداً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فی صدد وضع تفسیر بلحاظ تنجّز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یستبطن تنجیز الواقع بشکل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ممکنة ثبوتاً لوصول الحکم</w:t>
      </w:r>
      <w:bookmarkStart w:id="438" w:name="pg16983_380846"/>
    </w:p>
    <w:p>
      <w:pPr>
        <w:pStyle w:val="BookText"/>
        <w:rPr/>
      </w:pPr>
      <w:bookmarkEnd w:id="438"/>
      <w:r>
        <w:rPr>
          <w:rFonts w:ascii="IRNazanin" w:hAnsi="IRNazanin" w:eastAsia="IRNazanin"/>
          <w:color w:val="111111"/>
          <w:sz w:val="28"/>
          <w:sz w:val="28"/>
          <w:szCs w:val="28"/>
          <w:rtl w:val="true"/>
          <w:lang w:bidi="fa-IR"/>
        </w:rPr>
        <w:t xml:space="preserve">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إلاّ أنها خلاف ظاهر الأدلّة الدالّة علی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لاحظنا الأدلّة اللفظیة علی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أنّ ألسنتها مختلفة، فبعضها یدلّ علی الحکم المماثل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فعنّی 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 یدلّ علی أنه واجب الإتّباع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اشتهر بین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 یدل علی أن کنه الظاهری جعله علماً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ورابع علی أنه مفهوم الحجّیة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علیه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لمّا کانت کلّ هذه الأدلّة إمضائیة لا تأسیسیة، وتشیر إلی ما تبانی علیه العقلاء لابدّ من ملاحظة ما حصل علیه التبانی وهو جعل الأمارة علماً، بشهادة صحة الإحتجاج علی من قام عنده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یقم عندک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الإلتفات إلی أنّ الجعل لا یمکن أن یکون لکلّ الألسنة وإنما لواحد منها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هذا ما کنّا نبنی علیه سابقاً فی الأصول</w:t>
      </w:r>
      <w:r>
        <w:rPr>
          <w:rFonts w:eastAsia="IRNazanin" w:cs="IRNazanin"/>
          <w:color w:val="111111"/>
          <w:sz w:val="28"/>
          <w:szCs w:val="28"/>
          <w:rtl w:val="true"/>
          <w:lang w:bidi="fa-IR"/>
        </w:rPr>
        <w:t>.</w:t>
      </w:r>
    </w:p>
    <w:p>
      <w:pPr>
        <w:pStyle w:val="Heading6"/>
        <w:numPr>
          <w:ilvl w:val="5"/>
          <w:numId w:val="1"/>
        </w:numPr>
        <w:rPr/>
      </w:pPr>
      <w:bookmarkStart w:id="439" w:name="__RefHeading___Toc3299912_1468164448"/>
      <w:bookmarkStart w:id="440" w:name="_Toc177"/>
      <w:bookmarkEnd w:id="439"/>
      <w:r>
        <w:rPr>
          <w:rtl w:val="true"/>
        </w:rPr>
        <w:t>منجّزیة الإحتمال</w:t>
      </w:r>
      <w:bookmarkEnd w:id="4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لفتة رائعة ألفت إلیها الأعلام فی الأصول العملیة وهی أنّ صرف الإحتمال منجّز، ولا یرتفع تنجیزه إلاّ مع مؤمّن ومعذّر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حاجة إلی ادعاء أنّ الظن علم، وإنما نفس کونه ظناً منجّز، بل ذکرنا سابقاً أنّ الإحتمال درجة نازلة من العلم، وهو العلم</w:t>
      </w:r>
      <w:bookmarkStart w:id="441" w:name="pg16983_380848"/>
    </w:p>
    <w:p>
      <w:pPr>
        <w:pStyle w:val="BookText"/>
        <w:rPr/>
      </w:pPr>
      <w:bookmarkEnd w:id="441"/>
      <w:r>
        <w:rPr>
          <w:rFonts w:ascii="IRNazanin" w:hAnsi="IRNazanin" w:eastAsia="IRNazanin"/>
          <w:color w:val="111111"/>
          <w:sz w:val="28"/>
          <w:sz w:val="28"/>
          <w:szCs w:val="28"/>
          <w:rtl w:val="true"/>
          <w:lang w:bidi="fa-IR"/>
        </w:rPr>
        <w:t>التصوری فی قبال 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الواحد وأمثاله من الأمارات سیکون سبباً تکوینیاً فی حصول العلم التصوری بالواقع والذی یکفی فی حصول التنجیز</w:t>
      </w:r>
      <w:r>
        <w:rPr>
          <w:rFonts w:eastAsia="IRNazanin" w:cs="IRNazanin"/>
          <w:color w:val="111111"/>
          <w:sz w:val="28"/>
          <w:szCs w:val="28"/>
          <w:rtl w:val="true"/>
          <w:lang w:bidi="fa-IR"/>
        </w:rPr>
        <w:t>.</w:t>
      </w:r>
    </w:p>
    <w:p>
      <w:pPr>
        <w:pStyle w:val="Heading6"/>
        <w:numPr>
          <w:ilvl w:val="5"/>
          <w:numId w:val="1"/>
        </w:numPr>
        <w:rPr/>
      </w:pPr>
      <w:bookmarkStart w:id="442" w:name="__RefHeading___Toc3299914_1468164448"/>
      <w:bookmarkStart w:id="443" w:name="_Toc178"/>
      <w:bookmarkEnd w:id="442"/>
      <w:r>
        <w:rPr>
          <w:rtl w:val="true"/>
        </w:rPr>
        <w:t>ثمرات هذا المبنی</w:t>
      </w:r>
      <w:bookmarkEnd w:id="443"/>
    </w:p>
    <w:p>
      <w:pPr>
        <w:pStyle w:val="BookText"/>
        <w:rPr/>
      </w:pPr>
      <w:r>
        <w:rPr>
          <w:rFonts w:ascii="IRNazanin" w:hAnsi="IRNazanin" w:eastAsia="IRNazanin"/>
          <w:color w:val="111111"/>
          <w:sz w:val="28"/>
          <w:sz w:val="28"/>
          <w:szCs w:val="28"/>
          <w:rtl w:val="true"/>
          <w:lang w:bidi="fa-IR"/>
        </w:rPr>
        <w:t>هذا المبنی لو تمّ لا یواجه إشکال کیفیة تصرف الشارع فی القضیة العقلیة، ومن ثمّ لا یحتاج إلی إجابة السیّد الشاهرودی المتقدمة، کما أنّ هذا المبنی الذی ذکروه فی الأصول العملیة لا ینسجم مع محاولات الأعلام فی وضع تفسیر للحکم الظاهری لا یواجه إشکال ابن قبة وإشکال محذور التصرف فی القضیة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أنّ هذا المبنی سیجعل من مسار تصور الحجج شکلاً آخر غیر ما ذکره الأعلام</w:t>
      </w:r>
      <w:r>
        <w:rPr>
          <w:rFonts w:eastAsia="IRNazanin" w:cs="IRNazanin"/>
          <w:color w:val="111111"/>
          <w:sz w:val="28"/>
          <w:szCs w:val="28"/>
          <w:rtl w:val="true"/>
          <w:lang w:bidi="fa-IR"/>
        </w:rPr>
        <w:t>.</w:t>
      </w:r>
    </w:p>
    <w:p>
      <w:pPr>
        <w:pStyle w:val="Heading6"/>
        <w:numPr>
          <w:ilvl w:val="5"/>
          <w:numId w:val="1"/>
        </w:numPr>
        <w:rPr/>
      </w:pPr>
      <w:bookmarkStart w:id="444" w:name="__RefHeading___Toc3299916_1468164448"/>
      <w:bookmarkStart w:id="445" w:name="_Toc179"/>
      <w:bookmarkEnd w:id="444"/>
      <w:r>
        <w:rPr>
          <w:rtl w:val="true"/>
        </w:rPr>
        <w:t>تساؤلات حول مبنی منجّزیة الإحتمال</w:t>
      </w:r>
      <w:bookmarkEnd w:id="445"/>
    </w:p>
    <w:p>
      <w:pPr>
        <w:pStyle w:val="BookText"/>
        <w:rPr/>
      </w:pPr>
      <w:r>
        <w:rPr>
          <w:rFonts w:ascii="IRNazanin" w:hAnsi="IRNazanin" w:eastAsia="IRNazanin"/>
          <w:color w:val="111111"/>
          <w:sz w:val="28"/>
          <w:sz w:val="28"/>
          <w:szCs w:val="28"/>
          <w:rtl w:val="true"/>
          <w:lang w:bidi="fa-IR"/>
        </w:rPr>
        <w:t xml:space="preserve">القول بمنجّزیة مطلق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أضعف درجاته وهو العلم التصوری الوهمی باصطلاح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مجموعة من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نفسّر الأمارات علی ضوء هذا المسلک، حیث إنّه قد یقال بعدم الحاجة إلی جعل الحجّة الإعتباریة بعد أن کان الإحتمال منجّزاً، والأمارة بنفسها توجب الإحتمال تکویناً، فلا تحتاج إلی جعل شرعی، ومع تصویر الحاجة یقع السؤال عن حقیقة هذا الجعل؟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الملاک ثمّ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تفسیر جعل البراءة الشرعیة؟ إذ یقع السؤال عن طبیعة علاقتها مع العلم المنجّز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فائدة الإحتیاط الشرعی بعد أن کان الإحتمال منجّزاً؟</w:t>
      </w:r>
    </w:p>
    <w:p>
      <w:pPr>
        <w:pStyle w:val="BookText"/>
        <w:rPr/>
      </w:pPr>
      <w:r>
        <w:rPr>
          <w:rFonts w:ascii="IRNazanin" w:hAnsi="IRNazanin" w:eastAsia="IRNazanin"/>
          <w:color w:val="111111"/>
          <w:sz w:val="28"/>
          <w:sz w:val="28"/>
          <w:szCs w:val="28"/>
          <w:rtl w:val="true"/>
          <w:lang w:bidi="fa-IR"/>
        </w:rPr>
        <w:t>السؤال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نفلسف البراءة العقلیة، فهل هی من عرض إدراک العقل لمنجّزیة الإحتمال أو فی طوله وکیف؟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إمکان تصرّف الشارع مع</w:t>
      </w:r>
      <w:bookmarkStart w:id="446" w:name="pg16983_380850"/>
    </w:p>
    <w:p>
      <w:pPr>
        <w:pStyle w:val="BookText"/>
        <w:rPr/>
      </w:pPr>
      <w:bookmarkEnd w:id="446"/>
      <w:r>
        <w:rPr>
          <w:rFonts w:ascii="IRNazanin" w:hAnsi="IRNazanin" w:eastAsia="IRNazanin"/>
          <w:color w:val="111111"/>
          <w:sz w:val="28"/>
          <w:sz w:val="28"/>
          <w:szCs w:val="28"/>
          <w:rtl w:val="true"/>
          <w:lang w:bidi="fa-IR"/>
        </w:rPr>
        <w:t>الإحتمال، ومن ثمّ یتساءل لِمَ أمکن؟ مع أنّ الإحتمال منجّز عقلاً، ولم یمکن تصرفه فی العلم التصدیقی الجازم مع أنّ کلاًّ منهما منجّز ذاتاً؟</w:t>
      </w:r>
    </w:p>
    <w:p>
      <w:pPr>
        <w:pStyle w:val="BookText"/>
        <w:rPr/>
      </w:pPr>
      <w:r>
        <w:rPr>
          <w:rFonts w:ascii="IRNazanin" w:hAnsi="IRNazanin" w:eastAsia="IRNazanin"/>
          <w:color w:val="111111"/>
          <w:sz w:val="28"/>
          <w:sz w:val="28"/>
          <w:szCs w:val="28"/>
          <w:rtl w:val="true"/>
          <w:lang w:bidi="fa-IR"/>
        </w:rPr>
        <w:t>السؤال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الحجّیة والتنجیز فی الإحتمال والظن وما بعده من المراتب علی نسق واحد أو مشکک؟</w:t>
      </w:r>
    </w:p>
    <w:p>
      <w:pPr>
        <w:pStyle w:val="BookText"/>
        <w:rPr/>
      </w:pPr>
      <w:r>
        <w:rPr>
          <w:rFonts w:ascii="IRNazanin" w:hAnsi="IRNazanin" w:eastAsia="IRNazanin"/>
          <w:color w:val="111111"/>
          <w:sz w:val="28"/>
          <w:sz w:val="28"/>
          <w:szCs w:val="28"/>
          <w:rtl w:val="true"/>
          <w:lang w:bidi="fa-IR"/>
        </w:rPr>
        <w:t>السؤال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الإحتمال دوماً یقابله ترجیح الطرف الآخر، فلِمَ کان الإحتمال منجّزاً ولم یکن الترجیح المقابل له معذّراً مع أنه أقوی درجة منه</w:t>
      </w:r>
      <w:r>
        <w:rPr>
          <w:rFonts w:eastAsia="IRNazanin" w:cs="IRNazanin"/>
          <w:color w:val="111111"/>
          <w:sz w:val="28"/>
          <w:szCs w:val="28"/>
          <w:rtl w:val="true"/>
          <w:lang w:bidi="fa-IR"/>
        </w:rPr>
        <w:t>.</w:t>
      </w:r>
    </w:p>
    <w:p>
      <w:pPr>
        <w:pStyle w:val="Heading6"/>
        <w:numPr>
          <w:ilvl w:val="5"/>
          <w:numId w:val="1"/>
        </w:numPr>
        <w:rPr/>
      </w:pPr>
      <w:bookmarkStart w:id="447" w:name="__RefHeading___Toc3299918_1468164448"/>
      <w:bookmarkStart w:id="448" w:name="_Toc180"/>
      <w:bookmarkEnd w:id="447"/>
      <w:r>
        <w:rPr>
          <w:rtl w:val="true"/>
        </w:rPr>
        <w:t>الفرق بین نظریة حق الطاعة ونظریة منجّزیة الإحتمال</w:t>
      </w:r>
      <w:bookmarkEnd w:id="448"/>
    </w:p>
    <w:p>
      <w:pPr>
        <w:pStyle w:val="BookText"/>
        <w:rPr/>
      </w:pPr>
      <w:r>
        <w:rPr>
          <w:rFonts w:ascii="IRNazanin" w:hAnsi="IRNazanin" w:eastAsia="IRNazanin"/>
          <w:color w:val="111111"/>
          <w:sz w:val="28"/>
          <w:sz w:val="28"/>
          <w:szCs w:val="28"/>
          <w:rtl w:val="true"/>
          <w:lang w:bidi="fa-IR"/>
        </w:rPr>
        <w:t xml:space="preserve">قد یتصور أنّ نظریة الشهید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ما ذکره الأعلام فی الأصول العملیة من منجّزیة حتی الإحتمال، إلاّ أنّ الصحیح أنّ هذا التصور خاطئ، وأنّهما مسلکان متباینان، مع الإقرار بأنّ الشهید الصدر قد خطا خطوات إیجابیة بالقیاس إلی ما نظره الأعلام هنا، ولکنّه لم یبیّن حقیقة الحکم الظاهری، کما أنه لم یُجِب علی مجموعة من الأسئلة المتقدمة بالإضافة إلی ملاحظاتنا علی أصل نظریته</w:t>
      </w:r>
      <w:r>
        <w:rPr>
          <w:rFonts w:eastAsia="IRNazanin" w:cs="IRNazanin"/>
          <w:color w:val="111111"/>
          <w:sz w:val="28"/>
          <w:szCs w:val="28"/>
          <w:rtl w:val="true"/>
          <w:lang w:bidi="fa-IR"/>
        </w:rPr>
        <w:t>.</w:t>
      </w:r>
    </w:p>
    <w:p>
      <w:pPr>
        <w:pStyle w:val="Heading6"/>
        <w:numPr>
          <w:ilvl w:val="5"/>
          <w:numId w:val="1"/>
        </w:numPr>
        <w:rPr/>
      </w:pPr>
      <w:bookmarkStart w:id="449" w:name="__RefHeading___Toc3299920_1468164448"/>
      <w:bookmarkStart w:id="450" w:name="_Toc181"/>
      <w:bookmarkEnd w:id="449"/>
      <w:r>
        <w:rPr>
          <w:rtl w:val="true"/>
        </w:rPr>
        <w:t>بیان نظریة حق الطاعة</w:t>
      </w:r>
      <w:bookmarkEnd w:id="450"/>
    </w:p>
    <w:p>
      <w:pPr>
        <w:pStyle w:val="BookText"/>
        <w:rPr/>
      </w:pPr>
      <w:r>
        <w:rPr>
          <w:rFonts w:ascii="IRNazanin" w:hAnsi="IRNazanin" w:eastAsia="IRNazanin"/>
          <w:color w:val="111111"/>
          <w:sz w:val="28"/>
          <w:sz w:val="28"/>
          <w:szCs w:val="28"/>
          <w:rtl w:val="true"/>
          <w:lang w:bidi="fa-IR"/>
        </w:rPr>
        <w:t>ولابدّ من بیان نظریته کی یتبلور الفرق بینها وبین ما نظره الأعلام فی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الصدر یدّعی أنّ تفرقة الأعلام بین وجوب الطاعة والتنجیز فی غیر محلّها، وأنّ الصحیح هو أنّ التنجیز عین وجوب الطاعة، فالذی تجب طاعته هو الذی یستحق العقوبة علی مخالفته؛ لا ما ذکره الأعلام من أنّ وجوب الطاعة مرحلة سابقة علی مرحلة التنجیز ثبوتاً ومتأخرة عنها إثباتاً، لأنّ التنجیز هو الذی یکشف عنها کشفاً إنّیاً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خطّأ السیّد الصدر الأعلام فی جعلهم موضوعیة للکاشف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علی أساسها فرّقوا بین التنجیز ووجوب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w:t>
      </w:r>
      <w:bookmarkStart w:id="451" w:name="pg16983_380852"/>
    </w:p>
    <w:p>
      <w:pPr>
        <w:pStyle w:val="BookText"/>
        <w:rPr/>
      </w:pPr>
      <w:bookmarkEnd w:id="451"/>
      <w:r>
        <w:rPr>
          <w:rFonts w:ascii="IRNazanin" w:hAnsi="IRNazanin" w:eastAsia="IRNazanin"/>
          <w:color w:val="111111"/>
          <w:sz w:val="28"/>
          <w:sz w:val="28"/>
          <w:szCs w:val="28"/>
          <w:rtl w:val="true"/>
          <w:lang w:bidi="fa-IR"/>
        </w:rPr>
        <w:t xml:space="preserve">الصحیح هو أنّ الموضوعیة للمنکشف، وأنّ عیار التنجیز هو المحتمل، غایته أنّ وجوب الطاعة یختلف من مولی إلی آخر؛ ففی المولی العرفی وجوب طاعته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بتبعه یکون التنجیز متوسطاً، ومن ثمّ کان بحاجة إلی منجّز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بخلافه فی مولی الموالی فإنّ وجوب طاعته غایة فی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تنجیزه، ومن ثمّ یتحقق بأدنی احتمال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بعدئذ یناقش فی صحّة قبح العقاب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سبقه إلی ذلک المحقق الإصفهانی بحجّة أنّ الحسن والقبح اعتباریان لا عقلیان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الشهید الصدر لم یدخل فی المناقشة من خلال المحمول، وإنما من خلال الموضوع، حیث ذکر أنّ العدل و الظلم یعنیان عدم تجاوز الحق وتجاوزه، والحق أمر اعتباری؛ فالمحمول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الحسن والقبح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اعتباریان، فالقاعدة تجری فی الحقوق الإعتباریة، وهی مختصة حینئذ فی الموالی العرفیین، حیث إنّ حقوقهم اعتباریة، وأمّا مولی الموالی فحقه لمّا کان ذاتیاً فالإحتمال منجّز لأحکامه ولا تجری القاعدة فیها</w:t>
      </w:r>
      <w:r>
        <w:rPr>
          <w:rFonts w:eastAsia="IRNazanin" w:cs="IRNazanin"/>
          <w:color w:val="111111"/>
          <w:sz w:val="28"/>
          <w:szCs w:val="28"/>
          <w:rtl w:val="true"/>
          <w:lang w:bidi="fa-IR"/>
        </w:rPr>
        <w:t>.</w:t>
      </w:r>
    </w:p>
    <w:p>
      <w:pPr>
        <w:pStyle w:val="Heading6"/>
        <w:numPr>
          <w:ilvl w:val="5"/>
          <w:numId w:val="1"/>
        </w:numPr>
        <w:rPr/>
      </w:pPr>
      <w:bookmarkStart w:id="452" w:name="__RefHeading___Toc3299922_1468164448"/>
      <w:bookmarkStart w:id="453" w:name="_Toc182"/>
      <w:bookmarkEnd w:id="452"/>
      <w:r>
        <w:rPr>
          <w:rtl w:val="true"/>
        </w:rPr>
        <w:t>المناقشة فی نظریة حق الطاعة</w:t>
      </w:r>
      <w:bookmarkEnd w:id="453"/>
    </w:p>
    <w:p>
      <w:pPr>
        <w:pStyle w:val="BookText"/>
        <w:rPr/>
      </w:pPr>
      <w:r>
        <w:rPr>
          <w:rFonts w:ascii="IRNazanin" w:hAnsi="IRNazanin" w:eastAsia="IRNazanin"/>
          <w:color w:val="111111"/>
          <w:sz w:val="28"/>
          <w:sz w:val="28"/>
          <w:szCs w:val="28"/>
          <w:rtl w:val="true"/>
          <w:lang w:bidi="fa-IR"/>
        </w:rPr>
        <w:t>إلاّ أنه لم یُجِب عن معنی جعل الأمارات ومبرّره، وما هی حقیقته، إذ لا نحتاج إلی أکثر من مخصّص ومضیّق للبراءة الشرعیة، ولیس شرطاً أن یکون بصیغة الجعل، وإنما یمکن أن یکون بلسان التحدید؛ بالإضافة إلی أنّ ما ذکره من العینیة غیر مقبول، فإنّ استحقاق العقوبة غیر وجوب الطاعة الذی یعنی حق المولی علی العبد أن یطیعه؛ فإنّ الأول غیر منوط بالعلم، والثانی منوط به، وهذا دلیل المغایرة</w:t>
      </w:r>
      <w:r>
        <w:rPr>
          <w:rFonts w:eastAsia="IRNazanin" w:cs="IRNazanin"/>
          <w:color w:val="111111"/>
          <w:sz w:val="28"/>
          <w:szCs w:val="28"/>
          <w:rtl w:val="true"/>
          <w:lang w:bidi="fa-IR"/>
        </w:rPr>
        <w:t>.</w:t>
      </w:r>
    </w:p>
    <w:p>
      <w:pPr>
        <w:pStyle w:val="Heading6"/>
        <w:numPr>
          <w:ilvl w:val="5"/>
          <w:numId w:val="1"/>
        </w:numPr>
        <w:rPr/>
      </w:pPr>
      <w:bookmarkStart w:id="454" w:name="__RefHeading___Toc3299924_1468164448"/>
      <w:bookmarkStart w:id="455" w:name="_Toc183"/>
      <w:bookmarkEnd w:id="454"/>
      <w:r>
        <w:rPr>
          <w:rtl w:val="true"/>
        </w:rPr>
        <w:t>منشأ نظریة حق الطاعة</w:t>
      </w:r>
      <w:bookmarkEnd w:id="4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السبب فی تصوّر الشهید الصدر العینیة ما ذکر فی العقل العملی من أنّ حسن العدل واستحقاق المدح علیه، عین قبح الظلم</w:t>
      </w:r>
    </w:p>
    <w:p>
      <w:pPr>
        <w:pStyle w:val="BookText"/>
        <w:rPr/>
      </w:pPr>
      <w:r>
        <w:rPr>
          <w:rFonts w:ascii="IRNazanin" w:hAnsi="IRNazanin" w:eastAsia="IRNazanin"/>
          <w:color w:val="111111"/>
          <w:sz w:val="28"/>
          <w:sz w:val="28"/>
          <w:szCs w:val="28"/>
          <w:rtl w:val="true"/>
          <w:lang w:bidi="fa-IR"/>
        </w:rPr>
        <w:t>واستحقاق الذم علیه، واستحقاق الذم والمدح عند الشارع عقوبته ومثوبته وبما أنّ وجوب الطاعة یقصد منه حسن الطاعة واستحقاق المدح علیها، فهی عین قبح المعصیة واستحقاق الذم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الحق عدم العینیة، وأنها إدراکان وحکمان؛ فإنّ القبح معلّق علی العلم دون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شکر المنعم یترتب الکمال علی فاعله وإن لم یلتفت، وأمّا فی المعصیة فإنّها متقدمة بالطغیان والجموح والعصیان، وکلّها متقومة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یعنی الکمالات، والقبح یعنی الدرکات، فهما شیئان لا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هما حکمان یترتب التنجیز فیهما علی وجوب الطاعة، ولیسا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التنجیز وإن أخذ فیه الواقع الواصل فالمحتمل غیر مغفول عنه، ولکن لابدّ من الوصول، فهو جزء من موضوع التنجیز وبدونه لا یتحقق التنجیز، بخلافه فی 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أنّ الحق اعتباری، ومن ثمّ بنی علی اعتباریة قاعدة القبح، فجوابه قد تقدّم فی بحث القطع، حیث ألفتنا إلی أنّ الحق تکوینی فلا یصلح دلیلاً علی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ألفت إلیه من عدم أهمیة تحدید وبیان حقیقة الجعل فی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المبانی تبرز أهمیة الواقع عند الشارع، ومن ثمّ یکفی ذلک فی 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أنّ العلم الحاصل باهتمام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یعنی العلم بجعل الإحتیاط الشرعی، فهو حکم ظاهری یرد علیه ما أوردناه علی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یعنی العلم بجعلها علماً اعتباریاً، فهو یرجع إلی مبنی المیرزا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یوجب العلم الوجدانی فهو یرجع إلی کلام السیّد الشاهرودی وقد أوضحنا ما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یرجع إلی الإحتیاط العقلی فجوابه أنّ المجعول نفسه</w:t>
      </w:r>
      <w:bookmarkStart w:id="456" w:name="pg16983_380857"/>
    </w:p>
    <w:p>
      <w:pPr>
        <w:pStyle w:val="BookText"/>
        <w:rPr/>
      </w:pPr>
      <w:bookmarkEnd w:id="456"/>
      <w:r>
        <w:rPr>
          <w:rFonts w:ascii="IRNazanin" w:hAnsi="IRNazanin" w:eastAsia="IRNazanin"/>
          <w:color w:val="111111"/>
          <w:sz w:val="28"/>
          <w:sz w:val="28"/>
          <w:szCs w:val="28"/>
          <w:rtl w:val="true"/>
          <w:lang w:bidi="fa-IR"/>
        </w:rPr>
        <w:t>منجّز لا الإحتیاط العقلی، ومن ثمّ یتضح أهمیة بیان حقیقة الجعل، وإن کان کلام الشهید الصدر یعالج إشکال ابن قبة علی صعید الملاک</w:t>
      </w:r>
      <w:r>
        <w:rPr>
          <w:rFonts w:eastAsia="IRNazanin" w:cs="IRNazanin"/>
          <w:color w:val="111111"/>
          <w:sz w:val="28"/>
          <w:szCs w:val="28"/>
          <w:rtl w:val="true"/>
          <w:lang w:bidi="fa-IR"/>
        </w:rPr>
        <w:t>.</w:t>
      </w:r>
    </w:p>
    <w:p>
      <w:pPr>
        <w:pStyle w:val="Heading6"/>
        <w:numPr>
          <w:ilvl w:val="5"/>
          <w:numId w:val="1"/>
        </w:numPr>
        <w:rPr/>
      </w:pPr>
      <w:bookmarkStart w:id="457" w:name="__RefHeading___Toc3299926_1468164448"/>
      <w:bookmarkStart w:id="458" w:name="_Toc184"/>
      <w:bookmarkEnd w:id="457"/>
      <w:r>
        <w:rPr>
          <w:rtl w:val="true"/>
        </w:rPr>
        <w:t>مدّعیاتنا</w:t>
      </w:r>
      <w:bookmarkEnd w:id="458"/>
    </w:p>
    <w:p>
      <w:pPr>
        <w:pStyle w:val="BookText"/>
        <w:rPr/>
      </w:pPr>
      <w:r>
        <w:rPr>
          <w:rFonts w:ascii="IRNazanin" w:hAnsi="IRNazanin" w:eastAsia="IRNazanin"/>
          <w:color w:val="111111"/>
          <w:sz w:val="28"/>
          <w:sz w:val="28"/>
          <w:szCs w:val="28"/>
          <w:rtl w:val="true"/>
          <w:lang w:bidi="fa-IR"/>
        </w:rPr>
        <w:t>مدّعیاتنا التی تجیب عن ما تقدّم من التساؤلات وترسم خارطة الحجج، ومن ثمّ یظهر الفرق مع ما نظّره الشهید الصدر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التنجیز دوماً تکوینی ولیس بالجعل، ویحصل حتی مع الإحتمال، وأنه لیس متواطیاً وبدرجة واحدة، وإنما مشکک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الشارع اعتبر الأمارات وجعلها، وحقیقة هذا الجعل جعلها علماً، ولکنّه لیس تصرفاً فی التنجیز، لا فی محموله ولا فی موضوعه، وإنما تصرف فی قضیة شرعیة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قبح العقاب بلا بیان لیست عقلیة، وإنما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ببیان الشیخ الإصفهانی ولا ببیان السیّد الصدر، وإنما ببیان آخر ألفت إلیه فی الجملة المیرزا الکبیر، وبالتالی فالبراءة الشرعیة إمضاء لها</w:t>
      </w:r>
      <w:r>
        <w:rPr>
          <w:rFonts w:eastAsia="IRNazanin" w:cs="IRNazanin"/>
          <w:color w:val="111111"/>
          <w:sz w:val="28"/>
          <w:szCs w:val="28"/>
          <w:rtl w:val="true"/>
          <w:lang w:bidi="fa-IR"/>
        </w:rPr>
        <w:t>.</w:t>
      </w:r>
    </w:p>
    <w:p>
      <w:pPr>
        <w:pStyle w:val="Heading6"/>
        <w:numPr>
          <w:ilvl w:val="5"/>
          <w:numId w:val="1"/>
        </w:numPr>
        <w:rPr/>
      </w:pPr>
      <w:bookmarkStart w:id="459" w:name="__RefHeading___Toc3299928_1468164448"/>
      <w:bookmarkStart w:id="460" w:name="_Toc185"/>
      <w:bookmarkEnd w:id="459"/>
      <w:r>
        <w:rPr>
          <w:rtl w:val="true"/>
        </w:rPr>
        <w:t>الإستدلال علی المدّعیات</w:t>
      </w:r>
      <w:bookmarkEnd w:id="460"/>
    </w:p>
    <w:p>
      <w:pPr>
        <w:pStyle w:val="BookText"/>
        <w:rPr/>
      </w:pPr>
      <w:r>
        <w:rPr>
          <w:rFonts w:ascii="IRNazanin" w:hAnsi="IRNazanin" w:eastAsia="IRNazanin"/>
          <w:color w:val="111111"/>
          <w:sz w:val="28"/>
          <w:sz w:val="28"/>
          <w:szCs w:val="28"/>
          <w:rtl w:val="true"/>
          <w:lang w:bidi="fa-IR"/>
        </w:rPr>
        <w:t>ویبدأ من بیان علاقة البراءة الشرعیة مع الحکم الواقعی، وأنه کما ذکر الآخوند قید شرعی فی الفعلیة التامة للحکم الشرعی، بمعنی أنها رفع شرعی لعزیمة الحکم الواقعی، حیث لا طریق للجمع بینها وبینه إلاّ بهذه الکیفیة، بعد أن کان الحکم فعلیاً من قبل المولی لتمامیة ملاکه بتحقق قیود الإتصاف، وبعد أن لم یمکن التصرف فی الأطوار العقلیة للحکم لا موضوعاً ولا محمولاً، خلافاً لما تقدم منّا من إمکان التصرف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فالإحتمال منجّز ولکن علی شرط أن یکون المحتمل هو الحکم الشرعی الفعلی التام، فإنه هو الذی یکون فاعلاً وبالتالی منجّزاً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مورد البراءة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القصوری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حکم</w:t>
      </w:r>
      <w:bookmarkStart w:id="461" w:name="pg16983_380859"/>
    </w:p>
    <w:p>
      <w:pPr>
        <w:pStyle w:val="BookText"/>
        <w:rPr/>
      </w:pPr>
      <w:bookmarkEnd w:id="461"/>
      <w:r>
        <w:rPr>
          <w:rFonts w:ascii="IRNazanin" w:hAnsi="IRNazanin" w:eastAsia="IRNazanin"/>
          <w:color w:val="111111"/>
          <w:sz w:val="28"/>
          <w:sz w:val="28"/>
          <w:szCs w:val="28"/>
          <w:rtl w:val="true"/>
          <w:lang w:bidi="fa-IR"/>
        </w:rPr>
        <w:t>فعلی تام کی یکون منجّزاً؛ لأنّ الفعلی التام مقید شرعاً بعدم الجهل التصدیقی تقصیراً، فمع العلم التصوری لم یتحقق القید، فلم یکن الحکم فعلیاً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التصویر لا یلزم منه التصویب بعد أن کان ملاک الواقع علی ما هو علیه من دون أیّ تصرف فیه</w:t>
      </w:r>
      <w:r>
        <w:rPr>
          <w:rFonts w:eastAsia="IRNazanin" w:cs="IRNazanin"/>
          <w:color w:val="111111"/>
          <w:sz w:val="28"/>
          <w:szCs w:val="28"/>
          <w:rtl w:val="true"/>
          <w:lang w:bidi="fa-IR"/>
        </w:rPr>
        <w:t>.</w:t>
      </w:r>
    </w:p>
    <w:p>
      <w:pPr>
        <w:pStyle w:val="Heading6"/>
        <w:numPr>
          <w:ilvl w:val="5"/>
          <w:numId w:val="1"/>
        </w:numPr>
        <w:rPr/>
      </w:pPr>
      <w:bookmarkStart w:id="462" w:name="__RefHeading___Toc3299930_1468164448"/>
      <w:bookmarkStart w:id="463" w:name="_Toc186"/>
      <w:bookmarkEnd w:id="462"/>
      <w:r>
        <w:rPr>
          <w:rtl w:val="true"/>
        </w:rPr>
        <w:t>الجمع بین إدراک العقل للبراء وإدراکه لمنجّزیة الإحتمال</w:t>
      </w:r>
      <w:bookmarkEnd w:id="463"/>
    </w:p>
    <w:p>
      <w:pPr>
        <w:pStyle w:val="BookText"/>
        <w:rPr/>
      </w:pPr>
      <w:r>
        <w:rPr>
          <w:rFonts w:ascii="IRNazanin" w:hAnsi="IRNazanin" w:eastAsia="IRNazanin"/>
          <w:color w:val="111111"/>
          <w:sz w:val="28"/>
          <w:sz w:val="28"/>
          <w:szCs w:val="28"/>
          <w:rtl w:val="true"/>
          <w:lang w:bidi="fa-IR"/>
        </w:rPr>
        <w:t>وأمّا البراءة العقلیة فهی تواجه إشکالاً عویصاً أشار إلیه الأعلام فی آخر بحث البراءة، وأشرنا إلیه فی التساؤلات، وهو أنه کیف نفسّر إدراک العقل للبراءة وقبح العقاب مع إدراکه لمنجّزیة الإحتمال واستحقاق العقوبة معه ووجوب دفع الضرر المحتمل؟</w:t>
      </w:r>
    </w:p>
    <w:p>
      <w:pPr>
        <w:pStyle w:val="Heading6"/>
        <w:numPr>
          <w:ilvl w:val="5"/>
          <w:numId w:val="1"/>
        </w:numPr>
        <w:rPr/>
      </w:pPr>
      <w:bookmarkStart w:id="464" w:name="__RefHeading___Toc3299932_1468164448"/>
      <w:bookmarkStart w:id="465" w:name="_Toc187"/>
      <w:bookmarkEnd w:id="464"/>
      <w:r>
        <w:rPr>
          <w:rtl w:val="true"/>
        </w:rPr>
        <w:t>المقصود من البیان</w:t>
      </w:r>
      <w:bookmarkEnd w:id="465"/>
    </w:p>
    <w:p>
      <w:pPr>
        <w:pStyle w:val="BookText"/>
        <w:rPr/>
      </w:pPr>
      <w:r>
        <w:rPr>
          <w:rFonts w:ascii="IRNazanin" w:hAnsi="IRNazanin" w:eastAsia="IRNazanin"/>
          <w:color w:val="111111"/>
          <w:sz w:val="28"/>
          <w:sz w:val="28"/>
          <w:szCs w:val="28"/>
          <w:rtl w:val="true"/>
          <w:lang w:bidi="fa-IR"/>
        </w:rPr>
        <w:t xml:space="preserve">وقد تصدّی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عن هذا الإشکال، فکانت النتیجة أجوبة متعددة إلاّ أنّ عمدتها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البیان لیس مطلق العلم حتی التصوری الإحتمالی بعد الفحص، وإنما ما تبانی علیه العقلاء وسیلة للتفهیم والتفاهم، وهو العلم التصدیقی النوعی الموضوع فی أیدی عموم الناس بحیث یمکنهم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التصوری لیس بیاناً، وکذلک العلم التصدیقی الذی لا یتمّ الحصول علیه بالفحص لیس بیاناً، ومن ثمّ فلو فحص عن العلم التصدیقی بالنحو المتعارف ولم یحصل علیه کان بلا بیان، فیقبح معاقبته وإن حصل له علم تصوری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دقّقنا فی هذه الإجابة لوجدنا أنها تحلّل القاعدة إلی قضیتین، عقلیة مترتبة علی قضیة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العقلیة هی قبح العقاب بلا حکم إلزامی موجود، والعقلائیة هی أنّ إلزامیة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فعلیته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بالعلم التصدیقی الموضوع فی أیدی عموم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هذه القاعدة إلی الإحتمال المنجّز کنسبة البراءة الشرعیة إلی الإحتمال المذکور، بل إنّ البراءة الشرعیة إمضاء لما بنی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لا تتدافع البراءة مع وجوب دفع الضرر المحتمل؛ إذ لا ضرر</w:t>
      </w:r>
    </w:p>
    <w:p>
      <w:pPr>
        <w:pStyle w:val="BookText"/>
        <w:rPr/>
      </w:pPr>
      <w:r>
        <w:rPr>
          <w:rFonts w:ascii="IRNazanin" w:hAnsi="IRNazanin" w:eastAsia="IRNazanin"/>
          <w:color w:val="111111"/>
          <w:sz w:val="28"/>
          <w:sz w:val="28"/>
          <w:szCs w:val="28"/>
          <w:rtl w:val="true"/>
          <w:lang w:bidi="fa-IR"/>
        </w:rPr>
        <w:t>محتمل فی مورد البراءة لعدم وجود حکم إلزامی محتمل الذی هو موضوع البراءة العقلیة، وعدم الحکم الإلزامی الفعلی التام لعدم توفّر قیده، وهو العلم الخاص الذی أخذه العقلاء قیداً، وکان للشارع أن یتخطی بناء العقلاء هذا فلا یمضیه ویجعل الإحتیاط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فُهمَ السرّ فی جعل البراءة شرعاً، حیث کان له الردع عن البراءة العقلائیة وجعل العکس وهو جعل الإحتیاط منجّزاً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ومنه یبزغ ضرورة جعل الأمارة بل وجعلها علماً، من أجل أن یوفّر الشارع قید الفعلیة التامة وهو العلم، فهی تعبدات بلحاظ القضایا</w:t>
      </w:r>
    </w:p>
    <w:p>
      <w:pPr>
        <w:pStyle w:val="BookText"/>
        <w:rPr/>
      </w:pPr>
      <w:r>
        <w:rPr>
          <w:rFonts w:ascii="IRNazanin" w:hAnsi="IRNazanin" w:eastAsia="IRNazanin"/>
          <w:color w:val="111111"/>
          <w:sz w:val="28"/>
          <w:sz w:val="28"/>
          <w:szCs w:val="28"/>
          <w:rtl w:val="true"/>
          <w:lang w:bidi="fa-IR"/>
        </w:rPr>
        <w:t>الشرعیة، لا بلحاظ القضیة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السبب فی عدم کون الإحتمال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لاحتمال الحکم الفعلی المتنجز والذی هو الإحتمال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معذراً؛ حیث إنّ منجّزیة الإحتمال حتی الضعیف لا تکون إلاّ مع فرض اعتبار الطریق وجعله حتی یکون المحتمل هو الحکم الفعلی، وفی مثل هذه الحالة لا یقابله إلاّ احتمال عدم وجود الحکم من رأس؛ إذ لا یعقل احتمال الفعلی الناقص بعد فرض أنّ الطریق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فیختص الإحتمال المعذّر فی ما إذا کان متعلّقه غیر الفعلی التام، ولم یکن الفعلی التام محتملاً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یکون احتمال الحکم الفعلی منجّزاً، ومعناه احتمال الحکم</w:t>
      </w:r>
      <w:bookmarkStart w:id="466" w:name="pg16983_380863"/>
    </w:p>
    <w:p>
      <w:pPr>
        <w:pStyle w:val="BookText"/>
        <w:rPr/>
      </w:pPr>
      <w:bookmarkEnd w:id="466"/>
      <w:r>
        <w:rPr>
          <w:rFonts w:ascii="IRNazanin" w:hAnsi="IRNazanin" w:eastAsia="IRNazanin"/>
          <w:color w:val="111111"/>
          <w:sz w:val="28"/>
          <w:sz w:val="28"/>
          <w:szCs w:val="28"/>
          <w:rtl w:val="true"/>
          <w:lang w:bidi="fa-IR"/>
        </w:rPr>
        <w:t>المعلوم تعبداً أو وجداناً، وهو لا یخلو من تهافت خاصة فی العلم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تقیید العلم بالنوعی أو ما یمکن حصوله قد تنحلّ المشکلة؟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الوجدانی بالحکم الواقعی لا معنی للإحتمال المنجّز لوجود العلم، وفی العلم التعبدی فلا یوجد غیر احتمال الحکم الواقعی کی یکون منجّزاً، إذ مع العلم التعبدی لا نعلم بالحکم الواقعی الفعلی وجداناً، وإنما نحتمله وجداناً لا أکثر لاحتمال خطأ العلم، فلا فعلیة تامة عندئذ</w:t>
      </w:r>
      <w:r>
        <w:rPr>
          <w:rFonts w:eastAsia="IRNazanin" w:cs="IRNazanin"/>
          <w:color w:val="111111"/>
          <w:sz w:val="28"/>
          <w:szCs w:val="28"/>
          <w:rtl w:val="true"/>
          <w:lang w:bidi="fa-IR"/>
        </w:rPr>
        <w:t xml:space="preserve">. </w:t>
      </w:r>
      <w:r>
        <w:rPr>
          <w:rStyle w:val="FootnoteAnchor"/>
          <w:rtl w:val="true"/>
        </w:rPr>
        <w:footnoteReference w:id="40"/>
      </w:r>
    </w:p>
    <w:p>
      <w:pPr>
        <w:pStyle w:val="Heading6"/>
        <w:numPr>
          <w:ilvl w:val="5"/>
          <w:numId w:val="1"/>
        </w:numPr>
        <w:rPr/>
      </w:pPr>
      <w:bookmarkStart w:id="467" w:name="__RefHeading___Toc3299934_1468164448"/>
      <w:bookmarkStart w:id="468" w:name="_Toc188"/>
      <w:bookmarkEnd w:id="467"/>
      <w:r>
        <w:rPr>
          <w:rtl w:val="true"/>
        </w:rPr>
        <w:t>ثمرات نظریتنا</w:t>
      </w:r>
      <w:bookmarkEnd w:id="468"/>
    </w:p>
    <w:p>
      <w:pPr>
        <w:pStyle w:val="BookText"/>
        <w:rPr/>
      </w:pPr>
      <w:r>
        <w:rPr>
          <w:rFonts w:ascii="IRNazanin" w:hAnsi="IRNazanin" w:eastAsia="IRNazanin"/>
          <w:color w:val="111111"/>
          <w:sz w:val="28"/>
          <w:sz w:val="28"/>
          <w:szCs w:val="28"/>
          <w:rtl w:val="true"/>
          <w:lang w:bidi="fa-IR"/>
        </w:rPr>
        <w:t>ثمّ إنّ هناک مشکلات أخری ستنحلّ علی ضوء ما نظّرناه فی المقام، لم نشر إلیها فی التساؤلات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حیث وقع الأعلام فی مشکلة من حیث تخریج لزومه ومنجّزیته بعد أن کان دلیل البراءة مطلقاً، فی حین أنا لا نواجه مثل هذه المشکلة علی نظریتنا؛ لأنّ جعل البراءة لا إطلاق فیه</w:t>
      </w:r>
      <w:bookmarkStart w:id="469" w:name="pg16983_380865"/>
    </w:p>
    <w:p>
      <w:pPr>
        <w:pStyle w:val="BookText"/>
        <w:rPr/>
      </w:pPr>
      <w:bookmarkEnd w:id="469"/>
      <w:r>
        <w:rPr>
          <w:rFonts w:ascii="IRNazanin" w:hAnsi="IRNazanin" w:eastAsia="IRNazanin"/>
          <w:color w:val="111111"/>
          <w:sz w:val="28"/>
          <w:sz w:val="28"/>
          <w:szCs w:val="28"/>
          <w:rtl w:val="true"/>
          <w:lang w:bidi="fa-IR"/>
        </w:rPr>
        <w:t>وإنما هو لبیان أنّ العلم الخاص قید الفعلیة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الإحتمال منجّزاً لا مؤونة کبیرة فی التدلیل علی منجّزیة العلم الإجمالی، حیث یتکفل التنجیز أصل الإحتمال، وأمّا العلم فله فائدة أخری وهی أنه یسبّب تعارض الأصول، بل إنّ مبنی منجّزیة الإحتمال یساهم فی حسم الخلاف فی أنّ التنجیز بنحو الإقتضاء أو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الطریقیة التی لا تکون بیاناً للواقع علی مستوی الصیاغة القانونیة، وإن کانت ملاکاً من أجل الواقع، ستکون هی المنجّزة بالعلم الوجدانی بها، وتنجّزها تنجّز للواقع لبّاً وملاکاً علی فرض إصابتها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من فسّر حقیقة جعل الأمارة بأنها جعل الحکم الطریقی سیکون المنجّز قانوناً هو الحکم الطریقی لا الواقع، وإن کان یستبطن لبّاً تنجیز الواقع بعد وجود العلم الوجدانی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عقلائیة مخصوصة بالأحکام العقلائیة، فلا تعذر فی الأحکام الشرعیة، نعم حیث إنّ الشارع أمضی تلک البراءة وحذا حذوهم فی أحکامه کان التعذیر شرعیاً</w:t>
      </w:r>
      <w:r>
        <w:rPr>
          <w:rFonts w:eastAsia="IRNazanin" w:cs="IRNazanin"/>
          <w:color w:val="111111"/>
          <w:sz w:val="28"/>
          <w:szCs w:val="28"/>
          <w:rtl w:val="true"/>
          <w:lang w:bidi="fa-IR"/>
        </w:rPr>
        <w:t>.</w:t>
      </w:r>
    </w:p>
    <w:p>
      <w:pPr>
        <w:pStyle w:val="Heading6"/>
        <w:numPr>
          <w:ilvl w:val="5"/>
          <w:numId w:val="1"/>
        </w:numPr>
        <w:rPr/>
      </w:pPr>
      <w:bookmarkStart w:id="470" w:name="__RefHeading___Toc3299936_1468164448"/>
      <w:bookmarkStart w:id="471" w:name="_Toc189"/>
      <w:bookmarkEnd w:id="470"/>
      <w:r>
        <w:rPr>
          <w:rtl w:val="true"/>
        </w:rPr>
        <w:t>عود إلی شبهة ابن قبة</w:t>
      </w:r>
      <w:bookmarkEnd w:id="471"/>
    </w:p>
    <w:p>
      <w:pPr>
        <w:pStyle w:val="BookText"/>
        <w:rPr/>
      </w:pPr>
      <w:r>
        <w:rPr>
          <w:rFonts w:ascii="IRNazanin" w:hAnsi="IRNazanin" w:eastAsia="IRNazanin"/>
          <w:color w:val="111111"/>
          <w:sz w:val="28"/>
          <w:sz w:val="28"/>
          <w:szCs w:val="28"/>
          <w:rtl w:val="true"/>
          <w:lang w:bidi="fa-IR"/>
        </w:rPr>
        <w:t xml:space="preserve">إنّ المبنی الذی اخترناه فی حقیقة جعل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جعلها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یعالج المحذور علی مستوی الحکم والإرادة؛ إذ لا حکم ظاهری متعلّق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تعلّق به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یصطدم الحکمان أو الإرادتان، ولکنّه قاصر عن حلّ الشبهة علی صعید الملاک، وقد سبق أنّ المصلحة السلوکیة حلّ جیّد للمشکلة فی الملاک وتدلّ علیه الروایات</w:t>
      </w:r>
      <w:r>
        <w:rPr>
          <w:rFonts w:eastAsia="IRNazanin" w:cs="IRNazanin"/>
          <w:color w:val="111111"/>
          <w:sz w:val="28"/>
          <w:szCs w:val="28"/>
          <w:rtl w:val="true"/>
          <w:lang w:bidi="fa-IR"/>
        </w:rPr>
        <w:t>.</w:t>
      </w:r>
    </w:p>
    <w:p>
      <w:pPr>
        <w:pStyle w:val="Heading6"/>
        <w:numPr>
          <w:ilvl w:val="5"/>
          <w:numId w:val="1"/>
        </w:numPr>
        <w:rPr/>
      </w:pPr>
      <w:bookmarkStart w:id="472" w:name="__RefHeading___Toc3299938_1468164448"/>
      <w:bookmarkStart w:id="473" w:name="_Toc190"/>
      <w:bookmarkEnd w:id="472"/>
      <w:r>
        <w:rPr>
          <w:rtl w:val="true"/>
        </w:rPr>
        <w:t>أقسام التزاحم</w:t>
      </w:r>
      <w:bookmarkEnd w:id="4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حلّ آخر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إلیه الشیخ العراقی وبلوره الشهید</w:t>
      </w:r>
    </w:p>
    <w:p>
      <w:pPr>
        <w:pStyle w:val="BookText"/>
        <w:rPr/>
      </w:pP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التزاحم تارة یکون إمتثالیاً، وهو الذی یکون بین الأطوار العقلیة للحکم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الفاعلیة أو 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لا یتکفل الشارع علاجه، وإنما متروک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یکون التزاحم ملاکیاً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 إلیه الآخوند فی مسألة اجتماع الأمر والنهی وشیّدناه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بین الحکمین فی طورهما الشرعی الفعلیة التامة، وقد یظهر من کلمات الآخوند أنه فی الفعلیة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یکون التزاحم حفظیاً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اصطلاح السیّد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تزاحم ملاکی من صنف آخر وهو أنّ بعض الأحکام الواقعیة تکون ملاکاتها بدرجة من الأهمیة تجعل الشارع یبادر إلی حفظها حتی فی ظرف جهل المکلّفین بعد أن وجد أنّ الإنشاء الواقعی وإن لم یقید قانوناً بالعلم إلاّ أنه لبّاً وواقعاً وعملاً لا یتحفظ علی الملاک إلاّ فی ظرف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کما فی مثل الدماء والفروج عند الجمیع، والأموال عند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قبال بعض الملاکات الملزمة والتی لا تستدعی إلاّ إنشاء حکم شرعی واقعی علی ضوئها لا غیر، أو أنّ التحفظ علیها فی ظرف الجهل یسبب ضیاع الأهم فی أفعال أخری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الأساس جاء تشریع الحکم الظاهری، ومعه لا یبقی لشبهة ابن قبة علی صعید الملاک موقع</w:t>
      </w:r>
      <w:r>
        <w:rPr>
          <w:rFonts w:eastAsia="IRNazanin" w:cs="IRNazanin"/>
          <w:color w:val="111111"/>
          <w:sz w:val="28"/>
          <w:szCs w:val="28"/>
          <w:rtl w:val="true"/>
          <w:lang w:bidi="fa-IR"/>
        </w:rPr>
        <w:t>.</w:t>
      </w:r>
      <w:r>
        <w:rPr>
          <w:rStyle w:val="FootnoteAnchor"/>
          <w:rtl w:val="true"/>
        </w:rPr>
        <w:footnoteReference w:id="41"/>
      </w:r>
      <w:bookmarkStart w:id="474" w:name="pg16983_380869"/>
    </w:p>
    <w:p>
      <w:pPr>
        <w:pStyle w:val="BookText"/>
        <w:rPr/>
      </w:pPr>
      <w:bookmarkEnd w:id="474"/>
      <w:r>
        <w:rPr>
          <w:rFonts w:ascii="IRNazanin" w:hAnsi="IRNazanin" w:eastAsia="IRNazanin"/>
          <w:color w:val="111111"/>
          <w:sz w:val="28"/>
          <w:sz w:val="28"/>
          <w:szCs w:val="28"/>
          <w:rtl w:val="true"/>
          <w:lang w:bidi="fa-IR"/>
        </w:rPr>
        <w:t>وبعض فسّر التزاحم الحفظی بالتزاحم بین الأحکام الملزمة وغیر الملزمة، وأنّ الحیطة فی کلّ حکم فی ظرف الجهل متعذر أو متعسر، فیوظفها ا لشارع من خلال جعل الحجّة لحفظ الأحکام الإلزامیة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التفسیر یرجع إلی التزاحم الحفظی الإحرازی، وهو التزاحم فی مقام إحراز الإمتثال</w:t>
      </w:r>
      <w:r>
        <w:rPr>
          <w:rFonts w:eastAsia="IRNazanin" w:cs="IRNazanin"/>
          <w:color w:val="111111"/>
          <w:sz w:val="28"/>
          <w:szCs w:val="28"/>
          <w:rtl w:val="true"/>
          <w:lang w:bidi="fa-IR"/>
        </w:rPr>
        <w:t>.</w:t>
      </w:r>
    </w:p>
    <w:p>
      <w:pPr>
        <w:pStyle w:val="Heading6"/>
        <w:numPr>
          <w:ilvl w:val="5"/>
          <w:numId w:val="1"/>
        </w:numPr>
        <w:rPr/>
      </w:pPr>
      <w:bookmarkStart w:id="475" w:name="__RefHeading___Toc3299940_1468164448"/>
      <w:bookmarkStart w:id="476" w:name="_Toc191"/>
      <w:bookmarkEnd w:id="475"/>
      <w:r>
        <w:rPr>
          <w:rtl w:val="true"/>
        </w:rPr>
        <w:t>التشکیک فی التنجیز</w:t>
      </w:r>
      <w:bookmarkEnd w:id="476"/>
    </w:p>
    <w:p>
      <w:pPr>
        <w:pStyle w:val="BookText"/>
        <w:rPr/>
      </w:pPr>
      <w:r>
        <w:rPr>
          <w:rFonts w:ascii="IRNazanin" w:hAnsi="IRNazanin" w:eastAsia="IRNazanin"/>
          <w:color w:val="111111"/>
          <w:sz w:val="28"/>
          <w:sz w:val="28"/>
          <w:szCs w:val="28"/>
          <w:rtl w:val="true"/>
          <w:lang w:bidi="fa-IR"/>
        </w:rPr>
        <w:t>وأخیراً نلفت إلی أنّ التنجیز تشکیکی فی قبال دعوی الأعلام أنّ المتنجّز لا یتنجّز، فی حین أنّ الحق أنه یتنجّز لقابلیته للإشتداد، نظیر تعدد البراهین وتنوعها علی إثبات واقع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وبتبعه یختلف الیقین بالنتیجة ویکون ذا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عند العقل أنه کلّما ازداد العلم اشتدّت المؤاخذة علی مخالفة المعلوم، فیشتدّ استحقاق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لا یساوی بین من لدیه حجّة واحدة ومن لدیه حجج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مبنی السیّد الصدر من أنه لا دخالة للإحتمال وأنّ معیار التنجیز هو المحتمل، سیکون التنجیز کله علی درجة واحدة، سواء احتمل الواقع أو علم به، وهو کما تری مخالف لضرورة العقل</w:t>
      </w:r>
      <w:r>
        <w:rPr>
          <w:rFonts w:eastAsia="IRNazanin" w:cs="IRNazanin"/>
          <w:color w:val="111111"/>
          <w:sz w:val="28"/>
          <w:szCs w:val="28"/>
          <w:rtl w:val="true"/>
          <w:lang w:bidi="fa-IR"/>
        </w:rPr>
        <w:t>.</w:t>
      </w:r>
    </w:p>
    <w:p>
      <w:pPr>
        <w:pStyle w:val="Heading6"/>
        <w:numPr>
          <w:ilvl w:val="5"/>
          <w:numId w:val="1"/>
        </w:numPr>
        <w:rPr/>
      </w:pPr>
      <w:bookmarkStart w:id="477" w:name="__RefHeading___Toc3299942_1468164448"/>
      <w:bookmarkStart w:id="478" w:name="_Toc192"/>
      <w:bookmarkEnd w:id="477"/>
      <w:r>
        <w:rPr>
          <w:rtl w:val="true"/>
        </w:rPr>
        <w:t>الحکم الصوری</w:t>
      </w:r>
      <w:bookmarkEnd w:id="478"/>
    </w:p>
    <w:p>
      <w:pPr>
        <w:pStyle w:val="BookText"/>
        <w:rPr/>
      </w:pPr>
      <w:r>
        <w:rPr>
          <w:rFonts w:ascii="IRNazanin" w:hAnsi="IRNazanin" w:eastAsia="IRNazanin"/>
          <w:color w:val="111111"/>
          <w:sz w:val="28"/>
          <w:sz w:val="28"/>
          <w:szCs w:val="28"/>
          <w:rtl w:val="true"/>
          <w:lang w:bidi="fa-IR"/>
        </w:rPr>
        <w:t xml:space="preserve">أشرنا إلی أنّ مَن ذهب إلی أنّ حقیقة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أو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الطریقی والمماثل، یعالج شبهة ابن قبة بتصویر أنّ التنجیز للحکم المماثل المعلوم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ذکروا أنه فی موارد عدم إصابة الحکم الطریقی للواقع، هناک صورة حکم لا حکم حقیقی ولا إرادة تشریعیة له، وذلک تفادیاً لشبهة التصویب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ینبثق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یعنی أنّ الحکم الطریقی منوط</w:t>
      </w:r>
      <w:bookmarkStart w:id="479" w:name="pg16983_380871"/>
    </w:p>
    <w:p>
      <w:pPr>
        <w:pStyle w:val="BookText"/>
        <w:rPr/>
      </w:pPr>
      <w:bookmarkEnd w:id="479"/>
      <w:r>
        <w:rPr>
          <w:rFonts w:ascii="IRNazanin" w:hAnsi="IRNazanin" w:eastAsia="IRNazanin"/>
          <w:color w:val="111111"/>
          <w:sz w:val="28"/>
          <w:sz w:val="28"/>
          <w:szCs w:val="28"/>
          <w:rtl w:val="true"/>
          <w:lang w:bidi="fa-IR"/>
        </w:rPr>
        <w:t>بالواقع، وحیث لا طریق لنا إلی الواقع فلا یکون الحکم الطریقی منجّزاً للشک فی وجوده النابع من الشک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التساؤل وجیه مع المبنی المتقدّم، ولکن الحق أنّ الحکم الطریقی موجود حتی مع عدم الواقع، حیث لا ینحصر دفع التصویب بإنکار وجود الحکم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وإشکال التصویب یأتی حتی مع وجود الواقع، ووجهه وجود الحکم الطریقی حقیقة مع الحکم الواقعی فی فعل واحد، فهو نوع من التصویب أو اجتماع المتماثلین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ما یقدم هنا من حلّ هو بعینه حلّ لحالة عدم الواقع</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الحکم الطریقی لیست فی نفس الفعل المتعلّق للحکم الواقعی، وإنما نابعة من التحفظ علی الواقع، فهو شبیه بالإحتیاط فی أطراف العلم الإجمالی، ومثل هذه الإرادة موجودة فی الحالین مع الإصابة وبدونها</w:t>
      </w:r>
      <w:r>
        <w:rPr>
          <w:rFonts w:eastAsia="IRNazanin" w:cs="IRNazanin"/>
          <w:color w:val="111111"/>
          <w:sz w:val="28"/>
          <w:szCs w:val="28"/>
          <w:rtl w:val="true"/>
          <w:lang w:bidi="fa-IR"/>
        </w:rPr>
        <w:t>.</w:t>
      </w:r>
    </w:p>
    <w:p>
      <w:pPr>
        <w:pStyle w:val="Heading6"/>
        <w:numPr>
          <w:ilvl w:val="5"/>
          <w:numId w:val="1"/>
        </w:numPr>
        <w:rPr/>
      </w:pPr>
      <w:bookmarkStart w:id="480" w:name="__RefHeading___Toc3299944_1468164448"/>
      <w:bookmarkStart w:id="481" w:name="_Toc193"/>
      <w:bookmarkEnd w:id="480"/>
      <w:r>
        <w:rPr>
          <w:rtl w:val="true"/>
        </w:rPr>
        <w:t>خلاصة ما تقدّم</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جعل الأمارة جعلها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والعلم التعبدی قید فی الفعلیة التامة للأحکام الواقعیة ملحق بالعلم الوجدانی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والعلم الوجدانی أخذ قیداً فی البراءة الشرعیة الدالّة علی جعل الترخیص فی الوقت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والبراة الشرعیة إمضاء فی الأحکام الشرعیة لبناء العقلاء</w:t>
      </w:r>
      <w:bookmarkStart w:id="482" w:name="pg16983_380873"/>
    </w:p>
    <w:p>
      <w:pPr>
        <w:pStyle w:val="BookText"/>
        <w:rPr/>
      </w:pPr>
      <w:bookmarkEnd w:id="482"/>
      <w:r>
        <w:rPr>
          <w:rFonts w:ascii="IRNazanin" w:hAnsi="IRNazanin" w:eastAsia="IRNazanin"/>
          <w:color w:val="111111"/>
          <w:sz w:val="28"/>
          <w:sz w:val="28"/>
          <w:szCs w:val="28"/>
          <w:rtl w:val="true"/>
          <w:lang w:bidi="fa-IR"/>
        </w:rPr>
        <w:t>علی تقیید فعلیة الأحکام العقلائیة التامة بالعلم الوجدانی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قبح العقاب بلا بیان حکم العقل بقبح العقاب بلا حکم فعلی 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الفعلیة التامة لا یقبح العقاب بل یحسن حتی مع الإحتمال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شبهة ابن قبة علی مستوی الملاک معالجة بالمصلحة السلوکیة والتی دلّ الدلیل علیها وبالتزاحم الحفظی الذی لوحظ فیه الأهم فی تشریع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الأصعدة الأُخری لا مشکلة بعد أن کان الحکم الظاهری جعلاً وضعیاً اصولیاً وهو جعل العلم التعبدی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ظاهرة الحکم الطریقی نقبلها فی الجملة، حیث إنّ له وجوداً متفرقاً فی الفقه، کما أنه حقیقة بعض الأصول العملیة کما سیأتی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الطریقی موجود مع وبدون الحکم الواقعی، ولا تصویب فی الحالتین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التنجیز الحکم الطریقی، ومن ثمّ فالعلم به یحقق التنجیز وهو یستبطن تنجیز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فی جعل الأصول العملیة</w:t>
      </w:r>
    </w:p>
    <w:p>
      <w:pPr>
        <w:pStyle w:val="BookText"/>
        <w:rPr/>
      </w:pPr>
      <w:r>
        <w:rPr>
          <w:rFonts w:ascii="IRNazanin" w:hAnsi="IRNazanin" w:eastAsia="IRNazanin"/>
          <w:color w:val="111111"/>
          <w:sz w:val="28"/>
          <w:sz w:val="28"/>
          <w:szCs w:val="28"/>
          <w:rtl w:val="true"/>
          <w:lang w:bidi="fa-IR"/>
        </w:rPr>
        <w:t>فی مثل أصالة الحلّ والطهارة حکم تنزیلی طریقی 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البراءة الشرعیة حکم تنزیلی بالإباحة تبعاً للشیخ الإصفهانی ولیس أصلاً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والإستصحاب والأصول المحرزة مردّد بین الأمارة والحکم المماثل ووجوب الأخذ والبناء، والأخیر هو الصحیح، فإنه لیس حکماً مماثلاً ولا طریقاً وإنما برزخ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وتفاصیل کلّ منهما متروک إلی محلّه</w:t>
      </w:r>
      <w:r>
        <w:rPr>
          <w:rFonts w:eastAsia="IRNazanin" w:cs="IRNazanin"/>
          <w:color w:val="111111"/>
          <w:sz w:val="28"/>
          <w:szCs w:val="28"/>
          <w:rtl w:val="true"/>
          <w:lang w:bidi="fa-IR"/>
        </w:rPr>
        <w:t>.</w:t>
      </w:r>
    </w:p>
    <w:p>
      <w:pPr>
        <w:pStyle w:val="Heading6"/>
        <w:numPr>
          <w:ilvl w:val="5"/>
          <w:numId w:val="1"/>
        </w:numPr>
        <w:rPr/>
      </w:pPr>
      <w:bookmarkStart w:id="483" w:name="__RefHeading___Toc3299946_1468164448"/>
      <w:bookmarkStart w:id="484" w:name="_Toc194"/>
      <w:bookmarkEnd w:id="483"/>
      <w:r>
        <w:rPr>
          <w:rtl w:val="true"/>
        </w:rPr>
        <w:t>مشکلة الإسناد فی الأمارات</w:t>
      </w:r>
      <w:bookmarkEnd w:id="4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انتهینا إلی أنّ الجعل الشرعی للأمارة تصرف فی قضیة اعتباریة شرعیة، ولیس تصرفاً فی القضیة العقلیة</w:t>
      </w:r>
      <w:r>
        <w:rPr>
          <w:rFonts w:eastAsia="IRNazanin" w:cs="IRNazanin"/>
          <w:color w:val="111111"/>
          <w:sz w:val="28"/>
          <w:szCs w:val="28"/>
          <w:rtl w:val="true"/>
          <w:lang w:bidi="fa-IR"/>
        </w:rPr>
        <w:t>.</w:t>
      </w:r>
      <w:bookmarkStart w:id="485" w:name="pg16983_380875"/>
    </w:p>
    <w:p>
      <w:pPr>
        <w:pStyle w:val="BookText"/>
        <w:rPr/>
      </w:pPr>
      <w:bookmarkEnd w:id="485"/>
      <w:r>
        <w:rPr>
          <w:rFonts w:ascii="IRNazanin" w:hAnsi="IRNazanin" w:eastAsia="IRNazanin"/>
          <w:color w:val="111111"/>
          <w:sz w:val="28"/>
          <w:sz w:val="28"/>
          <w:szCs w:val="28"/>
          <w:rtl w:val="true"/>
          <w:lang w:bidi="fa-IR"/>
        </w:rPr>
        <w:t xml:space="preserve">حینئذ یتوجه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نسند الحکم إلی الشارع مع أنه منوط بالعلم والإحراز، فی حین أنّ صرف الإحتمال منجّز؟</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قیام الأمارة وعلم المفتی بها وجداناً، لا یعلم المفتی وجداناً بالفعلیة التامة، وإنما یحتملها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الإحتمال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التعبدی أخذ فی موضوع الفعلی التام بنحو الطریقیة، فمع خطئه لا فعلی تام، وهو غیر مضمون الإصابة، ومن ثمّ لا یعلم المجتهد بالفعلی التام، وإنما یحتمله فقط، ومعه لا یجوز له إسناد هذا المحتمل إلی الشارع، لأنه مشروط بالعلم به وإحرازه، والشارع لم یتعبدنا بشیء فی العلم والإحراز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الإسناد والإفتاء قضیة شرعیة قیدّت فعلیتها التامة بعدم العلم الوجدانی أو التعبدی بالحکم الواقعی، أی قیّدت بعدم الفعلیة التامة للحکم الواقعی، فمع التعبد بالحکم الواقعی وفعلیته التامة لا حرمة فی الإسناد والإفتاء</w:t>
      </w:r>
      <w:r>
        <w:rPr>
          <w:rFonts w:eastAsia="IRNazanin" w:cs="IRNazanin"/>
          <w:color w:val="111111"/>
          <w:sz w:val="28"/>
          <w:szCs w:val="28"/>
          <w:rtl w:val="true"/>
          <w:lang w:bidi="fa-IR"/>
        </w:rPr>
        <w:t>.</w:t>
      </w:r>
    </w:p>
    <w:p>
      <w:pPr>
        <w:pStyle w:val="Heading6"/>
        <w:numPr>
          <w:ilvl w:val="5"/>
          <w:numId w:val="1"/>
        </w:numPr>
        <w:rPr/>
      </w:pPr>
      <w:bookmarkStart w:id="486" w:name="__RefHeading___Toc3299948_1468164448"/>
      <w:bookmarkStart w:id="487" w:name="_Toc195"/>
      <w:bookmarkEnd w:id="486"/>
      <w:r>
        <w:rPr>
          <w:rtl w:val="true"/>
        </w:rPr>
        <w:t>الفروق بین الحکم الظاهری والتخیلی</w:t>
      </w:r>
      <w:bookmarkEnd w:id="487"/>
    </w:p>
    <w:p>
      <w:pPr>
        <w:pStyle w:val="BookText"/>
        <w:rPr/>
      </w:pPr>
      <w:r>
        <w:rPr>
          <w:rFonts w:ascii="IRNazanin" w:hAnsi="IRNazanin" w:eastAsia="IRNazanin"/>
          <w:color w:val="111111"/>
          <w:sz w:val="28"/>
          <w:sz w:val="28"/>
          <w:szCs w:val="28"/>
          <w:rtl w:val="true"/>
          <w:lang w:bidi="fa-IR"/>
        </w:rPr>
        <w:t>المیرزا فرّق بین الحکم الظاهری والتخیلی، وقد أثیرت فی بحث الإجزاء مسألة إجزاء الحکم الواقعی وإجزاء الحکم الظاهری وإجزاء الحکم التخیلی، فیتساءل عن الفرق بین الحکم الظاهری والتخیلی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فالمجتهد مثلاً إذا تمسک بعام بعد الفحص عن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تقصیر وعدم العثور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فترة عثر علی الخاص، فهل تمسکه بالعام ظاهری أو تخیلی؟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من کان یبنی علی صحة أسناد کامل الزیارة ثمّ عدل، أو من کان یری ضعف راوٍ فلا یعتمد روایته، ثمّ تبیّن له بقرائن أنه ثقة أو عدل، أو کان یبنی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شرط، ومن ثمّ قال بالمفهوم، ثمّ تبیّن أنها أداة ظرف، أو کان یفهم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أنها دالّة علی الحرمة، ثمّ تغیّر رأیه، وهکذا عشرات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ما کان یبنی علیه من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عدوله عن المبنی أو</w:t>
      </w:r>
    </w:p>
    <w:p>
      <w:pPr>
        <w:pStyle w:val="BookText"/>
        <w:rPr/>
      </w:pP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أو تخیلی؟ وما هی ضابطة الفرق بینهما علی فرض أنهما اثنان؟</w:t>
      </w:r>
    </w:p>
    <w:p>
      <w:pPr>
        <w:pStyle w:val="BookText"/>
        <w:rPr/>
      </w:pPr>
      <w:r>
        <w:rPr>
          <w:rFonts w:ascii="IRNazanin" w:hAnsi="IRNazanin" w:eastAsia="IRNazanin"/>
          <w:color w:val="111111"/>
          <w:sz w:val="28"/>
          <w:sz w:val="28"/>
          <w:szCs w:val="28"/>
          <w:rtl w:val="true"/>
          <w:lang w:bidi="fa-IR"/>
        </w:rPr>
        <w:t>الحق هو الفرق، ویمکن أن نجمل الفروق فی الزوایا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التخیلی صرف تخیل لا وجود فیه للحکم حتی علی مستوی الإنشاء لا واقعاً ولا ظاهراً، فی حین أنّ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إصابته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وجود إنشائی وإن لم یکن الحکم الواقعی موجوداً أصلاً حتی علی مستوی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التخیلی کالظاهری قد یکون منجّزاً ومعذّراً، ولکن التنجیز فی التخیلی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الإصابة تقصیراً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الإصابة للإحتمال التکوینی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للواقع الفعلی التام؛ لأنه بلا مؤمّن، والتعذیر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الإصابة 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للجهل القصوری بالواقع، کما إذا بذل المجتهد قصاری جهده فی الفحص، ولکنّه غفل فی تطبیق بعض موازین الاستدلال، فلا دخل للحکم التخیلی فی التنجیز والتعذیر إطلاقاً، فی حین أنه فی الحکم الظاهری یستند التنجیز والتعذیر إلیه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فسّرنا حقیقة الجعل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الذی یری الواقع، ومن ثمّ أخذ فی فعلیته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یرتب آثاراً علی الحکم الظاهری فی الأبواب الفقهیة، مثل نفوذ حکم الحاکم فی القضاء والحدود اعتماداً علی الشهادة المستندة للحکم الظاهری وجواز الإئتمام بإمام یستند إلی حکم ظاهری، وعدم وجوب النهی عن المنکر إذا کان فاعله قد استند إلی حجّة، بخلافه فی التخیلی، فإنّ فاعل المنکر وإن کان معذوراً، إلاّ أنه یجب تعلیمه، کما لا یحق الإئتمام بمن استند إلی حکم تخیلی ولا القضاء علی ضوء الشهادة المستندة إلی حکم تخیلی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التخیلی لا یجزی عن الواقع، فی حین أنّ الحکم الظاهری قد یقال بإجزائه عن الواقع</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فرق ثبوتی وإثباتی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الظاهری هو الذی استتمت فیه موازین الحجّیة والاستدلال، والتخیلی عکسه وإن</w:t>
      </w:r>
    </w:p>
    <w:p>
      <w:pPr>
        <w:pStyle w:val="BookText"/>
        <w:rPr/>
      </w:pPr>
      <w:r>
        <w:rPr>
          <w:rFonts w:ascii="Amiri" w:hAnsi="Amiri" w:eastAsia="Amiri" w:cs="Amiri"/>
          <w:color w:val="111111"/>
          <w:sz w:val="28"/>
          <w:sz w:val="28"/>
          <w:szCs w:val="28"/>
          <w:rtl w:val="true"/>
          <w:lang w:bidi="ar-SA"/>
        </w:rPr>
        <w:t>کان قصوراً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ومعرفة تمامیة موازین الاستدلال وعدمها لا تتحقق إلاّ لمن أحاط إحاطة تامة بعلم الأصول ومقدمات الإستنباط حتی یتمکن من تشخیص أنّ الحکم الذی توصل إلیه المجتهد ظاهری وتخیلی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مجمل الفروق بین الحکمین، وحینما ترجع إلی کلام القدماء تجد أنهم فی عین کونهم مخطئة لا یقولون بصوریة الحکم الظاهری فی نفسه مع عدم الإصابة وإنما له وجود، خلافاً للمتأخرین حیث تحاشوا 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أسماه الوحید البهبهانی أنه حکم واقعی ثانوی، علی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أنها عناوین طارئة کذا الشک عنوان طارئ، غایته أنّ الشک فیه إراءة دون مثل الضرر والحرج، فالحکم الظاهری نوع من أنواع الأحکام الواقعیة الثانویة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وللحدیث تتمة نترکها بعد استعراض المقام الثانی من البحث لتوقفها علیه کما سیتبیّن</w:t>
      </w:r>
      <w:r>
        <w:rPr>
          <w:rFonts w:eastAsia="IRNazanin" w:cs="IRNazanin"/>
          <w:color w:val="111111"/>
          <w:sz w:val="28"/>
          <w:szCs w:val="28"/>
          <w:rtl w:val="true"/>
          <w:lang w:bidi="fa-IR"/>
        </w:rPr>
        <w:t>.</w:t>
      </w:r>
      <w:bookmarkStart w:id="488" w:name="pg16983_380883"/>
    </w:p>
    <w:p>
      <w:pPr>
        <w:pStyle w:val="Heading4"/>
        <w:numPr>
          <w:ilvl w:val="3"/>
          <w:numId w:val="1"/>
        </w:numPr>
        <w:rPr/>
      </w:pPr>
      <w:bookmarkStart w:id="489" w:name="__RefHeading___Toc3299950_1468164448"/>
      <w:bookmarkStart w:id="490" w:name="_Toc196"/>
      <w:bookmarkEnd w:id="488"/>
      <w:bookmarkEnd w:id="489"/>
      <w:r>
        <w:rPr/>
        <w:t>4</w:t>
      </w:r>
      <w:r>
        <w:rPr>
          <w:rtl w:val="true"/>
        </w:rPr>
        <w:t xml:space="preserve"> . </w:t>
      </w:r>
      <w:r>
        <w:rPr>
          <w:rtl w:val="true"/>
        </w:rPr>
        <w:t>الشک فی الحجّیة</w:t>
      </w:r>
      <w:bookmarkEnd w:id="490"/>
    </w:p>
    <w:p>
      <w:pPr>
        <w:pStyle w:val="Heading5"/>
        <w:numPr>
          <w:ilvl w:val="4"/>
          <w:numId w:val="1"/>
        </w:numPr>
        <w:rPr/>
      </w:pPr>
      <w:bookmarkStart w:id="491" w:name="__RefHeading___Toc3299952_1468164448"/>
      <w:bookmarkStart w:id="492" w:name="_Toc197"/>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 xml:space="preserve">بعد أن انتهینا من إثبات إمکان التعبد بالظن وبیان حقیقة هذا التعبد، یقع الحدیث فی النقطة المقابلة للبحث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حالة الشک فی التعبد والحجّیة مهما کان تفسیرها وحقیقتها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 الظاهری عند الشک فی جعل الشارع لحکم ظاهری ما؟</w:t>
      </w:r>
    </w:p>
    <w:p>
      <w:pPr>
        <w:pStyle w:val="BookText"/>
        <w:rPr/>
      </w:pPr>
      <w:r>
        <w:rPr>
          <w:rFonts w:ascii="IRNazanin" w:hAnsi="IRNazanin" w:eastAsia="IRNazanin"/>
          <w:color w:val="111111"/>
          <w:sz w:val="28"/>
          <w:sz w:val="28"/>
          <w:szCs w:val="28"/>
          <w:rtl w:val="true"/>
          <w:lang w:bidi="fa-IR"/>
        </w:rPr>
        <w:t>ومن ثمّ یعرف أنّ الحکم الظاهری یترامی، حیث إنّ هناک حکماً ظاهریاً للحکم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ینحصر الحکم الظاهری بمرتبة واحدة وهو الحکم الظاهری عند الشک فی الحکم الواقعی</w:t>
      </w:r>
      <w:r>
        <w:rPr>
          <w:rFonts w:eastAsia="IRNazanin" w:cs="IRNazanin"/>
          <w:color w:val="111111"/>
          <w:sz w:val="28"/>
          <w:szCs w:val="28"/>
          <w:rtl w:val="true"/>
          <w:lang w:bidi="fa-IR"/>
        </w:rPr>
        <w:t>.</w:t>
      </w:r>
    </w:p>
    <w:p>
      <w:pPr>
        <w:pStyle w:val="Heading5"/>
        <w:numPr>
          <w:ilvl w:val="4"/>
          <w:numId w:val="1"/>
        </w:numPr>
        <w:rPr/>
      </w:pPr>
      <w:bookmarkStart w:id="493" w:name="__RefHeading___Toc3299954_1468164448"/>
      <w:bookmarkStart w:id="494" w:name="_Toc198"/>
      <w:bookmarkEnd w:id="493"/>
      <w:r>
        <w:rPr>
          <w:rtl w:val="true"/>
        </w:rPr>
        <w:t>نظریة مدرسة الوحید</w:t>
      </w:r>
      <w:bookmarkEnd w:id="494"/>
    </w:p>
    <w:p>
      <w:pPr>
        <w:pStyle w:val="BookText"/>
        <w:rPr/>
      </w:pPr>
      <w:r>
        <w:rPr>
          <w:rFonts w:ascii="IRNazanin" w:hAnsi="IRNazanin" w:eastAsia="IRNazanin"/>
          <w:color w:val="111111"/>
          <w:sz w:val="28"/>
          <w:sz w:val="28"/>
          <w:szCs w:val="28"/>
          <w:rtl w:val="true"/>
          <w:lang w:bidi="fa-IR"/>
        </w:rPr>
        <w:t>مدرسة الوحید البهبهانی ذکرت أنّ الحکم الظاهری یختلف عن الواقعی فی أنّ فعلیته مقیدة شرعاً بالعلم؛ لأنّ الغرض منه والملاک فی جعله هو التنجیز والتعذیر، فمع عدم العلم لا ملاک، وهو التنجیز والتعذیر لتقیدهما بالعلم، فلا وجود ولا فعلیة ولا خارجیة للحکم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تبنّی الآخوند والشیخ الإصفهانی هذه النظریة؛ وعلیه فلو نقب المجتهد عن الحجّة ولم یعثر علیها لم یکن لها فعلیة ووجود فی الخارج</w:t>
      </w:r>
      <w:r>
        <w:rPr>
          <w:rFonts w:eastAsia="IRNazanin" w:cs="IRNazanin"/>
          <w:color w:val="111111"/>
          <w:sz w:val="28"/>
          <w:szCs w:val="28"/>
          <w:rtl w:val="true"/>
          <w:lang w:bidi="fa-IR"/>
        </w:rPr>
        <w:t>.</w:t>
      </w:r>
    </w:p>
    <w:p>
      <w:pPr>
        <w:pStyle w:val="Heading5"/>
        <w:numPr>
          <w:ilvl w:val="4"/>
          <w:numId w:val="1"/>
        </w:numPr>
        <w:rPr/>
      </w:pPr>
      <w:bookmarkStart w:id="495" w:name="__RefHeading___Toc3299956_1468164448"/>
      <w:bookmarkStart w:id="496" w:name="_Toc199"/>
      <w:bookmarkEnd w:id="495"/>
      <w:r>
        <w:rPr>
          <w:rtl w:val="true"/>
        </w:rPr>
        <w:t>نظریة أخری</w:t>
      </w:r>
      <w:bookmarkEnd w:id="496"/>
    </w:p>
    <w:p>
      <w:pPr>
        <w:pStyle w:val="Heading6"/>
        <w:numPr>
          <w:ilvl w:val="5"/>
          <w:numId w:val="1"/>
        </w:numPr>
        <w:rPr/>
      </w:pPr>
      <w:bookmarkStart w:id="497" w:name="__RefHeading___Toc3299958_1468164448"/>
      <w:bookmarkStart w:id="498" w:name="_Toc200"/>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وتقابل هذه النظریة نظریة أخری تفترض أنّ الحکم الظاهری کالواقعی لم تقیّد فعلیته بالعلم، وإنما العلم قیّد فعلیته التامة فتنجیزه، ومن ثمّ حتی لو لم یعلم به المجتهد ولم یصل إلیه کان له وجود خارجی وفعلیة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واستشهد أصحاب هذه النظریة بما ذکره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المجتهد لو لم یفحص وکان هناک خبر واحد یکون منجّزاً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یدلل</w:t>
      </w:r>
      <w:bookmarkStart w:id="499" w:name="pg16983_380885"/>
    </w:p>
    <w:p>
      <w:pPr>
        <w:pStyle w:val="BookText"/>
        <w:rPr/>
      </w:pPr>
      <w:bookmarkEnd w:id="499"/>
      <w:r>
        <w:rPr>
          <w:rFonts w:ascii="IRNazanin" w:hAnsi="IRNazanin" w:eastAsia="IRNazanin"/>
          <w:color w:val="111111"/>
          <w:sz w:val="28"/>
          <w:sz w:val="28"/>
          <w:szCs w:val="28"/>
          <w:rtl w:val="true"/>
          <w:lang w:bidi="fa-IR"/>
        </w:rPr>
        <w:t>علی أنّ فعلیة الحجّیة غیر مقیّدة بالعلم، وإلاّ لم یکن معنی للتنجیز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أیضاً إنه بناء علی تعریف التقلید بالمطابقة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عمل العامی لفتوی الأعلم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عدم تقیید فعلیة الأمارة بالعلم کی یمکن القول بالإجزاء لو طابق عمله فتوی الأعلم الحی، وإن لم یکن ملتفتاً وعالماً بأماریته، وإلاّ کان تفسیر التقلید هذا غیر صحیح، أو لا یمکن تصحیح العمل لعدم کون الأعلم الحی مع الجهل به أمارة</w:t>
      </w:r>
      <w:r>
        <w:rPr>
          <w:rFonts w:eastAsia="IRNazanin" w:cs="IRNazanin"/>
          <w:color w:val="111111"/>
          <w:sz w:val="28"/>
          <w:szCs w:val="28"/>
          <w:rtl w:val="true"/>
          <w:lang w:bidi="fa-IR"/>
        </w:rPr>
        <w:t>.</w:t>
      </w:r>
    </w:p>
    <w:p>
      <w:pPr>
        <w:pStyle w:val="Heading6"/>
        <w:numPr>
          <w:ilvl w:val="5"/>
          <w:numId w:val="1"/>
        </w:numPr>
        <w:rPr/>
      </w:pPr>
      <w:bookmarkStart w:id="500" w:name="__RefHeading___Toc3299960_1468164448"/>
      <w:bookmarkStart w:id="501" w:name="_Toc201"/>
      <w:bookmarkEnd w:id="500"/>
      <w:r>
        <w:rPr>
          <w:rtl w:val="true"/>
        </w:rPr>
        <w:t>تحدید دائرة العلم</w:t>
      </w:r>
      <w:bookmarkEnd w:id="501"/>
    </w:p>
    <w:p>
      <w:pPr>
        <w:pStyle w:val="BookText"/>
        <w:rPr/>
      </w:pPr>
      <w:r>
        <w:rPr>
          <w:rFonts w:ascii="IRNazanin" w:hAnsi="IRNazanin" w:eastAsia="IRNazanin"/>
          <w:color w:val="111111"/>
          <w:sz w:val="28"/>
          <w:sz w:val="28"/>
          <w:szCs w:val="28"/>
          <w:rtl w:val="true"/>
          <w:lang w:bidi="fa-IR"/>
        </w:rPr>
        <w:t>نحن نتساءل من أصحاب النظریتین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یراد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فی قیدیته للفعلیة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ذات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العلم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الجعل الظاهری للأمارة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عبارات الأعلام أنه العلم بالموضوع، بمعنی أنهم اختلفوا فی أنّ وصول الأمارة والعلم بها، هل هو قید فی فعلیتها أو لا؟</w:t>
      </w:r>
    </w:p>
    <w:p>
      <w:pPr>
        <w:pStyle w:val="BookText"/>
        <w:rPr/>
      </w:pPr>
      <w:r>
        <w:rPr>
          <w:rFonts w:ascii="IRNazanin" w:hAnsi="IRNazanin" w:eastAsia="IRNazanin"/>
          <w:color w:val="111111"/>
          <w:sz w:val="28"/>
          <w:sz w:val="28"/>
          <w:szCs w:val="28"/>
          <w:rtl w:val="true"/>
          <w:lang w:bidi="fa-IR"/>
        </w:rPr>
        <w:t>ونتساءل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العلم المختلف فیه هو العلم النوعی أو العلم الشخصی؟</w:t>
      </w:r>
    </w:p>
    <w:p>
      <w:pPr>
        <w:pStyle w:val="BookText"/>
        <w:rPr/>
      </w:pPr>
      <w:r>
        <w:rPr>
          <w:rFonts w:ascii="IRNazanin" w:hAnsi="IRNazanin" w:eastAsia="IRNazanin"/>
          <w:color w:val="111111"/>
          <w:sz w:val="28"/>
          <w:sz w:val="28"/>
          <w:szCs w:val="28"/>
          <w:rtl w:val="true"/>
          <w:lang w:bidi="fa-IR"/>
        </w:rPr>
        <w:t>والجواب عن هذا السؤال یتوقف علی الإلتفات لصور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الدلیل فی أیدینا، کما نراه بوضوح فی فتاوی القدماء التی لا نعلم مدرکها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عثور المجتهد علی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المضنی مع وجوده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 به لعدم الفحص</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أنّ المفقود فی الصورة الأولی هو العلم النوعی والشخصی، والمفقود فی الصورة الثانیة هو العلم الشخصی مع وجود العلم النوعی، والمفقود فی الصورة الثالثة هو العلم الشخصی</w:t>
      </w:r>
      <w:bookmarkStart w:id="502" w:name="pg16983_380887"/>
    </w:p>
    <w:p>
      <w:pPr>
        <w:pStyle w:val="BookText"/>
        <w:rPr/>
      </w:pPr>
      <w:bookmarkEnd w:id="502"/>
      <w:r>
        <w:rPr>
          <w:rFonts w:ascii="IRNazanin" w:hAnsi="IRNazanin" w:eastAsia="IRNazanin"/>
          <w:color w:val="111111"/>
          <w:sz w:val="28"/>
          <w:sz w:val="28"/>
          <w:szCs w:val="28"/>
          <w:rtl w:val="true"/>
          <w:lang w:bidi="fa-IR"/>
        </w:rPr>
        <w:t>مع إمکان تحققه فضلاً عن وجود العلم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هو الوصول النوعی للموضوع فلا ریب فی مدخلیته وشرطیته فی فعلیة الحکم الظاهری؛ إذ مع وجود خبر زرارة مثلاً عند القدماء وضیاعه وعدم وصوله إلینا، لا معنی للقول بأنه موجود ولکنّه غیر منجَّز، حیث إنّه عدم الوصول إلینا یعنی أنّ ذات الحکم الظاهری وماهیته مفقودة وهی الکاشفیة، فهی کانت موجودة والآن لا وجود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والنظریة الثانیة أیضاً تقبل مدخلیة العلم النوعی فی الفعلیة، وأنّه بدونه لا وجود للحکم الظاهری، ففی الصورة الأولی من الجهل لا کلام فی عدم فعلیة الحکم الظاهری، کما أنه لاریب فی عدم مدخلیة العلم الشخصی الفعلی فی فعلیة الحکم الظاهری، حتی عند أصحاب النظریة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الصورة الثالثة من الجهل لاریب فی فعلیة الحکم الظاهری ومنجّزیته؛ لأنه لیس المطلوب من الشارع إلاّ أن یعبّدنا بأمارة یمکن العلم بها نوعاً، بمعنی أنه یضعها فی متناول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إنما یکون فی الصورة الثانیة من الجهل، بمعنی أنّ شرط الفعلیة هل هو النوعی فقط، أو النوعی مع إمکان الشخصی؟ فعلی الأول فالحکم فعلی إلاّ أنه غیر منجّز، وعلی الثانی غیر فعلی وغیر منجّز، لعدم إمکان العلم الشخصی</w:t>
      </w:r>
      <w:r>
        <w:rPr>
          <w:rFonts w:eastAsia="IRNazanin" w:cs="IRNazanin"/>
          <w:color w:val="111111"/>
          <w:sz w:val="28"/>
          <w:szCs w:val="28"/>
          <w:rtl w:val="true"/>
          <w:lang w:bidi="fa-IR"/>
        </w:rPr>
        <w:t>.</w:t>
      </w:r>
    </w:p>
    <w:p>
      <w:pPr>
        <w:pStyle w:val="Heading5"/>
        <w:numPr>
          <w:ilvl w:val="4"/>
          <w:numId w:val="1"/>
        </w:numPr>
        <w:rPr/>
      </w:pPr>
      <w:bookmarkStart w:id="503" w:name="__RefHeading___Toc3299962_1468164448"/>
      <w:bookmarkStart w:id="504" w:name="_Toc202"/>
      <w:bookmarkEnd w:id="503"/>
      <w:r>
        <w:rPr>
          <w:rtl w:val="true"/>
        </w:rPr>
        <w:t>مختارنا فی شرط الفعلیة</w:t>
      </w:r>
      <w:bookmarkEnd w:id="504"/>
    </w:p>
    <w:p>
      <w:pPr>
        <w:pStyle w:val="Heading6"/>
        <w:numPr>
          <w:ilvl w:val="5"/>
          <w:numId w:val="1"/>
        </w:numPr>
        <w:rPr/>
      </w:pPr>
      <w:bookmarkStart w:id="505" w:name="__RefHeading___Toc3299964_1468164448"/>
      <w:bookmarkStart w:id="506" w:name="_Toc203"/>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والحق أنّ شرط الفعلیة فی الحکم الظاهری لیس إلاّ الوصول النوعی، فمعه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قد أخبر، وإن کان من لم یتمکن وقوعاً من الوصول الشخصی إلیها معذوراً، إلاّ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ولکنّها لیست منجّزة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بالنسبة إلی من لم یتوفر علی العلم الشخصی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تقم لدیه الحجّة ولکن لا یقصد من ذلک الفعلیة، وإنما ما بعد الفعلیة</w:t>
      </w:r>
    </w:p>
    <w:p>
      <w:pPr>
        <w:pStyle w:val="BookText"/>
        <w:rPr/>
      </w:pPr>
      <w:r>
        <w:rPr>
          <w:rFonts w:ascii="IRNazanin" w:hAnsi="IRNazanin" w:eastAsia="IRNazanin"/>
          <w:color w:val="111111"/>
          <w:sz w:val="28"/>
          <w:sz w:val="28"/>
          <w:szCs w:val="28"/>
          <w:rtl w:val="true"/>
          <w:lang w:bidi="fa-IR"/>
        </w:rPr>
        <w:t>من مراحل، فالظاهری یشارک الواقعی فی مراحله، فله فعلیة وله تنجیز کما للواقعی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وما ذکرناه هو الذی علیه العقلاء فی تقنیناتهم، فإنه یضبطون ذلک بالعلم النوعی، والشارع جری فی ذلک مجری العقلاء ولم یؤسس شیئاً جدیداً فی هذا المضمار، بالإضافة إلی أنّ الشک فی الحجّیة یستبطن إراءة للواقع إلاّ أنها إراءة تصوریة لا تصدیقیة، فهو نحو وصول شخصی تصوری للحکم الظاهری، وهذا کاف فی انوجاد الحکم الظاهری مع أنه لیس منجّزاً وإن کنّا نقبل أنّ هناک حالات لا علم بالحکم الظاهری فیها حتی بمقدار التصور کما فی حالات الغفلة، إلاّ أنه العلم الشخصی فی غالب الحالات فی الصورة الثانیة موجود والمفقود هو العلم التصدیقی مع إمکانه ذاتاً لا وقوعاً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تظن أنّ القائل بتقیید الفعلیة فی الحکم الظاهری بالعلم الشخصی یجرؤ علی المبالغة فی القول بأنه العلم التصدیقی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اخترناه من انفکاک فعلیة الظاهری عن تنجیزه یعرف أنّ الشک فی الحجّیة له محصّل، حیث یتصور حینئذ لزوم الفحص لتحصیل العلم الشخصی بعد أن کان یحتمل الفعلیة المساوق</w:t>
      </w:r>
      <w:bookmarkStart w:id="507" w:name="pg16983_380891"/>
    </w:p>
    <w:p>
      <w:pPr>
        <w:pStyle w:val="BookText"/>
        <w:rPr/>
      </w:pPr>
      <w:bookmarkEnd w:id="507"/>
      <w:r>
        <w:rPr>
          <w:rFonts w:ascii="IRNazanin" w:hAnsi="IRNazanin" w:eastAsia="IRNazanin"/>
          <w:color w:val="111111"/>
          <w:sz w:val="28"/>
          <w:sz w:val="28"/>
          <w:szCs w:val="28"/>
          <w:rtl w:val="true"/>
          <w:lang w:bidi="fa-IR"/>
        </w:rPr>
        <w:t>لاحتمال وجوده، حیث إنّ وجوده غیر معلّق علی العلم الشخصی لا أنه ینوجد بعد الفحص کما هو علی القول الآخر</w:t>
      </w:r>
      <w:r>
        <w:rPr>
          <w:rFonts w:eastAsia="IRNazanin" w:cs="IRNazanin"/>
          <w:color w:val="111111"/>
          <w:sz w:val="28"/>
          <w:szCs w:val="28"/>
          <w:rtl w:val="true"/>
          <w:lang w:bidi="fa-IR"/>
        </w:rPr>
        <w:t>.</w:t>
      </w:r>
    </w:p>
    <w:p>
      <w:pPr>
        <w:pStyle w:val="Heading6"/>
        <w:numPr>
          <w:ilvl w:val="5"/>
          <w:numId w:val="1"/>
        </w:numPr>
        <w:rPr/>
      </w:pPr>
      <w:bookmarkStart w:id="508" w:name="__RefHeading___Toc3299966_1468164448"/>
      <w:bookmarkStart w:id="509" w:name="_Toc204"/>
      <w:bookmarkEnd w:id="508"/>
      <w:r>
        <w:rPr>
          <w:rtl w:val="true"/>
        </w:rPr>
        <w:t>آثار الحکم الظاهری</w:t>
      </w:r>
      <w:bookmarkEnd w:id="509"/>
    </w:p>
    <w:p>
      <w:pPr>
        <w:pStyle w:val="BookText"/>
        <w:rPr/>
      </w:pPr>
      <w:r>
        <w:rPr>
          <w:rFonts w:ascii="IRNazanin" w:hAnsi="IRNazanin" w:eastAsia="IRNazanin"/>
          <w:color w:val="111111"/>
          <w:sz w:val="28"/>
          <w:sz w:val="28"/>
          <w:szCs w:val="28"/>
          <w:rtl w:val="true"/>
          <w:lang w:bidi="fa-IR"/>
        </w:rPr>
        <w:t>من کلّ ما تقدّم تبلور محور النزاع فی هذه المسألة والأقوال فیها ومختارنا 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الإنتقال إلی عرض الأدلّة وتقییمها نذکّر بما ألفتنا إلیه فی الفرق بین الحکم الظاهری والتخیلی من أنّ الحکم الظاهری قد رتّب علیه الشارع آثاراً أصولیة وفقهیة، وقد أشرنا هناک إلی جملة من الآثار ونضیف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الإفتاء والإسناد إلی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الإستناد إلیها فی مقام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الإجزاء عند المشهور، وقبله المتأخرون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آثار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الآثار الفقهیة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شرطیة قیام الحجّیة المنجّزة عند المتأخرین، والفعلیة عند المشهور فی کفر منکر الضروری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تعامل المتعاملین علی أساس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لابدّ من الإلتفات إلی الأدلّة التی سنذکرها و إنها فی صدد نفی وجود الحجّیة مع عدم العلم الشخصی، أو نفی أثر من آثارها، ونفی الأثر لایلازم نفی الحجّیة</w:t>
      </w:r>
      <w:r>
        <w:rPr>
          <w:rFonts w:eastAsia="IRNazanin" w:cs="IRNazanin"/>
          <w:color w:val="111111"/>
          <w:sz w:val="28"/>
          <w:szCs w:val="28"/>
          <w:rtl w:val="true"/>
          <w:lang w:bidi="fa-IR"/>
        </w:rPr>
        <w:t>.</w:t>
      </w:r>
    </w:p>
    <w:p>
      <w:pPr>
        <w:pStyle w:val="Heading5"/>
        <w:numPr>
          <w:ilvl w:val="4"/>
          <w:numId w:val="1"/>
        </w:numPr>
        <w:rPr/>
      </w:pPr>
      <w:bookmarkStart w:id="510" w:name="__RefHeading___Toc3299968_1468164448"/>
      <w:bookmarkStart w:id="511" w:name="_Toc205"/>
      <w:bookmarkEnd w:id="510"/>
      <w:r>
        <w:rPr>
          <w:rtl w:val="true"/>
        </w:rPr>
        <w:t>أدلّة تعلیق الحجّة علی العلم</w:t>
      </w:r>
      <w:bookmarkEnd w:id="511"/>
    </w:p>
    <w:p>
      <w:pPr>
        <w:pStyle w:val="Heading6"/>
        <w:numPr>
          <w:ilvl w:val="5"/>
          <w:numId w:val="1"/>
        </w:numPr>
        <w:rPr/>
      </w:pPr>
      <w:bookmarkStart w:id="512" w:name="__RefHeading___Toc3299970_1468164448"/>
      <w:bookmarkStart w:id="513" w:name="_Toc206"/>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هناک ستة أدلّة ألفت إلیها الأعلام مدّعین دلالتها علی تعلیق وجود الحجّة بالعلم والوصول الشخصی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4" w:name="__RefHeading___Toc3299972_1468164448"/>
      <w:bookmarkStart w:id="515" w:name="_Toc207"/>
      <w:bookmarkEnd w:id="514"/>
      <w:r>
        <w:rPr>
          <w:rtl w:val="true"/>
        </w:rPr>
        <w:t>الدلیل الأول</w:t>
      </w:r>
      <w:r>
        <w:rPr>
          <w:rtl w:val="true"/>
        </w:rPr>
        <w:t xml:space="preserve">: </w:t>
      </w:r>
      <w:r>
        <w:rPr>
          <w:rtl w:val="true"/>
        </w:rPr>
        <w:t>ذکره الشیخ الأنصاری</w:t>
      </w:r>
      <w:bookmarkStart w:id="516" w:name="pg16983_380892"/>
      <w:bookmarkEnd w:id="515"/>
    </w:p>
    <w:p>
      <w:pPr>
        <w:pStyle w:val="BookText"/>
        <w:rPr/>
      </w:pPr>
      <w:bookmarkEnd w:id="516"/>
      <w:r>
        <w:rPr>
          <w:rFonts w:ascii="Amiri" w:hAnsi="Amiri" w:eastAsia="Amiri" w:cs="Amiri"/>
          <w:color w:val="111111"/>
          <w:sz w:val="28"/>
          <w:sz w:val="28"/>
          <w:szCs w:val="28"/>
          <w:rtl w:val="true"/>
          <w:lang w:bidi="ar-SA"/>
        </w:rPr>
        <w:t xml:space="preserve">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ما أَنْزَلَ اللّهُ لَکُمْ مِنْ رِزْقٍ فَجَعَلْتُمْ مِنْهُ حَراماً وَ حَلالاً قُلْ آللّهُ أَذِنَ لَکُمْ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الإفتراء إسناد ما لم یعلم، واختلاف الشیء من نفسه أعم من أن یکون موجوداً فی الواقع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الإفتراء عدم الإستناد علی الواقع فی الإسناد، وإنما هو یبنی علی إیجاده ووجوده، فإسناده من دون مراعاة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التبکیت فی الآیة لیس علی واقع التحریم ولا علی وصوله النوعی وإنما علی وصوله الشخصی بقرینة الإذن، وإلاّ 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حرّم أو هناک من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وبمقابلة الفریة للإذن یفهم عدم جواز إسناد ما لم یعلم وجوازه 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 استدلاله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الظاهرة فی أنّ العلم الشخصی شرط جواز القضاء، وبحکم موازاة القضاء مع الفتیا کانت الروایة مؤیّدة</w:t>
      </w:r>
      <w:r>
        <w:rPr>
          <w:rFonts w:eastAsia="IRNazanin" w:cs="IRNazanin"/>
          <w:color w:val="111111"/>
          <w:sz w:val="28"/>
          <w:szCs w:val="28"/>
          <w:rtl w:val="true"/>
          <w:lang w:bidi="fa-IR"/>
        </w:rPr>
        <w:t>.</w:t>
      </w:r>
    </w:p>
    <w:p>
      <w:pPr>
        <w:pStyle w:val="Heading6"/>
        <w:numPr>
          <w:ilvl w:val="5"/>
          <w:numId w:val="1"/>
        </w:numPr>
        <w:rPr/>
      </w:pPr>
      <w:bookmarkStart w:id="517" w:name="__RefHeading___Toc3299974_1468164448"/>
      <w:bookmarkStart w:id="518" w:name="_Toc208"/>
      <w:bookmarkEnd w:id="517"/>
      <w:r>
        <w:rPr>
          <w:rtl w:val="true"/>
        </w:rPr>
        <w:t>مناقشة الآخوند فی تقریب الشیخ</w:t>
      </w:r>
      <w:bookmarkEnd w:id="518"/>
    </w:p>
    <w:p>
      <w:pPr>
        <w:pStyle w:val="BookText"/>
        <w:rPr/>
      </w:pPr>
      <w:r>
        <w:rPr>
          <w:rFonts w:ascii="IRNazanin" w:hAnsi="IRNazanin" w:eastAsia="IRNazanin"/>
          <w:color w:val="111111"/>
          <w:sz w:val="28"/>
          <w:sz w:val="28"/>
          <w:szCs w:val="28"/>
          <w:rtl w:val="true"/>
          <w:lang w:bidi="fa-IR"/>
        </w:rPr>
        <w:t>وناقشه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فی صدد تحریم الإسناد والإفتاء مع الشک لا فی صدد نفی الحجّیة عند الشک، والإسناد لیس لازماً للحجّیة لا وجوداً ولا عدماً، فالظن علی الحکومة أمارة علی الفراغ وحجّة، ولکن لا یسوّغ إسناد مفاده إلی الشارع، وإنما یفتی بالمفرغ عندئذ لا بالمثبت للأحکام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أضاف الشیخ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الإحتیاط قبل الفحص، فإنه حجّة ومنجّز، ولکن لا یجوز إسناد مؤدّاه إلی الشارع، فحرمة الإسناد لا تعنی دوماً عدم الحجّیة</w:t>
      </w:r>
      <w:r>
        <w:rPr>
          <w:rFonts w:eastAsia="IRNazanin" w:cs="IRNazanin"/>
          <w:color w:val="111111"/>
          <w:sz w:val="28"/>
          <w:szCs w:val="28"/>
          <w:rtl w:val="true"/>
          <w:lang w:bidi="fa-IR"/>
        </w:rPr>
        <w:t>.</w:t>
      </w:r>
      <w:bookmarkStart w:id="519" w:name="pg16983_380894"/>
    </w:p>
    <w:p>
      <w:pPr>
        <w:pStyle w:val="Heading6"/>
        <w:numPr>
          <w:ilvl w:val="5"/>
          <w:numId w:val="1"/>
        </w:numPr>
        <w:rPr/>
      </w:pPr>
      <w:bookmarkStart w:id="520" w:name="__RefHeading___Toc3299976_1468164448"/>
      <w:bookmarkStart w:id="521" w:name="_Toc209"/>
      <w:bookmarkEnd w:id="519"/>
      <w:bookmarkEnd w:id="520"/>
      <w:r>
        <w:rPr>
          <w:rtl w:val="true"/>
        </w:rPr>
        <w:t>ملاحظة علی مناقشة الآخوند</w:t>
      </w:r>
      <w:bookmarkEnd w:id="521"/>
    </w:p>
    <w:p>
      <w:pPr>
        <w:pStyle w:val="BookText"/>
        <w:rPr/>
      </w:pPr>
      <w:r>
        <w:rPr>
          <w:rFonts w:ascii="IRNazanin" w:hAnsi="IRNazanin" w:eastAsia="IRNazanin"/>
          <w:color w:val="111111"/>
          <w:sz w:val="28"/>
          <w:sz w:val="28"/>
          <w:szCs w:val="28"/>
          <w:rtl w:val="true"/>
          <w:lang w:bidi="fa-IR"/>
        </w:rPr>
        <w:t>ویلاحظ علی الآخوند والشیخ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الشیخ لیس فی مطلق المنجّز والمعذّر کی ینقض علیه بالأصول وإنما فی الأمارات ولم ینقض العَلَمان بأمارة لا تلازم جواز الإسناد</w:t>
      </w:r>
      <w:r>
        <w:rPr>
          <w:rFonts w:eastAsia="IRNazanin" w:cs="IRNazanin"/>
          <w:color w:val="111111"/>
          <w:sz w:val="28"/>
          <w:szCs w:val="28"/>
          <w:rtl w:val="true"/>
          <w:lang w:bidi="fa-IR"/>
        </w:rPr>
        <w:t>.</w:t>
      </w:r>
    </w:p>
    <w:p>
      <w:pPr>
        <w:pStyle w:val="Heading6"/>
        <w:numPr>
          <w:ilvl w:val="5"/>
          <w:numId w:val="1"/>
        </w:numPr>
        <w:rPr/>
      </w:pPr>
      <w:bookmarkStart w:id="522" w:name="__RefHeading___Toc3299978_1468164448"/>
      <w:bookmarkStart w:id="523" w:name="_Toc210"/>
      <w:bookmarkEnd w:id="522"/>
      <w:r>
        <w:rPr>
          <w:rtl w:val="true"/>
        </w:rPr>
        <w:t>الحق فی الإشکال علی الشیخ</w:t>
      </w:r>
      <w:bookmarkEnd w:id="5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فی الإشکال علی الشیخ ما ذکرناه آنفاً من أنّ الإسناد قضیة شرعیة أخذ فی موضوعها الحجّة الناجزة الواصلة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الآیة وحکم العقل بقبح إسناد ما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ونفی الإسناد یلازم نفی تلک المرتبة والأثر وهی التنجیز، لا نفی فعلیة الحجّة التی لم یؤخذ فی موضوعها إلاّ الوصول النوعی</w:t>
      </w:r>
      <w:r>
        <w:rPr>
          <w:rFonts w:eastAsia="IRNazanin" w:cs="IRNazanin"/>
          <w:color w:val="111111"/>
          <w:sz w:val="28"/>
          <w:szCs w:val="28"/>
          <w:rtl w:val="true"/>
          <w:lang w:bidi="fa-IR"/>
        </w:rPr>
        <w:t>.</w:t>
      </w:r>
      <w:r>
        <w:rPr>
          <w:rStyle w:val="FootnoteAnchor"/>
          <w:rtl w:val="true"/>
        </w:rPr>
        <w:footnoteReference w:id="46"/>
      </w:r>
      <w:bookmarkStart w:id="524" w:name="pg16983_380896"/>
    </w:p>
    <w:p>
      <w:pPr>
        <w:pStyle w:val="BookText"/>
        <w:rPr/>
      </w:pPr>
      <w:bookmarkEnd w:id="524"/>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صدد الاستدلال علی نفی وجود الحجّیة مع الشک، فی حین أنّ الدلیل الذی ذکره الشیخ نفی آثار الحجّیة وهی التنجیز والإسناد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بموجب هذا الدلیل البناء علی عدم هذه الآثار مع الشک فی الحجّیة، لا نفی 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جواز الإستناد إلی هذه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هناک فرقاً بین إحراز عدم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یترتب علیه نفی کلّ آثارها الأصولیة والفقهیة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عدم احراز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یترتب علیه بدلالة الآیة حرمة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وبقرینة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أکثر من ذلک، وأنّ العلم الشخصی بالحجّة وحده لیس کافیاً فی جواز الإسناد، وإنما لابدّ من اقترانه بالإذن، وأنّ الفتیا لیست مجرد حکایة بحتة وخبر عن الواقع فیکون کذبها وصدقها مرهوناً بالحجّة واللاحجّة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لابدّ من الإذن، والإذن یکشف عن أنّ المأذون به مورد سلطة الآذن، فالفتیا تصرف فی مورد ولایة الغیر، فصرف الإجتهاد والعلم الشخصی بالحجّة لا یسوغ الإفتاء بعد أن تبیّن أنه لیس حکایة بحتة عن واقع قد اکتشف بالإجتهاد، وإنما هو حق وولایة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الأصل الأولی فی جواز إفتاء المرأة وعدمه مع الشک، العدم لا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یفهم تخریج ما ارتکز عند فقهاء الشیعة من شرطیة حیاة المجتهد، حیث إنّ المیّت یفقد منصب ولایة الإفتاء، فجعل ولایته نافذة یحتاج إلی دلیل بالإضافة إلی الأدلّة والجهات الأُخری حول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أیضاً ما علیه الأکثر من التفرقة بین الرأی والفتوی، وأنّ الثانی متقوم بالإنشاء وصرف معرفة الرأی غیر کافیة فی جواز التقلید، لأنه لا یعدو عن کونه خبراً عن الواقع، وهو لیس حجّة علی المکلّف</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5" w:name="__RefHeading___Toc3299980_1468164448"/>
      <w:bookmarkStart w:id="526" w:name="_Toc211"/>
      <w:bookmarkEnd w:id="525"/>
      <w:r>
        <w:rPr>
          <w:rtl w:val="true"/>
        </w:rPr>
        <w:t>تلخیص المطلب</w:t>
      </w:r>
      <w:bookmarkStart w:id="527" w:name="pg16983_380898"/>
      <w:bookmarkEnd w:id="526"/>
    </w:p>
    <w:p>
      <w:pPr>
        <w:pStyle w:val="BookText"/>
        <w:rPr/>
      </w:pPr>
      <w:bookmarkEnd w:id="527"/>
      <w:r>
        <w:rPr>
          <w:rFonts w:ascii="IRNazanin" w:hAnsi="IRNazanin" w:eastAsia="IRNazanin"/>
          <w:color w:val="111111"/>
          <w:sz w:val="28"/>
          <w:sz w:val="28"/>
          <w:szCs w:val="28"/>
          <w:rtl w:val="true"/>
          <w:lang w:bidi="fa-IR"/>
        </w:rPr>
        <w:t>فیتلخص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قرینة الفریة تدلّ علی ضرورة العلم الشخصی بالحجّة الناجزة فی جواز الإسناد، وأنّ قرینة الإذن تدلّ علی قید إضافی فی جواز الإسناد وهو الإذن، وأنّ صرف العلم الشخصی لا یکفی فی جواز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فهم أنّ مقام الإفتاء مقام ولایة کمقام المرجعیة والحکم والقضاء، ومن ثمّ فالفتوی مزیج من الخبر والإنشاء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رجعنا إلی القانون العقلائی لوجدنا الحال نفسه؛ فإنّ القوة التشریعیة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توازی 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ولایة تحتاج إلی إذن لا أنها مفتوحة لکلّ من علم بالحجّة</w:t>
      </w:r>
      <w:r>
        <w:rPr>
          <w:rFonts w:eastAsia="IRNazanin" w:cs="IRNazanin"/>
          <w:color w:val="111111"/>
          <w:sz w:val="28"/>
          <w:szCs w:val="28"/>
          <w:rtl w:val="true"/>
          <w:lang w:bidi="fa-IR"/>
        </w:rPr>
        <w:t>.</w:t>
      </w:r>
    </w:p>
    <w:p>
      <w:pPr>
        <w:pStyle w:val="Heading6"/>
        <w:numPr>
          <w:ilvl w:val="5"/>
          <w:numId w:val="1"/>
        </w:numPr>
        <w:rPr/>
      </w:pPr>
      <w:bookmarkStart w:id="528" w:name="__RefHeading___Toc3299982_1468164448"/>
      <w:bookmarkStart w:id="529" w:name="_Toc212"/>
      <w:bookmarkEnd w:id="528"/>
      <w:r>
        <w:rPr>
          <w:rtl w:val="true"/>
        </w:rPr>
        <w:t>العلاقة بین حرمة الإسناد وحرمة التشریع</w:t>
      </w:r>
      <w:bookmarkEnd w:id="529"/>
    </w:p>
    <w:p>
      <w:pPr>
        <w:pStyle w:val="BookText"/>
        <w:rPr/>
      </w:pPr>
      <w:r>
        <w:rPr>
          <w:rFonts w:ascii="IRNazanin" w:hAnsi="IRNazanin" w:eastAsia="IRNazanin"/>
          <w:color w:val="111111"/>
          <w:sz w:val="28"/>
          <w:sz w:val="28"/>
          <w:szCs w:val="28"/>
          <w:rtl w:val="true"/>
          <w:lang w:bidi="fa-IR"/>
        </w:rPr>
        <w:t>ثمّ إنه قد یتساءل عن طبیعة العلاقة بین حرمة الإسناد وحرمة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تعریف التشریع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ما لیس فی الدین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إدخال ما لا وجود له ولا أساس فی الدین، ومن ثمّ فالإسناد مع وجود واقع وإن کان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فریة ولا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النراقی ذکر أنّ حرمة التشریع لا تدور مدار ما ذکر، فإنه غیر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فتوی المجتهد بالحکم الظاهری غیر المصیب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کان هناک حکم و أفتی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فالتشریع وعدمه یدور مدار عدم العلم المعذِّر وجوده، لا مدار ما ذکره المشهور، ومعه تنطبق موارد حرمة الإسناد مع حرمة التشریع، فتکون الآیة دالّة علی جواز الفتیا وحرمة التشریع حینئذ</w:t>
      </w:r>
      <w:r>
        <w:rPr>
          <w:rFonts w:eastAsia="IRNazanin" w:cs="IRNazanin"/>
          <w:color w:val="111111"/>
          <w:sz w:val="28"/>
          <w:szCs w:val="28"/>
          <w:rtl w:val="true"/>
          <w:lang w:bidi="fa-IR"/>
        </w:rPr>
        <w:t>.</w:t>
      </w:r>
    </w:p>
    <w:p>
      <w:pPr>
        <w:pStyle w:val="Heading6"/>
        <w:numPr>
          <w:ilvl w:val="5"/>
          <w:numId w:val="1"/>
        </w:numPr>
        <w:rPr/>
      </w:pPr>
      <w:bookmarkStart w:id="530" w:name="__RefHeading___Toc3299984_1468164448"/>
      <w:bookmarkStart w:id="531" w:name="_Toc213"/>
      <w:bookmarkEnd w:id="530"/>
      <w:r>
        <w:rPr>
          <w:rtl w:val="true"/>
        </w:rPr>
        <w:t>الدلیل الثانی</w:t>
      </w:r>
      <w:r>
        <w:rPr>
          <w:rtl w:val="true"/>
        </w:rPr>
        <w:t xml:space="preserve">: </w:t>
      </w:r>
      <w:r>
        <w:rPr>
          <w:rtl w:val="true"/>
        </w:rPr>
        <w:t>ذکره الآخوند</w:t>
      </w:r>
      <w:bookmarkEnd w:id="5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الشک فی الحجّیة مساوق لعدم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غیر واصلة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لا یرتب علیها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غیر 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تسند ولا</w:t>
      </w:r>
      <w:bookmarkStart w:id="532" w:name="pg16983_380900"/>
    </w:p>
    <w:p>
      <w:pPr>
        <w:pStyle w:val="BookText"/>
        <w:rPr/>
      </w:pPr>
      <w:bookmarkEnd w:id="532"/>
      <w:r>
        <w:rPr>
          <w:rFonts w:ascii="IRNazanin" w:hAnsi="IRNazanin" w:eastAsia="IRNazanin"/>
          <w:color w:val="111111"/>
          <w:sz w:val="28"/>
          <w:sz w:val="28"/>
          <w:szCs w:val="28"/>
          <w:rtl w:val="true"/>
          <w:lang w:bidi="fa-IR"/>
        </w:rPr>
        <w:t>یستند إلیها الآثار</w:t>
      </w:r>
      <w:r>
        <w:rPr>
          <w:rFonts w:eastAsia="IRNazanin" w:cs="IRNazanin"/>
          <w:color w:val="111111"/>
          <w:sz w:val="28"/>
          <w:szCs w:val="28"/>
          <w:rtl w:val="true"/>
          <w:lang w:bidi="fa-IR"/>
        </w:rPr>
        <w:t>.</w:t>
      </w:r>
    </w:p>
    <w:p>
      <w:pPr>
        <w:pStyle w:val="Heading6"/>
        <w:numPr>
          <w:ilvl w:val="5"/>
          <w:numId w:val="1"/>
        </w:numPr>
        <w:rPr/>
      </w:pPr>
      <w:bookmarkStart w:id="533" w:name="__RefHeading___Toc3299986_1468164448"/>
      <w:bookmarkStart w:id="534" w:name="_Toc214"/>
      <w:bookmarkEnd w:id="533"/>
      <w:r>
        <w:rPr>
          <w:rtl w:val="true"/>
        </w:rPr>
        <w:t>المناقشة فی الدلیل الثانی</w:t>
      </w:r>
      <w:bookmarkEnd w:id="534"/>
    </w:p>
    <w:p>
      <w:pPr>
        <w:pStyle w:val="BookText"/>
        <w:rPr/>
      </w:pPr>
      <w:r>
        <w:rPr>
          <w:rFonts w:ascii="IRNazanin" w:hAnsi="IRNazanin" w:eastAsia="IRNazanin"/>
          <w:color w:val="111111"/>
          <w:sz w:val="28"/>
          <w:sz w:val="28"/>
          <w:szCs w:val="28"/>
          <w:rtl w:val="true"/>
          <w:lang w:bidi="fa-IR"/>
        </w:rPr>
        <w:t>ویلاحظ علیه بما أشکله علی الشیخ من أنّ انتفاء الآثار یساوق انتفاء التنجیز لا انتفاء الوجود والفعلیة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نفی الآثار لا الفعلیة، لأنّ الحدیث فی حالة الشک وتحدید الوظیفة لترتیب الآثار وعدمه</w:t>
      </w:r>
      <w:r>
        <w:rPr>
          <w:rFonts w:eastAsia="IRNazanin" w:cs="IRNazanin"/>
          <w:color w:val="111111"/>
          <w:sz w:val="28"/>
          <w:szCs w:val="28"/>
          <w:rtl w:val="true"/>
          <w:lang w:bidi="fa-IR"/>
        </w:rPr>
        <w:t>.</w:t>
      </w:r>
    </w:p>
    <w:p>
      <w:pPr>
        <w:pStyle w:val="Heading6"/>
        <w:numPr>
          <w:ilvl w:val="5"/>
          <w:numId w:val="1"/>
        </w:numPr>
        <w:rPr/>
      </w:pPr>
      <w:bookmarkStart w:id="535" w:name="__RefHeading___Toc3299988_1468164448"/>
      <w:bookmarkStart w:id="536" w:name="_Toc215"/>
      <w:bookmarkEnd w:id="535"/>
      <w:r>
        <w:rPr>
          <w:rtl w:val="true"/>
        </w:rPr>
        <w:t>الدلیل الثالث</w:t>
      </w:r>
      <w:r>
        <w:rPr>
          <w:rtl w:val="true"/>
        </w:rPr>
        <w:t xml:space="preserve">: </w:t>
      </w:r>
      <w:r>
        <w:rPr>
          <w:rtl w:val="true"/>
        </w:rPr>
        <w:t>ذکره الشیخ</w:t>
      </w:r>
      <w:bookmarkEnd w:id="536"/>
    </w:p>
    <w:p>
      <w:pPr>
        <w:pStyle w:val="BookText"/>
        <w:rPr/>
      </w:pPr>
      <w:r>
        <w:rPr>
          <w:rFonts w:ascii="IRNazanin" w:hAnsi="IRNazanin" w:eastAsia="IRNazanin"/>
          <w:color w:val="111111"/>
          <w:sz w:val="28"/>
          <w:sz w:val="28"/>
          <w:szCs w:val="28"/>
          <w:rtl w:val="true"/>
          <w:lang w:bidi="fa-IR"/>
        </w:rPr>
        <w:t>استصحاب عدم الحجّیة عند الشک فیها</w:t>
      </w:r>
      <w:r>
        <w:rPr>
          <w:rFonts w:eastAsia="IRNazanin" w:cs="IRNazanin"/>
          <w:color w:val="111111"/>
          <w:sz w:val="28"/>
          <w:szCs w:val="28"/>
          <w:rtl w:val="true"/>
          <w:lang w:bidi="fa-IR"/>
        </w:rPr>
        <w:t>.</w:t>
      </w:r>
    </w:p>
    <w:p>
      <w:pPr>
        <w:pStyle w:val="Heading6"/>
        <w:numPr>
          <w:ilvl w:val="5"/>
          <w:numId w:val="1"/>
        </w:numPr>
        <w:rPr/>
      </w:pPr>
      <w:bookmarkStart w:id="537" w:name="__RefHeading___Toc3299990_1468164448"/>
      <w:bookmarkStart w:id="538" w:name="_Toc216"/>
      <w:bookmarkEnd w:id="537"/>
      <w:r>
        <w:rPr>
          <w:rtl w:val="true"/>
        </w:rPr>
        <w:t>ملاحظة المیرزا علی الشیخ</w:t>
      </w:r>
      <w:bookmarkEnd w:id="538"/>
    </w:p>
    <w:p>
      <w:pPr>
        <w:pStyle w:val="BookText"/>
        <w:rPr/>
      </w:pPr>
      <w:r>
        <w:rPr>
          <w:rFonts w:ascii="IRNazanin" w:hAnsi="IRNazanin" w:eastAsia="IRNazanin"/>
          <w:color w:val="111111"/>
          <w:sz w:val="28"/>
          <w:sz w:val="28"/>
          <w:szCs w:val="28"/>
          <w:rtl w:val="true"/>
          <w:lang w:bidi="fa-IR"/>
        </w:rPr>
        <w:t>ولاحظ علیه المیرزا بأنه تحصیل للحاصل بل من أردأ أنواعه؛ لأنّ الإستصحاب غایة ما ینفع أنه ینفی الآثار من قبیل جواز الإسناد والإستناد، وهذا حاصل بحکم العقل عند الشک فلا حاجة إلی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أردأ لأنه تحصیل اعتباری لما هو حاصل عقلاً وتکویناً</w:t>
      </w:r>
      <w:r>
        <w:rPr>
          <w:rFonts w:eastAsia="IRNazanin" w:cs="IRNazanin"/>
          <w:color w:val="111111"/>
          <w:sz w:val="28"/>
          <w:szCs w:val="28"/>
          <w:rtl w:val="true"/>
          <w:lang w:bidi="fa-IR"/>
        </w:rPr>
        <w:t>.</w:t>
      </w:r>
    </w:p>
    <w:p>
      <w:pPr>
        <w:pStyle w:val="Heading6"/>
        <w:numPr>
          <w:ilvl w:val="5"/>
          <w:numId w:val="1"/>
        </w:numPr>
        <w:rPr/>
      </w:pPr>
      <w:bookmarkStart w:id="539" w:name="__RefHeading___Toc3299992_1468164448"/>
      <w:bookmarkStart w:id="540" w:name="_Toc217"/>
      <w:bookmarkEnd w:id="539"/>
      <w:r>
        <w:rPr>
          <w:rtl w:val="true"/>
        </w:rPr>
        <w:t>تتابع الملاحظات</w:t>
      </w:r>
      <w:bookmarkEnd w:id="540"/>
    </w:p>
    <w:p>
      <w:pPr>
        <w:pStyle w:val="BookText"/>
        <w:rPr/>
      </w:pPr>
      <w:r>
        <w:rPr>
          <w:rFonts w:ascii="IRNazanin" w:hAnsi="IRNazanin" w:eastAsia="IRNazanin"/>
          <w:color w:val="111111"/>
          <w:sz w:val="28"/>
          <w:sz w:val="28"/>
          <w:szCs w:val="28"/>
          <w:rtl w:val="true"/>
          <w:lang w:bidi="fa-IR"/>
        </w:rPr>
        <w:t>الشیخ العراقی والشیخ الإصفهانی أجابا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 الحجّیة یرفع موضوع حکم العقل وهو الشک، فإنّ التعبد الشرعی یلغی الشک ویحرز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الشیخ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یرتض هذه الإجابة؛ حیث ذکر أنّ موضوع حرمة الإستناد والإسناد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المعلوم و عدمه والمشکوک، فلم یرتفع موضوع حکم العقل بالإستصحاب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وجدانی وهو الشک وهو موضوع حکم العقل، والشارع یحرز الفرد الآخر،</w:t>
      </w:r>
      <w:bookmarkStart w:id="541" w:name="pg16983_380902"/>
    </w:p>
    <w:p>
      <w:pPr>
        <w:pStyle w:val="BookText"/>
        <w:rPr/>
      </w:pPr>
      <w:bookmarkEnd w:id="541"/>
      <w:r>
        <w:rPr>
          <w:rFonts w:ascii="IRNazanin" w:hAnsi="IRNazanin" w:eastAsia="IRNazanin"/>
          <w:color w:val="111111"/>
          <w:sz w:val="28"/>
          <w:sz w:val="28"/>
          <w:szCs w:val="28"/>
          <w:rtl w:val="true"/>
          <w:lang w:bidi="fa-IR"/>
        </w:rPr>
        <w:t>ومنه یرتفع موضوع حکم العقل وهو لا یدرکه العقل فلا تحصیل</w:t>
      </w:r>
    </w:p>
    <w:p>
      <w:pPr>
        <w:pStyle w:val="BookText"/>
        <w:rPr/>
      </w:pPr>
      <w:r>
        <w:rPr>
          <w:rFonts w:ascii="IRNazanin" w:hAnsi="IRNazanin" w:eastAsia="IRNazanin"/>
          <w:color w:val="111111"/>
          <w:sz w:val="28"/>
          <w:sz w:val="28"/>
          <w:szCs w:val="28"/>
          <w:rtl w:val="true"/>
          <w:lang w:bidi="fa-IR"/>
        </w:rPr>
        <w:t>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ذکرت مجموعة من النقوض حول ما ذکره المیرزا من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الشرعیة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الطهارة الرافع لأصالة الطهارة، مع أنّ الشارع قد تعبّدنا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الشک، فجریان الإستصحاب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امتثال أحد أطراف العلم الإجمالی أو تلفه یبقی التنجیز قائماً فی الأطراف الأُخری بقاعدة الإشتغال، ولکنّه مع ذلک قالوا بجریان الإستصحاب فی الأطراف الأُخری، وهو استصحاب التکلیف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الإشتغال عند الشک فی أداء الصلاة فی الوقت مع جریان استصحاب بقاء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الحِلّ مع جریان أصالة الحلّ بنفس البیان المتقدّم فی النقض السابق</w:t>
      </w:r>
      <w:r>
        <w:rPr>
          <w:rFonts w:eastAsia="IRNazanin" w:cs="IRNazanin"/>
          <w:color w:val="111111"/>
          <w:sz w:val="28"/>
          <w:szCs w:val="28"/>
          <w:rtl w:val="true"/>
          <w:lang w:bidi="fa-IR"/>
        </w:rPr>
        <w:t>.</w:t>
      </w:r>
    </w:p>
    <w:p>
      <w:pPr>
        <w:pStyle w:val="Heading6"/>
        <w:numPr>
          <w:ilvl w:val="5"/>
          <w:numId w:val="1"/>
        </w:numPr>
        <w:rPr/>
      </w:pPr>
      <w:bookmarkStart w:id="542" w:name="__RefHeading___Toc3299994_1468164448"/>
      <w:bookmarkStart w:id="543" w:name="_Toc218"/>
      <w:bookmarkEnd w:id="542"/>
      <w:r>
        <w:rPr>
          <w:rtl w:val="true"/>
        </w:rPr>
        <w:t>ملاحظات حول النقض الخامس</w:t>
      </w:r>
      <w:bookmarkEnd w:id="543"/>
    </w:p>
    <w:p>
      <w:pPr>
        <w:pStyle w:val="BookText"/>
        <w:rPr/>
      </w:pPr>
      <w:r>
        <w:rPr>
          <w:rFonts w:ascii="IRNazanin" w:hAnsi="IRNazanin" w:eastAsia="IRNazanin"/>
          <w:color w:val="111111"/>
          <w:sz w:val="28"/>
          <w:sz w:val="28"/>
          <w:szCs w:val="28"/>
          <w:rtl w:val="true"/>
          <w:lang w:bidi="fa-IR"/>
        </w:rPr>
        <w:t>الشیخ العراقی أجاب عن النقض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جریان الإستصحاب ثمرة ولیس تحصیلاً للحاصل، لأنّ هناک خلافاً فقهیاً فی أنّ صحة الصلاة معلّقة علی کون اللباس مما یحلّ أکله ظاهراً أو واقعاً، وأصالة الطهارة أصل تنزیلی وهو لا یثبت أکثر من الحلّ الظاهری، فی حین أنّ الإستصحاب یحرز الحلّ ویکشف عنه بحکم کونه أمارة فعلیة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والمیرزا أجاب بکیفیة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الحلّ لا تجری فی اللباس المشکوک، لأنها لا تفید إلاّ الحِلّ بحسب الوظیفة والبناء العملی لرفع الحیرة ولا تثبت الحِلّ الطبعی وإنما یثبته الإستصحاب،</w:t>
      </w:r>
      <w:bookmarkStart w:id="544" w:name="pg16983_380905"/>
    </w:p>
    <w:p>
      <w:pPr>
        <w:pStyle w:val="BookText"/>
        <w:rPr/>
      </w:pPr>
      <w:bookmarkEnd w:id="544"/>
      <w:r>
        <w:rPr>
          <w:rFonts w:ascii="IRNazanin" w:hAnsi="IRNazanin" w:eastAsia="IRNazanin"/>
          <w:color w:val="111111"/>
          <w:sz w:val="28"/>
          <w:sz w:val="28"/>
          <w:szCs w:val="28"/>
          <w:rtl w:val="true"/>
          <w:lang w:bidi="fa-IR"/>
        </w:rPr>
        <w:t>والصلاة مشروطة بکون اللباس مما یحلّ أکله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ذکر فی أصالة الطهارة، وإنها لا تجری عند الشک فی طهارة حیوان مذبوح، وذلک کما بنی علیه من أنّ التذکیة تکون للحیوان الطاهر بطبعه، وأصالة الطهارة لا تثبت الطهارة الطبعیة لهذا الحیوان المذبوح بطریقة شرعیة، وإنما الذی یثبت ذلک الإستصحاب إن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تحصیل للحاصل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الشیخ العراقی فی بحث اللباس المشکوک لم یقبل أنّ مفاد أصالة الطهارة والحل هو الحلّ والطهارة العملیان فقط، و إنما المجعول فیها مطلق یشمل الطبعی، فکلّ شیء لک حلال أو طاهر لیس بلحاظ الشک والحیرة الفعلیة فقط، وإنما بلحاظ الشک فی الحلیة والطهارة الطبعیة أیضاً</w:t>
      </w:r>
      <w:r>
        <w:rPr>
          <w:rFonts w:eastAsia="IRNazanin" w:cs="IRNazanin"/>
          <w:color w:val="111111"/>
          <w:sz w:val="28"/>
          <w:szCs w:val="28"/>
          <w:rtl w:val="true"/>
          <w:lang w:bidi="fa-IR"/>
        </w:rPr>
        <w:t>.</w:t>
      </w:r>
    </w:p>
    <w:p>
      <w:pPr>
        <w:pStyle w:val="Heading6"/>
        <w:numPr>
          <w:ilvl w:val="5"/>
          <w:numId w:val="1"/>
        </w:numPr>
        <w:rPr/>
      </w:pPr>
      <w:bookmarkStart w:id="545" w:name="__RefHeading___Toc3299996_1468164448"/>
      <w:bookmarkStart w:id="546" w:name="_Toc219"/>
      <w:bookmarkEnd w:id="545"/>
      <w:r>
        <w:rPr>
          <w:rtl w:val="true"/>
        </w:rPr>
        <w:t>بعض الحدیث حول الحکم الطبعی والفعلی</w:t>
      </w:r>
      <w:bookmarkEnd w:id="546"/>
    </w:p>
    <w:p>
      <w:pPr>
        <w:pStyle w:val="BookText"/>
        <w:rPr/>
      </w:pPr>
      <w:r>
        <w:rPr>
          <w:rFonts w:ascii="IRNazanin" w:hAnsi="IRNazanin" w:eastAsia="IRNazanin"/>
          <w:color w:val="111111"/>
          <w:sz w:val="28"/>
          <w:sz w:val="28"/>
          <w:szCs w:val="28"/>
          <w:rtl w:val="true"/>
          <w:lang w:bidi="fa-IR"/>
        </w:rPr>
        <w:t>وحیث انجرّ الکلام إلی الحکم الطبعی والفعلی یحسن تسلیط الضوء علیها بعض الشیء و إن کان الحدیث عنهما قد تقدّم مفصلاً فی بحث اجتماع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الشارع علی شیء بصورته النوعیة والطبعیة کحلّیة شرب الماء وحرمة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الشارع علی الشیء لا بصورته النوعیة، وإنما علی حیثیة من حیثیاته کحرمة التصرف بالمغصوب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والأحکام الثانویة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لا حرج ولا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الحکم الفعلی، إلاّ أنها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طروّه اتفاقیاً کالحرج، وما یمکن أن یکون دائمیاً کالغصب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نرجع إلی الفقه نجد الکثیر من الأمثلة للحکم الفعلی أو علی الأقلّ یمکن أن یکون الحکم فیها فعلیاً، من قبیل تحریم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علی کبار صحابته فی المدینة، ومثل تحریم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لأکل</w:t>
      </w:r>
      <w:bookmarkStart w:id="547" w:name="pg16983_380906"/>
    </w:p>
    <w:p>
      <w:pPr>
        <w:pStyle w:val="BookText"/>
        <w:rPr/>
      </w:pPr>
      <w:bookmarkEnd w:id="547"/>
      <w:r>
        <w:rPr>
          <w:rFonts w:ascii="IRNazanin" w:hAnsi="IRNazanin" w:eastAsia="IRNazanin"/>
          <w:color w:val="111111"/>
          <w:sz w:val="28"/>
          <w:sz w:val="28"/>
          <w:szCs w:val="28"/>
          <w:rtl w:val="true"/>
          <w:lang w:bidi="fa-IR"/>
        </w:rPr>
        <w:t xml:space="preserve">الخیل والبغال،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 ثوبک من أبوال ما لا یؤکل</w:t>
      </w:r>
    </w:p>
    <w:p>
      <w:pPr>
        <w:pStyle w:val="BookText"/>
        <w:rPr/>
      </w:pP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حیث وقع الحدیث أنه بلحاظ الطبعی فلا یعمّ الجلاّل لأنه بطبعه حلال الأکل أو ما یشمل الفعلی فیجب التطهر من بول الجلاّل</w:t>
      </w:r>
      <w:r>
        <w:rPr>
          <w:rFonts w:eastAsia="IRNazanin" w:cs="IRNazanin"/>
          <w:color w:val="111111"/>
          <w:sz w:val="28"/>
          <w:szCs w:val="28"/>
          <w:rtl w:val="true"/>
          <w:lang w:bidi="fa-IR"/>
        </w:rPr>
        <w:t>.</w:t>
      </w:r>
    </w:p>
    <w:p>
      <w:pPr>
        <w:pStyle w:val="Heading6"/>
        <w:numPr>
          <w:ilvl w:val="5"/>
          <w:numId w:val="1"/>
        </w:numPr>
        <w:rPr/>
      </w:pPr>
      <w:bookmarkStart w:id="548" w:name="__RefHeading___Toc3299998_1468164448"/>
      <w:bookmarkStart w:id="549" w:name="_Toc220"/>
      <w:bookmarkEnd w:id="548"/>
      <w:r>
        <w:rPr>
          <w:rtl w:val="true"/>
        </w:rPr>
        <w:t>الحکم المطلق والحکم الحیثی</w:t>
      </w:r>
      <w:bookmarkEnd w:id="549"/>
    </w:p>
    <w:p>
      <w:pPr>
        <w:pStyle w:val="BookText"/>
        <w:rPr/>
      </w:pPr>
      <w:r>
        <w:rPr>
          <w:rFonts w:ascii="IRNazanin" w:hAnsi="IRNazanin" w:eastAsia="IRNazanin"/>
          <w:color w:val="111111"/>
          <w:sz w:val="28"/>
          <w:sz w:val="28"/>
          <w:szCs w:val="28"/>
          <w:rtl w:val="true"/>
          <w:lang w:bidi="fa-IR"/>
        </w:rPr>
        <w:t xml:space="preserve">ثم إنّ هناک تقسیماً آخر أشار إلیه الأعلام وهو انقسام الحکم إلی مطلق وحیثی، وهو تقسیم مغایر لما تقدّم وإن کان یقرب منه کثیراً، ویراد من المطلق هو الذی لا یرفع الشارع عنه الید فی أیّ حال من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یقرب من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من الحیثی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یصطلحوا علیه بالمقیّد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رتبه الشارع علی حیثیة من الحیثیات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کان یقرب من الطبعی</w:t>
      </w:r>
      <w:r>
        <w:rPr>
          <w:rFonts w:eastAsia="IRNazanin" w:cs="IRNazanin"/>
          <w:color w:val="111111"/>
          <w:sz w:val="28"/>
          <w:szCs w:val="28"/>
          <w:rtl w:val="true"/>
          <w:lang w:bidi="fa-IR"/>
        </w:rPr>
        <w:t>. ]</w:t>
      </w:r>
    </w:p>
    <w:p>
      <w:pPr>
        <w:pStyle w:val="Heading6"/>
        <w:numPr>
          <w:ilvl w:val="5"/>
          <w:numId w:val="1"/>
        </w:numPr>
        <w:rPr/>
      </w:pPr>
      <w:bookmarkStart w:id="550" w:name="__RefHeading___Toc3300000_1468164448"/>
      <w:bookmarkStart w:id="551" w:name="_Toc221"/>
      <w:bookmarkEnd w:id="550"/>
      <w:r>
        <w:rPr>
          <w:rtl w:val="true"/>
        </w:rPr>
        <w:t>العودة إلی البحث</w:t>
      </w:r>
      <w:bookmarkEnd w:id="551"/>
    </w:p>
    <w:p>
      <w:pPr>
        <w:pStyle w:val="BookText"/>
        <w:rPr/>
      </w:pPr>
      <w:r>
        <w:rPr>
          <w:rFonts w:ascii="IRNazanin" w:hAnsi="IRNazanin" w:eastAsia="IRNazanin"/>
          <w:color w:val="111111"/>
          <w:sz w:val="28"/>
          <w:sz w:val="28"/>
          <w:szCs w:val="28"/>
          <w:rtl w:val="true"/>
          <w:lang w:bidi="fa-IR"/>
        </w:rPr>
        <w:t>بعد کلّ هذا نرجع إلی جواب المیرزا علی النقضین الثانی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 جریان الإستصحاب ثمرة وهی إحراز الحکم الطبعی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أخذ شرطاً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کانت غالب الأصول العملیة غیر الإحرازیة من التنزیلیة والمحضة لا تُعیّن الواقع بما هو، وإنما تستخدم فی رفع حیرة المکلّف والقضاء علی تردده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النقض الرابع فقد منع المیرزا من جریان استصحاب بقاء التکلیف عند الشک فی الإمتثال لأنه تحصیل للحاصل، فلا یصلح النقض نقضاً علیه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لإشکال المیرزا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الحکم فی الحالة المذکورة لیس بسبب الشک فی بقائه شرعاً لاحتمال انتفاء موضوعه، وإنما للشک فی تحقق الإمتثال المسقط له عقلاً، و فی</w:t>
      </w:r>
    </w:p>
    <w:p>
      <w:pPr>
        <w:pStyle w:val="BookText"/>
        <w:rPr/>
      </w:pPr>
      <w:r>
        <w:rPr>
          <w:rFonts w:ascii="IRNazanin" w:hAnsi="IRNazanin" w:eastAsia="IRNazanin"/>
          <w:color w:val="111111"/>
          <w:sz w:val="28"/>
          <w:sz w:val="28"/>
          <w:szCs w:val="28"/>
          <w:rtl w:val="true"/>
          <w:lang w:bidi="fa-IR"/>
        </w:rPr>
        <w:t>مثله لا یجری الإستصحاب لأنه أثر عقلی، کما أنّ استصحاب عدم الإمتثال لا یترتب علیه شرعاً بقاء التکلیف وإنما عقلاً، فهو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عین الکلام فی الرابع، فلم یجر المیرزا الإستصحاب کی ینقض علیه، وذلک لأنه تحصیل للحاصل بعد حکم العقل بالمنجّزیة فی أطراف العلم الإجمالی کما یرد علیه إشکال آخر وهو أنّ الشک فی منجّزیة باقی الأطراف مسبَّب عن الشک فی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لابدّ من الإلتفات إلی أنّ الإشکال فی جریان الإستصحاب فی بقاء التکلیف فی الوقت وباقی أطراف العلم الإجمالی یختلف عن الإشکال فی جریانه عند الشک فی الحجّیة، حیث إنّ الإشکال فیهما أنّ المستصحب أمر عقلی لا شرعی فی حین أنّ الحجّیة أمر شرعی، فالمستصحب هو عدم الأمر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أثر هذا المستصحب عقلی وهو قبح الإسناد والإستناد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النقض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أنّ استصحاب عدم التکلیف لا یرجع إلی محصّل، لأنه إمّا أن یراد من الیقین السابق ما کان قبل الشریعة، أو قبل البلوغ، أو قبل الوقت فی المؤقتات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الأول لا یجری الإستصحاب لعدم وحدة الموضوع، فما بعد شریعة الإسلام یؤخذ المکلّف بما هو مسلم، وما قبله یؤخذ بما هو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استشکلوا فی استصحاب أحکام الشرائع السابقة، أو قالوا بجریانه إلاّ أنه یحتاج إلی 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فاستصحاب عدم التکلیف إن کان یقصد منه الإباحة الشرعیة فهی بحاجة إلی إمضاء، وإن کان یقصد الإباحة الأصلیة فهی عقلیة لا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نفسه یأتی فی الثانی؛ فإنّ تبدّل الموضوع واضح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قَبِلَ البعض الإستصحاب فی الثالث،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الآخر بأنّ قبل الوقت ومعه موضوعان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ما حقّقناه فی حقیقة البراءة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عقلائیة لا تجری فی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بل لا خیار</w:t>
      </w:r>
      <w:bookmarkStart w:id="552" w:name="pg16983_380911"/>
    </w:p>
    <w:p>
      <w:pPr>
        <w:pStyle w:val="BookText"/>
        <w:rPr/>
      </w:pPr>
      <w:bookmarkEnd w:id="552"/>
      <w:r>
        <w:rPr>
          <w:rFonts w:ascii="IRNazanin" w:hAnsi="IRNazanin" w:eastAsia="IRNazanin"/>
          <w:color w:val="111111"/>
          <w:sz w:val="28"/>
          <w:sz w:val="28"/>
          <w:szCs w:val="28"/>
          <w:rtl w:val="true"/>
          <w:lang w:bidi="fa-IR"/>
        </w:rPr>
        <w:t>إلاّ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بأنها عقلیة فقد أجاب الشیخ بأنّ البراءة العقلیة وإن کانت موجودة، إلاّ أنّ الشارع لما کان له رفعها برفع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فعل ذلک فی الفروج والدماء عند الجمیع، والأموال عند المتقدّمین والحق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الإحتیاط الشرعی، کان لجعل البراءة الشرعیة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رفع توهّم الإحتیاط، وإذْنٌ فی رفع الحق بجعل الإحتیاط</w:t>
      </w:r>
      <w:r>
        <w:rPr>
          <w:rFonts w:eastAsia="IRNazanin" w:cs="IRNazanin"/>
          <w:color w:val="111111"/>
          <w:sz w:val="28"/>
          <w:szCs w:val="28"/>
          <w:rtl w:val="true"/>
          <w:lang w:bidi="fa-IR"/>
        </w:rPr>
        <w:t>. ]</w:t>
      </w:r>
    </w:p>
    <w:p>
      <w:pPr>
        <w:pStyle w:val="Heading6"/>
        <w:numPr>
          <w:ilvl w:val="5"/>
          <w:numId w:val="1"/>
        </w:numPr>
        <w:rPr/>
      </w:pPr>
      <w:bookmarkStart w:id="553" w:name="__RefHeading___Toc3300002_1468164448"/>
      <w:bookmarkStart w:id="554" w:name="_Toc222"/>
      <w:bookmarkEnd w:id="553"/>
      <w:r>
        <w:rPr>
          <w:rtl w:val="true"/>
        </w:rPr>
        <w:t>جریان استصحاب عدم الحجّیة من دون محذور تحصیل الحاصل</w:t>
      </w:r>
      <w:bookmarkEnd w:id="554"/>
    </w:p>
    <w:p>
      <w:pPr>
        <w:pStyle w:val="BookText"/>
        <w:rPr/>
      </w:pPr>
      <w:r>
        <w:rPr>
          <w:rFonts w:ascii="IRNazanin" w:hAnsi="IRNazanin" w:eastAsia="IRNazanin"/>
          <w:color w:val="111111"/>
          <w:sz w:val="28"/>
          <w:sz w:val="28"/>
          <w:szCs w:val="28"/>
          <w:rtl w:val="true"/>
          <w:lang w:bidi="fa-IR"/>
        </w:rPr>
        <w:t>مما تقدّم اتضح أنّ فی جریان الإستصحاب فی بعض الحالات لیس تحصیلاً للحاصل، وفی البعض الآخر التزم المیرزا بعدم جریان الإستصحاب أیضاً ولنفس السبب المذکور فی عدم جریانه عند الشک فی الحجّیة وهو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الحقّ أنّ إشکال المیرزا علی الشیخ غیر صحیح، وأنّ الصحیح جریانُ استصحاب عدم الحجّیة ولا تحصیل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ذلک بعد الإلتفات إلی مقدّمة هی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العقل قد یحکم ببعض الآثار التی تترتب علی الحکم الظاهری، ولکن لما کانت هناک آثار أخری شرعیة لا یدرکها العقل، کفی فی جعل الحکم الظاهری وجریانه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الحکم فی مثل هذه الحالة لا یکون حیثیاً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خصوص الأثر الذی لم یدرکه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بلحاظ 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استصحاباً للأثر، وإنما استصحاب لذی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علی مقولة أنّ الإستصحاب فی الموضوعات لباً وحقیقة استصحاب للأحکام المترتبة علیه، وصورة وشکلاً استصحاب للموضوع، فإنه حینئذ یمکن القول بأنّ الأثر المترتب خصوص الأثر الذی لم یدرکه العقل؛ لأنّ استصحاب الآثار التی أدرکها العقل تحصیل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المقولة لا نصیب لها من الصحة کما سبق ویأتی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أنها لو</w:t>
      </w:r>
      <w:bookmarkStart w:id="555" w:name="pg16983_380912"/>
    </w:p>
    <w:p>
      <w:pPr>
        <w:pStyle w:val="BookText"/>
        <w:rPr/>
      </w:pPr>
      <w:bookmarkEnd w:id="555"/>
      <w:r>
        <w:rPr>
          <w:rFonts w:ascii="IRNazanin" w:hAnsi="IRNazanin" w:eastAsia="IRNazanin"/>
          <w:color w:val="111111"/>
          <w:sz w:val="28"/>
          <w:sz w:val="28"/>
          <w:szCs w:val="28"/>
          <w:rtl w:val="true"/>
          <w:lang w:bidi="fa-IR"/>
        </w:rPr>
        <w:t>تمّت فإنما تتمّ فی الموضوعات غیر المجعولة شرعاً، فلا تشمل محور البحث وهو الحجّیة لأنها مجعولة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اللبیب خطورة هذه المقولة حیث إنها تغیّر خارطة الإستصحاب وتترتب علیها ثمرات مهمّة؛ من قبیل أنّ الآثار إذا کانت متعدّدة ستجری استصحابات متعدّدة، ومثل ما إذا کان هناک دلیل یعارض الإستصحاب فی أثر واحد فسینحصر التعارض فی خصوص الأثر بناءاً علی هذه المقولة، بخلاف ما لو قیل من واقعیة استصحاب الموضوع، فإنّ التعارض سیکون 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لا معنی لحکومة الإستصحاب أو وروده إذا لم یجر فی الموضوع، بخلاف ما لو جری؛ فإنه سیکون أسبق رتبة فیکون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عدم الحجّیة لیس أصولیاً فقط کی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به فلا حاجة إلی الإستصحاب، وإنما هناک آثار فقهیة لا یدرکها العقل، فیجری الإستصحاب الموضوعی، وهو استصحاب عدم الحجّیة وبلحاظ کلّ الآثار</w:t>
      </w:r>
      <w:r>
        <w:rPr>
          <w:rFonts w:eastAsia="IRNazanin" w:cs="IRNazanin"/>
          <w:color w:val="111111"/>
          <w:sz w:val="28"/>
          <w:szCs w:val="28"/>
          <w:rtl w:val="true"/>
          <w:lang w:bidi="fa-IR"/>
        </w:rPr>
        <w:t>.</w:t>
      </w:r>
    </w:p>
    <w:p>
      <w:pPr>
        <w:pStyle w:val="Heading6"/>
        <w:numPr>
          <w:ilvl w:val="5"/>
          <w:numId w:val="1"/>
        </w:numPr>
        <w:rPr/>
      </w:pPr>
      <w:bookmarkStart w:id="556" w:name="__RefHeading___Toc3300004_1468164448"/>
      <w:bookmarkStart w:id="557" w:name="_Toc223"/>
      <w:bookmarkEnd w:id="556"/>
      <w:r>
        <w:rPr>
          <w:rtl w:val="true"/>
        </w:rPr>
        <w:t>الدلیل الرابع</w:t>
      </w:r>
      <w:r>
        <w:rPr>
          <w:rtl w:val="true"/>
        </w:rPr>
        <w:t xml:space="preserve">: </w:t>
      </w:r>
      <w:r>
        <w:rPr>
          <w:rtl w:val="true"/>
        </w:rPr>
        <w:t>جریان البراءة فی الحجّیة عند الشک فیها</w:t>
      </w:r>
      <w:bookmarkEnd w:id="557"/>
    </w:p>
    <w:p>
      <w:pPr>
        <w:pStyle w:val="BookText"/>
        <w:rPr/>
      </w:pPr>
      <w:r>
        <w:rPr>
          <w:rFonts w:ascii="IRNazanin" w:hAnsi="IRNazanin" w:eastAsia="IRNazanin"/>
          <w:color w:val="111111"/>
          <w:sz w:val="28"/>
          <w:sz w:val="28"/>
          <w:szCs w:val="28"/>
          <w:rtl w:val="true"/>
          <w:lang w:bidi="fa-IR"/>
        </w:rPr>
        <w:t>وقد یلاحظ علی جریان البراءة بعد حکم العقل بأنه تحصیل للحاصل بل أردأ أنواعه کما ذکر فی الإستصحاب، إلاّ أنّ الجواب هنا کالجواب هناک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هناک ملاحظة أخری ربما تسجّل علی جریان البراءة، بل وحتی علی الإستصحاب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تنجیز الحجّة إنما هو بلحاظ الواقع،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واسطة ثبوت وحیثیة تعلیلیة لتنجیز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ذلک علی کلّ المبانی فی حقیقتها عدا مبنی الحکم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واسطة عروض، بمعنی أنها هی المنجّزة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علی مبنی الحکم الطریقی المماثل، إلاّ أنّ تنجیزها یکون واسطة فی عروض التنجیز للواقع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کون التنجیز بلحاظ الواقع، فمع</w:t>
      </w:r>
      <w:bookmarkStart w:id="558" w:name="pg16983_380914"/>
    </w:p>
    <w:p>
      <w:pPr>
        <w:pStyle w:val="BookText"/>
        <w:rPr/>
      </w:pPr>
      <w:bookmarkEnd w:id="558"/>
      <w:r>
        <w:rPr>
          <w:rFonts w:ascii="IRNazanin" w:hAnsi="IRNazanin" w:eastAsia="IRNazanin"/>
          <w:color w:val="111111"/>
          <w:sz w:val="28"/>
          <w:sz w:val="28"/>
          <w:szCs w:val="28"/>
          <w:rtl w:val="true"/>
          <w:lang w:bidi="fa-IR"/>
        </w:rPr>
        <w:t>الشک فی جعل الحجّة لابدّ من إجراء المؤمّنات والمعذّرات سواء کانت إجتهادیة أم عملیة فی الواقع لا فی الحجّة والحکم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وبصیاغة أعمق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أجرینا المؤمّن عن الحکم الظاهری یبقی الشک فی الواقع علی حاله، فنحتاج إلی مؤمّن آخر؛ إذ تأمین الواقع من خلال تأمین الظاهر مثبت، ومع جریانه فی الواقع یلغو جریانه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فعلی الأقلّ یمکن جریان البراءة من الواقع فتکون مغنیة عن جریانها فی الحکم الظاهری</w:t>
      </w:r>
      <w:r>
        <w:rPr>
          <w:rFonts w:eastAsia="IRNazanin" w:cs="IRNazanin"/>
          <w:color w:val="111111"/>
          <w:sz w:val="28"/>
          <w:szCs w:val="28"/>
          <w:rtl w:val="true"/>
          <w:lang w:bidi="fa-IR"/>
        </w:rPr>
        <w:t>.</w:t>
      </w:r>
    </w:p>
    <w:p>
      <w:pPr>
        <w:pStyle w:val="Heading6"/>
        <w:numPr>
          <w:ilvl w:val="5"/>
          <w:numId w:val="1"/>
        </w:numPr>
        <w:rPr/>
      </w:pPr>
      <w:bookmarkStart w:id="559" w:name="__RefHeading___Toc3300006_1468164448"/>
      <w:bookmarkStart w:id="560" w:name="_Toc224"/>
      <w:bookmarkEnd w:id="559"/>
      <w:r>
        <w:rPr>
          <w:rtl w:val="true"/>
        </w:rPr>
        <w:t>عدم لغویة تنجّز المنجَّز ثانیاً</w:t>
      </w:r>
      <w:bookmarkEnd w:id="560"/>
    </w:p>
    <w:p>
      <w:pPr>
        <w:pStyle w:val="BookText"/>
        <w:rPr/>
      </w:pPr>
      <w:r>
        <w:rPr>
          <w:rFonts w:ascii="IRNazanin" w:hAnsi="IRNazanin" w:eastAsia="IRNazanin"/>
          <w:color w:val="111111"/>
          <w:sz w:val="28"/>
          <w:sz w:val="28"/>
          <w:szCs w:val="28"/>
          <w:rtl w:val="true"/>
          <w:lang w:bidi="fa-IR"/>
        </w:rPr>
        <w:t>وهذه الملاحظة وجیهة مع المبنی الذی یصرّح به الأعلام من دون أن یلتزموا به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المنجّز لا یتنجّز، ولکن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فی بحث إمکان التعبد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یتنجّز لقابلیته للإشتداد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مع عدم قبوله للإشتداد فهو یقبل أن یتنجّز، ولا لغویة فی التنجیز الثانی، وذلک لأنّا لا نقبل ما یظهر من الأعلام من أنّ تداخل الأسباب مطلق، وإنما نقبل التداخل الکبیر دون الصغیر</w:t>
      </w:r>
      <w:r>
        <w:rPr>
          <w:rFonts w:eastAsia="IRNazanin" w:cs="IRNazanin"/>
          <w:color w:val="111111"/>
          <w:sz w:val="28"/>
          <w:szCs w:val="28"/>
          <w:rtl w:val="true"/>
          <w:lang w:bidi="fa-IR"/>
        </w:rPr>
        <w:t>.</w:t>
      </w:r>
    </w:p>
    <w:p>
      <w:pPr>
        <w:pStyle w:val="Heading6"/>
        <w:numPr>
          <w:ilvl w:val="5"/>
          <w:numId w:val="1"/>
        </w:numPr>
        <w:rPr/>
      </w:pPr>
      <w:bookmarkStart w:id="561" w:name="__RefHeading___Toc3300008_1468164448"/>
      <w:bookmarkStart w:id="562" w:name="_Toc225"/>
      <w:bookmarkEnd w:id="561"/>
      <w:r>
        <w:rPr>
          <w:rtl w:val="true"/>
        </w:rPr>
        <w:t>معنی التداخل الکبیر</w:t>
      </w:r>
      <w:bookmarkEnd w:id="562"/>
    </w:p>
    <w:p>
      <w:pPr>
        <w:pStyle w:val="BookText"/>
        <w:rPr/>
      </w:pPr>
      <w:r>
        <w:rPr>
          <w:rFonts w:ascii="IRNazanin" w:hAnsi="IRNazanin" w:eastAsia="IRNazanin"/>
          <w:color w:val="111111"/>
          <w:sz w:val="28"/>
          <w:sz w:val="28"/>
          <w:szCs w:val="28"/>
          <w:rtl w:val="true"/>
          <w:lang w:bidi="fa-IR"/>
        </w:rPr>
        <w:t xml:space="preserve">والتداخل الکبیر هو وحدة المسبب وعدم 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یعنی تداخل الأسباب وتأثیرها وإیجادها مسبباً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عدم التداخل الذی یعنی أنّ لکلّ مسبب سبباً</w:t>
      </w:r>
      <w:r>
        <w:rPr>
          <w:rFonts w:eastAsia="IRNazanin" w:cs="IRNazanin"/>
          <w:color w:val="111111"/>
          <w:sz w:val="28"/>
          <w:szCs w:val="28"/>
          <w:rtl w:val="true"/>
          <w:lang w:bidi="fa-IR"/>
        </w:rPr>
        <w:t>.</w:t>
      </w:r>
    </w:p>
    <w:p>
      <w:pPr>
        <w:pStyle w:val="Heading6"/>
        <w:numPr>
          <w:ilvl w:val="5"/>
          <w:numId w:val="1"/>
        </w:numPr>
        <w:rPr/>
      </w:pPr>
      <w:bookmarkStart w:id="563" w:name="__RefHeading___Toc3300010_1468164448"/>
      <w:bookmarkStart w:id="564" w:name="_Toc226"/>
      <w:bookmarkEnd w:id="563"/>
      <w:r>
        <w:rPr>
          <w:rtl w:val="true"/>
        </w:rPr>
        <w:t>التداخل الصغیر</w:t>
      </w:r>
      <w:bookmarkEnd w:id="56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والتداخل الصغیر هو أنه مع تداخل الأسباب الکبیر ووحدة المسبب لا یصح نسبة المسبب إلی السبب الآخر لو وجد بعد السبب الأول، ولا یصح إسناد المسبب إلی کلّ سبب بنحو الإستقلال لو وجد دفعة، فی مقابل 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یقبل وحدة المسبب والتداخل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یصح نسبة هذا المسبب الوجدانی لکلّ سبب علی</w:t>
      </w:r>
      <w:bookmarkStart w:id="565" w:name="pg16983_380916"/>
    </w:p>
    <w:p>
      <w:pPr>
        <w:pStyle w:val="BookText"/>
        <w:rPr/>
      </w:pPr>
      <w:bookmarkEnd w:id="565"/>
      <w:r>
        <w:rPr>
          <w:rFonts w:ascii="IRNazanin" w:hAnsi="IRNazanin" w:eastAsia="IRNazanin"/>
          <w:color w:val="111111"/>
          <w:sz w:val="28"/>
          <w:sz w:val="28"/>
          <w:szCs w:val="28"/>
          <w:rtl w:val="true"/>
          <w:lang w:bidi="fa-IR"/>
        </w:rPr>
        <w:t xml:space="preserve">نحو الإستقلال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فی حالة تعاقب انوجاد الأسباب، وحدوثاً وبقاءً فی حالة انوجادها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کلّ سبب یصلح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لإیجاد المسبب، وإن کان الآن مع انضمامه إلی الأسباب الأخری جزء السبب؛ نظیر الحکم بقتل الجانی وتنفیذ الحکم فی حقه لارتکابه ثلاث جرائم قتل عمدیة وبشکل متعاقب، فإنّ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واحداً ولا یقبل التعدّد ولا الإشتداد، إلاّ أنه یصح نسبته إلی کلّ سبب بشکل مستقل، فلو ظهر أنّ واحدة أو اثنتین من جرائمه کانت من القتل الخطأ کفی الآخر فی ترتب المسبب المذکور</w:t>
      </w:r>
      <w:r>
        <w:rPr>
          <w:rFonts w:eastAsia="IRNazanin" w:cs="IRNazanin"/>
          <w:color w:val="111111"/>
          <w:sz w:val="28"/>
          <w:szCs w:val="28"/>
          <w:rtl w:val="true"/>
          <w:lang w:bidi="fa-IR"/>
        </w:rPr>
        <w:t>.</w:t>
      </w:r>
    </w:p>
    <w:p>
      <w:pPr>
        <w:pStyle w:val="Heading6"/>
        <w:numPr>
          <w:ilvl w:val="5"/>
          <w:numId w:val="1"/>
        </w:numPr>
        <w:rPr/>
      </w:pPr>
      <w:bookmarkStart w:id="566" w:name="__RefHeading___Toc3300012_1468164448"/>
      <w:bookmarkStart w:id="567" w:name="_Toc227"/>
      <w:bookmarkEnd w:id="566"/>
      <w:r>
        <w:rPr>
          <w:rtl w:val="true"/>
        </w:rPr>
        <w:t>معنی اشتداد التنجیز وعدم اشتداده</w:t>
      </w:r>
      <w:bookmarkEnd w:id="567"/>
    </w:p>
    <w:p>
      <w:pPr>
        <w:pStyle w:val="BookText"/>
        <w:rPr/>
      </w:pPr>
      <w:r>
        <w:rPr>
          <w:rFonts w:ascii="IRNazanin" w:hAnsi="IRNazanin" w:eastAsia="IRNazanin"/>
          <w:color w:val="111111"/>
          <w:sz w:val="28"/>
          <w:sz w:val="28"/>
          <w:szCs w:val="28"/>
          <w:rtl w:val="true"/>
          <w:lang w:bidi="fa-IR"/>
        </w:rPr>
        <w:t>إذا اتضح ما تقدّم یفهم أنّ القول باشتداد التنجیز یساوی القول بعدم التداخل الکبیر لأسباب التنجیز، والقول بعدم اشتداده یساوی القول بالتداخل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أوضحنا سابقاً أن لا تداخل کبیر وأنّ التنجیز یشتدّ، وإلاّ لم یکن هناک تفسیر معقول لحرص الأعلام علی الإستدلال فی کلّ مسألة بأکبر قدر ممکن من الأدلّة، فلیس ذلک إلاّ لقبولهم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یشتدّ، فالمسؤولیة بتبعه تشتدّ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یفهم أنّ القول بالتداخل الصغیر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جنباً إلی جنب التداخل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أنّ المتنجّز لا یتنجّز، وأمّا مع القول بعدم التداخل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فالمتنجّز یتنجّز حتی لو قلنا بعدم اشتداده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حتی لو قلنا بالتداخل الکبیر </w:t>
      </w:r>
      <w:r>
        <w:rPr>
          <w:rFonts w:eastAsia="IRNazanin" w:cs="IRNazanin"/>
          <w:color w:val="111111"/>
          <w:sz w:val="28"/>
          <w:szCs w:val="28"/>
          <w:rtl w:val="true"/>
          <w:lang w:bidi="fa-IR"/>
        </w:rPr>
        <w:t>].</w:t>
      </w:r>
    </w:p>
    <w:p>
      <w:pPr>
        <w:pStyle w:val="Heading6"/>
        <w:numPr>
          <w:ilvl w:val="5"/>
          <w:numId w:val="1"/>
        </w:numPr>
        <w:rPr/>
      </w:pPr>
      <w:bookmarkStart w:id="568" w:name="__RefHeading___Toc3300014_1468164448"/>
      <w:bookmarkStart w:id="569" w:name="_Toc228"/>
      <w:bookmarkEnd w:id="568"/>
      <w:r>
        <w:rPr>
          <w:rtl w:val="true"/>
        </w:rPr>
        <w:t>التعذیر مثل التنجیز یقبل الإشتداد</w:t>
      </w:r>
      <w:bookmarkEnd w:id="56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فالواقع یقبل التنجیز بطرق مختلفة متعدّدة، ولمّا کان التعذیر ملازماً للتنجیز فهو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کما یتنجّز بالحجّیة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والإحتمال التکوینی المتعلّق بالواقع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فالتعذیر مثله قد یکون من خلال تلک الحجّة المشکوکة بإجراء البراءة فیها، وقد یکون بإجراء البراءة فی الواقع مباشرة، فکلّ منهما یصلح سبباً مستقلاً</w:t>
      </w:r>
      <w:bookmarkStart w:id="570" w:name="pg16983_380918"/>
    </w:p>
    <w:p>
      <w:pPr>
        <w:pStyle w:val="BookText"/>
        <w:rPr/>
      </w:pPr>
      <w:bookmarkEnd w:id="570"/>
      <w:r>
        <w:rPr>
          <w:rFonts w:ascii="IRNazanin" w:hAnsi="IRNazanin" w:eastAsia="IRNazanin"/>
          <w:color w:val="111111"/>
          <w:sz w:val="28"/>
          <w:sz w:val="28"/>
          <w:szCs w:val="28"/>
          <w:rtl w:val="true"/>
          <w:lang w:bidi="fa-IR"/>
        </w:rPr>
        <w:t>للتعذیر، والمتعذّر یتعذّر؛ إذ لا تداخل صغیر باعترافهم فی فروعاتهم الفقهیة بل علی مبانیهم لابدّ من إجراء براءتین بعد ما کان هناک سببان مستقلان للتنجیز، ولم یکن هناک تداخل بین السببین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فالتعذیر عن الواقع المنجّز بالإحتمال لا یعذّر عن الواقع المنجّز من حیث الحجّة الواصلة إلاّ بإجراء البراءة فیها أو استصحاب عدمها أو أی مؤمّن آخر، لا لغویة وإنما هی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مبنی الأعلام من 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الصغیر والذی لمسناه من خلال ممارستهم الفقهیة علی مستوی التطبیق وإن ظهر منهم خلافه فی الأصول علی صعید التنظیر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التنجیز وکذا التعذیر قابلاً للإشتداد ولا أقل قابلاً للتنجیز والتعذیر ولو من دون اشتداد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مبناهم من أنّ الإحتمال للواقع منجّز والحجّة المشکوکة منجّزة، تکون النتیجة أنّ التعذیر عن الحجّة لیس لغواً، وإنما ضرورة لابدّ منها؛ حیث لا یکفی التعذیر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فرض أنّ الإحتمال التکوینی بالواقع المنجّز متولّد من الحجّة المشکوکة، کان التنجیز واحداً، فالتعذیر کذلک ولا حاجة إلی التعدّد</w:t>
      </w:r>
      <w:r>
        <w:rPr>
          <w:rFonts w:eastAsia="IRNazanin" w:cs="IRNazanin"/>
          <w:color w:val="111111"/>
          <w:sz w:val="28"/>
          <w:szCs w:val="28"/>
          <w:rtl w:val="true"/>
          <w:lang w:bidi="fa-IR"/>
        </w:rPr>
        <w:t>.</w:t>
      </w:r>
    </w:p>
    <w:p>
      <w:pPr>
        <w:pStyle w:val="Heading6"/>
        <w:numPr>
          <w:ilvl w:val="5"/>
          <w:numId w:val="1"/>
        </w:numPr>
        <w:rPr/>
      </w:pPr>
      <w:bookmarkStart w:id="571" w:name="__RefHeading___Toc3300016_1468164448"/>
      <w:bookmarkStart w:id="572" w:name="_Toc229"/>
      <w:bookmarkEnd w:id="571"/>
      <w:r>
        <w:rPr>
          <w:rtl w:val="true"/>
        </w:rPr>
        <w:t>ملاحظة وجواب</w:t>
      </w:r>
      <w:bookmarkEnd w:id="572"/>
    </w:p>
    <w:p>
      <w:pPr>
        <w:pStyle w:val="BookText"/>
        <w:rPr/>
      </w:pPr>
      <w:r>
        <w:rPr>
          <w:rFonts w:ascii="IRNazanin" w:hAnsi="IRNazanin" w:eastAsia="IRNazanin"/>
          <w:color w:val="111111"/>
          <w:sz w:val="28"/>
          <w:sz w:val="28"/>
          <w:szCs w:val="28"/>
          <w:rtl w:val="true"/>
          <w:lang w:bidi="fa-IR"/>
        </w:rPr>
        <w:t xml:space="preserve">کلّ هذا مع مبانی الأعلام، وهناک 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تسجّل علی جریان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تعتمد علی ما أسّسناه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النوعی قید الفعلیة التامة للأحکام الواقعیة و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یتساءل عن کیفیة تصویر الشک فی الحجّیة أوّلاً لکی نری ثانیاً أنه مجری البراءة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نحوین من الشک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وجود العلم النوعی وعدم وجوده، مع القطع بعدم وصوله إلینا علی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کثیراً مّا یواجهه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وصول الحجّة إلینا وعدم وصوله، وهذا یستبطن الشک فی وجوده وعدمه، إلاّ أنّا لا نقطع بعدم وصوله النوعی إلینا علی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وکیفیة التعذیر فی النحو الأول من الشک تختلف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الأعلام یوحّدون ذلک انطلاقاً مما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فتجری البراءة فی النحو الأول من الفعلیة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قطعه بعدم وصوله النوعی إلینا قطع بعدم وجود القید للفعلیة التامة للحکم الواقعی، و هو مفاد البراءة،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 بعدم وجود و فعلیة الحکم الظاهری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فی النحو الثانی فلا تجری البراءة حتی بعد الفحص والیأس عن العثور والعلم الشخصی، وذلک لأنّ البراءة تقیّد الفعلیة التامة بالبیان النوعی، والفرض أنه فی شک من وصول البیان، وهو شبهة مصداقیة للبراءة فلا تجری</w:t>
      </w:r>
      <w:r>
        <w:rPr>
          <w:rFonts w:eastAsia="IRNazanin" w:cs="IRNazanin"/>
          <w:color w:val="111111"/>
          <w:sz w:val="28"/>
          <w:szCs w:val="28"/>
          <w:rtl w:val="true"/>
          <w:lang w:bidi="fa-IR"/>
        </w:rPr>
        <w:t>.</w:t>
      </w:r>
      <w:r>
        <w:rPr>
          <w:rStyle w:val="FootnoteAnchor"/>
          <w:rtl w:val="true"/>
        </w:rPr>
        <w:footnoteReference w:id="4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حتّی مع تفسیر الأعلام للبراءة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قید 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النحو الثانی من الشبهة المصداقیة، فلابدّ أن لا تجری البراءة، وإن کان تصریحهم خلاف ذلک، إلاّ أنّ ارتکازهم یوافق ما ذکرناه، حیث نلمح فی تعبیراتهم أنّ المجتهد معذور لعجزه وغفلته من دون أن یعلّلوه من جهة الجهل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لاستنادهم علی</w:t>
      </w:r>
      <w:bookmarkStart w:id="573" w:name="pg16983_380923"/>
    </w:p>
    <w:p>
      <w:pPr>
        <w:pStyle w:val="BookText"/>
        <w:rPr/>
      </w:pPr>
      <w:bookmarkEnd w:id="573"/>
      <w:r>
        <w:rPr>
          <w:rFonts w:ascii="Amiri" w:hAnsi="Amiri" w:eastAsia="Amiri" w:cs="Amiri"/>
          <w:color w:val="111111"/>
          <w:sz w:val="28"/>
          <w:sz w:val="28"/>
          <w:szCs w:val="28"/>
          <w:rtl w:val="true"/>
          <w:lang w:bidi="ar-SA"/>
        </w:rPr>
        <w:t>فقرة الخطأ وأمثالها</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3300018_1468164448"/>
      <w:bookmarkStart w:id="575" w:name="_Toc230"/>
      <w:bookmarkEnd w:id="574"/>
      <w:r>
        <w:rPr>
          <w:rtl w:val="true"/>
        </w:rPr>
        <w:t>الدلیل الخامس</w:t>
      </w:r>
      <w:r>
        <w:rPr>
          <w:rtl w:val="true"/>
        </w:rPr>
        <w:t xml:space="preserve">: </w:t>
      </w:r>
      <w:r>
        <w:rPr>
          <w:rtl w:val="true"/>
        </w:rPr>
        <w:t>دلالة البدائل علی عدم حجّیة المشکوک</w:t>
      </w:r>
      <w:bookmarkEnd w:id="575"/>
    </w:p>
    <w:p>
      <w:pPr>
        <w:pStyle w:val="BookText"/>
        <w:rPr/>
      </w:pPr>
      <w:r>
        <w:rPr>
          <w:rFonts w:ascii="IRNazanin" w:hAnsi="IRNazanin" w:eastAsia="IRNazanin"/>
          <w:color w:val="111111"/>
          <w:sz w:val="28"/>
          <w:sz w:val="28"/>
          <w:szCs w:val="28"/>
          <w:rtl w:val="true"/>
          <w:lang w:bidi="fa-IR"/>
        </w:rPr>
        <w:t xml:space="preserve">إنّ هناک بدائل للحجّة المشکوکة بلحاظ الحکم الذی تناولته، إما متأخرة عنها 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کالعمومات والحجج الثابتة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تنقّح الحال فی ذلک الحکم، ومن ثمّ تدلّ بالإلتزام علی عدم حجّیة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الثابتة البدیلة تنقّح الحال من بُعدین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الواقع ومن الحجّة المشکوکة</w:t>
      </w:r>
      <w:r>
        <w:rPr>
          <w:rFonts w:eastAsia="IRNazanin" w:cs="IRNazanin"/>
          <w:color w:val="111111"/>
          <w:sz w:val="28"/>
          <w:szCs w:val="28"/>
          <w:rtl w:val="true"/>
          <w:lang w:bidi="fa-IR"/>
        </w:rPr>
        <w:t>.</w:t>
      </w:r>
    </w:p>
    <w:p>
      <w:pPr>
        <w:pStyle w:val="Heading6"/>
        <w:numPr>
          <w:ilvl w:val="5"/>
          <w:numId w:val="1"/>
        </w:numPr>
        <w:rPr/>
      </w:pPr>
      <w:bookmarkStart w:id="576" w:name="__RefHeading___Toc3300020_1468164448"/>
      <w:bookmarkStart w:id="577" w:name="_Toc231"/>
      <w:bookmarkEnd w:id="576"/>
      <w:r>
        <w:rPr>
          <w:rtl w:val="true"/>
        </w:rPr>
        <w:t>ویلاحظ علی هذا الدلیل</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أخص من المدّعی؛ لأنّ مورده صورة تخالف الحجج مع الحجّة المشکوکة فی الحکم، و إلاّ فمع التوافق لا تنفی حجّیة المشکوک، وعلی الأقل لا تظهر الثمرة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أشرنا سابقاً إلی أنّ الدلیل إنما یکون حجّة فی مدلوله الإلتزامی إذا کان المدلول لازماً لطبیعة الدلیل عموماً وفی کلّ أفراده أو للطبیعة بما هی هی التی هی قالب المدلول المطابقی، وأما المدلول اللازم لفرد من الطبیعة فلیس بحجّة، لأنه لیس التزامیاً للدلیل ومدلولاً له وإنما لازم وجود الفرد، ولا دلیل علی حجّیة مثل هذه اللوازم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ما نحن فیه نفی الحجّة المشکوکة لازم الفرد لا الطبیعی، فلا یکون حجّة مثل هذا النفی، فالعموم دوماً یخالف الخاص، إلاّ أنه لا ینفیه إلاّ عند الشک فی حجّیة الخاص</w:t>
      </w:r>
      <w:r>
        <w:rPr>
          <w:rFonts w:eastAsia="IRNazanin" w:cs="IRNazanin"/>
          <w:color w:val="111111"/>
          <w:sz w:val="28"/>
          <w:szCs w:val="28"/>
          <w:rtl w:val="true"/>
          <w:lang w:bidi="fa-IR"/>
        </w:rPr>
        <w:t>.</w:t>
      </w:r>
      <w:r>
        <w:rPr>
          <w:rStyle w:val="FootnoteAnchor"/>
          <w:rtl w:val="true"/>
        </w:rPr>
        <w:footnoteReference w:id="49"/>
      </w:r>
      <w:bookmarkStart w:id="578" w:name="pg16983_380925"/>
    </w:p>
    <w:p>
      <w:pPr>
        <w:pStyle w:val="Heading6"/>
        <w:numPr>
          <w:ilvl w:val="5"/>
          <w:numId w:val="1"/>
        </w:numPr>
        <w:rPr/>
      </w:pPr>
      <w:bookmarkStart w:id="579" w:name="__RefHeading___Toc3300022_1468164448"/>
      <w:bookmarkStart w:id="580" w:name="_Toc232"/>
      <w:bookmarkEnd w:id="578"/>
      <w:bookmarkEnd w:id="579"/>
      <w:r>
        <w:rPr>
          <w:rtl w:val="true"/>
        </w:rPr>
        <w:t>الدلیل السادس</w:t>
      </w:r>
      <w:r>
        <w:rPr>
          <w:rtl w:val="true"/>
        </w:rPr>
        <w:t xml:space="preserve">: </w:t>
      </w:r>
      <w:r>
        <w:rPr>
          <w:rtl w:val="true"/>
        </w:rPr>
        <w:t>التمسک بالآیات الناهیة عن العمل بالظن</w:t>
      </w:r>
      <w:bookmarkEnd w:id="580"/>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قد أسّس عموماً لفظیاً یرجع إلیه عند الشک فی التخصیص، وهو عدم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 علیه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دلیل اعتبار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هذا العموم، لأنّ الدلیل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الظن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فیتصرف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الشک فی اعتبار الحاکم یکون التمسک بالعام من باب التمسک به فی الشبهة المصداقیة؛ لأنّ الحکومة إخراج المصداق من موضوع الدلیل، والدلیل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یتکفل إثبات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حجّة حینئذ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دلیل اعتبار الظن الخاص إلی عموم النهی نسبة الورود لا الحکومة، إلاّ أنه کالحکومة لا یمکن التمسک بالعام مع الشک فی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هذه الملاحظة یمکن تسجیلها علی الوجه السابق، حیث أنّ الحجّة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 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مقدّمة علی الحجّة البدیلة، لأنها علم، فمع الشک فی اعتبارها یکون شکاً فی المصداق</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581" w:name="__RefHeading___Toc3300024_1468164448"/>
      <w:bookmarkStart w:id="582" w:name="_Toc233"/>
      <w:bookmarkEnd w:id="581"/>
      <w:r>
        <w:rPr>
          <w:rtl w:val="true"/>
        </w:rPr>
        <w:t>الفرق بین الشک فی الخاص والشک فی الحاکم</w:t>
      </w:r>
      <w:bookmarkEnd w:id="582"/>
    </w:p>
    <w:p>
      <w:pPr>
        <w:pStyle w:val="BookText"/>
        <w:rPr/>
      </w:pPr>
      <w:r>
        <w:rPr>
          <w:rFonts w:ascii="IRNazanin" w:hAnsi="IRNazanin" w:eastAsia="IRNazanin"/>
          <w:color w:val="111111"/>
          <w:sz w:val="28"/>
          <w:sz w:val="28"/>
          <w:szCs w:val="28"/>
          <w:rtl w:val="true"/>
          <w:lang w:bidi="fa-IR"/>
        </w:rPr>
        <w:t>وقد یتساءل عن الفرق بین الشک فی الخاص والمقیّد، والشک فی الحاکم والوارد، فلِمَ صح التمسک بالعام فی الأولین دون الشک فی الحاکم والوارد؟</w:t>
      </w:r>
    </w:p>
    <w:p>
      <w:pPr>
        <w:pStyle w:val="Heading6"/>
        <w:numPr>
          <w:ilvl w:val="5"/>
          <w:numId w:val="1"/>
        </w:numPr>
        <w:rPr/>
      </w:pPr>
      <w:bookmarkStart w:id="583" w:name="__RefHeading___Toc3300026_1468164448"/>
      <w:bookmarkStart w:id="584" w:name="_Toc234"/>
      <w:bookmarkEnd w:id="583"/>
      <w:r>
        <w:rPr>
          <w:rtl w:val="true"/>
        </w:rPr>
        <w:t xml:space="preserve">جواب النائینی </w:t>
      </w:r>
      <w:r>
        <w:rPr>
          <w:rtl w:val="true"/>
        </w:rPr>
        <w:t>(</w:t>
      </w:r>
      <w:r>
        <w:rPr>
          <w:rtl w:val="true"/>
        </w:rPr>
        <w:t>قدس سره</w:t>
      </w:r>
      <w:r>
        <w:rPr>
          <w:rtl w:val="true"/>
        </w:rPr>
        <w:t>)</w:t>
      </w:r>
      <w:bookmarkEnd w:id="58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المیرزا أنّ التخصیص إخراج حکمی لا</w:t>
      </w:r>
      <w:bookmarkStart w:id="585" w:name="pg16983_380927"/>
    </w:p>
    <w:p>
      <w:pPr>
        <w:pStyle w:val="BookText"/>
        <w:rPr/>
      </w:pPr>
      <w:bookmarkEnd w:id="585"/>
      <w:r>
        <w:rPr>
          <w:rFonts w:ascii="IRNazanin" w:hAnsi="IRNazanin" w:eastAsia="IRNazanin"/>
          <w:color w:val="111111"/>
          <w:sz w:val="28"/>
          <w:sz w:val="28"/>
          <w:szCs w:val="28"/>
          <w:rtl w:val="true"/>
          <w:lang w:bidi="fa-IR"/>
        </w:rPr>
        <w:t xml:space="preserve">موضوعی، فلا شبهة مصداقیة، بخلاف الحکومة والورود؛ فإنّ الشک فیهما نظیر الشک فی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فاسق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بوجود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الأعلام بأجوبة متعدّدة عن إشکال المیرزا، تلتقی جمیعاً فی النتیجة، وهی إمکان التمسک بالعموم مع الشک</w:t>
      </w:r>
      <w:r>
        <w:rPr>
          <w:rFonts w:eastAsia="IRNazanin" w:cs="IRNazanin"/>
          <w:color w:val="111111"/>
          <w:sz w:val="28"/>
          <w:szCs w:val="28"/>
          <w:rtl w:val="true"/>
          <w:lang w:bidi="fa-IR"/>
        </w:rPr>
        <w:t>.</w:t>
      </w:r>
    </w:p>
    <w:p>
      <w:pPr>
        <w:pStyle w:val="Heading6"/>
        <w:numPr>
          <w:ilvl w:val="5"/>
          <w:numId w:val="1"/>
        </w:numPr>
        <w:rPr/>
      </w:pPr>
      <w:bookmarkStart w:id="586" w:name="__RefHeading___Toc3300028_1468164448"/>
      <w:bookmarkStart w:id="587" w:name="_Toc235"/>
      <w:bookmarkEnd w:id="586"/>
      <w:r>
        <w:rPr>
          <w:rtl w:val="true"/>
        </w:rPr>
        <w:t xml:space="preserve">جواب السیّد الخوئی </w:t>
      </w:r>
      <w:r>
        <w:rPr>
          <w:rtl w:val="true"/>
        </w:rPr>
        <w:t>(</w:t>
      </w:r>
      <w:r>
        <w:rPr>
          <w:rtl w:val="true"/>
        </w:rPr>
        <w:t>رحمه الله</w:t>
      </w:r>
      <w:r>
        <w:rPr>
          <w:rtl w:val="true"/>
        </w:rPr>
        <w:t>)</w:t>
      </w:r>
      <w:bookmarkEnd w:id="587"/>
    </w:p>
    <w:p>
      <w:pPr>
        <w:pStyle w:val="BookText"/>
        <w:rPr/>
      </w:pPr>
      <w:r>
        <w:rPr>
          <w:rFonts w:ascii="IRNazanin" w:hAnsi="IRNazanin" w:eastAsia="IRNazanin"/>
          <w:color w:val="111111"/>
          <w:sz w:val="28"/>
          <w:sz w:val="28"/>
          <w:szCs w:val="28"/>
          <w:rtl w:val="true"/>
          <w:lang w:bidi="fa-IR"/>
        </w:rPr>
        <w:t>وأحد الأجوبة ما ذکره السیّد الخوئی من أنّ قوام الحکومة والورود بالوصول، إذ مع عدم العلم بالحاکم و الوارد لا علم بالخروج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الجواب غیر تام وذلک لأنّ فعلیة الحجّة لیست بالعلم الشخصی، حیث إنّ وزانها وزان بقیة الأحکام، فوجودها یعنی العلم النوعی دون الشخصی</w:t>
      </w:r>
      <w:r>
        <w:rPr>
          <w:rFonts w:eastAsia="IRNazanin" w:cs="IRNazanin"/>
          <w:color w:val="111111"/>
          <w:sz w:val="28"/>
          <w:szCs w:val="28"/>
          <w:rtl w:val="true"/>
          <w:lang w:bidi="fa-IR"/>
        </w:rPr>
        <w:t>.</w:t>
      </w:r>
    </w:p>
    <w:p>
      <w:pPr>
        <w:pStyle w:val="Heading6"/>
        <w:numPr>
          <w:ilvl w:val="5"/>
          <w:numId w:val="1"/>
        </w:numPr>
        <w:rPr/>
      </w:pPr>
      <w:bookmarkStart w:id="588" w:name="__RefHeading___Toc3300030_1468164448"/>
      <w:bookmarkStart w:id="589" w:name="_Toc236"/>
      <w:bookmarkEnd w:id="588"/>
      <w:r>
        <w:rPr>
          <w:rtl w:val="true"/>
        </w:rPr>
        <w:t xml:space="preserve">جواب السیّد الصدر </w:t>
      </w:r>
      <w:r>
        <w:rPr>
          <w:rtl w:val="true"/>
        </w:rPr>
        <w:t>(</w:t>
      </w:r>
      <w:r>
        <w:rPr>
          <w:rtl w:val="true"/>
        </w:rPr>
        <w:t>قدس سره</w:t>
      </w:r>
      <w:r>
        <w:rPr>
          <w:rtl w:val="true"/>
        </w:rPr>
        <w:t>)</w:t>
      </w:r>
      <w:bookmarkEnd w:id="589"/>
    </w:p>
    <w:p>
      <w:pPr>
        <w:pStyle w:val="BookText"/>
        <w:rPr/>
      </w:pPr>
      <w:r>
        <w:rPr>
          <w:rFonts w:ascii="IRNazanin" w:hAnsi="IRNazanin" w:eastAsia="IRNazanin"/>
          <w:color w:val="111111"/>
          <w:sz w:val="28"/>
          <w:sz w:val="28"/>
          <w:szCs w:val="28"/>
          <w:rtl w:val="true"/>
          <w:lang w:bidi="fa-IR"/>
        </w:rPr>
        <w:t xml:space="preserve">والجواب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المیرزا وبلوره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والورود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حکومة و ورود دلالی لا یکون التصرف فی الموضوع حقیقیاً وإنما صوری، فالإخراج فیهما لسانی شکلی لا أکثر، وأمّا لباً وواقعاً فالحکومة تخصیص والورود 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حکومة و ورود فی الجعل ومتن القانون، الذی یکون للشارع فیهما جعل حقیقی للمصداق ولیس للحکم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وللتفرقة بینهما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غالب لا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یلحظ ما ذکرناه سابقاً فی التنزیل من أنّ الموضوع إذا کان حکماً وضعیاً فالتنزیل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الحکومة والورود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وإن کان تکوینیاً فهو دلالی بلحاظ ما له من الأثر الشرعی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الإلتفات إلی أنّ ما ذکره المیرزا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إشکاله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بعد کلّی وهو أنّ کلّ حالة یکون الشک فیها فی الحاکم لا یمکن</w:t>
      </w:r>
      <w:bookmarkStart w:id="590" w:name="pg16983_380929"/>
    </w:p>
    <w:p>
      <w:pPr>
        <w:pStyle w:val="BookText"/>
        <w:rPr/>
      </w:pPr>
      <w:bookmarkEnd w:id="590"/>
      <w:r>
        <w:rPr>
          <w:rFonts w:ascii="IRNazanin" w:hAnsi="IRNazanin" w:eastAsia="IRNazanin"/>
          <w:color w:val="111111"/>
          <w:sz w:val="28"/>
          <w:sz w:val="28"/>
          <w:szCs w:val="28"/>
          <w:rtl w:val="true"/>
          <w:lang w:bidi="fa-IR"/>
        </w:rPr>
        <w:t xml:space="preserve">التمسک بالعام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الشبهة 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الجواب المذکور، وهو أنّ الإشکال الکلّی یخص ما إذا کانت الحکومة من سنخ الجعل لا الدلالة لا یمکن التمسک بالعام، وأمّا إذا کانت من سنخ الدلالة، فحیث إنها لباً تخصیص أمکن التمسک بالعام، لعدم کون الإخراج موضوعیاً وإنما حکمی فلا 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الإجابة تحکّم الإشکال فی ما نحن فیه؛ لأنّ مبنی المشهور فی تفسیر جعل الأمارة علماً وأنه تصرف فی موضوع القضیة العقلیة بتوسعة، فالحکومة عندهم فی جعل الأمارة من باب الجعل لا الدلالة</w:t>
      </w:r>
      <w:r>
        <w:rPr>
          <w:rFonts w:eastAsia="IRNazanin" w:cs="IRNazanin"/>
          <w:color w:val="111111"/>
          <w:sz w:val="28"/>
          <w:szCs w:val="28"/>
          <w:rtl w:val="true"/>
          <w:lang w:bidi="fa-IR"/>
        </w:rPr>
        <w:t>.</w:t>
      </w:r>
    </w:p>
    <w:p>
      <w:pPr>
        <w:pStyle w:val="Heading6"/>
        <w:numPr>
          <w:ilvl w:val="5"/>
          <w:numId w:val="1"/>
        </w:numPr>
        <w:rPr/>
      </w:pPr>
      <w:bookmarkStart w:id="591" w:name="__RefHeading___Toc3300032_1468164448"/>
      <w:bookmarkStart w:id="592" w:name="_Toc237"/>
      <w:bookmarkEnd w:id="591"/>
      <w:r>
        <w:rPr>
          <w:rtl w:val="true"/>
        </w:rPr>
        <w:t>مختارنا فی الجواب</w:t>
      </w:r>
      <w:bookmarkEnd w:id="592"/>
    </w:p>
    <w:p>
      <w:pPr>
        <w:pStyle w:val="BookText"/>
        <w:rPr/>
      </w:pPr>
      <w:r>
        <w:rPr>
          <w:rFonts w:ascii="IRNazanin" w:hAnsi="IRNazanin" w:eastAsia="IRNazanin"/>
          <w:color w:val="111111"/>
          <w:sz w:val="28"/>
          <w:sz w:val="28"/>
          <w:szCs w:val="28"/>
          <w:rtl w:val="true"/>
          <w:lang w:bidi="fa-IR"/>
        </w:rPr>
        <w:t>ومن ثمّ فالجواب الحق فی المسألة عن الإشکال علی صعید الکبری والصغری هو أنّ هناک فرقاً بین الإخراج التعبدی والخروج التکوینی؛ فإنّ التعبدی لا یعدم تکویناً مصداقیة الفرد لموضوع العام، وإنما یعدمها تعبداً فقط، ومن ثمّ تبقی مصداقیته التکوینیة علی حالها، فالشک فی اعتبار الحاکم أو الوارد لیس شکاً فی مصداقیة المشکوک لموضوع العام تکویناً کی یمنع من التمسک بالعام، وإنما المصداقیة التکوینیة معلومة، والشک فی إخراج الفرد من حکم العام بلسان إخراجه التعبدی من الموضوع، فیمکن التمسک بالعام لأنّ الشبهة حکمیة لا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الحکومة الدلالیة والجعلیة وان کان حقاً إلاّ أنه لا تظهر ثمرته هنا، لأنّ الإخراج فیهما تعبدی فالشک فیهما لباً شک فی الإخراج الحکمی، والمانع من التمسک بالعام الشک فی الخروج التکوینی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الشک فی اعتبار حجّة یمکن التمسک بعموم الآیات الناهیة عن العمل بالظن لنفی الحجّیة</w:t>
      </w:r>
      <w:r>
        <w:rPr>
          <w:rFonts w:eastAsia="IRNazanin" w:cs="IRNazanin"/>
          <w:color w:val="111111"/>
          <w:sz w:val="28"/>
          <w:szCs w:val="28"/>
          <w:rtl w:val="true"/>
          <w:lang w:bidi="fa-IR"/>
        </w:rPr>
        <w:t>.</w:t>
      </w:r>
      <w:bookmarkStart w:id="593" w:name="pg16983_380931"/>
    </w:p>
    <w:p>
      <w:pPr>
        <w:pStyle w:val="Heading3"/>
        <w:numPr>
          <w:ilvl w:val="2"/>
          <w:numId w:val="1"/>
        </w:numPr>
        <w:rPr/>
      </w:pPr>
      <w:bookmarkStart w:id="594" w:name="__RefHeading___Toc3300034_1468164448"/>
      <w:bookmarkStart w:id="595" w:name="_Toc238"/>
      <w:bookmarkEnd w:id="593"/>
      <w:bookmarkEnd w:id="594"/>
      <w:r>
        <w:rPr/>
        <w:t>3</w:t>
      </w:r>
      <w:r>
        <w:rPr>
          <w:rtl w:val="true"/>
        </w:rPr>
        <w:t xml:space="preserve"> . </w:t>
      </w:r>
      <w:r>
        <w:rPr>
          <w:rtl w:val="true"/>
        </w:rPr>
        <w:t>الظهورات</w:t>
      </w:r>
      <w:bookmarkEnd w:id="5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6" w:name="__RefHeading___Toc3300036_1468164448"/>
      <w:bookmarkStart w:id="597" w:name="_Toc239"/>
      <w:bookmarkEnd w:id="596"/>
      <w:r>
        <w:rPr>
          <w:rtl w:val="true"/>
        </w:rPr>
        <w:t>اشارة</w:t>
      </w:r>
      <w:bookmarkStart w:id="598" w:name="pg16983_380935"/>
      <w:bookmarkEnd w:id="597"/>
    </w:p>
    <w:p>
      <w:pPr>
        <w:pStyle w:val="Heading4"/>
        <w:numPr>
          <w:ilvl w:val="3"/>
          <w:numId w:val="1"/>
        </w:numPr>
        <w:rPr/>
      </w:pPr>
      <w:bookmarkStart w:id="599" w:name="__RefHeading___Toc3300038_1468164448"/>
      <w:bookmarkStart w:id="600" w:name="_Toc240"/>
      <w:bookmarkEnd w:id="598"/>
      <w:bookmarkEnd w:id="599"/>
      <w:r>
        <w:rPr>
          <w:rtl w:val="true"/>
        </w:rPr>
        <w:t>تمهید</w:t>
      </w:r>
      <w:bookmarkEnd w:id="600"/>
    </w:p>
    <w:p>
      <w:pPr>
        <w:pStyle w:val="Heading5"/>
        <w:numPr>
          <w:ilvl w:val="4"/>
          <w:numId w:val="1"/>
        </w:numPr>
        <w:rPr/>
      </w:pPr>
      <w:bookmarkStart w:id="601" w:name="__RefHeading___Toc3300040_1468164448"/>
      <w:bookmarkStart w:id="602" w:name="_Toc241"/>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 xml:space="preserve">بعد أن انتهینا من إمکان التعبد بالظن، یقع الکلام فی الظنون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هل حصل التعبد بها أو لا، وعلی فرض حصوله ما هی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وطریقة الأعلام أنهم یبدأون الحدیث بالأمارات المرتبطة بالمضمون، وبعدها یتحدّثون عن الأمارات المرتبطة بالصدور والنقل وبالتبع جهة الصدور</w:t>
      </w:r>
      <w:r>
        <w:rPr>
          <w:rFonts w:eastAsia="IRNazanin" w:cs="IRNazanin"/>
          <w:color w:val="111111"/>
          <w:sz w:val="28"/>
          <w:szCs w:val="28"/>
          <w:rtl w:val="true"/>
          <w:lang w:bidi="fa-IR"/>
        </w:rPr>
        <w:t>.</w:t>
      </w:r>
    </w:p>
    <w:p>
      <w:pPr>
        <w:pStyle w:val="Heading5"/>
        <w:numPr>
          <w:ilvl w:val="4"/>
          <w:numId w:val="1"/>
        </w:numPr>
        <w:rPr/>
      </w:pPr>
      <w:bookmarkStart w:id="603" w:name="__RefHeading___Toc3300042_1468164448"/>
      <w:bookmarkStart w:id="604" w:name="_Toc242"/>
      <w:bookmarkEnd w:id="603"/>
      <w:r>
        <w:rPr>
          <w:rtl w:val="true"/>
        </w:rPr>
        <w:t>أصعدة البحث فی الظهور</w:t>
      </w:r>
      <w:bookmarkEnd w:id="604"/>
    </w:p>
    <w:p>
      <w:pPr>
        <w:pStyle w:val="BookText"/>
        <w:rPr/>
      </w:pPr>
      <w:r>
        <w:rPr>
          <w:rFonts w:ascii="IRNazanin" w:hAnsi="IRNazanin" w:eastAsia="IRNazanin"/>
          <w:color w:val="111111"/>
          <w:sz w:val="28"/>
          <w:sz w:val="28"/>
          <w:szCs w:val="28"/>
          <w:rtl w:val="true"/>
          <w:lang w:bidi="fa-IR"/>
        </w:rPr>
        <w:t>القدماء کانوا یبحثون فی الظهور علی ثلاثة أصعدة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أصل حجّیة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النص خارج منه لأنّ دلالته قطعیة، والصریح داخل فیه لأنه ظهور ولکنّه قوی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ذکر الکثیر أنّ أصل الحجّیة لیس محل نزاع، فلا موضوع للبحث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أمارات الظهور من جهة الوضع وتحدید المعنی الموضوع له، کالبحث عن حجّیة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أمارات الظهور من جهة تعیین المراد، وهی الأصول اللفظیة النافیة للقرائن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أصالة الحقیقة والعموم وعدم القرینة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والشیخ الأعظم غیّر خارطة القدماء للبحث، والآخوند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خارطة الشیخ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5" w:name="__RefHeading___Toc3300044_1468164448"/>
      <w:bookmarkStart w:id="606" w:name="_Toc243"/>
      <w:bookmarkEnd w:id="605"/>
      <w:r>
        <w:rPr>
          <w:rtl w:val="true"/>
        </w:rPr>
        <w:t>أقسام الظهور</w:t>
      </w:r>
      <w:bookmarkStart w:id="607" w:name="pg16983_380937"/>
      <w:bookmarkEnd w:id="606"/>
    </w:p>
    <w:p>
      <w:pPr>
        <w:pStyle w:val="BookText"/>
        <w:rPr/>
      </w:pPr>
      <w:bookmarkEnd w:id="607"/>
      <w:r>
        <w:rPr>
          <w:rFonts w:ascii="IRNazanin" w:hAnsi="IRNazanin" w:eastAsia="IRNazanin"/>
          <w:color w:val="111111"/>
          <w:sz w:val="28"/>
          <w:sz w:val="28"/>
          <w:szCs w:val="28"/>
          <w:rtl w:val="true"/>
          <w:lang w:bidi="fa-IR"/>
        </w:rPr>
        <w:t>الظهور الذی سیتم البحث عن حجّیته أعم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اللفظ فی المدلول الإستعمالی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المدلول الآحادی لکلّ کلمة کلمة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ظهوره فی المراد التفهیمی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المتحصل من ترکیب الکلام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ظهوره فی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أشرنا فی بحوث الألفاظ إلی أنّ هذه المدالیل قد تتطابق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الإستعمالی والتفهیمی والجدی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تختلف، فیکون المراد التفهیمی غیر المراد الإستعمالی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الکنایة والمجاز فی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للکلام مراد تفهیمی من دون إرادة جدیة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حدیث الهازل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أنه لا یقصد من المراد الجدی بیان الواقع فی قبال التقیة، فإنه مرتبط بجهة صدور الکلام لا بالظهور بعد أن کان المتکلّم یرید جداً من المخاطب البناء علی کلامه</w:t>
      </w:r>
      <w:r>
        <w:rPr>
          <w:rFonts w:eastAsia="IRNazanin" w:cs="IRNazanin"/>
          <w:color w:val="111111"/>
          <w:sz w:val="28"/>
          <w:szCs w:val="28"/>
          <w:rtl w:val="true"/>
          <w:lang w:bidi="fa-IR"/>
        </w:rPr>
        <w:t>.</w:t>
      </w:r>
    </w:p>
    <w:p>
      <w:pPr>
        <w:pStyle w:val="Heading5"/>
        <w:numPr>
          <w:ilvl w:val="4"/>
          <w:numId w:val="1"/>
        </w:numPr>
        <w:rPr/>
      </w:pPr>
      <w:bookmarkStart w:id="608" w:name="__RefHeading___Toc3300046_1468164448"/>
      <w:bookmarkStart w:id="609" w:name="_Toc244"/>
      <w:bookmarkEnd w:id="608"/>
      <w:r>
        <w:rPr>
          <w:rtl w:val="true"/>
        </w:rPr>
        <w:t>أنواع القرائن</w:t>
      </w:r>
      <w:bookmarkEnd w:id="609"/>
    </w:p>
    <w:p>
      <w:pPr>
        <w:pStyle w:val="Heading6"/>
        <w:numPr>
          <w:ilvl w:val="5"/>
          <w:numId w:val="1"/>
        </w:numPr>
        <w:rPr/>
      </w:pPr>
      <w:bookmarkStart w:id="610" w:name="__RefHeading___Toc3300048_1468164448"/>
      <w:bookmarkStart w:id="611" w:name="_Toc245"/>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یعرف من إمکانیة اختلاف مرادات الکلام أنّ القرائن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قرائن للمراد الإستعمالی فی حالة اختلافه مع المدلول الوضعی، وهناک قرائن للمراد التفهیمی فی حالة اختلافه مع سابقه، وهناک قرائن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یعرف أنّ الأصول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وجودیة أم عدمیة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موزّعة، وفی قبال القرائن التی هی بصدد نفیها خلافاً للشیخ والآخوند حیث وحّدوا بینهما، وتلخص الخلاف بینهما فی أنها وجودیة أو عدمیة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فأصالة الإطلاق والعموم مثلاً مرتبطة بالمدلول التفهیمی أو الجدی، ولا علاقة لها فی تحدید المراد الإستعمالی فی حین أنّ أصالة عدم القرینة علی المجاز و أصالة الحقیقة قبال المجاز</w:t>
      </w:r>
      <w:bookmarkStart w:id="612" w:name="pg16983_380939"/>
    </w:p>
    <w:p>
      <w:pPr>
        <w:pStyle w:val="BookText"/>
        <w:rPr/>
      </w:pPr>
      <w:bookmarkEnd w:id="612"/>
      <w:r>
        <w:rPr>
          <w:rFonts w:ascii="IRNazanin" w:hAnsi="IRNazanin" w:eastAsia="IRNazanin"/>
          <w:color w:val="111111"/>
          <w:sz w:val="28"/>
          <w:sz w:val="28"/>
          <w:szCs w:val="28"/>
          <w:rtl w:val="true"/>
          <w:lang w:bidi="fa-IR"/>
        </w:rPr>
        <w:t>المشهور مرتبطة بالمدلول الإستعمالی، وأمّا أصالة الظهور مثلاً فهی مرتبطة بالمراد الجدی</w:t>
      </w:r>
      <w:r>
        <w:rPr>
          <w:rFonts w:eastAsia="IRNazanin" w:cs="IRNazanin"/>
          <w:color w:val="111111"/>
          <w:sz w:val="28"/>
          <w:szCs w:val="28"/>
          <w:rtl w:val="true"/>
          <w:lang w:bidi="fa-IR"/>
        </w:rPr>
        <w:t>.</w:t>
      </w:r>
    </w:p>
    <w:p>
      <w:pPr>
        <w:pStyle w:val="Heading6"/>
        <w:numPr>
          <w:ilvl w:val="5"/>
          <w:numId w:val="1"/>
        </w:numPr>
        <w:rPr/>
      </w:pPr>
      <w:bookmarkStart w:id="613" w:name="__RefHeading___Toc3300050_1468164448"/>
      <w:bookmarkStart w:id="614" w:name="_Toc246"/>
      <w:bookmarkEnd w:id="613"/>
      <w:r>
        <w:rPr>
          <w:rtl w:val="true"/>
        </w:rPr>
        <w:t>دور علم اللغة والنحو والبلاغة فی شؤون الکلام</w:t>
      </w:r>
      <w:bookmarkEnd w:id="614"/>
    </w:p>
    <w:p>
      <w:pPr>
        <w:pStyle w:val="BookText"/>
        <w:rPr/>
      </w:pPr>
      <w:r>
        <w:rPr>
          <w:rFonts w:ascii="IRNazanin" w:hAnsi="IRNazanin" w:eastAsia="IRNazanin"/>
          <w:color w:val="111111"/>
          <w:sz w:val="28"/>
          <w:sz w:val="28"/>
          <w:szCs w:val="28"/>
          <w:rtl w:val="true"/>
          <w:lang w:bidi="fa-IR"/>
        </w:rPr>
        <w:t>حیث اتضح أنّ للکلام مراحل وأنها قد تختلف، یتضح أنّ کلّ واحد من علوم اللغة المعنیّة بشؤون الکلام یتکفل مرحلة من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اللغة بالمعنی الأخص معنی بالمدلول التصوری وشیء من الإستعمالی، خلافاً لما هو السائد من أنّ اللغوی لا یعنی بضبط المعنی الحقیقی وفرزه عن غیره، وإنما دوره ضبط ما استعمل فیه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 النحو والصرف یتکفّلان الشطر الباقی من المدلول الإستعمالی والمدلول التفهیمی؛ لأنّ البحث فیهما عن الهیئة الترکیبیة وامتزاج المادة بالهیئة وهما مرتبطان بالمراد التفهیمی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علم الإشتقاق الکبیر والأکبر وعلم النحت وهی جمیعاً تتکفل ضبط المدلول التصوری والإستعمالی من جهات غیر الجهة التی تکفّلها علم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البلاغة بأقسامه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والبیان والبدیع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یتکفّل رصد القرائن العامة التفهیمیة، ومن الخطأ بمکانٍ الإعتقادُ باختصاص هذا العلم باللغة العربیة، حیث إنه لا علاقة له باللغة أصلاً، وإنما هو مرتبط بالإنتقال من معنی إلی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المدلول الإستعمالی إلی التفهیمی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وثیق الصلة باللغة من دون أن تکون موضوعَه ومحورَ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وشاهد آخر علی عدم اختصاص البلاغة باللغة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علاقة لها باللغة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کثیراً من المسائل البلاغیة تمّ بحثها فی علم المنطق والأصول حتی أنّ بدایة البحث الأصولی کانت عبارة عن تعمیق لبحوث علم المعانی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علم المنطق والأصول لا یخصان لغة معینة،</w:t>
      </w:r>
      <w:bookmarkStart w:id="615" w:name="pg16983_380941"/>
    </w:p>
    <w:p>
      <w:pPr>
        <w:pStyle w:val="BookText"/>
        <w:rPr/>
      </w:pPr>
      <w:bookmarkEnd w:id="615"/>
      <w:r>
        <w:rPr>
          <w:rFonts w:ascii="IRNazanin" w:hAnsi="IRNazanin" w:eastAsia="IRNazanin"/>
          <w:color w:val="111111"/>
          <w:sz w:val="28"/>
          <w:sz w:val="28"/>
          <w:szCs w:val="28"/>
          <w:rtl w:val="true"/>
          <w:lang w:bidi="fa-IR"/>
        </w:rPr>
        <w:t>وإنما الأول منها مرتبط بلغة الفکر وهی عامة، وثانیهما مرتبط بلغة القانون وهی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فبحث المسائل البلاغیة فیهما یعبّر عن عمومیة علم البلاغة أیضاً</w:t>
      </w:r>
      <w:r>
        <w:rPr>
          <w:rFonts w:eastAsia="IRNazanin" w:cs="IRNazanin"/>
          <w:color w:val="111111"/>
          <w:sz w:val="28"/>
          <w:szCs w:val="28"/>
          <w:rtl w:val="true"/>
          <w:lang w:bidi="fa-IR"/>
        </w:rPr>
        <w:t>.</w:t>
      </w:r>
    </w:p>
    <w:p>
      <w:pPr>
        <w:pStyle w:val="Heading6"/>
        <w:numPr>
          <w:ilvl w:val="5"/>
          <w:numId w:val="1"/>
        </w:numPr>
        <w:rPr/>
      </w:pPr>
      <w:bookmarkStart w:id="616" w:name="__RefHeading___Toc3300052_1468164448"/>
      <w:bookmarkStart w:id="617" w:name="_Toc247"/>
      <w:bookmarkEnd w:id="616"/>
      <w:r>
        <w:rPr>
          <w:rtl w:val="true"/>
        </w:rPr>
        <w:t>فهم النص فی ظلّ دراسة ظروف النص</w:t>
      </w:r>
      <w:bookmarkEnd w:id="617"/>
    </w:p>
    <w:p>
      <w:pPr>
        <w:pStyle w:val="BookText"/>
        <w:rPr/>
      </w:pPr>
      <w:r>
        <w:rPr>
          <w:rFonts w:ascii="IRNazanin" w:hAnsi="IRNazanin" w:eastAsia="IRNazanin"/>
          <w:color w:val="111111"/>
          <w:sz w:val="28"/>
          <w:sz w:val="28"/>
          <w:szCs w:val="28"/>
          <w:rtl w:val="true"/>
          <w:lang w:bidi="fa-IR"/>
        </w:rPr>
        <w:t>وأمّا المراد الجدی فیعتنی به شطر من علم البلاغة، ولکن الشطر الأکبر تتکفّله الدراسات المرتبطة بمعرفة البیئة الفکریة والزمانیة والسیاسیة والتاریخیة للنص التی تشکّل رصیداً لفهم النص والمراد الجدی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الدراسات شروح الأحادیث التی قام بها أمثال المجلسی ومِن قَبْله الصدوقُ وإلی حدٍ مّا الطوسی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اهتمّ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وبتبعهم من المتأخرین شیخ الشریعة الإصفهانی وتلمیذه السیّد البروجردی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بدراسة ظروف النص ومناخه وأجوائه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انتهوا إلی أنّ السنّة لها نظر شرح وتفسیر للکتاب العزیز، وأنّ روایات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نظر لروایات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ولها نظر إلی الجوّ العلمی الذی کان سائداً آنذاک حتی أنّ کثیراً من الفقه الشیعی کان بمثابة التعلیق علی الفقه السنّی، لم یتناولوا النص إلاّ مع مراجعة الکتاب والسنّة النبویة و فقه العامة، لأنها جمیعاً تساهم فی فهم المراد الجدی لکلام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وبهذه الرؤیة وطریقة فهم النص ینحلّ کثیر من حالات التعارض؛ حیث إنّ لکلّ طائفة جوّاً وبیئة خاصة بها، فیراد منها ما لا یتنافی مع الطائفة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مرحلة أساسیة فی عملیة الإستنباط، ولکن علی شرط أن تکون جنباً إلی جنب إعمال القواعد والصناعة من أجل أن تأتی العملیة الفقهیة متکاملة</w:t>
      </w:r>
      <w:r>
        <w:rPr>
          <w:rFonts w:eastAsia="IRNazanin" w:cs="IRNazanin"/>
          <w:color w:val="111111"/>
          <w:sz w:val="28"/>
          <w:szCs w:val="28"/>
          <w:rtl w:val="true"/>
          <w:lang w:bidi="fa-IR"/>
        </w:rPr>
        <w:t>.</w:t>
      </w:r>
    </w:p>
    <w:p>
      <w:pPr>
        <w:pStyle w:val="Heading5"/>
        <w:numPr>
          <w:ilvl w:val="4"/>
          <w:numId w:val="1"/>
        </w:numPr>
        <w:rPr/>
      </w:pPr>
      <w:bookmarkStart w:id="618" w:name="__RefHeading___Toc3300054_1468164448"/>
      <w:bookmarkStart w:id="619" w:name="_Toc248"/>
      <w:bookmarkEnd w:id="618"/>
      <w:r>
        <w:rPr>
          <w:rtl w:val="true"/>
        </w:rPr>
        <w:t>خارطة الظهورات فی نظام الشیخ</w:t>
      </w:r>
      <w:bookmarkEnd w:id="6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ألفتنا إلی أنّ الشیخ الاعظم غیّر أسلوب القدماء فی بحث</w:t>
      </w:r>
    </w:p>
    <w:p>
      <w:pPr>
        <w:pStyle w:val="BookText"/>
        <w:rPr/>
      </w:pPr>
      <w:r>
        <w:rPr>
          <w:rFonts w:ascii="IRNazanin" w:hAnsi="IRNazanin" w:eastAsia="IRNazanin"/>
          <w:color w:val="111111"/>
          <w:sz w:val="28"/>
          <w:sz w:val="28"/>
          <w:szCs w:val="28"/>
          <w:rtl w:val="true"/>
          <w:lang w:bidi="fa-IR"/>
        </w:rPr>
        <w:t>الظهورات وجعله بالشکل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کبری حجّیة الظهور وفی ذلک لا یختلف عن القدماء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 فی المدلول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وضعیاً أم استعمالیاً أم تفهیمیاً أم تصدیقیاً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فیبحث فی هذا المقام عن ما یرفع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کحجّیة قول اللغوی والنحوی والبلاغی وسائر العلوم التی أشرنا إلیها المعنیّة بوضع ضوابط تحدّد مدلول الکلام علی کلّ أصعدته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للقدماء حیث خصّوا هذا المقام بما یرتبط بتحدید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 فی الترکیب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هل نصب قرینة علی التخصیص أو المجاز أو الکنایة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فیبحث فی هذا المقام عن الأصول اللفظیة الرافعة لهذا الشک بنفیها للقرائن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أصالة الحقیقة والعموم والإطلاق وعدم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للقدماء حیث جعلوا المقام الثالث فی معالجة الشک فی المراد، واعتبروا الأصول اللفظیة تجری لتحدید المراد ونفی الشک فیه، مع أنّ الأصول اللفظیة أمارات تعالج الشک فی الترکیب الدالّ الذی یستتبع للشک فی المدلول المراد، وإلاّ فمع الشک ابتداءً فی المراد بعد إحراز الدالّ لا تجری هذه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تعرف وجاهة تغییر الشیخ لمقامات البحث بعد أن أهمل القدماء الشک فی الدالّ، وبعد أن کانت الأصول تجری فیه لا فی الشک فی المراد، وهو یعالج بالعلوم المختصة علی حدّ علاج الشک فی الوضع، فلا مبرّر لحصر المقام الثانی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البحث فی المقام الثالث فی صغری صغری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تحدید الدالّ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الثانی فی صغری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تحدید المعنی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الأول فی أصل حجّیة الظهور وکبراها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وسنبحث علی أساس خارطة الشیخ فی مقامات</w:t>
      </w:r>
      <w:r>
        <w:rPr>
          <w:rFonts w:eastAsia="IRNazanin" w:cs="IRNazanin"/>
          <w:color w:val="111111"/>
          <w:sz w:val="28"/>
          <w:szCs w:val="28"/>
          <w:rtl w:val="true"/>
          <w:lang w:bidi="fa-IR"/>
        </w:rPr>
        <w:t>.</w:t>
      </w:r>
      <w:bookmarkStart w:id="620" w:name="pg16983_380945"/>
    </w:p>
    <w:p>
      <w:pPr>
        <w:pStyle w:val="Heading4"/>
        <w:numPr>
          <w:ilvl w:val="3"/>
          <w:numId w:val="1"/>
        </w:numPr>
        <w:rPr/>
      </w:pPr>
      <w:bookmarkStart w:id="621" w:name="__RefHeading___Toc3300056_1468164448"/>
      <w:bookmarkStart w:id="622" w:name="_Toc249"/>
      <w:bookmarkEnd w:id="620"/>
      <w:bookmarkEnd w:id="621"/>
      <w:r>
        <w:rPr/>
        <w:t>1</w:t>
      </w:r>
      <w:r>
        <w:rPr>
          <w:rtl w:val="true"/>
        </w:rPr>
        <w:t xml:space="preserve"> . </w:t>
      </w:r>
      <w:r>
        <w:rPr>
          <w:rtl w:val="true"/>
        </w:rPr>
        <w:t>المقام الأول</w:t>
      </w:r>
      <w:r>
        <w:rPr>
          <w:rtl w:val="true"/>
        </w:rPr>
        <w:t xml:space="preserve">: </w:t>
      </w:r>
      <w:r>
        <w:rPr>
          <w:rtl w:val="true"/>
        </w:rPr>
        <w:t>البحث فی حجّیة الظهور</w:t>
      </w:r>
      <w:bookmarkEnd w:id="622"/>
    </w:p>
    <w:p>
      <w:pPr>
        <w:pStyle w:val="Heading5"/>
        <w:numPr>
          <w:ilvl w:val="4"/>
          <w:numId w:val="1"/>
        </w:numPr>
        <w:rPr/>
      </w:pPr>
      <w:bookmarkStart w:id="623" w:name="__RefHeading___Toc3300058_1468164448"/>
      <w:bookmarkStart w:id="624" w:name="_Toc250"/>
      <w:bookmarkEnd w:id="623"/>
      <w:r>
        <w:rPr>
          <w:rtl w:val="true"/>
        </w:rPr>
        <w:t>منشأ حجّیة الظهور</w:t>
      </w:r>
      <w:bookmarkEnd w:id="624"/>
    </w:p>
    <w:p>
      <w:pPr>
        <w:pStyle w:val="Heading6"/>
        <w:numPr>
          <w:ilvl w:val="5"/>
          <w:numId w:val="1"/>
        </w:numPr>
        <w:rPr/>
      </w:pPr>
      <w:bookmarkStart w:id="625" w:name="__RefHeading___Toc3300060_1468164448"/>
      <w:bookmarkStart w:id="626" w:name="_Toc251"/>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ذکر الشیخ أنّ حجّیة الظهور عند الشارع بدیهیة لا تحتاج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تعبیر آخر له ذکر أنّ دلالة الظاهر علی المراد دلالة قطعیة مع العلم بعدم القرینة فی الترکیب الدالّ،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غالباً یتمّ إحراز الدالّ عبر الأصول اللفظیة وهی ظنیة، وبضمّ أنّ النتیجة تتبع أخسّ المقدّمتین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دلالة الظاهر ظنیة، فالدلالة القطعیة تعلیقیة علی إحراز الدالّ وجداناً وبالعلم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والآخوند استدلّ علی الحجّیة بسیرة العقلاء غیر المردوعة من الشارع، بل التی تعاطی بها و جری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الإتفاق علی الحجّیة أخرجها السیّد الخوئی من علم الأصول، بحجّة أنّ العلم یبحث فی المسائل المتنازع علیها</w:t>
      </w:r>
      <w:r>
        <w:rPr>
          <w:rFonts w:eastAsia="IRNazanin" w:cs="IRNazanin"/>
          <w:color w:val="111111"/>
          <w:sz w:val="28"/>
          <w:szCs w:val="28"/>
          <w:rtl w:val="true"/>
          <w:lang w:bidi="fa-IR"/>
        </w:rPr>
        <w:t>.</w:t>
      </w:r>
    </w:p>
    <w:p>
      <w:pPr>
        <w:pStyle w:val="Heading6"/>
        <w:numPr>
          <w:ilvl w:val="5"/>
          <w:numId w:val="1"/>
        </w:numPr>
        <w:rPr/>
      </w:pPr>
      <w:bookmarkStart w:id="627" w:name="__RefHeading___Toc3300062_1468164448"/>
      <w:bookmarkStart w:id="628" w:name="_Toc252"/>
      <w:bookmarkEnd w:id="627"/>
      <w:r>
        <w:rPr>
          <w:rtl w:val="true"/>
        </w:rPr>
        <w:t>معنی تقنین العقلاء</w:t>
      </w:r>
      <w:bookmarkEnd w:id="628"/>
    </w:p>
    <w:p>
      <w:pPr>
        <w:pStyle w:val="BookText"/>
        <w:rPr/>
      </w:pPr>
      <w:r>
        <w:rPr>
          <w:rFonts w:ascii="IRNazanin" w:hAnsi="IRNazanin" w:eastAsia="IRNazanin"/>
          <w:color w:val="111111"/>
          <w:sz w:val="28"/>
          <w:sz w:val="28"/>
          <w:szCs w:val="28"/>
          <w:rtl w:val="true"/>
          <w:lang w:bidi="fa-IR"/>
        </w:rPr>
        <w:t>والحق فی المسألة أنّ مسیرة العقلاء ترجع إلی تقنین العقلاء، وتعبیرُهم عن التقنین بالسیرة لأجل بیان أنها مورست عملیاً ولأجل بیان السرّ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للعقلاء تقنیناً فی باب الظهور، فلابدّ أن یعرف أنه یضمّ فصولاً وأبواباً، ولا یقتصر علی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هی المقام الأول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تشکّل الظهور، وتمامیتُه یتمّ أیضاً بتقنین العقلاء وفهم الذین اعتبروا العلقة الوضعیة وقواعد اللغة والأصول اللفظیة، کلّ ذلک لتأمین موضوع الحجّیة العقلائیة وهو الظهور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کیان وقوام اعتباری 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بهذا الحجم هی</w:t>
      </w:r>
      <w:bookmarkStart w:id="629" w:name="pg16983_380947"/>
    </w:p>
    <w:p>
      <w:pPr>
        <w:pStyle w:val="BookText"/>
        <w:rPr/>
      </w:pPr>
      <w:bookmarkEnd w:id="629"/>
      <w:r>
        <w:rPr>
          <w:rFonts w:ascii="Amiri" w:hAnsi="Amiri" w:eastAsia="Amiri" w:cs="Amiri"/>
          <w:color w:val="111111"/>
          <w:sz w:val="28"/>
          <w:sz w:val="28"/>
          <w:szCs w:val="28"/>
          <w:rtl w:val="true"/>
          <w:lang w:bidi="ar-SA"/>
        </w:rPr>
        <w:t>الممضاة من قبل الشارع</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3300064_1468164448"/>
      <w:bookmarkStart w:id="631" w:name="_Toc253"/>
      <w:bookmarkEnd w:id="630"/>
      <w:r>
        <w:rPr>
          <w:rtl w:val="true"/>
        </w:rPr>
        <w:t>حجّیة الظهور من باب الضرورة الفطریة</w:t>
      </w:r>
      <w:bookmarkEnd w:id="631"/>
    </w:p>
    <w:p>
      <w:pPr>
        <w:pStyle w:val="Heading6"/>
        <w:numPr>
          <w:ilvl w:val="5"/>
          <w:numId w:val="1"/>
        </w:numPr>
        <w:rPr/>
      </w:pPr>
      <w:bookmarkStart w:id="632" w:name="__RefHeading___Toc3300066_1468164448"/>
      <w:bookmarkStart w:id="633" w:name="_Toc254"/>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بل یمکن الإستدلال علی حجّیة الظهور بالضرورة الفطریة،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الفطرة التی دعت البشر إلی وضع الألفاظ للمعانی هی التی تدعوهم إلی التعامل والتفاهم من خلال الظهور؛ لأنه أقرب وسیلة لاختزال الجهود والطاقات، والشارع أقرّ هذه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الاستدلال یرجع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سابقاً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الملازمة بین حکم العقل النظری والشرع، أی بین الإرادة التکوینیة والإرادة التشریعیة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حجّیة الظهور هو السیرة والفطرة، وأنّ الحجّیة تثبت للظهور ککیان وباب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فغایة ما یلزمنا من البحث فی المقام الثانی والثالث، هو ضبط المفردات والصغریات، وأنها من ضوابط الظهور وبنوده وفصوله من دون حاجة للبحث عن حجّیتها</w:t>
      </w:r>
      <w:r>
        <w:rPr>
          <w:rFonts w:eastAsia="IRNazanin" w:cs="IRNazanin"/>
          <w:color w:val="111111"/>
          <w:sz w:val="28"/>
          <w:szCs w:val="28"/>
          <w:rtl w:val="true"/>
          <w:lang w:bidi="fa-IR"/>
        </w:rPr>
        <w:t>.</w:t>
      </w:r>
    </w:p>
    <w:p>
      <w:pPr>
        <w:pStyle w:val="Heading6"/>
        <w:numPr>
          <w:ilvl w:val="5"/>
          <w:numId w:val="1"/>
        </w:numPr>
        <w:rPr/>
      </w:pPr>
      <w:bookmarkStart w:id="634" w:name="__RefHeading___Toc3300068_1468164448"/>
      <w:bookmarkStart w:id="635" w:name="_Toc255"/>
      <w:bookmarkEnd w:id="634"/>
      <w:r>
        <w:rPr>
          <w:rtl w:val="true"/>
        </w:rPr>
        <w:t>توجیهٌ لناجزیة دلالة الظهور القطعیة فی المدلول التصوری</w:t>
      </w:r>
      <w:bookmarkEnd w:id="635"/>
    </w:p>
    <w:p>
      <w:pPr>
        <w:pStyle w:val="BookText"/>
        <w:rPr/>
      </w:pPr>
      <w:r>
        <w:rPr>
          <w:rFonts w:ascii="IRNazanin" w:hAnsi="IRNazanin" w:eastAsia="IRNazanin"/>
          <w:color w:val="111111"/>
          <w:sz w:val="28"/>
          <w:sz w:val="28"/>
          <w:szCs w:val="28"/>
          <w:rtl w:val="true"/>
          <w:lang w:bidi="fa-IR"/>
        </w:rPr>
        <w:t>ألفتنا إلی أنّ الشیخ قال بأنّ دلالة الظهور قطعیة إلاّ أنها تعلیقیة ولیست ناجزة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من ذهب إلی أنها قطعیة ناجزة کالنص حتی لو کان إحراز الدالّ ظنیاً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أنه یمکن توجیه الدلالة القطعیة الناجزة فی المدلول</w:t>
      </w:r>
      <w:bookmarkStart w:id="636" w:name="pg16983_380950"/>
    </w:p>
    <w:p>
      <w:pPr>
        <w:pStyle w:val="BookText"/>
        <w:rPr/>
      </w:pPr>
      <w:bookmarkEnd w:id="636"/>
      <w:r>
        <w:rPr>
          <w:rFonts w:ascii="IRNazanin" w:hAnsi="IRNazanin" w:eastAsia="IRNazanin"/>
          <w:color w:val="111111"/>
          <w:sz w:val="28"/>
          <w:sz w:val="28"/>
          <w:szCs w:val="28"/>
          <w:rtl w:val="true"/>
          <w:lang w:bidi="fa-IR"/>
        </w:rPr>
        <w:t xml:space="preserve">التصوری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الملازمة التکوینیة بین اللفظ والمعنی الموضوع له بسبب القرن الأکید، وإن کان مبدأ العلاقة اعتباریاً، حینئذ ستکون الدلالة ذاتیة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یمکن توجیه الدلالة القطعیة الناجزة فی المدلول الإستعمالی، فإنّ العلاقة کذلک تکوینیة غایته أنها مقیّدة بإرادة المتکلّم</w:t>
      </w:r>
      <w:r>
        <w:rPr>
          <w:rFonts w:eastAsia="IRNazanin" w:cs="IRNazanin"/>
          <w:color w:val="111111"/>
          <w:sz w:val="28"/>
          <w:szCs w:val="28"/>
          <w:rtl w:val="true"/>
          <w:lang w:bidi="fa-IR"/>
        </w:rPr>
        <w:t>.</w:t>
      </w:r>
    </w:p>
    <w:p>
      <w:pPr>
        <w:pStyle w:val="Heading6"/>
        <w:numPr>
          <w:ilvl w:val="5"/>
          <w:numId w:val="1"/>
        </w:numPr>
        <w:rPr/>
      </w:pPr>
      <w:bookmarkStart w:id="637" w:name="__RefHeading___Toc3300070_1468164448"/>
      <w:bookmarkStart w:id="638" w:name="_Toc256"/>
      <w:bookmarkEnd w:id="637"/>
      <w:r>
        <w:rPr>
          <w:rtl w:val="true"/>
        </w:rPr>
        <w:t>الدلالة التعلیقیة فی المدلول التفهیمی والجدی</w:t>
      </w:r>
      <w:bookmarkEnd w:id="638"/>
    </w:p>
    <w:p>
      <w:pPr>
        <w:pStyle w:val="BookText"/>
        <w:rPr/>
      </w:pPr>
      <w:r>
        <w:rPr>
          <w:rFonts w:ascii="IRNazanin" w:hAnsi="IRNazanin" w:eastAsia="IRNazanin"/>
          <w:color w:val="111111"/>
          <w:sz w:val="28"/>
          <w:sz w:val="28"/>
          <w:szCs w:val="28"/>
          <w:rtl w:val="true"/>
          <w:lang w:bidi="fa-IR"/>
        </w:rPr>
        <w:t>وأمّا المدلول التفهیمی؛ فحیث إنّه مستحصل من مجموع ترکیب الجملة فنقبل القطعیة التعلیقیة لا غیر، بمعنی أنه علی تقدیر العلم بالترکیب الدالّ، وأنّ علاقته بالمعنی تکوینیة وإن بدأت اعتباریة فهو یدلّ علی المعنی المقصود وإفهامه بشکل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المدلول الجدی کالتفهیمی نقبل قطعیته التعلیقیة دون الناجزة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ویدلّنا علی ذلک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الشیخ و صاحب المنتقی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إحراز تمامیة الترکیب الدالّ یتمّ عبر الأصول اللفظیة، فهو إحراز 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فی المتکلّم بین أن یکون معصوماً أو غیره، بعد أن کان السامع ومن نقل إلیه الکلام لیس معصوماً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ذکر فی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الأصول لیست مرتبطة بالظهور الذی هو الدلالة، وإنما مرتبطة بالدالّ فتبقی الدلالة 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مرفوض؛ لأنّ الأصول من العناصر المکونة للظهور، حیث تتکفل ضبط حدود الدالّ، والظهور لا یتلخص بالدلالة، وإنما یبدأ بالدالّ وینتهی بالدلالة علی المراد الجدی الواقعی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أصالة الجدّ النافیة لکون المتکلّم فی مقام الهزل أو التوریة أو الإمتحان أو أیّ داع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التقیة فإنها غیر مرتبطة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نصب قرینة علی أحدها، فإنّها ظنیة، وبالتالی ستکون دلالة الکلام علی المراد الجدی ظنیة، بل أکثر ظنیة لأنها فی</w:t>
      </w:r>
      <w:bookmarkStart w:id="639" w:name="pg16983_380952"/>
    </w:p>
    <w:p>
      <w:pPr>
        <w:pStyle w:val="BookText"/>
        <w:rPr/>
      </w:pPr>
      <w:bookmarkEnd w:id="639"/>
      <w:r>
        <w:rPr>
          <w:rFonts w:ascii="IRNazanin" w:hAnsi="IRNazanin" w:eastAsia="IRNazanin"/>
          <w:color w:val="111111"/>
          <w:sz w:val="28"/>
          <w:sz w:val="28"/>
          <w:szCs w:val="28"/>
          <w:rtl w:val="true"/>
          <w:lang w:bidi="fa-IR"/>
        </w:rPr>
        <w:t>الوقت الذی تتوقف علی جریان الأصول الظنیة فی المراحل السابقة تحتاج إلی جریان أصالة الجدّ الظنیة، ومن ثمّ لا یمکن قبول قطعیة الدلالة سوی التعلیقیة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الإنتقال من المدلول الإستعمالی إلی التفهیمی، ومن المدلول التفهیمی إلی الجدی یحتاج إلی فنون ونکات ومداقة وتعمّق فی علوم متعددة تساهم فی استنطاق النص وبلورة ظهوره، وتطبیق مثل هذه العلوم الظنیة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فالظهور المستحصل من الکلام بعد إعمال الإنسان غایة جهده فی تطبیق الموازین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کلام الوحی والمعصوم ملقی إلی عموم الإنسان، ویخاطب به فهم البقال والعطار، ومن ثمّ فالظهور الحجّة ما یفهم هؤلاء لا الظهور المستخلص من إجراء مجموعة معادلات علمیة ومعقدة بحیث لا یفهمه إلاّ القلّة من البشر، ومن ثمّ فالظهور العام والحجّة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جوابه فی النقطة اللاحقة</w:t>
      </w:r>
      <w:r>
        <w:rPr>
          <w:rFonts w:eastAsia="IRNazanin" w:cs="IRNazanin"/>
          <w:color w:val="111111"/>
          <w:sz w:val="28"/>
          <w:szCs w:val="28"/>
          <w:rtl w:val="true"/>
          <w:lang w:bidi="fa-IR"/>
        </w:rPr>
        <w:t>.</w:t>
      </w:r>
    </w:p>
    <w:p>
      <w:pPr>
        <w:pStyle w:val="Heading5"/>
        <w:numPr>
          <w:ilvl w:val="4"/>
          <w:numId w:val="1"/>
        </w:numPr>
        <w:rPr/>
      </w:pPr>
      <w:bookmarkStart w:id="640" w:name="__RefHeading___Toc3300072_1468164448"/>
      <w:bookmarkStart w:id="641" w:name="_Toc257"/>
      <w:bookmarkEnd w:id="640"/>
      <w:r>
        <w:rPr>
          <w:rtl w:val="true"/>
        </w:rPr>
        <w:t>أیّ ظاهر هو الحجّة؟</w:t>
      </w:r>
      <w:bookmarkEnd w:id="641"/>
    </w:p>
    <w:p>
      <w:pPr>
        <w:pStyle w:val="Heading6"/>
        <w:numPr>
          <w:ilvl w:val="5"/>
          <w:numId w:val="1"/>
        </w:numPr>
        <w:rPr/>
      </w:pPr>
      <w:bookmarkStart w:id="642" w:name="__RefHeading___Toc3300074_1468164448"/>
      <w:bookmarkStart w:id="643" w:name="_Toc258"/>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السائد بین الأعلام أنّ الظهور حجّة، ولکن مع التعمق فی الآیة والروایة والمداقّة فیهما بإعمال شتّی العلوم الأدبیة، فهل یکون مثل هذا الظهور حجّة، أو أنّ الحجّة خصوص الظهور العرفی؟</w:t>
      </w:r>
    </w:p>
    <w:p>
      <w:pPr>
        <w:pStyle w:val="Heading6"/>
        <w:numPr>
          <w:ilvl w:val="5"/>
          <w:numId w:val="1"/>
        </w:numPr>
        <w:rPr/>
      </w:pPr>
      <w:bookmarkStart w:id="644" w:name="__RefHeading___Toc3300076_1468164448"/>
      <w:bookmarkStart w:id="645" w:name="_Toc259"/>
      <w:bookmarkEnd w:id="644"/>
      <w:r>
        <w:rPr>
          <w:rtl w:val="true"/>
        </w:rPr>
        <w:t>حجّیة الظهور العرفی</w:t>
      </w:r>
      <w:bookmarkEnd w:id="645"/>
    </w:p>
    <w:p>
      <w:pPr>
        <w:pStyle w:val="BookText"/>
        <w:rPr/>
      </w:pPr>
      <w:r>
        <w:rPr>
          <w:rFonts w:ascii="IRNazanin" w:hAnsi="IRNazanin" w:eastAsia="IRNazanin"/>
          <w:color w:val="111111"/>
          <w:sz w:val="28"/>
          <w:sz w:val="28"/>
          <w:szCs w:val="28"/>
          <w:rtl w:val="true"/>
          <w:lang w:bidi="fa-IR"/>
        </w:rPr>
        <w:t>نفی البعض الحجّیة عن المعنی المفهوم إذا خرج عن الظهور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لبناء العقلاء علی أنّ الحجّة هو الذی یستفیده عموم الناس، فإذا خرج عن القدرة العامة لم یکن ظهوراً، فلم یکن حجّة، وإنما کان تحدّساً أو قراءةَ ما خَلف النص</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بعض الأعلام نفی حجّیة أدلّة الإستصحاب فی استصحاب العدم الأزلی، بدعوی أنّ استفادته منها لیس عرفیاً، وإنما بالعلوم</w:t>
      </w:r>
      <w:bookmarkStart w:id="646" w:name="pg16983_380953"/>
    </w:p>
    <w:p>
      <w:pPr>
        <w:pStyle w:val="BookText"/>
        <w:rPr/>
      </w:pPr>
      <w:bookmarkEnd w:id="646"/>
      <w:r>
        <w:rPr>
          <w:rFonts w:ascii="IRNazanin" w:hAnsi="IRNazanin" w:eastAsia="IRNazanin"/>
          <w:color w:val="111111"/>
          <w:sz w:val="28"/>
          <w:sz w:val="28"/>
          <w:szCs w:val="28"/>
          <w:rtl w:val="true"/>
          <w:lang w:bidi="fa-IR"/>
        </w:rPr>
        <w:t>الغریبة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ونشاهد أنّ السیّد الصدر أعرض عن وجه فنی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یصوّر وصول النوبة إلی الأصل الطولی فی أحد الأطراف بعد تساقط الأصول فی الأطراف لتعارضها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أنه وإن کان صحیحاً فی نفسه إلاّ أنه بعید عن أذهان العرف فاستفادته من الأدلّة لیس من الظهور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الفقه یلحظ من الکثیر التحاشی عن الفذلکات الصناعیة والأصولیة الدقیقة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وآخر ذکر أنّ الشریعة والقرآن الکریم قد خوطب بها الجمیع، فاستفادة شیء من نصوصها غیر ما یستفیده العامی خُلف اشتراک الخطاب، ومن ثمّ فهو تأویل لا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السائلین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من ذوی الإختصاص والخبرة والفقاهة، فحمل الروایة علی معنی لا یفهمه السائل لا معنی له</w:t>
      </w:r>
      <w:r>
        <w:rPr>
          <w:rFonts w:eastAsia="IRNazanin" w:cs="IRNazanin"/>
          <w:color w:val="111111"/>
          <w:sz w:val="28"/>
          <w:szCs w:val="28"/>
          <w:rtl w:val="true"/>
          <w:lang w:bidi="fa-IR"/>
        </w:rPr>
        <w:t>.</w:t>
      </w:r>
    </w:p>
    <w:p>
      <w:pPr>
        <w:pStyle w:val="Heading6"/>
        <w:numPr>
          <w:ilvl w:val="5"/>
          <w:numId w:val="1"/>
        </w:numPr>
        <w:rPr/>
      </w:pPr>
      <w:bookmarkStart w:id="647" w:name="__RefHeading___Toc3300078_1468164448"/>
      <w:bookmarkStart w:id="648" w:name="_Toc260"/>
      <w:bookmarkEnd w:id="647"/>
      <w:r>
        <w:rPr>
          <w:rtl w:val="true"/>
        </w:rPr>
        <w:t>حجّیة الظهور الدقّی</w:t>
      </w:r>
      <w:bookmarkEnd w:id="648"/>
    </w:p>
    <w:p>
      <w:pPr>
        <w:pStyle w:val="BookText"/>
        <w:rPr/>
      </w:pPr>
      <w:r>
        <w:rPr>
          <w:rFonts w:ascii="IRNazanin" w:hAnsi="IRNazanin" w:eastAsia="IRNazanin"/>
          <w:color w:val="111111"/>
          <w:sz w:val="28"/>
          <w:sz w:val="28"/>
          <w:szCs w:val="28"/>
          <w:rtl w:val="true"/>
          <w:lang w:bidi="fa-IR"/>
        </w:rPr>
        <w:t xml:space="preserve">والحقّ أنّ الشواهد النقلیة والأدبیة علی خلاف ما ذکر، وأنّ العمق والدقة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بلغا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یؤثّران علی الظهور وحجّیته ما داما علی الموازین الأدبیة ولیست هی تحمیلاً علی الأدب وتأویلاً فی الکلام، وإنما لمس بواسطتها النکات التی کانت خفیة علی العموم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الشواهد النقلیة 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أَعْرِبُوا حَدِیثَنَا فَإِنَّا قَوْمٌ فُصَحَاءُ</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یَکُونُ الرَّجُلُ مِنْکُمْ فَقِیهاً حَتَّی یَعْرِفَ مَعَارِیضَ کَلامِنَا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مَا عَرَفْتُمْ مَعَانِیَ کَلامِنَا إِنَّ کَلامَنَا لَیَنْصَرِفُ عَلَی</w:t>
      </w:r>
    </w:p>
    <w:p>
      <w:pPr>
        <w:pStyle w:val="BookText"/>
        <w:rPr/>
      </w:pPr>
      <w:r>
        <w:rPr>
          <w:rFonts w:ascii="Amiri" w:hAnsi="Amiri" w:eastAsia="Amiri" w:cs="Amiri"/>
          <w:color w:val="111111"/>
          <w:sz w:val="28"/>
          <w:sz w:val="28"/>
          <w:szCs w:val="28"/>
          <w:rtl w:val="true"/>
          <w:lang w:bidi="ar-SA"/>
        </w:rPr>
        <w:t>سَبْعِینَ وَجْهاً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أَخْبَارِنَا مُحْکَماً کَمُحْکَمِ الْقُرْآنِ وَمُتَشَابِهاً کَمُتَشَابِهِ الْقُرْآن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 إِلْقَاءُ الأُصُولِ وَعَلَیْکُمُ التَّفْرِیعُ</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إِلَی مَنْ هُوَ أَفْقَهُ مِنْهُ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والتفقه یعنی الفهم، وهو لا یستعمل فی الفهم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والآیات الکثیرة المذیلة بأولی الألباب، وما ورد بالنسبة إلی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لِلْعَوَامِ وَ الإِشَارَةُ لِلْخَوَاصِّ وَ اللَّطَائِفُ لِلأَوْلِیَاءِ وَ الْحَقَائِقُ لِلأَنْبِیَاءِ</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کلّ هذه تدلّ علی أنّ العمق لا یؤثّر علی الظهور، بل هو مطلوب؛ لأنّ الکلام مع أنه وسیلة التفاهم الفطریة التی أودعها اللّه الإنسان إلاّ أنه یتحمل ویستبطن معان عمیقة ومتعددة، وقد لا یفهم السامع والسائل من کلام الإمام إلاّ بقدر مستواه، ولکن یبقی فی کلامه حینئذ بطون ونکات یلتفت إلیها المختص والخبیر بفنون الکلام فقط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الشواهد الأدبیة فعلم النقد الأدبی خیر دلیل علی أنّ العلم</w:t>
      </w:r>
    </w:p>
    <w:p>
      <w:pPr>
        <w:pStyle w:val="BookText"/>
        <w:rPr/>
      </w:pPr>
      <w:r>
        <w:rPr>
          <w:rFonts w:ascii="IRNazanin" w:hAnsi="IRNazanin" w:eastAsia="IRNazanin"/>
          <w:color w:val="111111"/>
          <w:sz w:val="28"/>
          <w:sz w:val="28"/>
          <w:szCs w:val="28"/>
          <w:rtl w:val="true"/>
          <w:lang w:bidi="fa-IR"/>
        </w:rPr>
        <w:t xml:space="preserve">المرکب والحذلقة فی النص الأدبی أمر طبیعی بل ضروری، ومن ثمّ نشهد تطوّر هذا العلم والتنافس فیه، وتاریخ هذا العلم یرجع إلی الجاهلیة، حیث یحدّثنا التاریخ أنّ الشعراء فی سوق عکاظ کانوا یحتکمون إلی شخص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هو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 یحکم من هو أشعر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المتکلّم فی کثیر من الأحیان قد لا یکون ملتفتاً إلی ما یذکره الناقد تفصیلاً، وإنما جری علیه بشکل إنسیابی وارتکازی، بحیث لو اطّلع علیه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قصدتُ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فتبلور أنّ الظهور الحجّة هو ما یفهم من الکلام علی طبق الموازین والمعاییر الأدبیة، مهما کان عمیقاً وخفیاً علی 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معقول فی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محیط بکلّ شیء فیمکن أن یقصد المدالیل المترامیة والخفیة التی تحتاج إلی لون من الدقة، وأمّا المتکلّم العادی فحیث إنّه یفقد خصوصیة الإحاطة فلا معنی لإعمال الدقة فی کلامه والوصول إلی مدالیل لم یلتفت إلیها ولم یقصدها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حجّیة الظهور إلتفات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 والتفصیلی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للمدلول وقصده، وإنما یکفی الإلتفات الإرتکازی البسیط والدمجی، وهو موجود فی المتکلّم العادی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نشأ مع اللغة وربّی علیها حتی أصبحت جزءاً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صورة انطباق الموازین الأدبیة، لا یتم ذلک إلاّ مع توفر القرائن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یتبلور الفرق بین کلام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وبدرجة ثانیة کلام خبراء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کلام الشخص العادی، فإنّ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وکنتیجة لعدم إحاطته التامة بمدالیل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یقیم قرائن علی مجموعة من المدالیل ویقیمها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وبإعمال الموازین فی دراسة کلام کلّ منها تظهر النتیجة مختلفة، حیث إنّ لکلام المعصوم ظهوراً أوسع من کلام غیره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وإن دلّت علی أنّ فی کلامهم بطوناً، ولکن</w:t>
      </w:r>
    </w:p>
    <w:p>
      <w:pPr>
        <w:pStyle w:val="BookText"/>
        <w:rPr/>
      </w:pPr>
      <w:r>
        <w:rPr>
          <w:rFonts w:ascii="IRNazanin" w:hAnsi="IRNazanin" w:eastAsia="IRNazanin"/>
          <w:color w:val="111111"/>
          <w:sz w:val="28"/>
          <w:sz w:val="28"/>
          <w:szCs w:val="28"/>
          <w:rtl w:val="true"/>
          <w:lang w:bidi="fa-IR"/>
        </w:rPr>
        <w:t>مع النقل عنهم بالمعنی وعدم نقل نص کلماتهم لا یمکن الإستظهار منه علی حدّ الإستظهار من کلمات المعصوم، لوضوح اختلاف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روایات الشیعة قد نقلت بالنص، بل کان دیدنهم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من أمثال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الحدیث، بالإضافة إلی مهارة کثیر فی حفظ الألفاظ ونقلها کما 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الشطر الیسیر الذی لم یدوّن ولم یحفظ وإنما نقل بالمعنی فجوابه یأتی بعدئذ</w:t>
      </w:r>
      <w:r>
        <w:rPr>
          <w:rFonts w:eastAsia="IRNazanin" w:cs="IRNazanin"/>
          <w:color w:val="111111"/>
          <w:sz w:val="28"/>
          <w:szCs w:val="28"/>
          <w:rtl w:val="true"/>
          <w:lang w:bidi="fa-IR"/>
        </w:rPr>
        <w:t>.</w:t>
      </w:r>
      <w:bookmarkStart w:id="649" w:name="pg16983_380962"/>
    </w:p>
    <w:p>
      <w:pPr>
        <w:pStyle w:val="Heading4"/>
        <w:numPr>
          <w:ilvl w:val="3"/>
          <w:numId w:val="1"/>
        </w:numPr>
        <w:rPr/>
      </w:pPr>
      <w:bookmarkStart w:id="650" w:name="__RefHeading___Toc3300080_1468164448"/>
      <w:bookmarkStart w:id="651" w:name="_Toc261"/>
      <w:bookmarkEnd w:id="649"/>
      <w:bookmarkEnd w:id="650"/>
      <w:r>
        <w:rPr/>
        <w:t>2</w:t>
      </w:r>
      <w:r>
        <w:rPr>
          <w:rtl w:val="true"/>
        </w:rPr>
        <w:t xml:space="preserve"> . </w:t>
      </w:r>
      <w:r>
        <w:rPr>
          <w:rtl w:val="true"/>
        </w:rPr>
        <w:t>المقام الثانی</w:t>
      </w:r>
      <w:r>
        <w:rPr>
          <w:rtl w:val="true"/>
        </w:rPr>
        <w:t xml:space="preserve">: </w:t>
      </w:r>
      <w:r>
        <w:rPr>
          <w:rtl w:val="true"/>
        </w:rPr>
        <w:t>تحدید دائرة حجّیة الظهور عند المحقق القمی</w:t>
      </w:r>
      <w:bookmarkEnd w:id="651"/>
    </w:p>
    <w:p>
      <w:pPr>
        <w:pStyle w:val="Heading5"/>
        <w:numPr>
          <w:ilvl w:val="4"/>
          <w:numId w:val="1"/>
        </w:numPr>
        <w:rPr/>
      </w:pPr>
      <w:bookmarkStart w:id="652" w:name="__RefHeading___Toc3300082_1468164448"/>
      <w:bookmarkStart w:id="653" w:name="_Toc262"/>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 xml:space="preserve">نُقِل عن المیرزا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یفصّل فی الحجّیة بین من قُصِد إفهامه وبین من لم یُقصَد، فقال بالحجّیة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عند مراجعة کلماته فی القوانین وجدنا أنه یذکر عدّة نقاط یحاول من خلالها القضاء علی حجّیة الظهور أو تقلیص مساحة الحجّیة</w:t>
      </w:r>
      <w:r>
        <w:rPr>
          <w:rFonts w:eastAsia="IRNazanin" w:cs="IRNazanin"/>
          <w:color w:val="111111"/>
          <w:sz w:val="28"/>
          <w:szCs w:val="28"/>
          <w:rtl w:val="true"/>
          <w:lang w:bidi="fa-IR"/>
        </w:rPr>
        <w:t>.</w:t>
      </w:r>
    </w:p>
    <w:p>
      <w:pPr>
        <w:pStyle w:val="Heading5"/>
        <w:numPr>
          <w:ilvl w:val="4"/>
          <w:numId w:val="1"/>
        </w:numPr>
        <w:rPr/>
      </w:pPr>
      <w:bookmarkStart w:id="654" w:name="__RefHeading___Toc3300084_1468164448"/>
      <w:bookmarkStart w:id="655" w:name="_Toc263"/>
      <w:bookmarkEnd w:id="654"/>
      <w:r>
        <w:rPr>
          <w:rtl w:val="true"/>
        </w:rPr>
        <w:t>التفصیل بین من کان فی عصر النص وبین من لم یکن</w:t>
      </w:r>
      <w:bookmarkEnd w:id="655"/>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من کان فی عصر النص وصدور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قصد إفهامه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من لم یکن فی عصر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إفهامه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حجّة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لهذا التفصیل بعدم إمکان الجزم لمن لم یکن فی عصر النص بالجوّ العلمی وغیره من القرائن الحالیة الجمّة التی اعتمدها المتکلّم، مما یشکّل عقبةً أمام حجّیة الظهور بالنسبة له، إذ لا ظهور محرز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عمّقت بعض الإتجاهات العلمانیة هذا الدلیل واعتمدته فی شلّ النص الدینی بالنسبة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یتأمل فی منهج السیّد البروجردی أنه یبغی معالجة هذه الشبهة وتلافیها بالکیفیة التی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5"/>
        <w:numPr>
          <w:ilvl w:val="4"/>
          <w:numId w:val="1"/>
        </w:numPr>
        <w:rPr/>
      </w:pPr>
      <w:bookmarkStart w:id="656" w:name="__RefHeading___Toc3300086_1468164448"/>
      <w:bookmarkStart w:id="657" w:name="_Toc264"/>
      <w:bookmarkEnd w:id="656"/>
      <w:r>
        <w:rPr>
          <w:rtl w:val="true"/>
        </w:rPr>
        <w:t>التفصیل بین من قصد إفهامه ومن لم یقصد</w:t>
      </w:r>
      <w:bookmarkEnd w:id="657"/>
    </w:p>
    <w:p>
      <w:pPr>
        <w:pStyle w:val="Heading6"/>
        <w:numPr>
          <w:ilvl w:val="5"/>
          <w:numId w:val="1"/>
        </w:numPr>
        <w:rPr/>
      </w:pPr>
      <w:bookmarkStart w:id="658" w:name="__RefHeading___Toc3300088_1468164448"/>
      <w:bookmarkStart w:id="659" w:name="_Toc265"/>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من قصد إفهامه ومن لم یقصد، فالأول حجّة دون الثانی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لهذا التفصیل بأنّ المتکلّم یعتنی لنصب القرائن لمن یقصد إفهامَه والمخاطِب بکلامه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أنه متکلّم حکیم عاقل بصدد الإفهام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لم یقصد إفهامه فلا دلیل علی نصب القرائن له</w:t>
      </w:r>
      <w:bookmarkStart w:id="660" w:name="pg16983_380964"/>
    </w:p>
    <w:p>
      <w:pPr>
        <w:pStyle w:val="BookText"/>
        <w:rPr/>
      </w:pPr>
      <w:bookmarkEnd w:id="660"/>
      <w:r>
        <w:rPr>
          <w:rFonts w:ascii="IRNazanin" w:hAnsi="IRNazanin" w:eastAsia="IRNazanin"/>
          <w:color w:val="111111"/>
          <w:sz w:val="28"/>
          <w:sz w:val="28"/>
          <w:szCs w:val="28"/>
          <w:rtl w:val="true"/>
          <w:lang w:bidi="fa-IR"/>
        </w:rPr>
        <w:t>حتی یکون الکلام حجّة بالنسبة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عباراته هنا تتراوح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تمییزه بین الخطاب الجدی القانونی والتفهیمی، حیث قال بعمومیة الأول للکلّ وخصوصیة الثانی لمن قصد إفهامه، ومن ثمّ یوصل من لم یقصد إفهامه إلی الإنسداد فی الخطاب القانونی مع عمومیته لهم، إلاّ أنه لا طریق لهم إلیه بعد أن کان التفهیمی خاصاً بجماعة ولیس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الجدی القانونی لخصوص من قصد إفهامه، بمعنی أنه متطابق مع الخطاب التفهیمی ولا یعمّ عامة المکلّفین، وإنما سنّ لهم القانون وشرّعت لهم الشریعة بخطاب آخر وهو قاعدة الإشتراک، نظیر ما یقوله الأعلام فی الخطابات الموجهة للذکور أنها تعمّ للنساء بقاعدة الإشتراک لا بنفس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الذین لم یقصد إفهامنا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نعرف بالضبط أنّ المکلّف المقصود بالإفهام ماذا فهم من الکلام کی نعمّمه بقاعدة الإشتراک ستکون النتیجة هی الإنسداد</w:t>
      </w:r>
      <w:r>
        <w:rPr>
          <w:rFonts w:eastAsia="IRNazanin" w:cs="IRNazanin"/>
          <w:color w:val="111111"/>
          <w:sz w:val="28"/>
          <w:szCs w:val="28"/>
          <w:rtl w:val="true"/>
          <w:lang w:bidi="fa-IR"/>
        </w:rPr>
        <w:t>.</w:t>
      </w:r>
    </w:p>
    <w:p>
      <w:pPr>
        <w:pStyle w:val="Heading6"/>
        <w:numPr>
          <w:ilvl w:val="5"/>
          <w:numId w:val="1"/>
        </w:numPr>
        <w:rPr/>
      </w:pPr>
      <w:bookmarkStart w:id="661" w:name="__RefHeading___Toc3300090_1468164448"/>
      <w:bookmarkStart w:id="662" w:name="_Toc266"/>
      <w:bookmarkEnd w:id="661"/>
      <w:r>
        <w:rPr>
          <w:rtl w:val="true"/>
        </w:rPr>
        <w:t>حجّیة الظن الشخصی</w:t>
      </w:r>
      <w:bookmarkEnd w:id="6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اختلاف الأفهام فی قراءة النص الدینی؛ ففی آیة الوصیة مثلاً هناک عدّة تفسیرات للتعبدیة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وبما أنّ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ظن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واقعاً لا یمکن القول بأنّ هذه جمیعاً حجّة من باب الظهور، فإنّ واحداً من هذه التفسیرات هو الظهور والباقی خاطئ وإن تخیّل أصحابها أنها هی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نجد أنّ کلّ تفسیر حجّة علی صاحبه، مما یدلّ علی أنّ الحجّیة لیست للظهور، وأنّ موضوعها شیء آخر غیر الظهور وهو الظن الشخصی بالظهور، فبعد أن انسدّ باب الوصول إلی الظهور مع الایمان بحجّیته لم یکن</w:t>
      </w:r>
      <w:bookmarkStart w:id="663" w:name="pg16983_380966"/>
    </w:p>
    <w:p>
      <w:pPr>
        <w:pStyle w:val="BookText"/>
        <w:rPr/>
      </w:pPr>
      <w:bookmarkEnd w:id="663"/>
      <w:r>
        <w:rPr>
          <w:rFonts w:ascii="IRNazanin" w:hAnsi="IRNazanin" w:eastAsia="IRNazanin"/>
          <w:color w:val="111111"/>
          <w:sz w:val="28"/>
          <w:sz w:val="28"/>
          <w:szCs w:val="28"/>
          <w:rtl w:val="true"/>
          <w:lang w:bidi="fa-IR"/>
        </w:rPr>
        <w:t>طریق سوی فتح باب الحجّیة للظن الشخصی بالظن النوعی</w:t>
      </w:r>
      <w:r>
        <w:rPr>
          <w:rFonts w:eastAsia="IRNazanin" w:cs="IRNazanin"/>
          <w:color w:val="111111"/>
          <w:sz w:val="28"/>
          <w:szCs w:val="28"/>
          <w:rtl w:val="true"/>
          <w:lang w:bidi="fa-IR"/>
        </w:rPr>
        <w:t>.</w:t>
      </w:r>
    </w:p>
    <w:p>
      <w:pPr>
        <w:pStyle w:val="Heading6"/>
        <w:numPr>
          <w:ilvl w:val="5"/>
          <w:numId w:val="1"/>
        </w:numPr>
        <w:rPr/>
      </w:pPr>
      <w:bookmarkStart w:id="664" w:name="__RefHeading___Toc3300092_1468164448"/>
      <w:bookmarkStart w:id="665" w:name="_Toc267"/>
      <w:bookmarkEnd w:id="664"/>
      <w:r>
        <w:rPr>
          <w:rtl w:val="true"/>
        </w:rPr>
        <w:t>بعض موانع الوصول إلی الظهور</w:t>
      </w:r>
      <w:bookmarkEnd w:id="665"/>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الکثیر من القواعد الأصولیة والفقهیة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تدخل فی عملیة الإستنباط من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عناصر الظهور، من قبیل حجّیة العام بعد الفحص وحجّیة العام فی الباقی بعد التخصیص، فإنّ هذه وأمثالها لا یمکن دعوی أنّ الظهور الذاتی للکلام الواحد شامل لها، فهی قواعد أسّست لأجل الظن بالمراد الواقعی لا لأجل إحراز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الوصول إلی الظهور مسنداً، شیّدت هذه القواعد لأنها تساهم فی حصول الظن الشخصی المتراکم بالواقع، لاسیّما إذا التفتنا إلی أنّ الأخبار الشریفة قد طرأ علیها سوانح، من قبیل التقطیع فی الروایات الذی مارسه المحدّثون کالکلینی والصدوق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ونضیف إنا عثرنا علی تقطیعٍ مارَسَهُ نفس الرواة المباشرین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نری أنه یروی فقرة لشخص ویرویها مع إضافة لشخص آخر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واحدة من السوانح ضیاع کثیر من الکتب الحدیثیة من قبیل کتاب مدینة العلم وکذا إحراق الکثیر من المکتبات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السوانح وغیرها تکون سبباً فی حصول العلم الإجمالی بأنّ المضمون لیس علی ما هو علیه الذی یشکل عائقاً عن الوصول إلی الظهور، ومن ثمّ ما نحصل علیه بعد الفحص لیس سوی الظن الشخصی بالواقع، وهو الحجّة علینا من باب الإنسداد</w:t>
      </w:r>
      <w:r>
        <w:rPr>
          <w:rFonts w:eastAsia="IRNazanin" w:cs="IRNazanin"/>
          <w:color w:val="111111"/>
          <w:sz w:val="28"/>
          <w:szCs w:val="28"/>
          <w:rtl w:val="true"/>
          <w:lang w:bidi="fa-IR"/>
        </w:rPr>
        <w:t>.</w:t>
      </w:r>
    </w:p>
    <w:p>
      <w:pPr>
        <w:pStyle w:val="Heading6"/>
        <w:numPr>
          <w:ilvl w:val="5"/>
          <w:numId w:val="1"/>
        </w:numPr>
        <w:rPr/>
      </w:pPr>
      <w:bookmarkStart w:id="666" w:name="__RefHeading___Toc3300094_1468164448"/>
      <w:bookmarkStart w:id="667" w:name="_Toc268"/>
      <w:bookmarkEnd w:id="666"/>
      <w:r>
        <w:rPr>
          <w:rtl w:val="true"/>
        </w:rPr>
        <w:t>موجز عوامل العجز عن الوصول إلی ظهور النص الدینی</w:t>
      </w:r>
      <w:bookmarkEnd w:id="6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ویتلخّص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حجّة، إلاّ أنّ الطریق للوصول إلیه انسدّ علینا، للملاحظات الأربعة التی أشیر إلیها والتی یمکن تلخیصها</w:t>
      </w:r>
      <w:r>
        <w:rPr>
          <w:rFonts w:eastAsia="IRNazanin" w:cs="IRNazanin"/>
          <w:color w:val="111111"/>
          <w:sz w:val="28"/>
          <w:szCs w:val="28"/>
          <w:rtl w:val="true"/>
          <w:lang w:bidi="fa-IR"/>
        </w:rPr>
        <w:t>:</w:t>
      </w:r>
      <w:bookmarkStart w:id="668" w:name="pg16983_380968"/>
    </w:p>
    <w:p>
      <w:pPr>
        <w:pStyle w:val="BookText"/>
        <w:rPr/>
      </w:pPr>
      <w:bookmarkEnd w:id="668"/>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التفسیر فی الفهم اللغوی للسامع المانع من الوصول إلی ظهور النص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عدم الوصول إلی عین متن النص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الإختلاف المعبّرة عن أنها أفهام ولیست متن القانون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السوانح والطوارئ التی اعتورت النص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تنبئ عن العجز عن الوصول إلی الظهور ومراد الشارع الواقعی، وأنّ الحجّة بتوسط الإنسداد هی أفهامنا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الظنون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معبَّدون بالشریعة من وراء حجاب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هذا فی المسائل النظریة الظنیة لا الضروریة</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669" w:name="__RefHeading___Toc3300096_1468164448"/>
      <w:bookmarkStart w:id="670" w:name="_Toc269"/>
      <w:bookmarkEnd w:id="669"/>
      <w:r>
        <w:rPr>
          <w:rtl w:val="true"/>
        </w:rPr>
        <w:t>ملاحظات علی حجّیة الظهور</w:t>
      </w:r>
      <w:bookmarkEnd w:id="670"/>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المفکّرین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إسلامیین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أثاروا الملاحظات التی سجّلها المیرزا القمی علی الظهور أو ما یقرب منها وبشکل معمّق، ومن ثمّ وجدنا الأنسب وقبل الإجابة علی ملاحظات المیرزا القمی عرض کلمات هؤلاء ومؤاخذاتهم، ثمّ الإجابة عنها دفعة واحدة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1" w:name="__RefHeading___Toc3300098_1468164448"/>
      <w:bookmarkStart w:id="672" w:name="_Toc270"/>
      <w:bookmarkEnd w:id="671"/>
      <w:r>
        <w:rPr>
          <w:rtl w:val="true"/>
        </w:rPr>
        <w:t>تأثیر البیئة علی فهم النص</w:t>
      </w:r>
      <w:bookmarkStart w:id="673" w:name="pg16983_380970"/>
      <w:bookmarkEnd w:id="672"/>
    </w:p>
    <w:p>
      <w:pPr>
        <w:pStyle w:val="BookText"/>
        <w:rPr/>
      </w:pPr>
      <w:bookmarkEnd w:id="673"/>
      <w:r>
        <w:rPr>
          <w:rFonts w:ascii="IRNazanin" w:hAnsi="IRNazanin" w:eastAsia="IRNazanin"/>
          <w:color w:val="111111"/>
          <w:sz w:val="28"/>
          <w:sz w:val="28"/>
          <w:szCs w:val="28"/>
          <w:rtl w:val="true"/>
          <w:lang w:bidi="fa-IR"/>
        </w:rPr>
        <w:t>المؤاخذة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سجّلها المحدّثون بقوة فی البحث الأدبی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عین الملاحظة الأولی للقمی ولکن بصیاغة جدیدة مع تعمیق، مع الإلتفات إلی أنّ بعض الأعلام قد استشکل فی جریان أصالة عدم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لقناعته بوجاهة هذه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هذه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عوامل عدیدة جداً توجب نحت المعنی وتغییر معانی أصل اللسان الواحد بالزیادة والنقیصة، بل ربما تأتی علی جذر المعنی وتستبدله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وخلفیة هذه العوامل هی الرسوبات الإجتماعیة والحضارات المتعددة التی تتناوب علی اللغة الواحدة، فالمجتمع الذی تطغی علیه حماسة الحرب تتأثر بها لغة ذلک المجتمع، فتنصرف إلی معانی تتناسب وثقافة الحرب، والخلق الذی یسود بیئة تتداعی المعانی المناسبة له من لغة أهل تلک البیئة، وهکذا کلّ الظروف السیاسیة والإجتماعیة والثقافیة والصحیة کلّها تلقی بظلالها علی اللغة فتنصرف إلی ما یناسب الجوّ العام لأهل تلک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المشکلة تعقیداً أنّ الإنسان إذا استعمل اللفظ فی مصداق المعنی الکلّی، یتداعی ذلک المصداق بعدئذ، وقد ینتقل إلی مصداق آخر ومنه إلی معنی کلّی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مثل هذا الکمّ الهائل من الظروف المتنوعة المتغیرة وبشکل سریع التی مرّ بها المجتمع الإسلامی تتبدل اللغة حتماً من معنی إلی آخر، ومن ثمّ یشکل مانعاً من قراءة النص الدینی علی ما هو علیه، وسیکون کلّ تفسیر وقراءة لیس سوی فهم یتناسب مع جوّ القارئ المحیط به لیس أکثر، ومن هنا لا یمکن جریان أصالة عدم النقل لإثبات أنّ ما وصلنا إلیه هو ما فهمه المعاصرون للنص، وهو المراد الواقعی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ویعزّز ما ذکرنا ما یلحظ من اختلاف فهم الترکیب الواحد من بلد إلی آخر المعبّر عن تأثیر البیئة فی فهم اللفظ</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4" w:name="__RefHeading___Toc3300100_1468164448"/>
      <w:bookmarkStart w:id="675" w:name="_Toc271"/>
      <w:bookmarkEnd w:id="674"/>
      <w:r>
        <w:rPr>
          <w:rtl w:val="true"/>
        </w:rPr>
        <w:t>تأثیر الجوّ الذهنی علی فهم النص</w:t>
      </w:r>
      <w:bookmarkStart w:id="676" w:name="pg16983_380972"/>
      <w:bookmarkEnd w:id="675"/>
    </w:p>
    <w:p>
      <w:pPr>
        <w:pStyle w:val="BookText"/>
        <w:rPr/>
      </w:pPr>
      <w:bookmarkEnd w:id="676"/>
      <w:r>
        <w:rPr>
          <w:rFonts w:ascii="IRNazanin" w:hAnsi="IRNazanin" w:eastAsia="IRNazanin"/>
          <w:color w:val="111111"/>
          <w:sz w:val="28"/>
          <w:sz w:val="28"/>
          <w:szCs w:val="28"/>
          <w:rtl w:val="true"/>
          <w:lang w:bidi="fa-IR"/>
        </w:rPr>
        <w:t>المؤاخذة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یدرّس نصّاً دینیاً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ادّعی من تجرید نفسه والموضوعیة فی تطبیق المعاییر العلمیة، إلاّ أنه مع ذلک لا یأتی إلی النص إلاّ مع جوّه الذهنی الخاص المؤثّر علی استظهاره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قنوات ذهنیة مشترکة إلی معنی النص، وإنما دوماً یتلوّن الفهم بلون القناة، ودوماً إلی جنب موضوعیته مهما کانت بُعد ذاتی، وبالتالی لیس هناک ظهور موضوعی خالص، وإنما دوماً مشوب بالذاتیة الشخصیة</w:t>
      </w:r>
      <w:r>
        <w:rPr>
          <w:rFonts w:eastAsia="IRNazanin" w:cs="IRNazanin"/>
          <w:color w:val="111111"/>
          <w:sz w:val="28"/>
          <w:szCs w:val="28"/>
          <w:rtl w:val="true"/>
          <w:lang w:bidi="fa-IR"/>
        </w:rPr>
        <w:t>.</w:t>
      </w:r>
    </w:p>
    <w:p>
      <w:pPr>
        <w:pStyle w:val="Heading6"/>
        <w:numPr>
          <w:ilvl w:val="5"/>
          <w:numId w:val="1"/>
        </w:numPr>
        <w:rPr/>
      </w:pPr>
      <w:bookmarkStart w:id="677" w:name="__RefHeading___Toc3300102_1468164448"/>
      <w:bookmarkStart w:id="678" w:name="_Toc272"/>
      <w:bookmarkEnd w:id="677"/>
      <w:r>
        <w:rPr>
          <w:rtl w:val="true"/>
        </w:rPr>
        <w:t>تأثیر العلوم علی فهم النص</w:t>
      </w:r>
      <w:bookmarkEnd w:id="678"/>
    </w:p>
    <w:p>
      <w:pPr>
        <w:pStyle w:val="BookText"/>
        <w:rPr/>
      </w:pPr>
      <w:r>
        <w:rPr>
          <w:rFonts w:ascii="IRNazanin" w:hAnsi="IRNazanin" w:eastAsia="IRNazanin"/>
          <w:color w:val="111111"/>
          <w:sz w:val="28"/>
          <w:sz w:val="28"/>
          <w:szCs w:val="28"/>
          <w:rtl w:val="true"/>
          <w:lang w:bidi="fa-IR"/>
        </w:rPr>
        <w:t>المؤاخذة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مسلّمات کیفیة قراءة النص والإستنباط مراعاة القرینة العقلیة والمسلّمة القطعیة، بمعنی أنه یؤقلم ظهور النص معه، والمعرفة فی العلوم التجریبیة تؤثر فی صیاغة القرینة العقلیة، وکلّما تبدّلت هذه المعرفة وتطوّرت، تغیّرت المسلّمات القطعیة فی العلوم العقلیة فضلاً عن النقلیة، فمثلاً هناک بعض النظریات الجدیدة فی الذرة لازمها أنّ أبعاد الجسم عشرة لا أربعة کما هی علیه الآن، ویتنبأ الباحثون أنّ العلوم علی مدی خمسین سنة ستتغیر بشکل هائل علی فرض صحة هذه الفرضیة</w:t>
      </w:r>
      <w:r>
        <w:rPr>
          <w:rFonts w:eastAsia="IRNazanin" w:cs="IRNazanin"/>
          <w:color w:val="111111"/>
          <w:sz w:val="28"/>
          <w:szCs w:val="28"/>
          <w:rtl w:val="true"/>
          <w:lang w:bidi="fa-IR"/>
        </w:rPr>
        <w:t>.</w:t>
      </w:r>
    </w:p>
    <w:p>
      <w:pPr>
        <w:pStyle w:val="Heading6"/>
        <w:numPr>
          <w:ilvl w:val="5"/>
          <w:numId w:val="1"/>
        </w:numPr>
        <w:rPr/>
      </w:pPr>
      <w:bookmarkStart w:id="679" w:name="__RefHeading___Toc3300104_1468164448"/>
      <w:bookmarkStart w:id="680" w:name="_Toc273"/>
      <w:bookmarkEnd w:id="679"/>
      <w:r>
        <w:rPr>
          <w:rtl w:val="true"/>
        </w:rPr>
        <w:t>تأثیر معرفة الموضوع علی فهم النص</w:t>
      </w:r>
      <w:bookmarkEnd w:id="680"/>
    </w:p>
    <w:p>
      <w:pPr>
        <w:pStyle w:val="BookText"/>
        <w:rPr/>
      </w:pPr>
      <w:r>
        <w:rPr>
          <w:rFonts w:ascii="IRNazanin" w:hAnsi="IRNazanin" w:eastAsia="IRNazanin"/>
          <w:color w:val="111111"/>
          <w:sz w:val="28"/>
          <w:sz w:val="28"/>
          <w:szCs w:val="28"/>
          <w:rtl w:val="true"/>
          <w:lang w:bidi="fa-IR"/>
        </w:rPr>
        <w:t>ویضاف إلی هذا الإشکال إشکال مسانخ له هو أنّ موضوعات الحکم الشرعی تکوینیة وتندرج تحت علوم متعددة، ومن البدیهی أنّ ضبط الموضوع وفهمه بشکل دقیق یؤثّر علی فهم الحکم من النص واستظهاره من الدلیل فضلاً عن فهم نفس الموضوع ومراد المعصوم منه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وطبیعی أنّ العلوم التجریبیة متحرکة متکاملة، وبالتالی ففهم الموضوعات سیتغیر مما یؤثّر علی فهم النص بموجب أنّ النص محکوم بالقرائن العقلیة المحیطة به</w:t>
      </w:r>
      <w:r>
        <w:rPr>
          <w:rFonts w:eastAsia="IRNazanin" w:cs="IRNazanin"/>
          <w:color w:val="111111"/>
          <w:sz w:val="28"/>
          <w:szCs w:val="28"/>
          <w:rtl w:val="true"/>
          <w:lang w:bidi="fa-IR"/>
        </w:rPr>
        <w:t>.</w:t>
      </w:r>
      <w:bookmarkStart w:id="681" w:name="pg16983_380974"/>
    </w:p>
    <w:p>
      <w:pPr>
        <w:pStyle w:val="Heading6"/>
        <w:numPr>
          <w:ilvl w:val="5"/>
          <w:numId w:val="1"/>
        </w:numPr>
        <w:rPr/>
      </w:pPr>
      <w:bookmarkStart w:id="682" w:name="__RefHeading___Toc3300106_1468164448"/>
      <w:bookmarkStart w:id="683" w:name="_Toc274"/>
      <w:bookmarkEnd w:id="681"/>
      <w:bookmarkEnd w:id="682"/>
      <w:r>
        <w:rPr>
          <w:rtl w:val="true"/>
        </w:rPr>
        <w:t>تأثیر اختلاف الآراء فی فهم النص</w:t>
      </w:r>
      <w:bookmarkEnd w:id="683"/>
    </w:p>
    <w:p>
      <w:pPr>
        <w:pStyle w:val="BookText"/>
        <w:rPr/>
      </w:pPr>
      <w:r>
        <w:rPr>
          <w:rFonts w:ascii="IRNazanin" w:hAnsi="IRNazanin" w:eastAsia="IRNazanin"/>
          <w:color w:val="111111"/>
          <w:sz w:val="28"/>
          <w:sz w:val="28"/>
          <w:szCs w:val="28"/>
          <w:rtl w:val="true"/>
          <w:lang w:bidi="fa-IR"/>
        </w:rPr>
        <w:t>المؤاخذة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الظواهر البارزة فی العلوم الدینیة ظاهرة الإختلاف ابتداءً بعلوم العقیدة من الکلام والفلسفة والعرفان ومروراً بالتفسیر والأخلاق والحدیث وانتهاء بعلوم الفقه من أصول وفقه ودرایة ورجال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الإختلافات تبدأ من الإختلاف المنهجی وتنتهی بأدق التفاصیل، فیلاحظ مثلاً أنّ موسوعة البحار محاولة تفسیریة لکلام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المعارف الدینیة بمنهج کلامی، فی حین تجد أنّ الأحسائی یشرح معارف المعصوم بلغة عرفانیة، ویأتی ثالث ویتناولها بلغة فلسفیة کملاّ صدرا فی أسفاره وشرح أصول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یقف الإختلاف حتی وصل إلی ساحة مسألة الحکومة الإسلامیة فی عصر الغیبة، فاختلف فیها بین رافض بالکلّیة وبین من یراها ضرورة، کما اختلف فی صیغتها وتفاصیلها</w:t>
      </w:r>
      <w:r>
        <w:rPr>
          <w:rFonts w:eastAsia="IRNazanin" w:cs="IRNazanin"/>
          <w:color w:val="111111"/>
          <w:sz w:val="28"/>
          <w:szCs w:val="28"/>
          <w:rtl w:val="true"/>
          <w:lang w:bidi="fa-IR"/>
        </w:rPr>
        <w:t>.</w:t>
      </w:r>
    </w:p>
    <w:p>
      <w:pPr>
        <w:pStyle w:val="Heading6"/>
        <w:numPr>
          <w:ilvl w:val="5"/>
          <w:numId w:val="1"/>
        </w:numPr>
        <w:rPr/>
      </w:pPr>
      <w:bookmarkStart w:id="684" w:name="__RefHeading___Toc3300108_1468164448"/>
      <w:bookmarkStart w:id="685" w:name="_Toc275"/>
      <w:bookmarkEnd w:id="684"/>
      <w:r>
        <w:rPr>
          <w:rtl w:val="true"/>
        </w:rPr>
        <w:t>تفسیر ظاهرة الإختلاف</w:t>
      </w:r>
      <w:bookmarkEnd w:id="685"/>
    </w:p>
    <w:p>
      <w:pPr>
        <w:pStyle w:val="BookText"/>
        <w:rPr/>
      </w:pPr>
      <w:r>
        <w:rPr>
          <w:rFonts w:ascii="IRNazanin" w:hAnsi="IRNazanin" w:eastAsia="IRNazanin"/>
          <w:color w:val="111111"/>
          <w:sz w:val="28"/>
          <w:sz w:val="28"/>
          <w:szCs w:val="28"/>
          <w:rtl w:val="true"/>
          <w:lang w:bidi="fa-IR"/>
        </w:rPr>
        <w:t>وفی الحقیقة أنّ هذه الظاهرة مشهورة من القدیم إلی یومنا هذا، ولا یختلف علیها اثنان، ومن ثمّ لا تحتاج إلی مزید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فالإختلاف هو الذی أوصل الإنسان إلی السفسطة والإلحاد، أو أرسله إلی الغلو أو إلی التوحید بمراتبه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یخلو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الآراء المختلفة فی القضیة الواحدة حقاً فیلزم أن تکون الشریعة متعدّدة ولا معنی للتخطئة حینئذ، وإمّا أن یکون واحد منها حقاً والباقی خطأً فالأفهام تیه وضیاع، وإمّا أن تکون معبّرة عن حالة تکاملیة متطورة وأنّ کلّ رأی لا یعنی أنه آخر أفق الواقع، وإنما هو اکتشاف لجزء من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یکمله ویطوّره الرأی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قداسة لرأی ولا مبرّر لإلغاء الآخرین وحذفهم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إمکان الجمع بین المختلفات لا یدلّ علی تقاطعها سلباً، حیث یمکن للعلم أن یتطوّر فیجمع ویلائم بینها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والإحتمال الأخیر هو الحق؛ لأنّ التناقض ینشأ من نظر المتابع</w:t>
      </w:r>
      <w:bookmarkStart w:id="686" w:name="pg16983_380977"/>
    </w:p>
    <w:p>
      <w:pPr>
        <w:pStyle w:val="BookText"/>
        <w:rPr/>
      </w:pPr>
      <w:bookmarkEnd w:id="686"/>
      <w:r>
        <w:rPr>
          <w:rFonts w:ascii="IRNazanin" w:hAnsi="IRNazanin" w:eastAsia="IRNazanin"/>
          <w:color w:val="111111"/>
          <w:sz w:val="28"/>
          <w:sz w:val="28"/>
          <w:szCs w:val="28"/>
          <w:rtl w:val="true"/>
          <w:lang w:bidi="fa-IR"/>
        </w:rPr>
        <w:t>للإختلاف بین الآراء وأنها متباینة، فی حین أنه قد لا یکون هناک تباین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فالتقابل فی العدم والملکة والضدین والمتضایفین وإن کان یرجع لباً إلی تقابل التناقض، إلاّ أنّ لمس التناقض یکون من خلال لمس التقابلات الأُخری، فَمَن لمس التنافر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التلازم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لزم اجتماع النقیضین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وعدمه، ولکن لا یمکن الجزم بالتنافر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کلاًّ منهما یحکی جزء الواقع</w:t>
      </w:r>
      <w:r>
        <w:rPr>
          <w:rFonts w:eastAsia="IRNazanin" w:cs="IRNazanin"/>
          <w:color w:val="111111"/>
          <w:sz w:val="28"/>
          <w:szCs w:val="28"/>
          <w:rtl w:val="true"/>
          <w:lang w:bidi="fa-IR"/>
        </w:rPr>
        <w:t>.</w:t>
      </w:r>
    </w:p>
    <w:p>
      <w:pPr>
        <w:pStyle w:val="Heading6"/>
        <w:numPr>
          <w:ilvl w:val="5"/>
          <w:numId w:val="1"/>
        </w:numPr>
        <w:rPr/>
      </w:pPr>
      <w:bookmarkStart w:id="687" w:name="__RefHeading___Toc3300110_1468164448"/>
      <w:bookmarkStart w:id="688" w:name="_Toc276"/>
      <w:bookmarkEnd w:id="687"/>
      <w:r>
        <w:rPr>
          <w:rtl w:val="true"/>
        </w:rPr>
        <w:t>تأثیر العلوم فی المعرفة الدینیة</w:t>
      </w:r>
      <w:bookmarkEnd w:id="688"/>
    </w:p>
    <w:p>
      <w:pPr>
        <w:pStyle w:val="BookText"/>
        <w:rPr/>
      </w:pPr>
      <w:r>
        <w:rPr>
          <w:rFonts w:ascii="IRNazanin" w:hAnsi="IRNazanin" w:eastAsia="IRNazanin"/>
          <w:color w:val="111111"/>
          <w:sz w:val="28"/>
          <w:sz w:val="28"/>
          <w:szCs w:val="28"/>
          <w:rtl w:val="true"/>
          <w:lang w:bidi="fa-IR"/>
        </w:rPr>
        <w:t>المؤاخذة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المسلّمات عند الجمیع أنّ العلوم متکافلة یخدم بعضها بعضاً، وهو مشهور لکلّ من مارس البحث فی علم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والفهم البشری للطبیعة والکون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شتی أبعاده وجوانبه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تطوّر دائم وبشکل سریع وملحوظ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یمکن دعوی ثبات العلوم العقلیة فضلاً عن ثبات فهم النص الدینی، وإنما لابدّ أن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وبصیاغة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تنسجم مع ما تقدّم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فی کلّ أبعاده المعرفیة والقانونیة نسخة أخری عن الکون، فالفروع نسخة أخری عن حقائق الأفعال وملاکاتها التکوینیة، والمعارف نسخة عن حقائق الکون، ومن هنا کان الدین معرفة کونیة، وکان القرآن ذا وجودات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ولفظی وذهنی وعینی، ووجوده العینی هو الکون، و وجوده الکتبی یحکی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کلّما ازدادت معرفتنا الکونیة بتوسط العلوم التجریبیة الإنسانیة والعقلیة، أثّر ذلک علی المعرفة الدینیة لأنهما وجهتان لشیء واحد، فتغیُّرُ أحدها یؤثّر علی الآخر لا محالة؛ ومثله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ذا العقل الفلسفی الدینی تنعکس خبرته هذه علی نتائج تجاربه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89" w:name="__RefHeading___Toc3300112_1468164448"/>
      <w:bookmarkStart w:id="690" w:name="_Toc277"/>
      <w:bookmarkEnd w:id="689"/>
      <w:r>
        <w:rPr>
          <w:rtl w:val="true"/>
        </w:rPr>
        <w:t>لا رأی یمثّل الحقیقة</w:t>
      </w:r>
      <w:bookmarkStart w:id="691" w:name="pg16983_380979"/>
      <w:bookmarkEnd w:id="690"/>
    </w:p>
    <w:p>
      <w:pPr>
        <w:pStyle w:val="BookText"/>
        <w:rPr/>
      </w:pPr>
      <w:bookmarkEnd w:id="691"/>
      <w:r>
        <w:rPr>
          <w:rFonts w:ascii="IRNazanin" w:hAnsi="IRNazanin" w:eastAsia="IRNazanin"/>
          <w:color w:val="111111"/>
          <w:sz w:val="28"/>
          <w:sz w:val="28"/>
          <w:szCs w:val="28"/>
          <w:rtl w:val="true"/>
          <w:lang w:bidi="fa-IR"/>
        </w:rPr>
        <w:t>المؤاخذة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أسباب تولّد الضروریات والمتواترات أن یصوغ مفکّرٌ نظریةً ذاتَ أسس ضعیفة، ولکنّه لقوة شخصیته وهیمنته توحی لمعاصریه بمتابعته بل والدفاع عنه أحیاناً، وتأتی الطبقة الثانیة وتذعن إجلالاً وإکباراً من دون أن تتعمق فی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فی النظریة رسوخاً وانتشاراً أنّ العامة فی کلّ طبقة تتبع علماءها، وهکذا حتی تأخذ هذه النظریة طابع المسلّمات وتتجذّر فی النفوس خاصة فی الطبقات اللاحقة وبعد مرور عشرات السنین فضلاً عن المئات منها، حتی تصل الحالة إلی حدّ لا یلتفت إلیها أحد تفصیلاً، وإنما یتم التعامل معها ارتکازاً، ولو التفت أحد وأخذ یفکّر فإنه یواجه کونها مسلّمة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کیف یمکن الحکم بأنّ کلّ الضروریات صائبة؟ وکیف یمکن قبول مسلّمات وهی فی بدء وجودها خاطئة؟</w:t>
      </w:r>
    </w:p>
    <w:p>
      <w:pPr>
        <w:pStyle w:val="BookText"/>
        <w:rPr/>
      </w:pPr>
      <w:r>
        <w:rPr>
          <w:rFonts w:ascii="IRNazanin" w:hAnsi="IRNazanin" w:eastAsia="IRNazanin"/>
          <w:color w:val="111111"/>
          <w:sz w:val="28"/>
          <w:sz w:val="28"/>
          <w:szCs w:val="28"/>
          <w:rtl w:val="true"/>
          <w:lang w:bidi="fa-IR"/>
        </w:rPr>
        <w:t>من کلّ ما تقدّم 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رأی یمثّل الحقیقة علی إطلاقها، وأن لا ثبات فی الفهم البشری، وبالتالی لا قداسة لرأی، ولا خطوط حمراء یحظر تجاوزها، وإنما کلّ شیء یمکن نقده وإعادة التفکیر به وتطویره وتجدیده</w:t>
      </w:r>
      <w:r>
        <w:rPr>
          <w:rFonts w:eastAsia="IRNazanin" w:cs="IRNazanin"/>
          <w:color w:val="111111"/>
          <w:sz w:val="28"/>
          <w:szCs w:val="28"/>
          <w:rtl w:val="true"/>
          <w:lang w:bidi="fa-IR"/>
        </w:rPr>
        <w:t>.</w:t>
      </w:r>
    </w:p>
    <w:p>
      <w:pPr>
        <w:pStyle w:val="Heading6"/>
        <w:numPr>
          <w:ilvl w:val="5"/>
          <w:numId w:val="1"/>
        </w:numPr>
        <w:rPr/>
      </w:pPr>
      <w:bookmarkStart w:id="692" w:name="__RefHeading___Toc3300114_1468164448"/>
      <w:bookmarkStart w:id="693" w:name="_Toc278"/>
      <w:bookmarkEnd w:id="692"/>
      <w:r>
        <w:rPr>
          <w:rtl w:val="true"/>
        </w:rPr>
        <w:t>نتائج تلک المؤاخذات</w:t>
      </w:r>
      <w:bookmarkEnd w:id="693"/>
    </w:p>
    <w:p>
      <w:pPr>
        <w:pStyle w:val="BookText"/>
        <w:rPr/>
      </w:pPr>
      <w:r>
        <w:rPr>
          <w:rFonts w:ascii="IRNazanin" w:hAnsi="IRNazanin" w:eastAsia="IRNazanin"/>
          <w:color w:val="111111"/>
          <w:sz w:val="28"/>
          <w:sz w:val="28"/>
          <w:szCs w:val="28"/>
          <w:rtl w:val="true"/>
          <w:lang w:bidi="fa-IR"/>
        </w:rPr>
        <w:t>وفی الختام أنّ النتائج التی یَتَوَخّونها من هذه المؤاخذات یمکن تلخیصها 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حذف فکرة التخطئة والتناقض والتدافع من قاموس الفکر البشری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توصل إلیه الإنسان متغیّر، ولا معنی للثبات بعد أن کان قابلاً للتغییر زیادة ونقیصة، بل التخطئة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لابدّ أن لا یحصل یقین وإذعان و إخبات وإنما کلّ ما هو منهجی هو إبداء احتمالات وتصورات، ولا یخفی أنّ هذا نوع من السفسطة وإن نفوا عن أنفسهم ذلک</w:t>
      </w:r>
      <w:r>
        <w:rPr>
          <w:rFonts w:eastAsia="IRNazanin" w:cs="IRNazanin"/>
          <w:color w:val="111111"/>
          <w:sz w:val="28"/>
          <w:szCs w:val="28"/>
          <w:rtl w:val="true"/>
          <w:lang w:bidi="fa-IR"/>
        </w:rPr>
        <w:t>.</w:t>
      </w:r>
      <w:bookmarkStart w:id="694" w:name="pg16983_380981"/>
    </w:p>
    <w:p>
      <w:pPr>
        <w:pStyle w:val="BookText"/>
        <w:rPr/>
      </w:pPr>
      <w:bookmarkEnd w:id="694"/>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دوام النقد والفحص والتنقیب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لولا أنهم جعلوه نتیجة للأمر الثانی، وأنه مع الجزم لا یبقی مجال للسؤال ولتحجّر الإنسان، ویعمّ ذلک حتی الضروریات العلمیة والدینیة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اعتماد الفهم الدینی إلاّ بعد الإحاطة بالعلوم المعاصرة، وإلاّ کان فهماً متخلفاً، وهم یعتبرون هذا المحورَ مغزی فکرتهم</w:t>
      </w:r>
      <w:r>
        <w:rPr>
          <w:rFonts w:eastAsia="IRNazanin" w:cs="IRNazanin"/>
          <w:color w:val="111111"/>
          <w:sz w:val="28"/>
          <w:szCs w:val="28"/>
          <w:rtl w:val="true"/>
          <w:lang w:bidi="fa-IR"/>
        </w:rPr>
        <w:t>.</w:t>
      </w:r>
    </w:p>
    <w:p>
      <w:pPr>
        <w:pStyle w:val="Heading6"/>
        <w:numPr>
          <w:ilvl w:val="5"/>
          <w:numId w:val="1"/>
        </w:numPr>
        <w:rPr/>
      </w:pPr>
      <w:bookmarkStart w:id="695" w:name="__RefHeading___Toc3300116_1468164448"/>
      <w:bookmarkStart w:id="696" w:name="_Toc279"/>
      <w:bookmarkEnd w:id="695"/>
      <w:r>
        <w:rPr>
          <w:rtl w:val="true"/>
        </w:rPr>
        <w:t>تهیئة للجواب عن الملاحظات</w:t>
      </w:r>
      <w:bookmarkEnd w:id="696"/>
    </w:p>
    <w:p>
      <w:pPr>
        <w:pStyle w:val="BookText"/>
        <w:rPr/>
      </w:pPr>
      <w:r>
        <w:rPr>
          <w:rFonts w:ascii="IRNazanin" w:hAnsi="IRNazanin" w:eastAsia="IRNazanin"/>
          <w:color w:val="111111"/>
          <w:sz w:val="28"/>
          <w:sz w:val="28"/>
          <w:szCs w:val="28"/>
          <w:rtl w:val="true"/>
          <w:lang w:bidi="fa-IR"/>
        </w:rPr>
        <w:t>ومقدّمة له نلفت النظر إلی مجموعة من الأمور المنهجیة فی کیفیة التعاطی مع هذه الإشکالات وأجوبتها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الإنسانیة ذات جنبتین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إدراکیة وعملیة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أساسهما تنقسم صفاتها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وقابلیات النفوس فی کلتا الجنبتین مختلفة؛ فقد تکون قابلیة النظریة واسعة دون العملیة، وقد یکون العکس، وقد تکون ضعیفة فی الجنبتین، وقد یکون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ومعالجة الإنسان للمسائل النظریة غالباً مّا تتأثر بأمراض الإدراک وبالجانب العملی، ومن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سلامة الموازین وسلامة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 فی تأمین سلامة معالجاته إلی الصحة النفسیة والموازنة بین الصفات وعدم إفراط بعضها وضمور الآخر، وإلاّ فقد یدخل الإنسان فی متاهات الإشکالات وأجوبتها، ویصاب بمرض الشک وعدم الجزم والإستقرار حتی علی ما هو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التفتت النصوص إلی مساوئ الجدال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حتی ما کان 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هناک مُکنة علمیة وعملیة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أنّ مجموعة من المفکّرین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سمحوا لأنفسهم نقد المعرفة الدینیة وتحلیل النص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من ذوی الإختصاص فی هذا الجانب، أو أنهم مختصون فی شعبة إلاّ أنهم توسّعوا فی دراساتهم لکلّ الشعب، فتجد البعض یتناول الخلاف الأخباری الأصولی من زاویته العلمیة، فیحلّله ویدرس خلفیته ویحکم لصالح أحد الطرفین، أو یحاول التوفیق بینهما، أو</w:t>
      </w:r>
      <w:bookmarkStart w:id="697" w:name="pg16983_380983"/>
    </w:p>
    <w:p>
      <w:pPr>
        <w:pStyle w:val="BookText"/>
        <w:rPr/>
      </w:pPr>
      <w:bookmarkEnd w:id="697"/>
      <w:r>
        <w:rPr>
          <w:rFonts w:ascii="IRNazanin" w:hAnsi="IRNazanin" w:eastAsia="IRNazanin"/>
          <w:color w:val="111111"/>
          <w:sz w:val="28"/>
          <w:sz w:val="28"/>
          <w:szCs w:val="28"/>
          <w:rtl w:val="true"/>
          <w:lang w:bidi="fa-IR"/>
        </w:rPr>
        <w:t>ینقدهما معاً من دون أن یکون مختصاً بعلم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یَجْرِ جُهد بشری مثل ما جری حول اللغة العربیة، فهی التی کانت فی الهجرة من حیث الممارسة الإرتکازیة فی أوج قمّتها الأدبیة، ومن ذلک الحین وعلی مدی أربعة عشر قرناً تظافرت الجهود العلمیة الأدبیة فی تحلیل هذه اللغة ودراستها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الدینی الإسلامی کان محور دراسة مجموعة من العلوم من تفسیر وفقه وکلام وشرح الحدیث و غیر ذلک، وهذا لا نجده فی نص دینی آخر کالتوراة والإنجیل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ومواد الفلسفة مجموعة من مسائل الأدب وأصول الفقه وعلم النقد الأدبی، ولیست هی علماً فی قبال هذه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بوناً شاسعاً من حیث الکیف والعمق والدقة بین أصول فقه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یعتمد فی الحوزات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أصول فقه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القانون الفرنسی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مجموعة من طلبتنا الذین مزجوا بین الدراسة الحوزویة والجامعیة، کما لمسنا ذلک شخصیاً فی بعض المواد المطروحة فی أصول فقه القانون؛ حیث وجدنا أنها أقلّ من ابتدائیات کتب الحوزة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ذلک هو تراکم الجهود فی حوزاتنا بشکل مکثَّف ومن تأریخ بعید الذی خرّج نوابغ فی مجال القراءة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الحارس لفهم الدین، وقد سبق منّا فی بحث القطع توضیح هذه المقولة والتدلیل علیها</w:t>
      </w:r>
      <w:r>
        <w:rPr>
          <w:rFonts w:eastAsia="IRNazanin" w:cs="IRNazanin"/>
          <w:color w:val="111111"/>
          <w:sz w:val="28"/>
          <w:szCs w:val="28"/>
          <w:rtl w:val="true"/>
          <w:lang w:bidi="fa-IR"/>
        </w:rPr>
        <w:t>.</w:t>
      </w:r>
    </w:p>
    <w:p>
      <w:pPr>
        <w:pStyle w:val="Heading6"/>
        <w:numPr>
          <w:ilvl w:val="5"/>
          <w:numId w:val="1"/>
        </w:numPr>
        <w:rPr/>
      </w:pPr>
      <w:bookmarkStart w:id="698" w:name="__RefHeading___Toc3300118_1468164448"/>
      <w:bookmarkStart w:id="699" w:name="_Toc280"/>
      <w:bookmarkEnd w:id="698"/>
      <w:r>
        <w:rPr>
          <w:rtl w:val="true"/>
        </w:rPr>
        <w:t>عرض الأجوبة</w:t>
      </w:r>
      <w:bookmarkEnd w:id="699"/>
    </w:p>
    <w:p>
      <w:pPr>
        <w:pStyle w:val="BookText"/>
        <w:rPr/>
      </w:pPr>
      <w:r>
        <w:rPr>
          <w:rFonts w:ascii="IRNazanin" w:hAnsi="IRNazanin" w:eastAsia="IRNazanin"/>
          <w:color w:val="111111"/>
          <w:sz w:val="28"/>
          <w:sz w:val="28"/>
          <w:szCs w:val="28"/>
          <w:rtl w:val="true"/>
          <w:lang w:bidi="fa-IR"/>
        </w:rPr>
        <w:t>بعد هذه المقدّمة ندخل فی الإجابة عن الإشکالات والمؤاخذات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تناولت النص الدینی والظهور والظن النوعی وحاولت أن</w:t>
      </w:r>
      <w:bookmarkStart w:id="700" w:name="pg16983_380985"/>
    </w:p>
    <w:p>
      <w:pPr>
        <w:pStyle w:val="BookText"/>
        <w:rPr/>
      </w:pPr>
      <w:bookmarkEnd w:id="700"/>
      <w:r>
        <w:rPr>
          <w:rFonts w:ascii="IRNazanin" w:hAnsi="IRNazanin" w:eastAsia="IRNazanin"/>
          <w:color w:val="111111"/>
          <w:sz w:val="28"/>
          <w:sz w:val="28"/>
          <w:szCs w:val="28"/>
          <w:rtl w:val="true"/>
          <w:lang w:bidi="fa-IR"/>
        </w:rPr>
        <w:t>تلخّص المعرفة الدینیة بالفهم الشخصی</w:t>
      </w:r>
      <w:r>
        <w:rPr>
          <w:rFonts w:eastAsia="IRNazanin" w:cs="IRNazanin"/>
          <w:color w:val="111111"/>
          <w:sz w:val="28"/>
          <w:szCs w:val="28"/>
          <w:rtl w:val="true"/>
          <w:lang w:bidi="fa-IR"/>
        </w:rPr>
        <w:t>.</w:t>
      </w:r>
    </w:p>
    <w:p>
      <w:pPr>
        <w:pStyle w:val="Heading6"/>
        <w:numPr>
          <w:ilvl w:val="5"/>
          <w:numId w:val="1"/>
        </w:numPr>
        <w:rPr/>
      </w:pPr>
      <w:bookmarkStart w:id="701" w:name="__RefHeading___Toc3300120_1468164448"/>
      <w:bookmarkStart w:id="702" w:name="_Toc281"/>
      <w:bookmarkEnd w:id="701"/>
      <w:r>
        <w:rPr>
          <w:rtl w:val="true"/>
        </w:rPr>
        <w:t>الجواب الأول</w:t>
      </w:r>
      <w:r>
        <w:rPr>
          <w:rtl w:val="true"/>
        </w:rPr>
        <w:t xml:space="preserve">: </w:t>
      </w:r>
      <w:r>
        <w:rPr>
          <w:rtl w:val="true"/>
        </w:rPr>
        <w:t>معطیات الإختلاف</w:t>
      </w:r>
      <w:bookmarkEnd w:id="702"/>
    </w:p>
    <w:p>
      <w:pPr>
        <w:pStyle w:val="BookText"/>
        <w:rPr/>
      </w:pPr>
      <w:r>
        <w:rPr>
          <w:rFonts w:ascii="IRNazanin" w:hAnsi="IRNazanin" w:eastAsia="IRNazanin"/>
          <w:color w:val="111111"/>
          <w:sz w:val="28"/>
          <w:sz w:val="28"/>
          <w:szCs w:val="28"/>
          <w:rtl w:val="true"/>
          <w:lang w:bidi="fa-IR"/>
        </w:rPr>
        <w:t>إنّ الإختلاف منطقیاً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یحمل فی طیاته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یحمل فی طیاته التناقض، بل هو ظاهرة صحیة لأنه یعنی التطور، ومن البدیهی أنّ النظریة المطوَّرة لیست ناقضة لسابقتها، وإنما تبتنی علیها معمّقة لها وشارحة ومفصّلة، مثل علم الریاضیات من یوم أسّس، والذی یرجع تاریخه إلی ما قبل المسیح وإلی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قفز قفزات نوعیة، إلاّ أنّ ما وصل إلیه الیوم لا یدلّ علی فشل الآراء القدیمة والشطب علیها، کیف وهی الحجر الأساس الذی هداهم إلی ما وصلوا إلیه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وغالب الإختلافات فی العلوم الإسلامیة هی من قبیل المخالفة، فإنّ اللاحق یعدّ تدقیقاً وتعمیقاً وتفریعاً وضرب القاعدة للسابق،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لا ننکر أنّ هناک تجدیداً ونقضاً إلاّ أنه محدود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فالإختلاف أسلوب منطقی تقتضیه طبیعة البحث العلمی فهو لا یعبر عن العلمی ولا الإبتعاد عن الحقیقة، وإنما هو الذی یقرب نحو الحقیقة ویساعد علی اکتشافها أکثر وأکثر ویعمّق المعرفة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منه للإحاطة بکلّ زوایا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المعطیات لا یمکن أن تأتی من الإختلاف التناقضی ویستحیل أن یؤدّی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یأتی من الإختلاف بنحو التخالف، حیث یکون فی کلّ من الطرفین صواب وحقانیة، وإلاّ لما التزم به قائل لو کان بطلاناً محضاً، ومن ثمّ فالإختلاف بینهما لیس فی کلّ شیء</w:t>
      </w:r>
      <w:r>
        <w:rPr>
          <w:rFonts w:eastAsia="IRNazanin" w:cs="IRNazanin"/>
          <w:color w:val="111111"/>
          <w:sz w:val="28"/>
          <w:szCs w:val="28"/>
          <w:rtl w:val="true"/>
          <w:lang w:bidi="fa-IR"/>
        </w:rPr>
        <w:t>.</w:t>
      </w:r>
    </w:p>
    <w:p>
      <w:pPr>
        <w:pStyle w:val="Heading6"/>
        <w:numPr>
          <w:ilvl w:val="5"/>
          <w:numId w:val="1"/>
        </w:numPr>
        <w:rPr/>
      </w:pPr>
      <w:bookmarkStart w:id="703" w:name="__RefHeading___Toc3300122_1468164448"/>
      <w:bookmarkStart w:id="704" w:name="_Toc282"/>
      <w:bookmarkEnd w:id="703"/>
      <w:r>
        <w:rPr>
          <w:rtl w:val="true"/>
        </w:rPr>
        <w:t>الإختلاف عبور عن حدود السذاجة فی إدراک الواقع</w:t>
      </w:r>
      <w:bookmarkEnd w:id="7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ذکرنا مراراً أنّ واحدة من مناهج المعرفة استلال حیثیة الصواب فی کلّ نظریة وتجمیعها کی تصبح نظریة أکثر شمولیة وتعبیراً عن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الخطأ تخطئة نظریة بشکل کامل فی مسألة</w:t>
      </w:r>
      <w:bookmarkStart w:id="705" w:name="pg16983_380987"/>
    </w:p>
    <w:p>
      <w:pPr>
        <w:pStyle w:val="BookText"/>
        <w:rPr/>
      </w:pPr>
      <w:bookmarkEnd w:id="705"/>
      <w:r>
        <w:rPr>
          <w:rFonts w:ascii="IRNazanin" w:hAnsi="IRNazanin" w:eastAsia="IRNazanin"/>
          <w:color w:val="111111"/>
          <w:sz w:val="28"/>
          <w:sz w:val="28"/>
          <w:szCs w:val="28"/>
          <w:rtl w:val="true"/>
          <w:lang w:bidi="fa-IR"/>
        </w:rPr>
        <w:t>من المسائل، وإنما لابدّ من البحث فی کلّ منها عن جهة المطابقة للواقع وفرزها عن الجهات الأُخری التی لم توفّق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الأصولی الأخباری ظاهرة صحیة بعد أن کان کلّ من الإتجاهین یشیر إلی بُعد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فالنزعة الأصولیة لمّا کانت تجریدیة إلی حدّ أوصلت إلی الإنسداد أبعدت أصحابها عن جوّ الروایات مما جاء التشدّد الأخباری فی وقته ومحلّه حیث أعاد المسیرة العلمیة إلی توازنها، ومن جهة أخری کانت فائدة الإتجاه الأصولی من الشیخ المفید و إلی البهبهانی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مرحلة ما قبل إفراطه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قضت علی مساوئ الإتجاه الأخباری من الجمود والتخلیط وعدم الدرایة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نستنطق الروایات نجد أنها تدلّ علی ما ذکرناه وبوضوح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إضربوا بعض الرأی ببعض یتولّد منه الصواب</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وأمثال ذلک من التوصیات المنطقیة التی أهملها المنطق الأرسطی حیث رکّز علی الموازین الإدراکیة وأهمل البحث فی القوی العملیة، مع أنّ لها مدخلیة فی سلامة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الإختلاف نکبة بشریة حیث توقف الإنسان عند حدود السذاجة والبساطة فی إدراک الواقع، والشیء المثالی هو الجمع بین المناهج والآراء، فهو الذی یجنّب الإنسان الإفراط، وبالتالی یفتح له الطریق للإلمام بالواقع أکثر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فمطلق التعدد لا یعبر عن التناقض، بل غالباً ما یکون علامة علی التطور، مع العلم أنّ کلاً من النافی والمثبت یحتاج لتعزیز رأیه إلی الإستقراء، ونحن قد لمسنا ما ندّعیه من خلال ممارستنا فی العلوم الدینیة</w:t>
      </w:r>
      <w:r>
        <w:rPr>
          <w:rFonts w:eastAsia="IRNazanin" w:cs="IRNazanin"/>
          <w:color w:val="111111"/>
          <w:sz w:val="28"/>
          <w:szCs w:val="28"/>
          <w:rtl w:val="true"/>
          <w:lang w:bidi="fa-IR"/>
        </w:rPr>
        <w:t>.</w:t>
      </w:r>
    </w:p>
    <w:p>
      <w:pPr>
        <w:pStyle w:val="Heading6"/>
        <w:numPr>
          <w:ilvl w:val="5"/>
          <w:numId w:val="1"/>
        </w:numPr>
        <w:rPr/>
      </w:pPr>
      <w:bookmarkStart w:id="706" w:name="__RefHeading___Toc3300124_1468164448"/>
      <w:bookmarkStart w:id="707" w:name="_Toc283"/>
      <w:bookmarkEnd w:id="706"/>
      <w:r>
        <w:rPr>
          <w:rtl w:val="true"/>
        </w:rPr>
        <w:t>الجواب الثانی</w:t>
      </w:r>
      <w:r>
        <w:rPr>
          <w:rtl w:val="true"/>
        </w:rPr>
        <w:t xml:space="preserve">: </w:t>
      </w:r>
      <w:r>
        <w:rPr>
          <w:rtl w:val="true"/>
        </w:rPr>
        <w:t>هو النقض</w:t>
      </w:r>
      <w:bookmarkEnd w:id="7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البشریة جمعاء بمختلف لغاتها أن لا تعتمد علی ما تفهمه من</w:t>
      </w:r>
      <w:bookmarkStart w:id="708" w:name="pg16983_380989"/>
    </w:p>
    <w:p>
      <w:pPr>
        <w:pStyle w:val="BookText"/>
        <w:rPr/>
      </w:pPr>
      <w:bookmarkEnd w:id="708"/>
      <w:r>
        <w:rPr>
          <w:rFonts w:ascii="IRNazanin" w:hAnsi="IRNazanin" w:eastAsia="IRNazanin"/>
          <w:color w:val="111111"/>
          <w:sz w:val="28"/>
          <w:sz w:val="28"/>
          <w:szCs w:val="28"/>
          <w:rtl w:val="true"/>
          <w:lang w:bidi="fa-IR"/>
        </w:rPr>
        <w:t xml:space="preserve">تراثها التاریخی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الإشکالات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أنّا نری العکس تماماً، حیث نشهد توجهاً لفک رموز اللغات الحجریة والمسماریة من أجل التوفر علی قراءة الآثار ودراستها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المحاولات وإن کانت غالباً ظنیة إلاّ أننا لم نسمع من أحد أنه ادّعی أنها مضطربة مشوشة لا تعبر عن الواقع شیئاً</w:t>
      </w:r>
      <w:r>
        <w:rPr>
          <w:rFonts w:eastAsia="IRNazanin" w:cs="IRNazanin"/>
          <w:color w:val="111111"/>
          <w:sz w:val="28"/>
          <w:szCs w:val="28"/>
          <w:rtl w:val="true"/>
          <w:lang w:bidi="fa-IR"/>
        </w:rPr>
        <w:t>.</w:t>
      </w:r>
    </w:p>
    <w:p>
      <w:pPr>
        <w:pStyle w:val="Heading6"/>
        <w:numPr>
          <w:ilvl w:val="5"/>
          <w:numId w:val="1"/>
        </w:numPr>
        <w:rPr/>
      </w:pPr>
      <w:bookmarkStart w:id="709" w:name="__RefHeading___Toc3300126_1468164448"/>
      <w:bookmarkStart w:id="710" w:name="_Toc284"/>
      <w:bookmarkEnd w:id="709"/>
      <w:r>
        <w:rPr>
          <w:rtl w:val="true"/>
        </w:rPr>
        <w:t>الجواب الحلّی</w:t>
      </w:r>
      <w:bookmarkEnd w:id="710"/>
    </w:p>
    <w:p>
      <w:pPr>
        <w:pStyle w:val="BookText"/>
        <w:rPr/>
      </w:pPr>
      <w:r>
        <w:rPr>
          <w:rFonts w:ascii="IRNazanin" w:hAnsi="IRNazanin" w:eastAsia="IRNazanin"/>
          <w:color w:val="111111"/>
          <w:sz w:val="28"/>
          <w:sz w:val="28"/>
          <w:szCs w:val="28"/>
          <w:rtl w:val="true"/>
          <w:lang w:bidi="fa-IR"/>
        </w:rPr>
        <w:t>وحلّه أنّ قوالب اللغة وقواعدها موجودة مذ کانت اللغة وما دامت، واللغة مهما تغیّرت تبقی هناک ثوابت لم تتغیر، فقواعد اللغة والنحو والصرف لم تتغیر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نفس المعانی التی هی قوالب ذهنیة للحقائق الخارجیة، فیها ثوابت لم تتغیر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تزداد وتتکاثر مع بقاء السابق علی حاله، فماهیة التراب هی هی حتی بعد اکتشاف أنه لیس عنصراً، بل مرکب من مجموعة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فالألفاظ وموازینها والمعانی وقوالبها هی الجسور لتولید المعانی الجدیدة، ولولاها لما أمکن التطور، مع قبولنا ظاهرة النحت والتغیر والخطأ، إلاّ أنها تبقی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هناک رقابة ورصد ومنهج من قبل الباحثین وبشکل دؤوب لفرزها وتشخیصها، ولیست حالة معدمة مشوشة 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هذا لا یمکن لمثل هذه الإختلافات أن تسلب النتائج قیمتها ووزنها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ما ذکرنا أنّ خبراء الأدب والقانون جمیعاً یقفون بشکل مضاد للإشکالات المذکورة، فی قبال أصحاب الإشکالات الذین هم غالباً لیسوا من ذوی الإختصاص فی علوم قراءة النص</w:t>
      </w:r>
      <w:r>
        <w:rPr>
          <w:rFonts w:eastAsia="IRNazanin" w:cs="IRNazanin"/>
          <w:color w:val="111111"/>
          <w:sz w:val="28"/>
          <w:szCs w:val="28"/>
          <w:rtl w:val="true"/>
          <w:lang w:bidi="fa-IR"/>
        </w:rPr>
        <w:t>.</w:t>
      </w:r>
    </w:p>
    <w:p>
      <w:pPr>
        <w:pStyle w:val="Heading6"/>
        <w:numPr>
          <w:ilvl w:val="5"/>
          <w:numId w:val="1"/>
        </w:numPr>
        <w:rPr/>
      </w:pPr>
      <w:bookmarkStart w:id="711" w:name="__RefHeading___Toc3300128_1468164448"/>
      <w:bookmarkStart w:id="712" w:name="_Toc285"/>
      <w:bookmarkEnd w:id="711"/>
      <w:r>
        <w:rPr>
          <w:rtl w:val="true"/>
        </w:rPr>
        <w:t>الجواب الثالث</w:t>
      </w:r>
      <w:r>
        <w:rPr>
          <w:rtl w:val="true"/>
        </w:rPr>
        <w:t xml:space="preserve">: </w:t>
      </w:r>
      <w:r>
        <w:rPr>
          <w:rtl w:val="true"/>
        </w:rPr>
        <w:t>ظهور بطون القرآن تدریجیاً</w:t>
      </w:r>
      <w:bookmarkEnd w:id="7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حقیقة 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دلّت الروایات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ظهور تأویل القرآن علی صعید التأویل الخارجی العیانی، ویقصد منه مجیء البطون علی منصّة الظهور بحیث یکون ظاهراً للجمیع بعد</w:t>
      </w:r>
      <w:bookmarkStart w:id="713" w:name="pg16983_380991"/>
    </w:p>
    <w:p>
      <w:pPr>
        <w:pStyle w:val="BookText"/>
        <w:rPr/>
      </w:pPr>
      <w:bookmarkEnd w:id="713"/>
      <w:r>
        <w:rPr>
          <w:rFonts w:ascii="IRNazanin" w:hAnsi="IRNazanin" w:eastAsia="IRNazanin"/>
          <w:color w:val="111111"/>
          <w:sz w:val="28"/>
          <w:sz w:val="28"/>
          <w:szCs w:val="28"/>
          <w:rtl w:val="true"/>
          <w:lang w:bidi="fa-IR"/>
        </w:rPr>
        <w:t>أن کان خاصاً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والإعتقاد بالتأویل من أعرق العقائد الإسلامیة عند جمیع الفرق والطوائف، غایته أنّ البعض خصّ التأویل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العقل البشری علی استمرار مسیر المعرفة البشریة ودوامه وأنّ الحقائق لا تقف عند حدٍّ، حتی أنّ بعض الفلاسفة یعتقد أنّ المسیرة لا تنقطع مادام الخالق خالقاً والمخلوق مخلوقاً؛ لأنّ الخالق لا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ألفتنا إلی أنّ القرآن بوجوده الکتبی یوازی الکون فهو صفحة عنه، فکما أنّ المعرفة البشریة الکونیة فی حرکة مستمرة، کذا فی المعرفة القرآنیة و الدینیة، فیظهر تدریجیاً من بطون القرآن ما لم یکن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الشک والتساؤل منهجیاً إذا کان من أجل الوصول إلی نتائج أکبر وإذعانات جدیدة وحقائق لم یتوصل إلیها بعد؛ إذ بدونه یراوح الإنسان فی مکانه عند الحقیقة الناقصة المبتورة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النقد والشک الذی یحدّ من معرفة الإنسان، بل یربک علیه حتی معلوماته القدیمة ویحولها إلی مجموعة تصورات وشکوک فهو غیر منهجی ومرفوض، بل یخالف ما فطر الإنسان علیه من أنّ الشک مقدمة للیقین</w:t>
      </w:r>
      <w:r>
        <w:rPr>
          <w:rFonts w:eastAsia="IRNazanin" w:cs="IRNazanin"/>
          <w:color w:val="111111"/>
          <w:sz w:val="28"/>
          <w:szCs w:val="28"/>
          <w:rtl w:val="true"/>
          <w:lang w:bidi="fa-IR"/>
        </w:rPr>
        <w:t>.</w:t>
      </w:r>
    </w:p>
    <w:p>
      <w:pPr>
        <w:pStyle w:val="Heading6"/>
        <w:numPr>
          <w:ilvl w:val="5"/>
          <w:numId w:val="1"/>
        </w:numPr>
        <w:rPr/>
      </w:pPr>
      <w:bookmarkStart w:id="714" w:name="__RefHeading___Toc3300130_1468164448"/>
      <w:bookmarkStart w:id="715" w:name="_Toc286"/>
      <w:bookmarkEnd w:id="714"/>
      <w:r>
        <w:rPr>
          <w:rtl w:val="true"/>
        </w:rPr>
        <w:t>بین حدّین</w:t>
      </w:r>
      <w:r>
        <w:rPr>
          <w:rtl w:val="true"/>
        </w:rPr>
        <w:t xml:space="preserve">: </w:t>
      </w:r>
      <w:r>
        <w:rPr>
          <w:rtl w:val="true"/>
        </w:rPr>
        <w:t>الشک والیقین</w:t>
      </w:r>
      <w:bookmarkEnd w:id="715"/>
    </w:p>
    <w:p>
      <w:pPr>
        <w:pStyle w:val="BookText"/>
        <w:rPr/>
      </w:pPr>
      <w:r>
        <w:rPr>
          <w:rFonts w:ascii="IRNazanin" w:hAnsi="IRNazanin" w:eastAsia="IRNazanin"/>
          <w:color w:val="111111"/>
          <w:sz w:val="28"/>
          <w:sz w:val="28"/>
          <w:szCs w:val="28"/>
          <w:rtl w:val="true"/>
          <w:lang w:bidi="fa-IR"/>
        </w:rPr>
        <w:t>من هنا فالباحث بین حدّین خطیرین، حیث لا یمکنه أن یتنازل عن الشک والسؤال فالفحص والتنقیب إلاّ أنه فی معرض الإرتکاس فی هذا الشک وعدم الخروج منه إلی حقائق جدیدة، کما ابتلی به البعض، حیث افترض أنّ ما یتوصل إلیه الإنسان لا یتصف بالثبات والقداسة، فلا یمکن الإذعان به والعمل علی أساسه</w:t>
      </w:r>
      <w:r>
        <w:rPr>
          <w:rFonts w:eastAsia="IRNazanin" w:cs="IRNazanin"/>
          <w:color w:val="111111"/>
          <w:sz w:val="28"/>
          <w:szCs w:val="28"/>
          <w:rtl w:val="true"/>
          <w:lang w:bidi="fa-IR"/>
        </w:rPr>
        <w:t>.</w:t>
      </w:r>
    </w:p>
    <w:p>
      <w:pPr>
        <w:pStyle w:val="Heading6"/>
        <w:numPr>
          <w:ilvl w:val="5"/>
          <w:numId w:val="1"/>
        </w:numPr>
        <w:rPr/>
      </w:pPr>
      <w:bookmarkStart w:id="716" w:name="__RefHeading___Toc3300132_1468164448"/>
      <w:bookmarkStart w:id="717" w:name="_Toc287"/>
      <w:bookmarkEnd w:id="716"/>
      <w:r>
        <w:rPr>
          <w:rtl w:val="true"/>
        </w:rPr>
        <w:t>ثبات معرفة الواقع</w:t>
      </w:r>
      <w:bookmarkEnd w:id="7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الحق أنّ هذا الوصول النسبی للواقع ومعرفة شیء من</w:t>
      </w:r>
      <w:bookmarkStart w:id="718" w:name="pg16983_380993"/>
    </w:p>
    <w:p>
      <w:pPr>
        <w:pStyle w:val="BookText"/>
        <w:rPr/>
      </w:pPr>
      <w:bookmarkEnd w:id="718"/>
      <w:r>
        <w:rPr>
          <w:rFonts w:ascii="IRNazanin" w:hAnsi="IRNazanin" w:eastAsia="IRNazanin"/>
          <w:color w:val="111111"/>
          <w:sz w:val="28"/>
          <w:sz w:val="28"/>
          <w:szCs w:val="28"/>
          <w:rtl w:val="true"/>
          <w:lang w:bidi="fa-IR"/>
        </w:rPr>
        <w:t xml:space="preserve">الحقیقة بمقدار ما هو وصول، له ثبات وقداسة لا یمکن تقویضه والإستهانة به؛ لأنّ غایة ما یثبته الدلیل هو تطوّر الفهم، وهو یعنی عدم التناقض بین النتائج و إن تناقضت فی الحدود، أی فی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مستوی الماهیة اللاّبشرط فلا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فالإخبات لابدّ منه بمقدار ما وصل إلیه الإنسان، ویکون مقدساً بهذا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من حقه أن یلغی وینفی ما عداه من دون دلیل؛ إذ وصوله لابدّ أن لا یؤثر علی عدم وصوله وبالعکس، فلابدّ أن یبقی علی حالة الفاحص المتأمل المتدبر لا علی حالة الشک والتردد والحیرة، کما لا علی حالة الجزم المطلق وأنّ ما وصل إلیه هو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المقابل یذعن بالوصول النسبی إلاّ أنه یأخذ نتیجة مناقضة، وهی حالة التردد والشک التی لا تنسجم إلاّ مع فرض التناقض لا مع الوصول النسبی، وإلاّ فهو لا ینسجم مع عدم الجزم بتاتاً وعدم التوقیر وعدم الحرمة لفکر أو اتجاه</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719" w:name="__RefHeading___Toc3300134_1468164448"/>
      <w:bookmarkStart w:id="720" w:name="_Toc288"/>
      <w:bookmarkEnd w:id="719"/>
      <w:r>
        <w:rPr>
          <w:rtl w:val="true"/>
        </w:rPr>
        <w:t>التردد مع وجود الدلیل وکذا الرفض من دون دلیل غیر منهجی</w:t>
      </w:r>
      <w:bookmarkEnd w:id="7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ذکرناه، حیث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عِلْمَکُمْ جَهْلاً وَ یَقِینَکُمْ شَکّاً</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وهو عبارة عن أنّ 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قد یصل</w:t>
      </w:r>
      <w:bookmarkStart w:id="721" w:name="pg16983_380995"/>
    </w:p>
    <w:p>
      <w:pPr>
        <w:pStyle w:val="BookText"/>
        <w:rPr/>
      </w:pPr>
      <w:bookmarkEnd w:id="721"/>
      <w:r>
        <w:rPr>
          <w:rFonts w:ascii="IRNazanin" w:hAnsi="IRNazanin" w:eastAsia="IRNazanin"/>
          <w:color w:val="111111"/>
          <w:sz w:val="28"/>
          <w:sz w:val="28"/>
          <w:szCs w:val="28"/>
          <w:rtl w:val="true"/>
          <w:lang w:bidi="fa-IR"/>
        </w:rPr>
        <w:t xml:space="preserve">إلی حالة الإنکار مع وجود الدلیل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منهجی، بالمقابل إلغاء الآخر ورفضه من دون دلیل غیر منهجی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ألفتنا سابقاً إلی أنّ الإذعان والإخبات والإعتقاد کمال وجودی للإنسان، ومن ثمّ لا نغالی فی القول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الإعتقاد والجزم والرکون من مقدمات غیر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العقائد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من التردد الشاک مع المقدمات الصحیحة، علی کلّ من السلبیات الموجودة فی مثل هذا الإعتقاد والمرافقة له من التقصیر فی البحث إلی غیر ذلک، إلاّ أنه توفر علی ایجابیة الإخبات التی تعنی إذعان قوی الإنسان العملیة الغریزیة للعقل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کمال نسبی دنیوی یفتقده المتردد، المعبّر عن انفلات قواه العملیة وعدم السیطرة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تحلیل الطرف الآخر لظاهرة الإختلاف صحیح، ولکن النتائج والأهداف التی تبناها جاءت مناقضة لما ذکره، بل هی سفسطة مبطنة</w:t>
      </w:r>
      <w:r>
        <w:rPr>
          <w:rFonts w:eastAsia="IRNazanin" w:cs="IRNazanin"/>
          <w:color w:val="111111"/>
          <w:sz w:val="28"/>
          <w:szCs w:val="28"/>
          <w:rtl w:val="true"/>
          <w:lang w:bidi="fa-IR"/>
        </w:rPr>
        <w:t>.</w:t>
      </w:r>
    </w:p>
    <w:p>
      <w:pPr>
        <w:pStyle w:val="Heading6"/>
        <w:numPr>
          <w:ilvl w:val="5"/>
          <w:numId w:val="1"/>
        </w:numPr>
        <w:rPr/>
      </w:pPr>
      <w:bookmarkStart w:id="722" w:name="__RefHeading___Toc3300136_1468164448"/>
      <w:bookmarkStart w:id="723" w:name="_Toc289"/>
      <w:bookmarkEnd w:id="722"/>
      <w:r>
        <w:rPr>
          <w:rtl w:val="true"/>
        </w:rPr>
        <w:t>الجواب الرابع</w:t>
      </w:r>
      <w:r>
        <w:rPr>
          <w:rtl w:val="true"/>
        </w:rPr>
        <w:t xml:space="preserve">: </w:t>
      </w:r>
      <w:r>
        <w:rPr>
          <w:rtl w:val="true"/>
        </w:rPr>
        <w:t>الإختلاف دلیل علی وجود میزانٍ للفهم</w:t>
      </w:r>
      <w:bookmarkEnd w:id="723"/>
    </w:p>
    <w:p>
      <w:pPr>
        <w:pStyle w:val="BookText"/>
        <w:rPr/>
      </w:pPr>
      <w:r>
        <w:rPr>
          <w:rFonts w:ascii="IRNazanin" w:hAnsi="IRNazanin" w:eastAsia="IRNazanin"/>
          <w:color w:val="111111"/>
          <w:sz w:val="28"/>
          <w:sz w:val="28"/>
          <w:szCs w:val="28"/>
          <w:rtl w:val="true"/>
          <w:lang w:bidi="fa-IR"/>
        </w:rPr>
        <w:t>قبول الإختلاف والتعدد ثمّ الدعوةُ إلی التنقیب والفحص هو بنفسه دلیل وجود میزان نوعی، وإلاّ لم یکن معنی للإختلاف والتخاصم والتحاکم ومناقشة البعض للآخر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کلام 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وجود مدالیل متعددة لآیة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وجود مشترک فی الفهم ومیزان نوعی، علی ضوئه تمّ الحکم بعدم وجود مدالیل متعددة، بل الجزم بتطبیق ذلک المشترک علی الآیة، وإلاّ لم یحکم بخطأ الأکثر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تعبیر المعاصرین بتبدل الأفهام دلیل وجود المشترک، کذا الإذعان بالتطور یلازم وجود الوحدة والقاسم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مع التکثّر البَحت والمغایرة الصرفة والتباین التام لم تکن نسبة بینها ولا سنخیة ولا علاقة، فلم یکن معنی للتحول والتبدل والتغیر،</w:t>
      </w:r>
      <w:bookmarkStart w:id="724" w:name="pg16983_380997"/>
    </w:p>
    <w:p>
      <w:pPr>
        <w:pStyle w:val="BookText"/>
        <w:rPr/>
      </w:pPr>
      <w:bookmarkEnd w:id="724"/>
      <w:r>
        <w:rPr>
          <w:rFonts w:ascii="IRNazanin" w:hAnsi="IRNazanin" w:eastAsia="IRNazanin"/>
          <w:color w:val="111111"/>
          <w:sz w:val="28"/>
          <w:sz w:val="28"/>
          <w:szCs w:val="28"/>
          <w:rtl w:val="true"/>
          <w:lang w:bidi="fa-IR"/>
        </w:rPr>
        <w:t>کما لم یکن معنی للإختلاف بالتخطئة والتناقض</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بل ذکر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الکثرة بما هی 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ترجع إلی 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مستحیلة لا وجود لها فی واقع ولا فی حقل من حقول المعرفة، ولکان دالاً علی عدم وحدانیة اللّه؛ لأنها آیات متخالفة السنخ، وأنها وجود نازل من سلاسل مختلفة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هم فی عین نفیهم للوحدة أذعنوا بها، وفی عین نفیهم للتقید بالخطوط الحمراء أذعنوا به، وفی عین نفیهم للمطلق آمنوا به، وذلک فی القضیة التی أسّسوها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ثابت ولا مطلق، وإنما کلّ فهم متغیر وشخصی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وفرضوها هی القضیة الأمّ لکلّ العلوم</w:t>
      </w:r>
      <w:r>
        <w:rPr>
          <w:rFonts w:eastAsia="IRNazanin" w:cs="IRNazanin"/>
          <w:color w:val="111111"/>
          <w:sz w:val="28"/>
          <w:szCs w:val="28"/>
          <w:rtl w:val="true"/>
          <w:lang w:bidi="fa-IR"/>
        </w:rPr>
        <w:t>.</w:t>
      </w:r>
    </w:p>
    <w:p>
      <w:pPr>
        <w:pStyle w:val="Heading6"/>
        <w:numPr>
          <w:ilvl w:val="5"/>
          <w:numId w:val="1"/>
        </w:numPr>
        <w:rPr/>
      </w:pPr>
      <w:bookmarkStart w:id="725" w:name="__RefHeading___Toc3300138_1468164448"/>
      <w:bookmarkStart w:id="726" w:name="_Toc290"/>
      <w:bookmarkEnd w:id="725"/>
      <w:r>
        <w:rPr>
          <w:rtl w:val="true"/>
        </w:rPr>
        <w:t>الجواب الخامس</w:t>
      </w:r>
      <w:r>
        <w:rPr>
          <w:rtl w:val="true"/>
        </w:rPr>
        <w:t xml:space="preserve">: </w:t>
      </w:r>
      <w:r>
        <w:rPr>
          <w:rtl w:val="true"/>
        </w:rPr>
        <w:t>تأثیر البیئة فی قراءة النص</w:t>
      </w:r>
      <w:bookmarkEnd w:id="726"/>
    </w:p>
    <w:p>
      <w:pPr>
        <w:pStyle w:val="BookText"/>
        <w:rPr/>
      </w:pP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قارئ النص الدینی لا یتمکن من التجرد فی قراءته، وإنما یأتی إلیه مع ما یحمله من ثقافة ورواسب اجتماعیة وبیئیة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ولکنّه لیس أمراً سلبیاً وإنما هو إیجابی</w:t>
      </w:r>
      <w:r>
        <w:rPr>
          <w:rFonts w:eastAsia="IRNazanin" w:cs="IRNazanin"/>
          <w:color w:val="111111"/>
          <w:sz w:val="28"/>
          <w:szCs w:val="28"/>
          <w:rtl w:val="true"/>
          <w:lang w:bidi="fa-IR"/>
        </w:rPr>
        <w:t>.</w:t>
      </w:r>
    </w:p>
    <w:p>
      <w:pPr>
        <w:pStyle w:val="Heading6"/>
        <w:numPr>
          <w:ilvl w:val="5"/>
          <w:numId w:val="1"/>
        </w:numPr>
        <w:rPr/>
      </w:pPr>
      <w:bookmarkStart w:id="727" w:name="__RefHeading___Toc3300140_1468164448"/>
      <w:bookmarkStart w:id="728" w:name="_Toc291"/>
      <w:bookmarkEnd w:id="727"/>
      <w:r>
        <w:rPr>
          <w:rtl w:val="true"/>
        </w:rPr>
        <w:t>فی جانب الموضوع</w:t>
      </w:r>
      <w:bookmarkEnd w:id="728"/>
    </w:p>
    <w:p>
      <w:pPr>
        <w:pStyle w:val="BookText"/>
        <w:rPr/>
      </w:pPr>
      <w:r>
        <w:rPr>
          <w:rFonts w:ascii="IRNazanin" w:hAnsi="IRNazanin" w:eastAsia="IRNazanin"/>
          <w:color w:val="111111"/>
          <w:sz w:val="28"/>
          <w:sz w:val="28"/>
          <w:szCs w:val="28"/>
          <w:rtl w:val="true"/>
          <w:lang w:bidi="fa-IR"/>
        </w:rPr>
        <w:t xml:space="preserve">بل هو ضرورة لابدّ منها فی قراءة النص القانونی فی طرف الموضوع؛ لأنّ الفقه یعنی بملاحقة الموضوعات المستجدة وتصنیفها فی الموضوعات الکلّیة لمعرفة أحکامها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شمولیة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والموضوعات المستجدة هی ولیدة البیئة والمجتمع والظروف المتنوعة المحیطة بالإنسان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نُقلَ عن العلاّمة الطباطبائی أنّ الأمّة تحتاج فی کلّ عقد</w:t>
      </w:r>
      <w:bookmarkStart w:id="729" w:name="pg16983_380999"/>
    </w:p>
    <w:p>
      <w:pPr>
        <w:pStyle w:val="BookText"/>
        <w:rPr/>
      </w:pPr>
      <w:bookmarkEnd w:id="729"/>
      <w:r>
        <w:rPr>
          <w:rFonts w:ascii="IRNazanin" w:hAnsi="IRNazanin" w:eastAsia="IRNazanin"/>
          <w:color w:val="111111"/>
          <w:sz w:val="28"/>
          <w:sz w:val="28"/>
          <w:szCs w:val="28"/>
          <w:rtl w:val="true"/>
          <w:lang w:bidi="fa-IR"/>
        </w:rPr>
        <w:t>إلی تفسیر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یقصد من ذلک خطأ السابق وإنما یستنطق منه الحلول لما استجد من موضوعات ومفاهیم هی نتائج بیئة الإنسان وثقافاته الجدیدة</w:t>
      </w:r>
      <w:r>
        <w:rPr>
          <w:rFonts w:eastAsia="IRNazanin" w:cs="IRNazanin"/>
          <w:color w:val="111111"/>
          <w:sz w:val="28"/>
          <w:szCs w:val="28"/>
          <w:rtl w:val="true"/>
          <w:lang w:bidi="fa-IR"/>
        </w:rPr>
        <w:t>.</w:t>
      </w:r>
    </w:p>
    <w:p>
      <w:pPr>
        <w:pStyle w:val="Heading6"/>
        <w:numPr>
          <w:ilvl w:val="5"/>
          <w:numId w:val="1"/>
        </w:numPr>
        <w:rPr/>
      </w:pPr>
      <w:bookmarkStart w:id="730" w:name="__RefHeading___Toc3300142_1468164448"/>
      <w:bookmarkStart w:id="731" w:name="_Toc292"/>
      <w:bookmarkEnd w:id="730"/>
      <w:r>
        <w:rPr>
          <w:rtl w:val="true"/>
        </w:rPr>
        <w:t>فی جانب المحمول</w:t>
      </w:r>
      <w:bookmarkEnd w:id="731"/>
    </w:p>
    <w:p>
      <w:pPr>
        <w:pStyle w:val="BookText"/>
        <w:rPr/>
      </w:pPr>
      <w:r>
        <w:rPr>
          <w:rFonts w:ascii="IRNazanin" w:hAnsi="IRNazanin" w:eastAsia="IRNazanin"/>
          <w:color w:val="111111"/>
          <w:sz w:val="28"/>
          <w:sz w:val="28"/>
          <w:szCs w:val="28"/>
          <w:rtl w:val="true"/>
          <w:lang w:bidi="fa-IR"/>
        </w:rPr>
        <w:t xml:space="preserve">وأمّا من جانب المحمول فالقارئ الذی یأتی إلی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یحمله من رواسب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دون مراعاة الموازین الأدبیة والقانونیة فما یخرج به من نتائج لا یمکن الأخذ بها واعتبارها، لافتقادها الغطاء العلمی، وإنما هی فهم ذاتی شخصی لیس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 مراعاة الموازین ومع ذلک کانت الثقافة الخاصة لها تأثیر فی استنطاق النص فهو لا یکون إلاّ مع تشکیل هذه الخلفیة قرینة 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لا مشکلة فیها بل لابدّ منها کی تکون دراسة النص مستوعبة وکاملة</w:t>
      </w:r>
      <w:r>
        <w:rPr>
          <w:rFonts w:eastAsia="IRNazanin" w:cs="IRNazanin"/>
          <w:color w:val="111111"/>
          <w:sz w:val="28"/>
          <w:szCs w:val="28"/>
          <w:rtl w:val="true"/>
          <w:lang w:bidi="fa-IR"/>
        </w:rPr>
        <w:t>.</w:t>
      </w:r>
    </w:p>
    <w:p>
      <w:pPr>
        <w:pStyle w:val="Heading6"/>
        <w:numPr>
          <w:ilvl w:val="5"/>
          <w:numId w:val="1"/>
        </w:numPr>
        <w:rPr/>
      </w:pPr>
      <w:bookmarkStart w:id="732" w:name="__RefHeading___Toc3300144_1468164448"/>
      <w:bookmarkStart w:id="733" w:name="_Toc293"/>
      <w:bookmarkEnd w:id="732"/>
      <w:r>
        <w:rPr>
          <w:rtl w:val="true"/>
        </w:rPr>
        <w:t>التخطئة فی الجملة لا بالجملة</w:t>
      </w:r>
      <w:bookmarkEnd w:id="733"/>
    </w:p>
    <w:p>
      <w:pPr>
        <w:pStyle w:val="BookText"/>
        <w:rPr/>
      </w:pPr>
      <w:r>
        <w:rPr>
          <w:rFonts w:ascii="IRNazanin" w:hAnsi="IRNazanin" w:eastAsia="IRNazanin"/>
          <w:color w:val="111111"/>
          <w:sz w:val="28"/>
          <w:sz w:val="28"/>
          <w:szCs w:val="28"/>
          <w:rtl w:val="true"/>
          <w:lang w:bidi="fa-IR"/>
        </w:rPr>
        <w:t>علی أساس هذه الضابطة یفهم أنّ التخطئة المطلقة للآراء غیر صائبة، کما أنّ التصویب المطلق وأنّ أفهام الجمیع صائبة حتی ما لم یکن برهانیاً غیر صائب، وإنما الحق ما علیه الإمامیة من التخطئة فی الجملة لا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دائرة العذر لا تخص الرأی الصائب، وإنما تعمّ الآراء الخاطئة إذا کانت مع استفراغ الوسع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ألفتنا سابقاً إلی أنّ حیویة الفحص ومحفزه یکون مع التخطئة ولکن لا المطلقة، إذ التصویب المطلق ومثله التخطئة المطلقة یشلاّن الحرکة العلمیة ویؤثران علی نموّها</w:t>
      </w:r>
      <w:r>
        <w:rPr>
          <w:rFonts w:eastAsia="IRNazanin" w:cs="IRNazanin"/>
          <w:color w:val="111111"/>
          <w:sz w:val="28"/>
          <w:szCs w:val="28"/>
          <w:rtl w:val="true"/>
          <w:lang w:bidi="fa-IR"/>
        </w:rPr>
        <w:t>.</w:t>
      </w:r>
    </w:p>
    <w:p>
      <w:pPr>
        <w:pStyle w:val="Heading6"/>
        <w:numPr>
          <w:ilvl w:val="5"/>
          <w:numId w:val="1"/>
        </w:numPr>
        <w:rPr/>
      </w:pPr>
      <w:bookmarkStart w:id="734" w:name="__RefHeading___Toc3300146_1468164448"/>
      <w:bookmarkStart w:id="735" w:name="_Toc294"/>
      <w:bookmarkEnd w:id="734"/>
      <w:r>
        <w:rPr>
          <w:rtl w:val="true"/>
        </w:rPr>
        <w:t>دور العلوم فی تشکیل قرینة الفهم</w:t>
      </w:r>
      <w:bookmarkEnd w:id="7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أنّا نقبل ما ذکره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تأثیر تکافل العلوم والرواسب الفکریة والإجتماعیة وغیرها فی استنطاق النص القانونی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بمقدار ما تشکّل قرینة قطعیة، وإلاّ کان المیزان هو المحکّم</w:t>
      </w:r>
      <w:bookmarkStart w:id="736" w:name="pg16983_381001"/>
    </w:p>
    <w:p>
      <w:pPr>
        <w:pStyle w:val="BookText"/>
        <w:rPr/>
      </w:pPr>
      <w:bookmarkEnd w:id="736"/>
      <w:r>
        <w:rPr>
          <w:rFonts w:ascii="IRNazanin" w:hAnsi="IRNazanin" w:eastAsia="IRNazanin"/>
          <w:color w:val="111111"/>
          <w:sz w:val="28"/>
          <w:sz w:val="28"/>
          <w:szCs w:val="28"/>
          <w:rtl w:val="true"/>
          <w:lang w:bidi="fa-IR"/>
        </w:rPr>
        <w:t>فی تخطئة مثل هذه الأفهام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نقبل تغیّر القرائن العقلیة ولکن لا نتنازل عن قرینة قطعیة إلاّ إلی أخری نظیرها، لا أنّ کلّ فهم ولو کان بقرائن استحسانیة نحکم بصحته، کما لا نحکم بخطئه وعدم حجّیته مع مثل هذه القرائن</w:t>
      </w:r>
      <w:r>
        <w:rPr>
          <w:rFonts w:eastAsia="IRNazanin" w:cs="IRNazanin"/>
          <w:color w:val="111111"/>
          <w:sz w:val="28"/>
          <w:szCs w:val="28"/>
          <w:rtl w:val="true"/>
          <w:lang w:bidi="fa-IR"/>
        </w:rPr>
        <w:t>.</w:t>
      </w:r>
    </w:p>
    <w:p>
      <w:pPr>
        <w:pStyle w:val="Heading6"/>
        <w:numPr>
          <w:ilvl w:val="5"/>
          <w:numId w:val="1"/>
        </w:numPr>
        <w:rPr/>
      </w:pPr>
      <w:bookmarkStart w:id="737" w:name="__RefHeading___Toc3300148_1468164448"/>
      <w:bookmarkStart w:id="738" w:name="_Toc295"/>
      <w:bookmarkEnd w:id="737"/>
      <w:r>
        <w:rPr>
          <w:rtl w:val="true"/>
        </w:rPr>
        <w:t>دور المعرفة البشریة فی مستوی المراد الجدی</w:t>
      </w:r>
      <w:bookmarkEnd w:id="738"/>
    </w:p>
    <w:p>
      <w:pPr>
        <w:pStyle w:val="BookText"/>
        <w:rPr/>
      </w:pPr>
      <w:r>
        <w:rPr>
          <w:rFonts w:ascii="IRNazanin" w:hAnsi="IRNazanin" w:eastAsia="IRNazanin"/>
          <w:color w:val="111111"/>
          <w:sz w:val="28"/>
          <w:sz w:val="28"/>
          <w:szCs w:val="28"/>
          <w:rtl w:val="true"/>
          <w:lang w:bidi="fa-IR"/>
        </w:rPr>
        <w:t>وأمّا علی صعید المعارف فمع تطوّر المعرفة البشریة یحصل تغییر علی مستوی المراد الجدی، بمعنی أنه تتفصل بعض الأمور المبهمة وتظهر جنبات لم تکن من قبل مکتشفة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أصل المعنی بما له حدّ وعلی مستوی المدلول الإستعمالی والتفهیمی فلا یتغیر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عَمَدٍ تَرَوْنَها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واحدة من التفسیرین لها أنه بدون عمد مرئی، وکان یتصور آنذاک أنه حطب وما شاکل ذلک، وبعد اکتشاف قانون الجاذبیة وأنّه هو العمد لم یؤثر ذلک علی ظهور الآیة فی مرادها الإستعمالی والتفهیمی، نعم أثّر علی المراد الجدی</w:t>
      </w:r>
      <w:r>
        <w:rPr>
          <w:rFonts w:eastAsia="IRNazanin" w:cs="IRNazanin"/>
          <w:color w:val="111111"/>
          <w:sz w:val="28"/>
          <w:szCs w:val="28"/>
          <w:rtl w:val="true"/>
          <w:lang w:bidi="fa-IR"/>
        </w:rPr>
        <w:t>.</w:t>
      </w:r>
    </w:p>
    <w:p>
      <w:pPr>
        <w:pStyle w:val="Heading6"/>
        <w:numPr>
          <w:ilvl w:val="5"/>
          <w:numId w:val="1"/>
        </w:numPr>
        <w:rPr/>
      </w:pPr>
      <w:bookmarkStart w:id="739" w:name="__RefHeading___Toc3300150_1468164448"/>
      <w:bookmarkStart w:id="740" w:name="_Toc296"/>
      <w:bookmarkEnd w:id="739"/>
      <w:r>
        <w:rPr>
          <w:rtl w:val="true"/>
        </w:rPr>
        <w:t>الجواب السادس</w:t>
      </w:r>
      <w:r>
        <w:rPr>
          <w:rtl w:val="true"/>
        </w:rPr>
        <w:t xml:space="preserve">: </w:t>
      </w:r>
      <w:r>
        <w:rPr>
          <w:rtl w:val="true"/>
        </w:rPr>
        <w:t>المعرفة لیست علی وزان واحد</w:t>
      </w:r>
      <w:bookmarkEnd w:id="740"/>
    </w:p>
    <w:p>
      <w:pPr>
        <w:pStyle w:val="BookText"/>
        <w:rPr/>
      </w:pPr>
      <w:r>
        <w:rPr>
          <w:rFonts w:ascii="IRNazanin" w:hAnsi="IRNazanin" w:eastAsia="IRNazanin"/>
          <w:color w:val="111111"/>
          <w:sz w:val="28"/>
          <w:sz w:val="28"/>
          <w:szCs w:val="28"/>
          <w:rtl w:val="true"/>
          <w:lang w:bidi="fa-IR"/>
        </w:rPr>
        <w:t>ألفتنا فی بحث الإعتبار إلی أنّ المعرفة العقلیة النظریة والعملیة لیست کلها علی نمط واحد من حیث الوضوح والخفاء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دائرة البدیهیات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قمّة فی الوضوح مع حفظ التفاوت بینها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کلّما قربت المعلومة من البداهة کانت أوضح، وکلّما ابتعدت عنها کانت أکثر خفاء وأکثر نظریة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وأشرنا هناک إلی أنّ معیار القرب والبعد هو الکلّیة والجزئیة بمعنی السعة والضیق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القضیة کلّما کانت أکثر سعة کانت أکثر وضوحاً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تصل إلی البدیهیات التی هی الکلّیات العامة فی</w:t>
      </w:r>
      <w:bookmarkStart w:id="741" w:name="pg16983_381003"/>
    </w:p>
    <w:p>
      <w:pPr>
        <w:pStyle w:val="BookText"/>
        <w:rPr/>
      </w:pPr>
      <w:bookmarkEnd w:id="741"/>
      <w:r>
        <w:rPr>
          <w:rFonts w:ascii="IRNazanin" w:hAnsi="IRNazanin" w:eastAsia="IRNazanin"/>
          <w:color w:val="111111"/>
          <w:sz w:val="28"/>
          <w:sz w:val="28"/>
          <w:szCs w:val="28"/>
          <w:rtl w:val="true"/>
          <w:lang w:bidi="fa-IR"/>
        </w:rPr>
        <w:t>المعرفة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نلحظه فی الحضوری والحصولی، حیث إنّ الأول أکثر وضوحاً من الثانی مع حفظ التفاوت فی الأول کما هو فی الثانی</w:t>
      </w:r>
      <w:r>
        <w:rPr>
          <w:rFonts w:eastAsia="IRNazanin" w:cs="IRNazanin"/>
          <w:color w:val="111111"/>
          <w:sz w:val="28"/>
          <w:szCs w:val="28"/>
          <w:rtl w:val="true"/>
          <w:lang w:bidi="fa-IR"/>
        </w:rPr>
        <w:t>.</w:t>
      </w:r>
    </w:p>
    <w:p>
      <w:pPr>
        <w:pStyle w:val="Heading6"/>
        <w:numPr>
          <w:ilvl w:val="5"/>
          <w:numId w:val="1"/>
        </w:numPr>
        <w:rPr/>
      </w:pPr>
      <w:bookmarkStart w:id="742" w:name="__RefHeading___Toc3300152_1468164448"/>
      <w:bookmarkStart w:id="743" w:name="_Toc297"/>
      <w:bookmarkEnd w:id="742"/>
      <w:r>
        <w:rPr>
          <w:rtl w:val="true"/>
        </w:rPr>
        <w:t>تغایر شاکلة الإعتبارات</w:t>
      </w:r>
      <w:bookmarkEnd w:id="743"/>
    </w:p>
    <w:p>
      <w:pPr>
        <w:pStyle w:val="BookText"/>
        <w:rPr/>
      </w:pPr>
      <w:r>
        <w:rPr>
          <w:rFonts w:ascii="IRNazanin" w:hAnsi="IRNazanin" w:eastAsia="IRNazanin"/>
          <w:color w:val="111111"/>
          <w:sz w:val="28"/>
          <w:sz w:val="28"/>
          <w:szCs w:val="28"/>
          <w:rtl w:val="true"/>
          <w:lang w:bidi="fa-IR"/>
        </w:rPr>
        <w:t xml:space="preserve">کما نلحظه فی الإعتبارات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کونها شرعیة ووضعیة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إنها لیست علی شاکلة واحدة، وإنما منها الإعتبارات الفوقانیة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بمنتهی الوضوح، وأدلّتها 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 بالنزول فالإبتعاد عن الوضوح، مع الإلتفات إلی أنّ منطقة الإعتبار هی فی المساحة التی یعجز العقل عن اکتشافها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الجزئیات بحدٍّ لا ینالها حتی العقل النظری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ثمّ 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البشریة لیست علی وزان واحد، وإنما تتفاوت بالوضوح والخفاء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فالمعرفة الحضوریة أوضح من المعرفة الحصولیة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دون واسطة، والحصولی بواسطة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الحصولیة العقلیة أوضح من المعرفة ذاتها الإعتباریة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لکلّ واحد من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الحضوری والحصولی والإعتباری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بدیهیاته ونظریاته وکلّیاته وجزئیاته، وأنّ النظریة تتعمق کلّما ابتعدت عن المرکز والمحور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والإختلاف فی المنهج والرأی وبالتالی الفهم وما یرافقه من ظواهر حادة کالشجار والنزاع والخصومة یشتدّ کلّما کانت المسألة نظریة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سنّة کونیة فی کلّ علم بما فی ذلک الشریعة فی بُعدها القانونی والمعرفی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أشرنا إلی ذلک لبیان خطأ المنهج الذی یطلب وضوح کلّ المعارف البشریة علی حدّ وضوح البدیهیات، فإنّ ما یطلبه هذا المنهج غیر ممکن لما ذکرناه من أنّ العلم الحصولی أقلّ وضوحاً من العلم الحضوری، وهو علی درجات ثمّ ینقل للآخرین عبر الألفاظ،</w:t>
      </w:r>
      <w:bookmarkStart w:id="744" w:name="pg16983_381005"/>
    </w:p>
    <w:p>
      <w:pPr>
        <w:pStyle w:val="BookText"/>
        <w:rPr/>
      </w:pPr>
      <w:bookmarkEnd w:id="744"/>
      <w:r>
        <w:rPr>
          <w:rFonts w:ascii="IRNazanin" w:hAnsi="IRNazanin" w:eastAsia="IRNazanin"/>
          <w:color w:val="111111"/>
          <w:sz w:val="28"/>
          <w:sz w:val="28"/>
          <w:szCs w:val="28"/>
          <w:rtl w:val="true"/>
          <w:lang w:bidi="fa-IR"/>
        </w:rPr>
        <w:t>فکیف نطلب من اللفظ أن یکون واضح الدلالة علی حدّ العلم الحضوری؟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فالدلیل الظنی وإن کان فی أدنی درجات الظن، إلاّ أنه مع توفّر المیزان یکفی فی إثبات المسألة، لأنّ المبنی هو الإکتفاء بالدلالة الظنیة، فهی تکفی فی الفتوی وتکون معذّرة</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745" w:name="__RefHeading___Toc3300154_1468164448"/>
      <w:bookmarkStart w:id="746" w:name="_Toc298"/>
      <w:bookmarkEnd w:id="745"/>
      <w:r>
        <w:rPr>
          <w:rtl w:val="true"/>
        </w:rPr>
        <w:t>الظاهر والباطن فی کلام الله علی مقتضی السنّة الکونیة</w:t>
      </w:r>
      <w:bookmarkEnd w:id="746"/>
    </w:p>
    <w:p>
      <w:pPr>
        <w:pStyle w:val="BookText"/>
        <w:rPr/>
      </w:pPr>
      <w:r>
        <w:rPr>
          <w:rFonts w:ascii="Amiri" w:hAnsi="Amiri" w:eastAsia="Amiri" w:cs="Amiri"/>
          <w:color w:val="111111"/>
          <w:sz w:val="28"/>
          <w:sz w:val="28"/>
          <w:szCs w:val="28"/>
          <w:rtl w:val="true"/>
          <w:lang w:bidi="ar-SA"/>
        </w:rPr>
        <w:t xml:space="preserve">ویعرف ممّا تقدّم أنّ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فی کلام اللّه سبحانه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مقتضی السنّة الکونیة، فلا یتوقع أن یکون کلّ المراد بدرجة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وأنّنا نجد فی ما ورد فی بیان حکمة امتحان الحق سبحانه عباده بالفتنة والشبهة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فِتْنَتُکَ</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والذی دلّت علیه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أنّ طبیعة ترامی المسائل أنها کلّما ابتعدت عن المرکز کانت أقلّ وضوحاً وأکثر خفاءً فاختلافاً الموجب للشبهة والفتنة فیها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نرجع إلی القرآن نجد بوضوح أنه تعالی یوبخ الکفار علی</w:t>
      </w:r>
      <w:bookmarkStart w:id="747" w:name="pg16983_381007"/>
    </w:p>
    <w:p>
      <w:pPr>
        <w:pStyle w:val="BookText"/>
        <w:rPr/>
      </w:pPr>
      <w:bookmarkEnd w:id="747"/>
      <w:r>
        <w:rPr>
          <w:rFonts w:ascii="IRNazanin" w:hAnsi="IRNazanin" w:eastAsia="IRNazanin"/>
          <w:color w:val="111111"/>
          <w:sz w:val="28"/>
          <w:sz w:val="28"/>
          <w:szCs w:val="28"/>
          <w:rtl w:val="true"/>
          <w:lang w:bidi="fa-IR"/>
        </w:rPr>
        <w:t xml:space="preserve">مطلبهم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المعارف فی الوضوح علی وتر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یرد علیهم أنّ المعرفة لیست علی وتر واحد، فالغیب لیس کالحس مثلاً فلا یتوقع أحد أن یکون وزان الوضوح فی کلّ الإعتقادات بشکل واحد، وأنّ مثل هذا المطلب اقتراح علی اللّه تعالی بما یخالف سنّته التکوینیة، فهو ضلال ما بعده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صُحُفاً مُنَشَّرَةً</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والخطر الذی وقع به البعض الیوم أنه ما إن تطرح مسألة فی المعرفة الدینیة لیس الدلیل فیها کالدلیل علی التوحید فی وضوحه یستخف بها، فی حین أنّ السیر المنهجی یفرض الخضوع للسنّة الکونیة والإقتصار علی المتاح تکویناً لنا، بدلاً من الرفض والإنکار الذی هو عین السفسطة، وبدلاً من التصویب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کله نوع من الکبر الذی هو وضع الذات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یتلقی المعرفة حضوریاً، ولکن علی شکل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ومن وراء حجاب وبواسطة الرسول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أساس لمثل هذا المطلب فی التکوین وهو أن تکون تفاصیل العقیدة بوضوح أصل التوحید</w:t>
      </w:r>
      <w:r>
        <w:rPr>
          <w:rFonts w:eastAsia="IRNazanin" w:cs="IRNazanin"/>
          <w:color w:val="111111"/>
          <w:sz w:val="28"/>
          <w:szCs w:val="28"/>
          <w:rtl w:val="true"/>
          <w:lang w:bidi="fa-IR"/>
        </w:rPr>
        <w:t>.</w:t>
      </w:r>
    </w:p>
    <w:p>
      <w:pPr>
        <w:pStyle w:val="Heading6"/>
        <w:numPr>
          <w:ilvl w:val="5"/>
          <w:numId w:val="1"/>
        </w:numPr>
        <w:rPr/>
      </w:pPr>
      <w:bookmarkStart w:id="748" w:name="__RefHeading___Toc3300156_1468164448"/>
      <w:bookmarkStart w:id="749" w:name="_Toc299"/>
      <w:bookmarkEnd w:id="748"/>
      <w:r>
        <w:rPr>
          <w:rtl w:val="true"/>
        </w:rPr>
        <w:t>الجواب السابع</w:t>
      </w:r>
      <w:r>
        <w:rPr>
          <w:rtl w:val="true"/>
        </w:rPr>
        <w:t xml:space="preserve">: </w:t>
      </w:r>
      <w:r>
        <w:rPr>
          <w:rtl w:val="true"/>
        </w:rPr>
        <w:t>التقطیع والنقل بالمعنی</w:t>
      </w:r>
      <w:bookmarkEnd w:id="7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التقطیع یشبه النقل بالمعنی، حیث یلاحظ أنه من الظواهر السائدة عند العقلاء، فإنّ الحادثة الواحدة ینقلها العقلاء بشکل مُقَطّع لکلّ شخص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کما ألفتنا أنّ هذا العمل مارسه الرواة المباشرون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وصرفُ احتمال الخطأ لا یؤثر علی ظهور المقطع، فإنه</w:t>
      </w:r>
      <w:bookmarkStart w:id="750" w:name="pg16983_381009"/>
    </w:p>
    <w:p>
      <w:pPr>
        <w:pStyle w:val="BookText"/>
        <w:rPr/>
      </w:pPr>
      <w:bookmarkEnd w:id="750"/>
      <w:r>
        <w:rPr>
          <w:rFonts w:ascii="IRNazanin" w:hAnsi="IRNazanin" w:eastAsia="IRNazanin"/>
          <w:color w:val="111111"/>
          <w:sz w:val="28"/>
          <w:sz w:val="28"/>
          <w:szCs w:val="28"/>
          <w:rtl w:val="true"/>
          <w:lang w:bidi="fa-IR"/>
        </w:rPr>
        <w:t>موجود فی النقل بالمعنی أیضاً</w:t>
      </w:r>
      <w:r>
        <w:rPr>
          <w:rStyle w:val="FootnoteAnchor"/>
          <w:rtl w:val="true"/>
        </w:rPr>
        <w:footnoteReference w:id="73"/>
      </w:r>
      <w:r>
        <w:rPr>
          <w:rFonts w:ascii="IRNazanin" w:hAnsi="IRNazanin" w:eastAsia="IRNazanin"/>
          <w:color w:val="111111"/>
          <w:sz w:val="28"/>
          <w:sz w:val="28"/>
          <w:szCs w:val="28"/>
          <w:rtl w:val="true"/>
          <w:lang w:bidi="fa-IR"/>
        </w:rPr>
        <w:t>بل وحتی فی نقل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اللفظی العقلائی هو الذی ینفی مثل هذا الإحتمال بعد الإلتفات إلی أنّ الراوی مارس التقطیع مع التفاته وأمانته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لمسنا قرائن توجب الظن بوجود خطأ فی عملیة التقطیع أو النقل بالمعنی لابدّ من الفحص؛ إذ لا تجری حینئذ أصالة عدم الإشتباه کما هو الحال فی روایات عمار الذی کان مبتلی بالعجمة</w:t>
      </w:r>
      <w:r>
        <w:rPr>
          <w:rFonts w:eastAsia="IRNazanin" w:cs="IRNazanin"/>
          <w:color w:val="111111"/>
          <w:sz w:val="28"/>
          <w:szCs w:val="28"/>
          <w:rtl w:val="true"/>
          <w:lang w:bidi="fa-IR"/>
        </w:rPr>
        <w:t>.</w:t>
      </w:r>
    </w:p>
    <w:p>
      <w:pPr>
        <w:pStyle w:val="Heading6"/>
        <w:numPr>
          <w:ilvl w:val="5"/>
          <w:numId w:val="1"/>
        </w:numPr>
        <w:rPr/>
      </w:pPr>
      <w:bookmarkStart w:id="751" w:name="__RefHeading___Toc3300158_1468164448"/>
      <w:bookmarkStart w:id="752" w:name="_Toc300"/>
      <w:bookmarkEnd w:id="751"/>
      <w:r>
        <w:rPr>
          <w:rtl w:val="true"/>
        </w:rPr>
        <w:t>عدم وجاهة بعض التفاصیل</w:t>
      </w:r>
      <w:bookmarkEnd w:id="752"/>
    </w:p>
    <w:p>
      <w:pPr>
        <w:pStyle w:val="BookText"/>
        <w:rPr/>
      </w:pPr>
      <w:r>
        <w:rPr>
          <w:rFonts w:ascii="IRNazanin" w:hAnsi="IRNazanin" w:eastAsia="IRNazanin"/>
          <w:color w:val="111111"/>
          <w:sz w:val="28"/>
          <w:sz w:val="28"/>
          <w:szCs w:val="28"/>
          <w:rtl w:val="true"/>
          <w:lang w:bidi="fa-IR"/>
        </w:rPr>
        <w:t xml:space="preserve">ومن هنا یتضح عدم وجاهة تفصیل البعض بین العلم بالتقطیع وعدمه بنفی الحجّیة فی الأول دون الثانی، اللّهم إلاّ أن یکون التقطیع المعلوم بسبب العلم بغفلة الراوی أو العلم بضیاع ورقة من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الأصل لا یجری والظهور لا یعتمد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تتضح عدم وجاهة التفصیل أیضاً بین فقاهة الراوی وعامیته، فیؤخذ بتقطیع الأول دون الثانی، لما عرفت من أنّ التقطیع لا یعتمد علی فهم الإجتهادی و الملکة فی الإستنباط، و إنما یعتمد علی فهم القول المرتبط بالمعنی الإستعمالی والتفهیمی وهو متوفّر فی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من التفات المقطّع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 کان أو عامیاً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ممارسته</w:t>
      </w:r>
      <w:bookmarkStart w:id="753" w:name="pg16983_381011"/>
    </w:p>
    <w:p>
      <w:pPr>
        <w:pStyle w:val="BookText"/>
        <w:rPr/>
      </w:pPr>
      <w:bookmarkEnd w:id="753"/>
      <w:r>
        <w:rPr>
          <w:rFonts w:ascii="IRNazanin" w:hAnsi="IRNazanin" w:eastAsia="IRNazanin"/>
          <w:color w:val="111111"/>
          <w:sz w:val="28"/>
          <w:sz w:val="28"/>
          <w:szCs w:val="28"/>
          <w:rtl w:val="true"/>
          <w:lang w:bidi="fa-IR"/>
        </w:rPr>
        <w:t>للتقطیع فی حجّیة ظاهر المقطع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بالتأمل أکثر یمکن القول بأنّ التقطیع أرقی من النقل بالمعنی؛ لأنه بمثابة الإخبارات المتعددة، حیث کان الخبر ذو الفقرات المتعددة فی قوة أخبار متعددة، فتقطیعه لا یؤثر شیئاً علی ظهور المقطع، ولیس فیه أی إعمال للإجتهاد وإنما هو نقل لخبر من جملة أخبار بتمام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الأجوبة یتضح الوهن فی کلّ التفصیلات التی ذکرها القمی التی استهدفت القضاء علی حجّیة الظهور من باب الظن الخاص، فلابدّ من تحکیم موازین الإنسداد، کما ظهر الجواب عن الإشکالات المعاصرة مع بیان جملة من المغالطات والإلتباسات التی وقع بها أصحابها</w:t>
      </w:r>
      <w:r>
        <w:rPr>
          <w:rFonts w:eastAsia="IRNazanin" w:cs="IRNazanin"/>
          <w:color w:val="111111"/>
          <w:sz w:val="28"/>
          <w:szCs w:val="28"/>
          <w:rtl w:val="true"/>
          <w:lang w:bidi="fa-IR"/>
        </w:rPr>
        <w:t>.</w:t>
      </w:r>
    </w:p>
    <w:p>
      <w:pPr>
        <w:pStyle w:val="Heading6"/>
        <w:numPr>
          <w:ilvl w:val="5"/>
          <w:numId w:val="1"/>
        </w:numPr>
        <w:rPr/>
      </w:pPr>
      <w:bookmarkStart w:id="754" w:name="__RefHeading___Toc3300160_1468164448"/>
      <w:bookmarkStart w:id="755" w:name="_Toc301"/>
      <w:bookmarkEnd w:id="754"/>
      <w:r>
        <w:rPr>
          <w:rtl w:val="true"/>
        </w:rPr>
        <w:t>دعوی الإنصراف من دون دلیل</w:t>
      </w:r>
      <w:bookmarkEnd w:id="755"/>
    </w:p>
    <w:p>
      <w:pPr>
        <w:pStyle w:val="BookText"/>
        <w:rPr/>
      </w:pPr>
      <w:r>
        <w:rPr>
          <w:rFonts w:ascii="IRNazanin" w:hAnsi="IRNazanin" w:eastAsia="IRNazanin"/>
          <w:color w:val="111111"/>
          <w:sz w:val="28"/>
          <w:sz w:val="28"/>
          <w:szCs w:val="28"/>
          <w:rtl w:val="true"/>
          <w:lang w:bidi="fa-IR"/>
        </w:rPr>
        <w:t xml:space="preserve">وفی الختام ولا یفوتنا أن نعرض بظاهرة جری علیها البعض وهی دعوی الظهور أو الإنصراف أو التبادر من دون التدلیل علیه ومن دون تقریب وذکر للقرائن والشواهد والضوابط التی ارتکز علیها فی دعواه هذه، ویأتی آخر ویدّعی العکس من دون أن یستطیع کلّ منهما إلزام الآخر، مما یوحی عدم وجود ضابطة صغرویة لتمییز النوعی عن الشخصی والموضوعی عن الذاتی، فی حین أنّ الأمر لیس کذلک؛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وکما ألفتنا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موازین لفظیة حرّر بعضها فی علوم الأدب وآخر فی الأصول لابدّ أن یستند إلیها الظهور کی یکتسب صفة النوعیة فالحجّیة، ومثله الإنصراف لابدّ أن یستند إلی شاهد من حال أو مقال کی یأخذ طابعاً علمیاً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أشرنا سابقاً إلی نکتة ألفت إلیها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هناک نمطین من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یلتفت ارتکازاً وإجمالاً إلی النتیجة، ولکنّه یحلّل ویدلّل علی ما التفت إلیه إجمالاً،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إلی الموازین مباشرة وینساق معها إلی حیث تقوده</w:t>
      </w:r>
      <w:r>
        <w:rPr>
          <w:rFonts w:eastAsia="IRNazanin" w:cs="IRNazanin"/>
          <w:color w:val="111111"/>
          <w:sz w:val="28"/>
          <w:szCs w:val="28"/>
          <w:rtl w:val="true"/>
          <w:lang w:bidi="fa-IR"/>
        </w:rPr>
        <w:t>.</w:t>
      </w:r>
      <w:bookmarkStart w:id="756" w:name="pg16983_381013"/>
    </w:p>
    <w:p>
      <w:pPr>
        <w:pStyle w:val="BookText"/>
        <w:rPr/>
      </w:pPr>
      <w:bookmarkEnd w:id="756"/>
      <w:r>
        <w:rPr>
          <w:rFonts w:ascii="IRNazanin" w:hAnsi="IRNazanin" w:eastAsia="IRNazanin"/>
          <w:color w:val="111111"/>
          <w:sz w:val="28"/>
          <w:sz w:val="28"/>
          <w:szCs w:val="28"/>
          <w:rtl w:val="true"/>
          <w:lang w:bidi="fa-IR"/>
        </w:rPr>
        <w:t xml:space="preserve">وقد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الأولی وهو علی حق؛ لأنّ الطریقة الثانیة تحدّ من أفق المجتهد فتؤطره فی إطار ضیق، بخلاف الأولی فإنّها بفضل إحساسه وارتکازه یذهب وراء کلّ ما یمکن أن یکون صالحاً لتأطیر هذا الإرتکاز وتشخیص حدوده</w:t>
      </w:r>
      <w:r>
        <w:rPr>
          <w:rFonts w:eastAsia="IRNazanin" w:cs="IRNazanin"/>
          <w:color w:val="111111"/>
          <w:sz w:val="28"/>
          <w:szCs w:val="28"/>
          <w:rtl w:val="true"/>
          <w:lang w:bidi="fa-IR"/>
        </w:rPr>
        <w:t>.</w:t>
      </w:r>
    </w:p>
    <w:p>
      <w:pPr>
        <w:pStyle w:val="Heading6"/>
        <w:numPr>
          <w:ilvl w:val="5"/>
          <w:numId w:val="1"/>
        </w:numPr>
        <w:rPr/>
      </w:pPr>
      <w:bookmarkStart w:id="757" w:name="__RefHeading___Toc3300162_1468164448"/>
      <w:bookmarkStart w:id="758" w:name="_Toc302"/>
      <w:bookmarkEnd w:id="757"/>
      <w:r>
        <w:rPr>
          <w:rtl w:val="true"/>
        </w:rPr>
        <w:t>الظن الشخصی فی حجّیة الظهور</w:t>
      </w:r>
      <w:bookmarkEnd w:id="758"/>
    </w:p>
    <w:p>
      <w:pPr>
        <w:pStyle w:val="BookText"/>
        <w:rPr/>
      </w:pPr>
      <w:r>
        <w:rPr>
          <w:rFonts w:ascii="IRNazanin" w:hAnsi="IRNazanin" w:eastAsia="IRNazanin"/>
          <w:color w:val="111111"/>
          <w:sz w:val="28"/>
          <w:sz w:val="28"/>
          <w:szCs w:val="28"/>
          <w:rtl w:val="true"/>
          <w:lang w:bidi="fa-IR"/>
        </w:rPr>
        <w:t>حجّیة الظهور هل هی مشروطة بالظن الشخصی به أو بعدم الظن الشخصی بخلافه؟</w:t>
      </w:r>
    </w:p>
    <w:p>
      <w:pPr>
        <w:pStyle w:val="BookText"/>
        <w:rPr/>
      </w:pPr>
      <w:r>
        <w:rPr>
          <w:rFonts w:ascii="IRNazanin" w:hAnsi="IRNazanin" w:eastAsia="IRNazanin"/>
          <w:color w:val="111111"/>
          <w:sz w:val="28"/>
          <w:sz w:val="28"/>
          <w:szCs w:val="28"/>
          <w:rtl w:val="true"/>
          <w:lang w:bidi="fa-IR"/>
        </w:rPr>
        <w:t xml:space="preserve">صاحب الکفایة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یشترط، وذلک لما ذکرناه من أنّ الظهور لیس أمراً عشوائیاً، وإنما هو منضبط بالعلوم والموازین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الظن بالخلاف قد یعبّر عن اتکازٍ ما،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إمکان التدلیل علیه لا یمکن اعتماده واتّباعه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الإرتکاز یوجب التوقف عن الأخذ بالظهور،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بعد أن کان الظهور مستدلاً، إلاّ أن یستشهد علی الخلاف بشواهد ارتکازیة توجب الإطمئنان بأنّ ارتکازه لغوی، وإن لم یستطع تحلیل هذا الفهم والتنظیر له، نظیر استشهاد فقهاء الفرس بفقهاء الحلة وجبل عامل إذا أجمعوا علی فهم متن لغة، وإن لم یستطع فقهاء الفرس تحلیل کیفیة فهم الفقهاء العرب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صرف الإرتکاز من دون تنظیر له وتحلیل، ومن دون تعزیز له بشواهد إرتکازیة فلا قیمة له؛ لاحتمال أن یکون ذاتیاً لا موضوعیاً</w:t>
      </w:r>
      <w:r>
        <w:rPr>
          <w:rFonts w:eastAsia="IRNazanin" w:cs="IRNazanin"/>
          <w:color w:val="111111"/>
          <w:sz w:val="28"/>
          <w:szCs w:val="28"/>
          <w:rtl w:val="true"/>
          <w:lang w:bidi="fa-IR"/>
        </w:rPr>
        <w:t>.</w:t>
      </w:r>
      <w:bookmarkStart w:id="759" w:name="pg16983_381016"/>
    </w:p>
    <w:p>
      <w:pPr>
        <w:pStyle w:val="Heading4"/>
        <w:numPr>
          <w:ilvl w:val="3"/>
          <w:numId w:val="1"/>
        </w:numPr>
        <w:rPr/>
      </w:pPr>
      <w:bookmarkStart w:id="760" w:name="__RefHeading___Toc3300164_1468164448"/>
      <w:bookmarkStart w:id="761" w:name="_Toc303"/>
      <w:bookmarkEnd w:id="759"/>
      <w:bookmarkEnd w:id="760"/>
      <w:r>
        <w:rPr/>
        <w:t>3</w:t>
      </w:r>
      <w:r>
        <w:rPr>
          <w:rtl w:val="true"/>
        </w:rPr>
        <w:t xml:space="preserve"> . </w:t>
      </w:r>
      <w:r>
        <w:rPr>
          <w:rtl w:val="true"/>
        </w:rPr>
        <w:t>المقام الثالث</w:t>
      </w:r>
      <w:r>
        <w:rPr>
          <w:rtl w:val="true"/>
        </w:rPr>
        <w:t xml:space="preserve">: </w:t>
      </w:r>
      <w:r>
        <w:rPr>
          <w:rtl w:val="true"/>
        </w:rPr>
        <w:t>حجّیة ظواهر الکتاب</w:t>
      </w:r>
      <w:bookmarkEnd w:id="761"/>
    </w:p>
    <w:p>
      <w:pPr>
        <w:pStyle w:val="Heading5"/>
        <w:numPr>
          <w:ilvl w:val="4"/>
          <w:numId w:val="1"/>
        </w:numPr>
        <w:rPr/>
      </w:pPr>
      <w:bookmarkStart w:id="762" w:name="__RefHeading___Toc3300166_1468164448"/>
      <w:bookmarkStart w:id="763" w:name="_Toc304"/>
      <w:bookmarkEnd w:id="762"/>
      <w:r>
        <w:rPr>
          <w:rtl w:val="true"/>
        </w:rPr>
        <w:t>الآراء حول ظواهر الکتاب</w:t>
      </w:r>
      <w:bookmarkEnd w:id="763"/>
    </w:p>
    <w:p>
      <w:pPr>
        <w:pStyle w:val="Heading6"/>
        <w:numPr>
          <w:ilvl w:val="5"/>
          <w:numId w:val="1"/>
        </w:numPr>
        <w:rPr/>
      </w:pPr>
      <w:bookmarkStart w:id="764" w:name="__RefHeading___Toc3300168_1468164448"/>
      <w:bookmarkStart w:id="765" w:name="_Toc305"/>
      <w:bookmarkEnd w:id="764"/>
      <w:r>
        <w:rPr>
          <w:rtl w:val="true"/>
        </w:rPr>
        <w:t>اشارة</w:t>
      </w:r>
      <w:bookmarkEnd w:id="765"/>
    </w:p>
    <w:p>
      <w:pPr>
        <w:pStyle w:val="BookText"/>
        <w:rPr/>
      </w:pPr>
      <w:r>
        <w:rPr>
          <w:rFonts w:ascii="IRNazanin" w:hAnsi="IRNazanin" w:eastAsia="IRNazanin"/>
          <w:color w:val="111111"/>
          <w:sz w:val="28"/>
          <w:sz w:val="28"/>
          <w:szCs w:val="28"/>
          <w:rtl w:val="true"/>
          <w:lang w:bidi="fa-IR"/>
        </w:rPr>
        <w:t>هناک مجموعة 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المنسوبة إلی الأخباریین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لحجّیة ظواهر الکتاب، ویمکن أن نعبّر عنه بنظریة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لصاحب تفسیر المیزان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معاکسة للأولی تماماً ویمکن التعبیر عنه بنظریة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فهمه مآلاً لا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لبعض العلمانیین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ومفادها تفخیم شأن العقل فی هذا المیدان ویمکن أن نعبّر عنه بنظریة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لمشهور الأصولیین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البروجردی تبعاً للعلاّمة المجلسی صاحب موسوعة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متن القانون هو القرآن، وسنّة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متممة للقانون، وسنّة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الحری فرز جهات الصواب والخطأ فی تلک النظریات ثمّ صیاغة نظریة متکاملة تعبّر عن الحقیقة بشکل أکبر</w:t>
      </w:r>
      <w:r>
        <w:rPr>
          <w:rFonts w:eastAsia="IRNazanin" w:cs="IRNazanin"/>
          <w:color w:val="111111"/>
          <w:sz w:val="28"/>
          <w:szCs w:val="28"/>
          <w:rtl w:val="true"/>
          <w:lang w:bidi="fa-IR"/>
        </w:rPr>
        <w:t>.</w:t>
      </w:r>
    </w:p>
    <w:p>
      <w:pPr>
        <w:pStyle w:val="Heading6"/>
        <w:numPr>
          <w:ilvl w:val="5"/>
          <w:numId w:val="1"/>
        </w:numPr>
        <w:rPr/>
      </w:pPr>
      <w:bookmarkStart w:id="766" w:name="__RefHeading___Toc3300170_1468164448"/>
      <w:bookmarkStart w:id="767" w:name="_Toc306"/>
      <w:bookmarkEnd w:id="766"/>
      <w:r>
        <w:rPr>
          <w:rtl w:val="true"/>
        </w:rPr>
        <w:t>العلاقة بین الکتاب والسنّة</w:t>
      </w:r>
      <w:bookmarkEnd w:id="767"/>
    </w:p>
    <w:p>
      <w:pPr>
        <w:pStyle w:val="BookText"/>
        <w:rPr/>
      </w:pPr>
      <w:r>
        <w:rPr>
          <w:rFonts w:ascii="IRNazanin" w:hAnsi="IRNazanin" w:eastAsia="IRNazanin"/>
          <w:color w:val="111111"/>
          <w:sz w:val="28"/>
          <w:sz w:val="28"/>
          <w:szCs w:val="28"/>
          <w:rtl w:val="true"/>
          <w:lang w:bidi="fa-IR"/>
        </w:rPr>
        <w:t>ثمّ إنّ واحدة من أسباب التوجه إلی هذا البحث هو تأمین الإجابة للسؤال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طبیعة العلاقة بین الکتاب والسنّة؟ هل إنّ کلاًّ منهما دلیل مستقل أو أنّهما دلیل بنحو المجموع، وعلی الثانی فهل یکون بنحو الطولیة أو العَرْضیة؟</w:t>
      </w:r>
    </w:p>
    <w:p>
      <w:pPr>
        <w:pStyle w:val="BookText"/>
        <w:rPr/>
      </w:pPr>
      <w:r>
        <w:rPr>
          <w:rFonts w:ascii="IRNazanin" w:hAnsi="IRNazanin" w:eastAsia="IRNazanin"/>
          <w:color w:val="111111"/>
          <w:sz w:val="28"/>
          <w:sz w:val="28"/>
          <w:szCs w:val="28"/>
          <w:rtl w:val="true"/>
          <w:lang w:bidi="fa-IR"/>
        </w:rPr>
        <w:t>بعدها یقع السؤال عن طبیعة العلاقة بین العقل والنقل و مساحة حرکة کلّ منهما وحدود فاعلیة کلّ منهما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والشواهد القرآنیة والروائیة القطعیة المتضاربة کانت وراء تعدد</w:t>
      </w:r>
      <w:bookmarkStart w:id="768" w:name="pg16983_381018"/>
    </w:p>
    <w:p>
      <w:pPr>
        <w:pStyle w:val="BookText"/>
        <w:rPr/>
      </w:pPr>
      <w:bookmarkEnd w:id="768"/>
      <w:r>
        <w:rPr>
          <w:rFonts w:ascii="IRNazanin" w:hAnsi="IRNazanin" w:eastAsia="IRNazanin"/>
          <w:color w:val="111111"/>
          <w:sz w:val="28"/>
          <w:sz w:val="28"/>
          <w:szCs w:val="28"/>
          <w:rtl w:val="true"/>
          <w:lang w:bidi="fa-IR"/>
        </w:rPr>
        <w:t>النظریات واختلافها إلی حدّ 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من المنهجی تصدیر الحدیث بهذه الشواهد، ثمّ الدخول لعرض النظریات ومناقشتها الحساب</w:t>
      </w:r>
      <w:r>
        <w:rPr>
          <w:rFonts w:eastAsia="IRNazanin" w:cs="IRNazanin"/>
          <w:color w:val="111111"/>
          <w:sz w:val="28"/>
          <w:szCs w:val="28"/>
          <w:rtl w:val="true"/>
          <w:lang w:bidi="fa-IR"/>
        </w:rPr>
        <w:t>.</w:t>
      </w:r>
    </w:p>
    <w:p>
      <w:pPr>
        <w:pStyle w:val="Heading6"/>
        <w:numPr>
          <w:ilvl w:val="5"/>
          <w:numId w:val="1"/>
        </w:numPr>
        <w:rPr/>
      </w:pPr>
      <w:bookmarkStart w:id="769" w:name="__RefHeading___Toc3300172_1468164448"/>
      <w:bookmarkStart w:id="770" w:name="_Toc307"/>
      <w:bookmarkEnd w:id="769"/>
      <w:r>
        <w:rPr>
          <w:rtl w:val="true"/>
        </w:rPr>
        <w:t>شواهد الأخباریین</w:t>
      </w:r>
      <w:r>
        <w:rPr>
          <w:rtl w:val="true"/>
        </w:rPr>
        <w:t>:</w:t>
      </w:r>
      <w:bookmarkEnd w:id="770"/>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الآیات القرآنیة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w:t>
      </w:r>
      <w:r>
        <w:rPr>
          <w:rFonts w:ascii="Amiri" w:hAnsi="Amiri" w:eastAsia="Amiri" w:cs="Amiri"/>
          <w:i/>
          <w:i/>
          <w:iCs/>
          <w:color w:val="111111"/>
          <w:sz w:val="28"/>
          <w:sz w:val="28"/>
          <w:szCs w:val="28"/>
          <w:rtl w:val="true"/>
          <w:lang w:bidi="ar-SA"/>
        </w:rPr>
        <w:t>فَإِذا قَرَأْناهُ فَاتَّبِعْ قُرْآنَهُ</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المکررة فی سور متعددة،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w:t>
      </w:r>
      <w:r>
        <w:rPr>
          <w:rStyle w:val="FootnoteAnchor"/>
          <w:rtl w:val="true"/>
        </w:rPr>
        <w:footnoteReference w:id="7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الروایات من قبیل الروایات الناهیة عن تفسیر القرآن بالرأی إلاّ بالتوریث</w:t>
      </w:r>
      <w:r>
        <w:rPr>
          <w:rStyle w:val="FootnoteAnchor"/>
          <w:rtl w:val="true"/>
        </w:rPr>
        <w:footnoteReference w:id="80"/>
      </w:r>
      <w:r>
        <w:rPr>
          <w:rFonts w:ascii="IRNazanin" w:hAnsi="IRNazanin" w:eastAsia="IRNazanin"/>
          <w:color w:val="111111"/>
          <w:sz w:val="28"/>
          <w:sz w:val="28"/>
          <w:szCs w:val="28"/>
          <w:rtl w:val="true"/>
          <w:lang w:bidi="fa-IR"/>
        </w:rPr>
        <w:t>، والروایات الناهیة عن ضرب القرآن بعضه ببعض</w:t>
      </w:r>
      <w:r>
        <w:rPr>
          <w:rStyle w:val="FootnoteAnchor"/>
          <w:rtl w:val="true"/>
        </w:rPr>
        <w:footnoteReference w:id="81"/>
      </w:r>
      <w:r>
        <w:rPr>
          <w:rFonts w:ascii="IRNazanin" w:hAnsi="IRNazanin" w:eastAsia="IRNazanin"/>
          <w:color w:val="111111"/>
          <w:sz w:val="28"/>
          <w:sz w:val="28"/>
          <w:szCs w:val="28"/>
          <w:rtl w:val="true"/>
          <w:lang w:bidi="fa-IR"/>
        </w:rPr>
        <w:t>، والروایات الناهیة عن اتّباع المتشابه</w:t>
      </w:r>
    </w:p>
    <w:p>
      <w:pPr>
        <w:pStyle w:val="BookText"/>
        <w:rPr/>
      </w:pPr>
      <w:r>
        <w:rPr>
          <w:rFonts w:ascii="IRNazanin" w:hAnsi="IRNazanin" w:eastAsia="IRNazanin"/>
          <w:color w:val="111111"/>
          <w:sz w:val="28"/>
          <w:sz w:val="28"/>
          <w:szCs w:val="28"/>
          <w:rtl w:val="true"/>
          <w:lang w:bidi="fa-IR"/>
        </w:rPr>
        <w:t>القرآنی</w:t>
      </w:r>
      <w:r>
        <w:rPr>
          <w:rStyle w:val="FootnoteAnchor"/>
          <w:rtl w:val="true"/>
        </w:rPr>
        <w:footnoteReference w:id="82"/>
      </w:r>
      <w:r>
        <w:rPr>
          <w:rFonts w:ascii="IRNazanin" w:hAnsi="IRNazanin" w:eastAsia="IRNazanin"/>
          <w:color w:val="111111"/>
          <w:sz w:val="28"/>
          <w:sz w:val="28"/>
          <w:szCs w:val="28"/>
          <w:rtl w:val="true"/>
          <w:lang w:bidi="fa-IR"/>
        </w:rPr>
        <w:t>، وحدیث الثقلین الدالّ علی أنّ القرآن وحده لیس بحجّة، فلابدّ أن یشفّع ظهوره بروایة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أبعد من عقول الرجال من تفسیر القرآن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یفسّر القرآن إلاّ من عرف ناسخه من منسوخه ومحکمه من متشابهه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مخصصات ومقیدات کثیرة للعمومات القرآنیة، وأنها لم تصل إلینا کلّها، ممّا یوجب التوقف عن الأخذ بالظاهر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وقوع التحریف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الشواهد وإن لم تصلح دلیلاً علی مدّعاهم، إلاّ أنها ذات قیمة علمیة فی نفسها، حیث تدفع مدّعی العلاّمة المعاکس لمدّعی الأخباریین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خرّج الأخباریون من هذه الشواهد بنتیجة کلّیة هی عدم حجّیة القرآن لنا، بمعنی أنّ دلالته لیست حجّة مطلقاً لغیر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عثرنا علی ظاهر لیس فی ذیله روایة لا یصح التمسک به، وأمّا مع</w:t>
      </w:r>
      <w:bookmarkStart w:id="771" w:name="pg16983_381022"/>
    </w:p>
    <w:p>
      <w:pPr>
        <w:pStyle w:val="BookText"/>
        <w:rPr/>
      </w:pPr>
      <w:bookmarkEnd w:id="771"/>
      <w:r>
        <w:rPr>
          <w:rFonts w:ascii="IRNazanin" w:hAnsi="IRNazanin" w:eastAsia="IRNazanin"/>
          <w:color w:val="111111"/>
          <w:sz w:val="28"/>
          <w:sz w:val="28"/>
          <w:szCs w:val="28"/>
          <w:rtl w:val="true"/>
          <w:lang w:bidi="fa-IR"/>
        </w:rPr>
        <w:t>وجود روایة فالتمسک صحیح، ولکنّه فی الواقع تمسک بالروایة لا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فی حالة عموم الآیة وخصوص الروایة، فإنه لا یمکن التمسک بالعموم، کما نلحظ ذلک فی الآیات الواردة فی ذیل الآیة الناهیة عن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یظهر من بعض کلماتهم أنّ الروایة إذا دلّت علی أنّ ظاهر الآیة مراد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حالة کونها مفسّرة أو مطبقة لا مؤولة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التمسک بالظاهر القرآنی بکلّ خصوصیاته وإن کانت مفقودة فی الروایة</w:t>
      </w:r>
      <w:r>
        <w:rPr>
          <w:rFonts w:eastAsia="IRNazanin" w:cs="IRNazanin"/>
          <w:color w:val="111111"/>
          <w:sz w:val="28"/>
          <w:szCs w:val="28"/>
          <w:rtl w:val="true"/>
          <w:lang w:bidi="fa-IR"/>
        </w:rPr>
        <w:t>.</w:t>
      </w:r>
    </w:p>
    <w:p>
      <w:pPr>
        <w:pStyle w:val="Heading6"/>
        <w:numPr>
          <w:ilvl w:val="5"/>
          <w:numId w:val="1"/>
        </w:numPr>
        <w:rPr/>
      </w:pPr>
      <w:bookmarkStart w:id="772" w:name="__RefHeading___Toc3300174_1468164448"/>
      <w:bookmarkStart w:id="773" w:name="_Toc308"/>
      <w:bookmarkEnd w:id="772"/>
      <w:r>
        <w:rPr>
          <w:rtl w:val="true"/>
        </w:rPr>
        <w:t>شواهد العلاّمة الطباطبائی</w:t>
      </w:r>
      <w:bookmarkEnd w:id="7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آیات الکتاب العزیز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ascii="Amiri" w:hAnsi="Amiri" w:eastAsia="Amiri" w:cs="Amiri"/>
          <w:i/>
          <w:i/>
          <w:iCs/>
          <w:color w:val="111111"/>
          <w:sz w:val="28"/>
          <w:sz w:val="28"/>
          <w:szCs w:val="28"/>
          <w:rtl w:val="true"/>
          <w:lang w:bidi="ar-SA"/>
        </w:rPr>
        <w:t>عَلی قَلْبِکَ لِتَکُونَ مِنَ الْمُنْذِرِینَ</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لا مجمل،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عَلَیْکَ الْکِتابَ لِلنّاسِ</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ووصفه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لِلْعالَمِینَ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أنّه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تِبْیاناً</w:t>
      </w:r>
      <w:bookmarkStart w:id="774" w:name="pg16983_381024"/>
    </w:p>
    <w:p>
      <w:pPr>
        <w:pStyle w:val="BookText"/>
        <w:rPr/>
      </w:pPr>
      <w:bookmarkEnd w:id="774"/>
      <w:r>
        <w:rPr>
          <w:rFonts w:ascii="Amiri" w:hAnsi="Amiri" w:eastAsia="Amiri" w:cs="Amiri"/>
          <w:color w:val="111111"/>
          <w:sz w:val="28"/>
          <w:sz w:val="28"/>
          <w:szCs w:val="28"/>
          <w:rtl w:val="true"/>
          <w:lang w:bidi="ar-SA"/>
        </w:rPr>
        <w:t>لِکُلِّ شَیْ‌ءٍ</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کُلِّ شَیْ‌ءٍ</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من قبیل حدیث الثقلین، الدالّ علی أنّ القرآن حجّة فی نفسه، وإلاّ کان تمسکاً بالسنّة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علی عرض الأخبار علی القرآن</w:t>
      </w:r>
      <w:r>
        <w:rPr>
          <w:rStyle w:val="FootnoteAnchor"/>
          <w:rtl w:val="true"/>
        </w:rPr>
        <w:footnoteReference w:id="97"/>
      </w:r>
      <w:r>
        <w:rPr>
          <w:rFonts w:ascii="IRNazanin" w:hAnsi="IRNazanin" w:eastAsia="IRNazanin"/>
          <w:color w:val="111111"/>
          <w:sz w:val="28"/>
          <w:sz w:val="28"/>
          <w:szCs w:val="28"/>
          <w:rtl w:val="true"/>
          <w:lang w:bidi="fa-IR"/>
        </w:rPr>
        <w:t>فی مقام استعلام حجّیة الخبر، بمعنی أنه علاوة علی حجّیته فی نفسه لابدّ أن لا یناقض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التعارض لابدّ فی تمامیة حجّیته وترجیحه علی الآخر أن لا یخالف القرآن</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775" w:name="__RefHeading___Toc3300176_1468164448"/>
      <w:bookmarkStart w:id="776" w:name="_Toc309"/>
      <w:bookmarkEnd w:id="775"/>
      <w:r>
        <w:rPr>
          <w:rtl w:val="true"/>
        </w:rPr>
        <w:t>رأی العلاّمة فی المتشابه</w:t>
      </w:r>
      <w:bookmarkEnd w:id="7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هذه الشواهد صاغ العلاّمة نظریته التی أشار إلیها فی حاشیته علی الکفایة ومقدّمة تفسیر المیزان وفی ذیل آیة المحکم والمتشابه، بعد استعراضه للأقوال الکثیرة فی معنی المتشابه</w:t>
      </w:r>
      <w:bookmarkStart w:id="777" w:name="pg16983_381026"/>
    </w:p>
    <w:p>
      <w:pPr>
        <w:pStyle w:val="BookText"/>
        <w:rPr/>
      </w:pPr>
      <w:bookmarkEnd w:id="777"/>
      <w:r>
        <w:rPr>
          <w:rFonts w:ascii="IRNazanin" w:hAnsi="IRNazanin" w:eastAsia="IRNazanin"/>
          <w:color w:val="111111"/>
          <w:sz w:val="28"/>
          <w:sz w:val="28"/>
          <w:szCs w:val="28"/>
          <w:rtl w:val="true"/>
          <w:lang w:bidi="fa-IR"/>
        </w:rPr>
        <w:t>وتخطئتها جمیعاً لعدم انسجامها مع إعجاز القرآن وبلاغته وعربیته، بل سمّیت العربیة بالعربیة لظهورها، فکیف وقد وصفت عربیة القرآن بالمبین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استقرّ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المتشابه لیس فی مجال الألفاظ ودلالتها علی معانیها، وإنما فی الإنتقال من معنی إلی آخر، المسبب عن انصراف أذهاننا عن المعانی الشامخة الرفیعة إلی خصوص المصادیق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لألفة الذهن لها وأنسه 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التشابه هو الغفلة عن وضع الألفاظ لروح المعانی، الذی ألفت إلیه الآخوند مقتبساً إیاه من الروایات، من قبیل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 بِغَیْرِ جَارِحَةٍ</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الدالّة علی انطباق السمع علی المجرد، الکاشف عن عدم 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بالمصداق المادی، فتفطن الآخوند إلی أنّ اللفظ لم یوضع للمعنی المضیق بفرده المادی، وإنما للمعنی بما هو هو الشامل للمصداق المادی و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والخطأ الذی یقع فیه الإنسان هو فی تطبیقه المعنی علی الفرد المادی انطلاقاً من رواسبه الذهنیة وأُلفته لعالم المادة</w:t>
      </w:r>
      <w:r>
        <w:rPr>
          <w:rFonts w:eastAsia="IRNazanin" w:cs="IRNazanin"/>
          <w:color w:val="111111"/>
          <w:sz w:val="28"/>
          <w:szCs w:val="28"/>
          <w:rtl w:val="true"/>
          <w:lang w:bidi="fa-IR"/>
        </w:rPr>
        <w:t>.</w:t>
      </w:r>
    </w:p>
    <w:p>
      <w:pPr>
        <w:pStyle w:val="Heading6"/>
        <w:numPr>
          <w:ilvl w:val="5"/>
          <w:numId w:val="1"/>
        </w:numPr>
        <w:rPr/>
      </w:pPr>
      <w:bookmarkStart w:id="778" w:name="__RefHeading___Toc3300178_1468164448"/>
      <w:bookmarkStart w:id="779" w:name="_Toc310"/>
      <w:bookmarkEnd w:id="778"/>
      <w:r>
        <w:rPr>
          <w:rtl w:val="true"/>
        </w:rPr>
        <w:t>افتراق نهج القرآن عن نهج المحاورات العرفیة</w:t>
      </w:r>
      <w:bookmarkEnd w:id="77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 آخر للتشابه هو تصنیف القرآن فی الکلام والمحاورات العرفیة، مع أنّ نهج القرآن یختلف عن نهج المحاورات العرفیة الأخری؛ فإنّ نهج القرآن هو عدم إمکان الوصول إلی المراد الجدی لآیة إلاّ بعد ملاحظة کلّ الآیات التی تتعرض لموضوع الآیة أو لمفردة منها، سواء کانت بنفس اللفظ أم بلفظ آخر، لأنّ القرآن جامع لکلّ العلوم ویخاطب کلّ المستویات ویعالج کلّ المشکلات، ممّا أوجب اختلافه عن سائر المحاورات التی یمکن معرفة المراد الجدی فیها من دون حاجة لمراجعة القرائن المنفصلة</w:t>
      </w:r>
      <w:r>
        <w:rPr>
          <w:rFonts w:eastAsia="IRNazanin" w:cs="IRNazanin"/>
          <w:color w:val="111111"/>
          <w:sz w:val="28"/>
          <w:szCs w:val="28"/>
          <w:rtl w:val="true"/>
          <w:lang w:bidi="fa-IR"/>
        </w:rPr>
        <w:t>.</w:t>
      </w:r>
      <w:bookmarkStart w:id="780" w:name="pg16983_381028"/>
    </w:p>
    <w:p>
      <w:pPr>
        <w:pStyle w:val="Heading6"/>
        <w:numPr>
          <w:ilvl w:val="5"/>
          <w:numId w:val="1"/>
        </w:numPr>
        <w:rPr/>
      </w:pPr>
      <w:bookmarkStart w:id="781" w:name="__RefHeading___Toc3300180_1468164448"/>
      <w:bookmarkStart w:id="782" w:name="_Toc311"/>
      <w:bookmarkEnd w:id="780"/>
      <w:bookmarkEnd w:id="781"/>
      <w:r>
        <w:rPr>
          <w:rtl w:val="true"/>
        </w:rPr>
        <w:t>النقطتان الهامّتان فی تفسیر القرآن عند العلاّمة</w:t>
      </w:r>
      <w:bookmarkEnd w:id="782"/>
    </w:p>
    <w:p>
      <w:pPr>
        <w:pStyle w:val="BookText"/>
        <w:rPr/>
      </w:pPr>
      <w:r>
        <w:rPr>
          <w:rFonts w:ascii="IRNazanin" w:hAnsi="IRNazanin" w:eastAsia="IRNazanin"/>
          <w:color w:val="111111"/>
          <w:sz w:val="28"/>
          <w:sz w:val="28"/>
          <w:szCs w:val="28"/>
          <w:rtl w:val="true"/>
          <w:lang w:bidi="fa-IR"/>
        </w:rPr>
        <w:t>فالتفسیر الحق لا یکون إلاّ بمراعاة هاتین النقطتین، ولابدّ من حصول الملکة علی التجرد عن المصداق المادی، وتشخیص القرائن القرآنیة المنفصلة وضمّ بعضها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الملکة لا تحصل إلاّ بالخوض التام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التفسیر إلاّ بعد أن قرأ البحار مرّتین، فإنّها توقفه علی موارد تطبیقیة صحیحة متکثرة تخلصه من الرواسب الذهنیة، کما أنها تطلعه علی منهج القرآن وکیفیة الإستفادة منه</w:t>
      </w:r>
      <w:r>
        <w:rPr>
          <w:rFonts w:eastAsia="IRNazanin" w:cs="IRNazanin"/>
          <w:color w:val="111111"/>
          <w:sz w:val="28"/>
          <w:szCs w:val="28"/>
          <w:rtl w:val="true"/>
          <w:lang w:bidi="fa-IR"/>
        </w:rPr>
        <w:t>.</w:t>
      </w:r>
    </w:p>
    <w:p>
      <w:pPr>
        <w:pStyle w:val="Heading6"/>
        <w:numPr>
          <w:ilvl w:val="5"/>
          <w:numId w:val="1"/>
        </w:numPr>
        <w:rPr/>
      </w:pPr>
      <w:bookmarkStart w:id="783" w:name="__RefHeading___Toc3300182_1468164448"/>
      <w:bookmarkStart w:id="784" w:name="_Toc312"/>
      <w:bookmarkEnd w:id="783"/>
      <w:r>
        <w:rPr>
          <w:rtl w:val="true"/>
        </w:rPr>
        <w:t>المعنی الصحیح للروایات الناهیة عن تفسیر القرآن بالرأی عند العلاّمة</w:t>
      </w:r>
      <w:bookmarkEnd w:id="784"/>
    </w:p>
    <w:p>
      <w:pPr>
        <w:pStyle w:val="BookText"/>
        <w:rPr/>
      </w:pPr>
      <w:r>
        <w:rPr>
          <w:rFonts w:ascii="Amiri" w:hAnsi="Amiri" w:eastAsia="Amiri" w:cs="Amiri"/>
          <w:color w:val="111111"/>
          <w:sz w:val="28"/>
          <w:sz w:val="28"/>
          <w:szCs w:val="28"/>
          <w:rtl w:val="true"/>
          <w:lang w:bidi="ar-SA"/>
        </w:rPr>
        <w:t xml:space="preserve">وکلّ الروایات الناهیة عن تفسیر القرآن بالرأی وعن ضرب بعضه ببعض، فی رأی العلاّمة کانت بلحاظ المنهج الخاطئ لا بلحاظ أصل التفسیر المستلزم لهجر القرآن، ومنه یعرف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بِرَأْیِهِ إِنْ أَصَابَ لَمْ یُؤْجَرْ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ویشهد لذلک الروایات الکثیرة علی عرض الأخبار علی القرآن</w:t>
      </w:r>
      <w:r>
        <w:rPr>
          <w:rStyle w:val="FootnoteAnchor"/>
          <w:rtl w:val="true"/>
        </w:rPr>
        <w:footnoteReference w:id="101"/>
      </w:r>
      <w:r>
        <w:rPr>
          <w:rFonts w:ascii="IRNazanin" w:hAnsi="IRNazanin" w:eastAsia="IRNazanin"/>
          <w:color w:val="111111"/>
          <w:sz w:val="28"/>
          <w:sz w:val="28"/>
          <w:szCs w:val="28"/>
          <w:rtl w:val="true"/>
          <w:lang w:bidi="fa-IR"/>
        </w:rPr>
        <w:t>والتمسک به فی الفتن والأهواء والمشکلات، وهی لا تنسجم مع فهم الروایات الناهیة أنها ناهیة عن أصل التفسیر المستتبع لهجر القرآن والإکتفاء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حصول الملکة لا یحتاج التفسیر عند العلاّمة إلی أی روایة وبیان عن الرسول، فضلاً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دورهم دور التعلیم و الإرشاد إلی الطریق لفهم القرآن لا إیجاد الطریق فضلاً عن إیجاد إمکان فهم القرآن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85" w:name="__RefHeading___Toc3300184_1468164448"/>
      <w:bookmarkStart w:id="786" w:name="_Toc313"/>
      <w:bookmarkEnd w:id="785"/>
      <w:r>
        <w:rPr>
          <w:rtl w:val="true"/>
        </w:rPr>
        <w:t>شواهد لنظریة العلاّمة</w:t>
      </w:r>
      <w:bookmarkStart w:id="787" w:name="pg16983_381030"/>
      <w:bookmarkEnd w:id="786"/>
    </w:p>
    <w:p>
      <w:pPr>
        <w:pStyle w:val="BookText"/>
        <w:rPr/>
      </w:pPr>
      <w:bookmarkEnd w:id="787"/>
      <w:r>
        <w:rPr>
          <w:rFonts w:ascii="Amiri" w:hAnsi="Amiri" w:eastAsia="Amiri" w:cs="Amiri"/>
          <w:color w:val="111111"/>
          <w:sz w:val="28"/>
          <w:sz w:val="28"/>
          <w:szCs w:val="28"/>
          <w:rtl w:val="true"/>
          <w:lang w:bidi="ar-SA"/>
        </w:rPr>
        <w:t>ویدلّ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یُعَلِّمُهُمُ الْکِتابَ</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حیث یعنی أنّ هناک شیئاً موجوداً یرشد إلیه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ویربی أمّته علی الاستفادة منه فی 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یتضح أنّ المفسّر یحتاج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البدء کی لا یرتکب ضرب القرآن بعضه ببعض، وکی لا یکون تفسیره بالهوی، حتی یتوفّر علی الملکة وحینها یسیر بمفرده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لا ینسخ بالسنّة القطعیة، لأنه ینافی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والنسخ إبطال، بالإضافة إلی أنّ حجّیة السنّة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یشکل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أین التمسک بالعترة؟ ثمّ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بهم فی البدء وأما بعد التوفّر علی الملکة فإنّا نکتفی بالقرآن، ولکن فی المعارف وأمّا فی تفاصیل المعاد وتفاصیل الأحکام الشرعیة فلابدّ من الإستعانة بهم؛ لأنّ القرآن لم یتصدّ لبیانها</w:t>
      </w:r>
      <w:r>
        <w:rPr>
          <w:rFonts w:eastAsia="IRNazanin" w:cs="IRNazanin"/>
          <w:color w:val="111111"/>
          <w:sz w:val="28"/>
          <w:szCs w:val="28"/>
          <w:rtl w:val="true"/>
          <w:lang w:bidi="fa-IR"/>
        </w:rPr>
        <w:t>.</w:t>
      </w:r>
    </w:p>
    <w:p>
      <w:pPr>
        <w:pStyle w:val="Heading6"/>
        <w:numPr>
          <w:ilvl w:val="5"/>
          <w:numId w:val="1"/>
        </w:numPr>
        <w:rPr/>
      </w:pPr>
      <w:bookmarkStart w:id="788" w:name="__RefHeading___Toc3300186_1468164448"/>
      <w:bookmarkStart w:id="789" w:name="_Toc314"/>
      <w:bookmarkEnd w:id="788"/>
      <w:r>
        <w:rPr>
          <w:rtl w:val="true"/>
        </w:rPr>
        <w:t>تلخیص النظریة</w:t>
      </w:r>
      <w:bookmarkEnd w:id="78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حجّیة ظاهر القرآن بل حتی ما وراءه من البطون من دون أن یکون مشروطاً حجّیته بالثقل الآخر، وإنما هو حجّة مستقلة فهو یتکفل بیان نفسه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العترة التعلیم والإرشاد إلی کیفیة الفهم المنهجی للقرآن، فلابدّ من الرجوع إلیهم قبل الدخول فی التفسیر لتحصیل الملکة علی ذلک، و إلاّ لم یکن فهمه حجّة ولا تفسیره صائباً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الرجوع إلیهم فی تفاصیل المعاد والأحکام الفرعیة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 لا یکون إلاّ بالقرآن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0" w:name="__RefHeading___Toc3300188_1468164448"/>
      <w:bookmarkStart w:id="791" w:name="_Toc315"/>
      <w:bookmarkEnd w:id="790"/>
      <w:r>
        <w:rPr>
          <w:rtl w:val="true"/>
        </w:rPr>
        <w:t>ملاحظات علی العلاّمة</w:t>
      </w:r>
      <w:bookmarkStart w:id="792" w:name="pg16983_381032"/>
      <w:bookmarkEnd w:id="791"/>
    </w:p>
    <w:p>
      <w:pPr>
        <w:pStyle w:val="BookText"/>
        <w:rPr/>
      </w:pPr>
      <w:bookmarkEnd w:id="792"/>
      <w:r>
        <w:rPr>
          <w:rFonts w:ascii="IRNazanin" w:hAnsi="IRNazanin" w:eastAsia="IRNazanin"/>
          <w:color w:val="111111"/>
          <w:sz w:val="28"/>
          <w:sz w:val="28"/>
          <w:szCs w:val="28"/>
          <w:rtl w:val="true"/>
          <w:lang w:bidi="fa-IR"/>
        </w:rPr>
        <w:t>ویلاحظ علی نظریة العلاّمة</w:t>
      </w:r>
      <w:r>
        <w:rPr>
          <w:rFonts w:eastAsia="IRNazanin" w:cs="IRNazanin"/>
          <w:color w:val="111111"/>
          <w:sz w:val="28"/>
          <w:szCs w:val="28"/>
          <w:rtl w:val="true"/>
          <w:lang w:bidi="fa-IR"/>
        </w:rPr>
        <w:t>:</w:t>
      </w:r>
    </w:p>
    <w:p>
      <w:pPr>
        <w:pStyle w:val="Heading6"/>
        <w:numPr>
          <w:ilvl w:val="5"/>
          <w:numId w:val="1"/>
        </w:numPr>
        <w:rPr/>
      </w:pPr>
      <w:bookmarkStart w:id="793" w:name="__RefHeading___Toc3300190_1468164448"/>
      <w:bookmarkStart w:id="794" w:name="_Toc316"/>
      <w:bookmarkEnd w:id="793"/>
      <w:r>
        <w:rPr>
          <w:rtl w:val="true"/>
        </w:rPr>
        <w:t>أولاً</w:t>
      </w:r>
      <w:r>
        <w:rPr>
          <w:rtl w:val="true"/>
        </w:rPr>
        <w:t xml:space="preserve">: </w:t>
      </w:r>
      <w:r>
        <w:rPr>
          <w:rtl w:val="true"/>
        </w:rPr>
        <w:t>دور المعلّم فی إراءة الطریق</w:t>
      </w:r>
      <w:bookmarkEnd w:id="794"/>
    </w:p>
    <w:p>
      <w:pPr>
        <w:pStyle w:val="BookText"/>
        <w:rPr/>
      </w:pPr>
      <w:r>
        <w:rPr>
          <w:rFonts w:ascii="IRNazanin" w:hAnsi="IRNazanin" w:eastAsia="IRNazanin"/>
          <w:color w:val="111111"/>
          <w:sz w:val="28"/>
          <w:sz w:val="28"/>
          <w:szCs w:val="28"/>
          <w:rtl w:val="true"/>
          <w:lang w:bidi="fa-IR"/>
        </w:rPr>
        <w:t xml:space="preserve">لا ریب فی أنّ علم الریاضیات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یتوصل إلی نظریاته من بدیهیاته من دون أن یحتاج إلی علم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تظافرت جهود جبّارة علی هذا العلم، ولکن ما زالت بعض مسائله من دون حلّ لحدّ الآن، مضافاً إلی أنّ مسلّماته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عبارة عن ستة معادلات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غیر مستدلة، وقد قبلها العقل البشری اضطراراً مع أنّ أدلّتها موجودة فی داخل نفس العلم، مما یکشف عن أنّ بداهته لا تغنی عن الحاجة إلی المعلّم المعصوم، فإنّ طریق الحلّ وإن کان موجوداً لا یخلقه المعلّم، ولکن تبقی الحاجة إلیه فی هدایته و إراءته لهذا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والظاهرة نفسها نجدها فی کلّ العلوم البشریة البدیهیة المستغنیة عن غیرها کالفلسفة، فإنّها فی عین بداهتها لم تعالج الکثیر من معضلاتها</w:t>
      </w:r>
      <w:r>
        <w:rPr>
          <w:rFonts w:eastAsia="IRNazanin" w:cs="IRNazanin"/>
          <w:color w:val="111111"/>
          <w:sz w:val="28"/>
          <w:szCs w:val="28"/>
          <w:rtl w:val="true"/>
          <w:lang w:bidi="fa-IR"/>
        </w:rPr>
        <w:t>.</w:t>
      </w:r>
    </w:p>
    <w:p>
      <w:pPr>
        <w:pStyle w:val="Heading6"/>
        <w:numPr>
          <w:ilvl w:val="5"/>
          <w:numId w:val="1"/>
        </w:numPr>
        <w:rPr/>
      </w:pPr>
      <w:bookmarkStart w:id="795" w:name="__RefHeading___Toc3300192_1468164448"/>
      <w:bookmarkStart w:id="796" w:name="_Toc317"/>
      <w:bookmarkEnd w:id="795"/>
      <w:r>
        <w:rPr>
          <w:rtl w:val="true"/>
        </w:rPr>
        <w:t>تفسیر القرآن بالقرآن یحتاج إلی عصمة الفهم</w:t>
      </w:r>
      <w:bookmarkEnd w:id="796"/>
    </w:p>
    <w:p>
      <w:pPr>
        <w:pStyle w:val="BookText"/>
        <w:rPr/>
      </w:pPr>
      <w:r>
        <w:rPr>
          <w:rFonts w:ascii="IRNazanin" w:hAnsi="IRNazanin" w:eastAsia="IRNazanin"/>
          <w:color w:val="111111"/>
          <w:sz w:val="28"/>
          <w:sz w:val="28"/>
          <w:szCs w:val="28"/>
          <w:rtl w:val="true"/>
          <w:lang w:bidi="fa-IR"/>
        </w:rPr>
        <w:t>ومن ثمّ فما ذکره العلاّمة من تفسیر القرآن بالقرآن، وإن کان منهجیاً یمکن المشی معه</w:t>
      </w:r>
      <w:r>
        <w:rPr>
          <w:rStyle w:val="FootnoteAnchor"/>
          <w:rtl w:val="true"/>
        </w:rPr>
        <w:footnoteReference w:id="104"/>
      </w:r>
      <w:r>
        <w:rPr>
          <w:rFonts w:ascii="IRNazanin" w:hAnsi="IRNazanin" w:eastAsia="IRNazanin"/>
          <w:color w:val="111111"/>
          <w:sz w:val="28"/>
          <w:sz w:val="28"/>
          <w:szCs w:val="28"/>
          <w:rtl w:val="true"/>
          <w:lang w:bidi="fa-IR"/>
        </w:rPr>
        <w:t xml:space="preserve">إلاّ أنّه رهین العصمة، وأمّا غیر المعصوم فلابدّ أن یرجع فی تفسیره القرآن بالقرآن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797" w:name="__RefHeading___Toc3300194_1468164448"/>
      <w:bookmarkStart w:id="798" w:name="_Toc318"/>
      <w:bookmarkEnd w:id="797"/>
      <w:r>
        <w:rPr>
          <w:rtl w:val="true"/>
        </w:rPr>
        <w:t>ثانیاً</w:t>
      </w:r>
      <w:r>
        <w:rPr>
          <w:rtl w:val="true"/>
        </w:rPr>
        <w:t xml:space="preserve">: </w:t>
      </w:r>
      <w:r>
        <w:rPr>
          <w:rtl w:val="true"/>
        </w:rPr>
        <w:t>فهم خفایا القرآن یحتاج إلی الإحاطة بمراتب الخلقة</w:t>
      </w:r>
      <w:bookmarkEnd w:id="7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المتسالم علیه بین کثیرین أنّ المصحف المکتوب وجود نازل</w:t>
      </w:r>
      <w:bookmarkStart w:id="799" w:name="pg16983_381034"/>
    </w:p>
    <w:p>
      <w:pPr>
        <w:pStyle w:val="BookText"/>
        <w:rPr/>
      </w:pPr>
      <w:bookmarkEnd w:id="799"/>
      <w:r>
        <w:rPr>
          <w:rFonts w:ascii="IRNazanin" w:hAnsi="IRNazanin" w:eastAsia="IRNazanin"/>
          <w:color w:val="111111"/>
          <w:sz w:val="28"/>
          <w:sz w:val="28"/>
          <w:szCs w:val="28"/>
          <w:rtl w:val="true"/>
          <w:lang w:bidi="fa-IR"/>
        </w:rPr>
        <w:t>اعتباری یحکی وجوداً حقیقیاً تکوینیاً، ویستفاد هذا المعنی من الکتاب والسنّة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والوجود الحقیقی ذو مراتب أعلاها مرتبة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نور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مرتبة أدنی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مجموع عالم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 إحاطة الجمیع بعالم الخلقة واکتناه خفایاه لیست علی شاکلة واحدة، فکانت الحاجة إلی الإمام لإحاطته بتلک المرتبة العلیا، بل بعض المراتب العلیا مغلقة علی البشریة ولا یمسها إلاّ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 من الروایات التی تمسک بها الأخباریون لنفی حجّیة القرآن هی فی الواقع تشیر إلی بطون القرآن لا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فکون القرآن نوراً وبیاناً وتبیاناً لکلّ شیء دلیل علی ضرورة الهادی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 فِی صُدُورِ الَّذِینَ أُوتُوا الْعِلْمَ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فلابدّ من الرجوع إلی الثقل الآخر فی فهم القرآن من دون أن یعنی ذلک عزل القرآن وهجره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حتی فروع الدین موجودة کلّها فی القرآن، وقد استدل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مجموعة من الأحکام به، وقد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حَدَّثْتُکُمْ بِشَیْ‌ءٍ فَاسْأَلُونِی عَنْهُ مِنْ کِتَابِ اللَّهِ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ومثله تفاصیل المعاد، ولا طریق للتعرف علیها من القرآن إلاّ بمراجعة المعصوم، کما نقل العلاّمة ذلک وقد أحسن، ولیته فعل ذلک فی الجمیع</w:t>
      </w:r>
      <w:r>
        <w:rPr>
          <w:rFonts w:eastAsia="IRNazanin" w:cs="IRNazanin"/>
          <w:color w:val="111111"/>
          <w:sz w:val="28"/>
          <w:szCs w:val="28"/>
          <w:rtl w:val="true"/>
          <w:lang w:bidi="fa-IR"/>
        </w:rPr>
        <w:t>.</w:t>
      </w:r>
    </w:p>
    <w:p>
      <w:pPr>
        <w:pStyle w:val="Heading6"/>
        <w:numPr>
          <w:ilvl w:val="5"/>
          <w:numId w:val="1"/>
        </w:numPr>
        <w:rPr/>
      </w:pPr>
      <w:bookmarkStart w:id="800" w:name="__RefHeading___Toc3300196_1468164448"/>
      <w:bookmarkStart w:id="801" w:name="_Toc319"/>
      <w:bookmarkEnd w:id="800"/>
      <w:r>
        <w:rPr>
          <w:rtl w:val="true"/>
        </w:rPr>
        <w:t>ثالثاً</w:t>
      </w:r>
      <w:r>
        <w:rPr>
          <w:rtl w:val="true"/>
        </w:rPr>
        <w:t xml:space="preserve">: </w:t>
      </w:r>
      <w:r>
        <w:rPr>
          <w:rtl w:val="true"/>
        </w:rPr>
        <w:t>قول النبی</w:t>
      </w:r>
      <w:r>
        <w:rPr/>
        <w:t>9</w:t>
      </w:r>
      <w:r>
        <w:rPr>
          <w:rtl w:val="true"/>
        </w:rPr>
        <w:t xml:space="preserve"> </w:t>
      </w:r>
      <w:r>
        <w:rPr>
          <w:rtl w:val="true"/>
        </w:rPr>
        <w:t>فی عرض القرآن من حیث الحجّیة</w:t>
      </w:r>
      <w:bookmarkEnd w:id="801"/>
    </w:p>
    <w:p>
      <w:pPr>
        <w:pStyle w:val="BookText"/>
        <w:rPr/>
      </w:pPr>
      <w:r>
        <w:rPr>
          <w:rFonts w:ascii="IRNazanin" w:hAnsi="IRNazanin" w:eastAsia="IRNazanin"/>
          <w:color w:val="111111"/>
          <w:sz w:val="28"/>
          <w:sz w:val="28"/>
          <w:szCs w:val="28"/>
          <w:rtl w:val="true"/>
          <w:lang w:bidi="fa-IR"/>
        </w:rPr>
        <w:t xml:space="preserve">إنّ لازم ما ذکره من عدم نسخ القرآن بالسنّة القطعیة، أنّ من کان معاصراً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أن آیة کذا منسوخة، لابدّ أن لا یعمل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بعید وغریب عن بدیهیات المسلمین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حجّیة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منحصرة بالقرآن فقط،</w:t>
      </w:r>
      <w:bookmarkStart w:id="802" w:name="pg16983_381036"/>
    </w:p>
    <w:p>
      <w:pPr>
        <w:pStyle w:val="BookText"/>
        <w:rPr/>
      </w:pPr>
      <w:bookmarkEnd w:id="802"/>
      <w:r>
        <w:rPr>
          <w:rFonts w:ascii="IRNazanin" w:hAnsi="IRNazanin" w:eastAsia="IRNazanin"/>
          <w:color w:val="111111"/>
          <w:sz w:val="28"/>
          <w:sz w:val="28"/>
          <w:szCs w:val="28"/>
          <w:rtl w:val="true"/>
          <w:lang w:bidi="fa-IR"/>
        </w:rPr>
        <w:t xml:space="preserve">ویشهد لذلک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قام بالدعوة کان دلیل صدقه صفاته المعروفة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معاجزه الأُخر، من قبیل شقّ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هناک مجموعة من الآیات تشیر إلی أنّ واحدة من أدلّة حجّیة القرآن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لَمْ یَعْرِفُوا رَسُولَهُمْ فَهُمْ لَهُ مُنْکِرُونَ</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بناء علی واحدة من تفاسیر الآیة، ولیس هو بغریب بعد معرفة أنّ الحجج متکافلة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فحینما نلاحظ مطلع الزیارة الرضویة نجد أنّ واحدة من أدلّة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الأئمة علی مستوی العلم والعمل، فی الوقت الذی کان دلیل إمامتهم هو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إلی أنه المؤتمن علی القرآن، فکیف لا یکون نسخه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بالإضافة إلی أنّ حقیقة النسخ تخصیص أزمانی، فلِمَ یقبل العلاّمة التخصیص الأفرادی بالسنّة ولا یقبل التخصیص الأزمانی؟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دون القرآن فی الحجّیة بل فی عرضه، فلیس شرطاً أن یکون نسخ القرآن بلغة القرآن، وإنما یمکن أن یکون بکلامه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مهیمن علی القرآن، والمعجزة أثر 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نظر العلاّمة فی منع النسخ بالسنّة إلی نسخ التلاوة، وهو الذی لم یقل أحد من الشیعة بوقوعه، ومع ذلک فهو ممکن أیضاً لما تقدّم</w:t>
      </w:r>
      <w:r>
        <w:rPr>
          <w:rFonts w:eastAsia="IRNazanin" w:cs="IRNazanin"/>
          <w:color w:val="111111"/>
          <w:sz w:val="28"/>
          <w:szCs w:val="28"/>
          <w:rtl w:val="true"/>
          <w:lang w:bidi="fa-IR"/>
        </w:rPr>
        <w:t>.</w:t>
      </w:r>
    </w:p>
    <w:p>
      <w:pPr>
        <w:pStyle w:val="Heading6"/>
        <w:numPr>
          <w:ilvl w:val="5"/>
          <w:numId w:val="1"/>
        </w:numPr>
        <w:rPr/>
      </w:pPr>
      <w:bookmarkStart w:id="803" w:name="__RefHeading___Toc3300198_1468164448"/>
      <w:bookmarkStart w:id="804" w:name="_Toc320"/>
      <w:bookmarkEnd w:id="803"/>
      <w:r>
        <w:rPr>
          <w:rtl w:val="true"/>
        </w:rPr>
        <w:t>رابعاً</w:t>
      </w:r>
      <w:r>
        <w:rPr>
          <w:rtl w:val="true"/>
        </w:rPr>
        <w:t xml:space="preserve">: </w:t>
      </w:r>
      <w:r>
        <w:rPr>
          <w:rtl w:val="true"/>
        </w:rPr>
        <w:t>أقسام الروایات الواردة فی ذیل الآیات</w:t>
      </w:r>
      <w:bookmarkEnd w:id="804"/>
    </w:p>
    <w:p>
      <w:pPr>
        <w:pStyle w:val="BookText"/>
        <w:rPr/>
      </w:pPr>
      <w:r>
        <w:rPr>
          <w:rFonts w:ascii="IRNazanin" w:hAnsi="IRNazanin" w:eastAsia="IRNazanin"/>
          <w:color w:val="111111"/>
          <w:sz w:val="28"/>
          <w:sz w:val="28"/>
          <w:szCs w:val="28"/>
          <w:rtl w:val="true"/>
          <w:lang w:bidi="fa-IR"/>
        </w:rPr>
        <w:t>إنّ الروایات الواردة فی ذیل الآیات المبارکة علی أنحاء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التطبیق علی المصادیق، ومعه یبقی الظهور علی</w:t>
      </w:r>
      <w:bookmarkStart w:id="805" w:name="pg16983_381038"/>
    </w:p>
    <w:p>
      <w:pPr>
        <w:pStyle w:val="BookText"/>
        <w:rPr/>
      </w:pPr>
      <w:bookmarkEnd w:id="805"/>
      <w:r>
        <w:rPr>
          <w:rFonts w:ascii="IRNazanin" w:hAnsi="IRNazanin" w:eastAsia="IRNazanin"/>
          <w:color w:val="111111"/>
          <w:sz w:val="28"/>
          <w:sz w:val="28"/>
          <w:szCs w:val="28"/>
          <w:rtl w:val="true"/>
          <w:lang w:bidi="fa-IR"/>
        </w:rPr>
        <w:t>حاله ولا تخص الآیة المصداق المذکور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تأویلیة، وهی أیضاً لا تسقط الظهور عن الحجّیة، کما أشار إلی ذلک العلاّمة خلافاً لما کان سائداً من حصر الآیة بالمعنی التأویلی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التفسیری الذی یفسّر القرآن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التفسیری الذی یحدّد ظهور الآیة وإن کان خلاف الظاهر حسب ما بأیدینا من موازین 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فالعمل یکون علی الروایة لا علی الظاهر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تمکنّا من العثور علی شواهد کنّا غافلین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ما حدّدته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نعثر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للعلاّمة حیث قدّم الظاهر اللغوی، فی حین أنّ الصحیح هو تقدیم الروایة بعد الإلتفات إلی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أخبر بالوضع وشؤون الترکیب، فهم أفصح من نطق بالضاد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لیست جمیعاً تفسیریة، کما توهّمه جملة من القدماء، ومن ثمّ رتّبوا علی ذلک حصر الآیات بمورد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التفسیری منها لیس جمیعاً من باب تفسیر القرآن بالقرآن وتحدید الظهور ضمن مقاییس الأدب المألوفة</w:t>
      </w:r>
      <w:r>
        <w:rPr>
          <w:rFonts w:eastAsia="IRNazanin" w:cs="IRNazanin"/>
          <w:color w:val="111111"/>
          <w:sz w:val="28"/>
          <w:szCs w:val="28"/>
          <w:rtl w:val="true"/>
          <w:lang w:bidi="fa-IR"/>
        </w:rPr>
        <w:t>.</w:t>
      </w:r>
    </w:p>
    <w:p>
      <w:pPr>
        <w:pStyle w:val="Heading6"/>
        <w:numPr>
          <w:ilvl w:val="5"/>
          <w:numId w:val="1"/>
        </w:numPr>
        <w:rPr/>
      </w:pPr>
      <w:bookmarkStart w:id="806" w:name="__RefHeading___Toc3300200_1468164448"/>
      <w:bookmarkStart w:id="807" w:name="_Toc321"/>
      <w:bookmarkEnd w:id="806"/>
      <w:r>
        <w:rPr>
          <w:rtl w:val="true"/>
        </w:rPr>
        <w:t>نظریة العلمانیین</w:t>
      </w:r>
      <w:bookmarkEnd w:id="807"/>
    </w:p>
    <w:p>
      <w:pPr>
        <w:pStyle w:val="BookText"/>
        <w:rPr/>
      </w:pPr>
      <w:r>
        <w:rPr>
          <w:rFonts w:ascii="IRNazanin" w:hAnsi="IRNazanin" w:eastAsia="IRNazanin"/>
          <w:color w:val="111111"/>
          <w:sz w:val="28"/>
          <w:sz w:val="28"/>
          <w:szCs w:val="28"/>
          <w:rtl w:val="true"/>
          <w:lang w:bidi="fa-IR"/>
        </w:rPr>
        <w:t xml:space="preserve">یمکن عنونة هذه النظریة بنظریة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عقولنا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وترمی لإسقاط حجّیة القرآن واعتباره</w:t>
      </w:r>
      <w:r>
        <w:rPr>
          <w:rFonts w:eastAsia="IRNazanin" w:cs="IRNazanin"/>
          <w:color w:val="111111"/>
          <w:sz w:val="28"/>
          <w:szCs w:val="28"/>
          <w:rtl w:val="true"/>
          <w:lang w:bidi="fa-IR"/>
        </w:rPr>
        <w:t>.</w:t>
      </w:r>
    </w:p>
    <w:p>
      <w:pPr>
        <w:pStyle w:val="Heading6"/>
        <w:numPr>
          <w:ilvl w:val="5"/>
          <w:numId w:val="1"/>
        </w:numPr>
        <w:rPr/>
      </w:pPr>
      <w:bookmarkStart w:id="808" w:name="__RefHeading___Toc3300202_1468164448"/>
      <w:bookmarkStart w:id="809" w:name="_Toc322"/>
      <w:bookmarkEnd w:id="808"/>
      <w:r>
        <w:rPr>
          <w:rtl w:val="true"/>
        </w:rPr>
        <w:t>جذور النظریة فی کلمات العرفاء</w:t>
      </w:r>
      <w:bookmarkEnd w:id="809"/>
    </w:p>
    <w:p>
      <w:pPr>
        <w:pStyle w:val="BookText"/>
        <w:rPr/>
      </w:pPr>
      <w:r>
        <w:rPr>
          <w:rFonts w:ascii="IRNazanin" w:hAnsi="IRNazanin" w:eastAsia="IRNazanin"/>
          <w:color w:val="111111"/>
          <w:sz w:val="28"/>
          <w:sz w:val="28"/>
          <w:szCs w:val="28"/>
          <w:rtl w:val="true"/>
          <w:lang w:bidi="fa-IR"/>
        </w:rPr>
        <w:t>نجد جذور هذه النظریة فی کلمات بعض العرفاء من قبیل شمس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فهی لیست بکراً، سوی أنها صیغت بصیاغات متعددة تلتقی جمیعاً فی روحها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فی صیاغة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لا محدود، وفیضه دائم مستمر، والقرآن لیس إلاّ مَبْلغ قابلیة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الکشف المحمدی، فمقدار ما استوعبه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 ولکن فیضه</w:t>
      </w:r>
      <w:bookmarkStart w:id="810" w:name="pg16983_381041"/>
    </w:p>
    <w:p>
      <w:pPr>
        <w:pStyle w:val="BookText"/>
        <w:rPr/>
      </w:pPr>
      <w:bookmarkEnd w:id="810"/>
      <w:r>
        <w:rPr>
          <w:rFonts w:ascii="IRNazanin" w:hAnsi="IRNazanin" w:eastAsia="IRNazanin"/>
          <w:color w:val="111111"/>
          <w:sz w:val="28"/>
          <w:sz w:val="28"/>
          <w:szCs w:val="28"/>
          <w:rtl w:val="true"/>
          <w:lang w:bidi="fa-IR"/>
        </w:rPr>
        <w:t>تعالی أوسع من ذلک، فلیس القرآن هو منتهی فیضه، وما زالت قناة القلوب والعقول أوعیة لاغتراف فیوضات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صیاغة أخری لتلک النظریة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العقول کانت تحتاج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لقصورها، وقد رشدت الآن، فهی تتکئ علی الإلهامات الذاتیة العقلیة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فختم النبوة لا یعنی خلود الدین وإنما ختم حاجة البشر للنبوة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وبأیدینا صیاغة ثالثة حدیثة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یلحظ أنّ شطراً من القرآن یخص ویعالج ویناظر الثقافة البیئیة التی نزل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الأمثلة والأعراف والسنن والآداب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صالحة لمعالجة مشاکل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فیقتصر فیه علی المعانی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التفکیک بین اللسان العقلانی واللسان البیئی فی القرآن</w:t>
      </w:r>
      <w:r>
        <w:rPr>
          <w:rFonts w:eastAsia="IRNazanin" w:cs="IRNazanin"/>
          <w:color w:val="111111"/>
          <w:sz w:val="28"/>
          <w:szCs w:val="28"/>
          <w:rtl w:val="true"/>
          <w:lang w:bidi="fa-IR"/>
        </w:rPr>
        <w:t>.</w:t>
      </w:r>
    </w:p>
    <w:p>
      <w:pPr>
        <w:pStyle w:val="Heading6"/>
        <w:numPr>
          <w:ilvl w:val="5"/>
          <w:numId w:val="1"/>
        </w:numPr>
        <w:rPr/>
      </w:pPr>
      <w:bookmarkStart w:id="811" w:name="__RefHeading___Toc3300204_1468164448"/>
      <w:bookmarkStart w:id="812" w:name="_Toc323"/>
      <w:bookmarkEnd w:id="811"/>
      <w:r>
        <w:rPr>
          <w:rtl w:val="true"/>
        </w:rPr>
        <w:t>ملاحظات علی الصیاغة العرفانیة</w:t>
      </w:r>
      <w:bookmarkEnd w:id="81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تشتمل علی مغالطة، حیث افترضت أنّ فعل اللّه سبحانه لا محدود، وهو وإن کان صحیحاً، إلاّ أنّ دورتنا البشریة التی ابتدأت بآدم وتنتهی بالقیامة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فیض لا محدود علی منطقه، والحال أنّ هذا الفعل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یفرض فیه إمکان وجود واحد قد سبق الجمیع علی مستوی قابلیته وعلی مستوی ما حصله 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وسبقه لا یلزم منه تأخره زماناً عن الجمیع، وإنما أن یکون فی وسط الدورة أو بدایتها، وهناک شواهد علی وقوع مثل هذا السبق وتحققه فی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بالأسماء الإلهیة، التی تبنّی عرفاء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نظّره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مخلوقة، وأنها مظاهر الذات المقدسة لا عینها، وهم یقبلون أنّ هناک اسماً جامعاً محیطاً بکلّ الأسماء، مع أنها لا محدودة أزلاً وأبداً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ذکر الحلّ یجدر الإشارة إلی أنّ هناک روایات بألسنة متعددة</w:t>
      </w:r>
    </w:p>
    <w:p>
      <w:pPr>
        <w:pStyle w:val="BookText"/>
        <w:rPr/>
      </w:pPr>
      <w:r>
        <w:rPr>
          <w:rFonts w:ascii="IRNazanin" w:hAnsi="IRNazanin" w:eastAsia="IRNazanin"/>
          <w:color w:val="111111"/>
          <w:sz w:val="28"/>
          <w:sz w:val="28"/>
          <w:szCs w:val="28"/>
          <w:rtl w:val="true"/>
          <w:lang w:bidi="fa-IR"/>
        </w:rPr>
        <w:t xml:space="preserve">تشیر إلی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الحسنی وکلمات اللّه التامات، والقرآن الکریم یدلّ أیضاً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والإسم لغة هو العلامة، وبالتالی مصداقه الحقیقی لیس هو اللفظ، وإنما ما کان ذاتاً وتکویناً علامة،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اللّه وکلماته وعلاماته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غایته أنّ وجود الشیء إن نُظر إلیه بما أنه رابط کان آیة وعلامة واسماً لعلّته، وإن نُظر إلیه مستقلاً ذا ماهیة کان محمّداً و علیاً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هذه المقدمة یتضح الحلّ؛ حیث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 ومجری وقناة یمرّ من خلالها الفیض الأزلی، فلا یقف تکامله عند حدّ، وإنما یکامل کلّما مرّ فیه فیض، فما أن یفرض فیض وهو الوجود الرابط، فالحقیقة المحمدیة بحکم وساطتها تکون هی المتفیضة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فدوماً هو الأکمل وبالتالی دوماً هو المرجع ولا یستغنی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بطوناً ودرجات ومراتب أعلاها أمّ الکتاب، وهو الوجود التکوینی الجامع لکلّ کمالات عالم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یشذّ منه کمال، أی إنّ کلّ کلمة نجدها فیما بأیدینا من القرآن المکتوب هو وجود اعتباری للقرآن التکوینی اللاّمحدود، فهو وجود نازل لأمّ الکتاب، وحیث تنزّلت تلک المعانی والوجودات التکوینیة فکانت نهایة تنزّلها بالألفاظ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الألفاظ قد استوعبت کلّ ما یمکن تنزّلها، وإن کانت محدودة بالدفّتین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یعقل أن تنوجد کمالات متنزّلة لم یستوعبها اللفظ القرآنی کی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محدود لا یعبّر عن التکاملات البشریة اللامتناهیة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ما قاله الرسول إنشاءً، وما جاء بصیغة حدیث قدسی، أو ما تفوه به أئمتنا من معارف، کلّها موجودة فی القرآن ومحدودیة ألفاظ القرآن لا تمنع من استیعاب ما یمکن تنزّله علی سعته، وإلاّ فحروف اللغة العربیة ومفرداتها محدودة أیضاً لا یمکنها استیعاب المتنزّلات</w:t>
      </w:r>
    </w:p>
    <w:p>
      <w:pPr>
        <w:pStyle w:val="BookText"/>
        <w:rPr/>
      </w:pPr>
      <w:r>
        <w:rPr>
          <w:rFonts w:ascii="IRNazanin" w:hAnsi="IRNazanin" w:eastAsia="IRNazanin"/>
          <w:color w:val="111111"/>
          <w:sz w:val="28"/>
          <w:sz w:val="28"/>
          <w:szCs w:val="28"/>
          <w:rtl w:val="true"/>
          <w:lang w:bidi="fa-IR"/>
        </w:rPr>
        <w:t>المستمرة باستمرار البشریة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وإذا تصفّحنا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الکتاب العزیز لوجدنا أنها تشیر وبوضوح إلی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القرآن ومراتبه ودرجاته التی أعلاها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یمکن تنزّله من المراتب قد تنزّل فی ألفاظ المصحف الشریف علی محدودیة ألفاظه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وصفها القرآن فی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w:t>
      </w:r>
    </w:p>
    <w:p>
      <w:pPr>
        <w:pStyle w:val="BookText"/>
        <w:rPr/>
      </w:pPr>
      <w:r>
        <w:rPr>
          <w:rFonts w:ascii="Amiri" w:hAnsi="Amiri" w:eastAsia="Amiri" w:cs="Amiri"/>
          <w:color w:val="111111"/>
          <w:sz w:val="28"/>
          <w:sz w:val="28"/>
          <w:szCs w:val="28"/>
          <w:rtl w:val="true"/>
          <w:lang w:bidi="ar-SA"/>
        </w:rPr>
        <w:t xml:space="preserve">مَحْفُوظٍ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الْمُبِینِ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مُهَیْمِناً عَلَیْهِ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لِلْعالَمِینَ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والمجد یعنی العظمة، فلا یبلی ولا یندثر،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کُلِّ شَیْ‌ءٍ</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فِی هذَا الْقُرْآنِ مِنْ کُلِّ مَثَلٍ</w:t>
      </w:r>
      <w:r>
        <w:rPr>
          <w:rFonts w:eastAsia="Amiri" w:cs="Amiri" w:ascii="Amiri" w:hAnsi="Amiri"/>
          <w:color w:val="111111"/>
          <w:sz w:val="28"/>
          <w:szCs w:val="28"/>
          <w:rtl w:val="true"/>
          <w:lang w:bidi="ar-SA"/>
        </w:rPr>
        <w:t>) .</w:t>
      </w:r>
      <w:r>
        <w:rPr>
          <w:rStyle w:val="FootnoteAnchor"/>
          <w:rtl w:val="true"/>
        </w:rPr>
        <w:footnoteReference w:id="11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وَصَفَ القرآنُ الرسولَ الأعظم ودینَه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النَّبِیِّینَ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الدالة علی الهیمنة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الهیمنة أیضاً،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فما کان من کمال للعالمین یکون من خلاله،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أَسْلَمَ مَنْ 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دِینِ اللّهِ یَبْغُونَ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هذه الآیات وغیرها الکثیر تدلّ علی أنّ الشریعة لا تنسخ، وأنّ قوانین الإسلام لا تتغیر، وأنّ الحاجة مازالت إلی القرآن، فلیس هو بحق نسبی جزئی، وإنما حق مطلق إلی قیام الساعة، وأنّ معرفة الإنسان دوماً من خلال النبوة الخاتمة فلا یصل إلی الحقیقة من دون واسطة،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نبوّة وإن لم یسمّوها بذلک فهی لا تنسجم مع النبوّة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نقرّ ما ذکر فی نظریة هؤلاء من أنّ البشریة لا یقف سعیها ولا تسکن حرکتها وهی دوماً فی حالة تکامل، ولکن لابدّ من الإلتفات إلی أنّ هذه الظاهرة البدیهیة لازمة أمرین بدیهین،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حقیقة وکمال یبغی البشر الوصول إلیه، وإلاّ لما أمکن تفسیر سعی البشر وحرکتهم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البشریة لن تصل فی یومٍ مّا إلی تمام الحقیقة، لا علی صعید فکرها ولا علی صعید سلوکها ما دامت فی عالم الدنیا، وإلاّ لوقف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وبقاعدة اللطف المرتبطة بالعقل العملی، والعنایة المرتبطة بالعقل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أنه من الواجب عن اللّه تعالی تسدید البشریة بوضع المنهج النظری المرسل إلی تمام الحقیقة وجعله فی متناول الجمیع، لأجل إتاحة الفرصة لهم بالوصول إلی تمام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البشریة عاجزة عن وضع شریعة کاملة تستوعب کلّ تفاصیل الحیاة ومستجداتها، ولکن لما کان الواضع هو اللّه سبحانه المحیط بالجمیع أمکن أن یضع شریعة کلیة جامعة تستوعب کلّ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یمکنه وضع شریعة کاملة وبنحو القضیة الخارجیة لکلّ الجزئیات، وإلاّ إننا بحکم محدودیتنا لا یمکن لنا استیعاب مثل هکذا شریعة، بالإضافة إلی أنّ بیان الکلّیات یغنی عن بیان الجزئیات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والحل بمدرکات العقل النظری والعملی البدیهیة المحدودة، ولکن من دون أن یشذّ عنها واقعة من الوقائع، فحیث</w:t>
      </w:r>
    </w:p>
    <w:p>
      <w:pPr>
        <w:pStyle w:val="BookText"/>
        <w:rPr/>
      </w:pPr>
      <w:r>
        <w:rPr>
          <w:rFonts w:ascii="IRNazanin" w:hAnsi="IRNazanin" w:eastAsia="IRNazanin"/>
          <w:color w:val="111111"/>
          <w:sz w:val="28"/>
          <w:sz w:val="28"/>
          <w:szCs w:val="28"/>
          <w:rtl w:val="true"/>
          <w:lang w:bidi="fa-IR"/>
        </w:rPr>
        <w:t>أمکن هنا فلیمکن فی الشریعة علی محدودیتها أن تستوعب کلّ الوقائع من دون أن یشذّ عنها شیء، ومن دون أن نحتاج إلی بیان جدید وقانون جدید، خاصة بعد الإلتفات إلی موقع الإعتبار والقانون من العقل، وأنّه یأتی فی الدرجة الثالثة بعد العقل العملی والنظری، بل العقل النظری، فالعملی یعتبر لبّ الشریعة الدینیة، ومع ذلک فهو ثابت ومحدود، ومع استیعابه للمصادیق التی لا تقف عند حدّ، فالشریعة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وجود متغیر من دون ثابت، وقد أخطأ أصحاب القول بالتغیّر بنفیهم لکلّ ثبات، حیث إنّ فی الإنسان بُعدین؛ أحدهما ثابت، والآخر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والثابت لم یزل ولا یزال هو هو من یوم وجد الإنسان إلی حین قیام الساعة، علی کثرة ما حصل من تغیرات، بل قفزات فی حیاة البشریة فی کلّ جوانبها، ولکن مع کلّ هذا نجد فی کلّ زاویة أیضاً ثابتاً لا یتغیر سواء فی الجانب الإقتصادی أم الإجتماعی أم غیرهما کالحاجة إلی الأکل والتعاون والنظم والجنس وطلب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نفی الثبات رکّز علی الجانب المتغیر فی الإنسان من دون التفات إلی جانب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والقانون والشریعة تعالج الجانب الثابت فی حیاة البشریة، والتغیر یؤمن مصادیق لذلک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هو الموجود فی المتغیرات کلّها، وهو القاسم المشترک بین کلّ أفراد الإنسان، والإنسان یطبّق الثابت علی المتغیر وینفّذ الشریعة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الجواب عمّا ذکر فی القرآن من أنه یعالج المشاکل الخاصة لمجتمع مکة والمدینة فی بعض آیاته، وبالتالی فهو لا ینفعنا الیوم، حیث إنّ ما ذکر صحیح ولکن لابدّ أن یعرف أنّ القرآن إنما عالج المشاکل الخاصة وعرض الأمثلة الخاصة بالبیئة العربیة من زاویة ثباتها، وبما أنه مصداق کلی، لا من حیث خصوصیتها کی تکون عدیمة الفائدة الیوم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طالعنا مثل القانون الإنکلیزی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یعتمد فی صیاغته علی</w:t>
      </w:r>
    </w:p>
    <w:p>
      <w:pPr>
        <w:pStyle w:val="BookText"/>
        <w:rPr/>
      </w:pPr>
      <w:r>
        <w:rPr>
          <w:rFonts w:ascii="IRNazanin" w:hAnsi="IRNazanin" w:eastAsia="IRNazanin"/>
          <w:color w:val="111111"/>
          <w:sz w:val="28"/>
          <w:sz w:val="28"/>
          <w:szCs w:val="28"/>
          <w:rtl w:val="true"/>
          <w:lang w:bidi="fa-IR"/>
        </w:rPr>
        <w:t xml:space="preserve">جمع تجارب القضاة واستخلاص الکلّیات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لوجدناه أنه یعتمد التجارب القضائیة لعهد ما قبل المسیح التی بقیت محفوظة، مع أنّ التغیر الحاصل من ذلک العهد إلی عهدنا لا یمکن أن یوصف، ولکنّه مع ذلک لم یتغافل عن تلک التجارب علی خصوصیتها، وإنما استفاد منها من جهة 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فالتغافل عن الثبات تغافل عن وجه اللّه وتغافل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نلمس جهة حق فی نظریة هؤلاء وهی أنّ صرف سلامة القوانین الکلّیة وأحکامها ووفائها وتغطیتها لکلّ المستجدات، مع کون المتغیرات شدیدة الإلتباس والتعقید لا یکفی حلاً للمشکلة ما لم تتنزل تلک الکلّیات فی المتغیرات الملتبسة المعقدة بصواب وسداد، وإلاّ ما زلنا ندور فی الفراغ، إذ صرف معالجة الشریعة لجهات الثبات، وتصویر استیعاب الکلّیات للجزئیات، وأنّ القرآن تنزّل لکلّ ما یمکن تنزّله، وأنّ الرسول دوماً أکمل من البشر، کلّ ذلک وغیره مما ذکر لا یعالج المشکلة فی بُعدها التطبیقی العملی، وإن عالجها علی المستوی التجریدی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للمستشکل أن یسجّل هذه المؤاخذة وهی أن هناک نقصاً فی الرسالة والشریعة حیث لم تردم هذا الفراغ مما یضطر البشریة إلی إعمال فکرها واجتهادها الشخصی وسنّ قوانین بشریة لهذه التغیرات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ما تقدّم من الأجوبة لم یعالج هذه الزاویة من الإشکال، ولکن إقرار المشکلة لا یعنی إقرار الحلّ الذی وضعوه، فإنه خطأ بعد أن کان هناک قرآن ناطق جنباً إلی جنب القرآن الصامت یرافق البشریة ما دامت موجودة، وهو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واحدة من مهامه وشؤونه هی تنزیل الکلّی علی مصداقه، وإیصال إرادات اللّه الجزئیة وتحکیمها علی إرادة النفس</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والإشکال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ذکرناه من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w:t>
      </w:r>
    </w:p>
    <w:p>
      <w:pPr>
        <w:pStyle w:val="BookText"/>
        <w:rPr/>
      </w:pPr>
      <w:r>
        <w:rPr>
          <w:rFonts w:ascii="Amiri" w:hAnsi="Amiri" w:eastAsia="Amiri" w:cs="Amiri"/>
          <w:color w:val="111111"/>
          <w:sz w:val="28"/>
          <w:sz w:val="28"/>
          <w:szCs w:val="28"/>
          <w:rtl w:val="true"/>
          <w:lang w:bidi="ar-SA"/>
        </w:rPr>
        <w:t>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فمن دون الإمامة لم یکن الدین کاملاً، ومن ثمّ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لأنها لیست صرف التنظیر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الملاحظات التی سجّلناها علی کلّ من النظریات الثلاث تبلور ضرورة معیّة القرآن والسنّة، ومعیّتهما مع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حدیث الثقلین؛ حیث دلّ علی أنّ التمسک لابدّ أن یکون بهما معاً لتلازمهما، ومن ثمّ فالتمسک بأحدهما یعنی عدم التمسک بهما معاً، فمقولة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برّاقة، إلاّ أنّ محتواها کما 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ما نتخیّله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العقلاء، ومن ثمّ یظهر أهمیة العقل، وأنّه بدونه لا یحصل 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فهم القرآن لابدّ من ملاحظة السنّة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صواب رؤیة الأخباریین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القرائن القرآنیة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صواب رؤیة العلاّمة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ملاحظة القرائن العقلیة، ومع مزج هذه الأمور الثلاثة یأتی فهم القرآن متعادلاً، ولا یکون من التفسیر بالرأی، ولا یؤدّی إلی ضرب القرآن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وسنذکر بعد عرض رؤیة 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طبیعة النسبة بین هؤلاء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والسنّة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مدی کلّ منها فی فهم القرآن والإعتماد علی السنّة والعقل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أردنا تأشیره فی هذه الفقرة من البحث هو أنّ النتیجة التی خلّصنا إلیها من دراسة ا لنظریات المذکورة هی أنها جمیعاً تتأرجح بین الإفراط والتفریط، وأنّ تعطیل السنّة أو العقل أو الکتاب غیر</w:t>
      </w:r>
      <w:bookmarkStart w:id="813" w:name="pg16983_381057"/>
    </w:p>
    <w:p>
      <w:pPr>
        <w:pStyle w:val="BookText"/>
        <w:rPr/>
      </w:pPr>
      <w:bookmarkEnd w:id="813"/>
      <w:r>
        <w:rPr>
          <w:rFonts w:ascii="IRNazanin" w:hAnsi="IRNazanin" w:eastAsia="IRNazanin"/>
          <w:color w:val="111111"/>
          <w:sz w:val="28"/>
          <w:sz w:val="28"/>
          <w:szCs w:val="28"/>
          <w:rtl w:val="true"/>
          <w:lang w:bidi="fa-IR"/>
        </w:rPr>
        <w:t>صحیح ولیس منهجیاً</w:t>
      </w:r>
      <w:r>
        <w:rPr>
          <w:rFonts w:eastAsia="IRNazanin" w:cs="IRNazanin"/>
          <w:color w:val="111111"/>
          <w:sz w:val="28"/>
          <w:szCs w:val="28"/>
          <w:rtl w:val="true"/>
          <w:lang w:bidi="fa-IR"/>
        </w:rPr>
        <w:t>.</w:t>
      </w:r>
    </w:p>
    <w:p>
      <w:pPr>
        <w:pStyle w:val="Heading6"/>
        <w:numPr>
          <w:ilvl w:val="5"/>
          <w:numId w:val="1"/>
        </w:numPr>
        <w:rPr/>
      </w:pPr>
      <w:bookmarkStart w:id="814" w:name="__RefHeading___Toc3300206_1468164448"/>
      <w:bookmarkStart w:id="815" w:name="_Toc324"/>
      <w:bookmarkEnd w:id="814"/>
      <w:r>
        <w:rPr>
          <w:rtl w:val="true"/>
        </w:rPr>
        <w:t>نظریة السیّد البروجردی</w:t>
      </w:r>
      <w:bookmarkEnd w:id="815"/>
    </w:p>
    <w:p>
      <w:pPr>
        <w:pStyle w:val="BookText"/>
        <w:rPr/>
      </w:pPr>
      <w:r>
        <w:rPr>
          <w:rFonts w:ascii="IRNazanin" w:hAnsi="IRNazanin" w:eastAsia="IRNazanin"/>
          <w:color w:val="111111"/>
          <w:sz w:val="28"/>
          <w:sz w:val="28"/>
          <w:szCs w:val="28"/>
          <w:rtl w:val="true"/>
          <w:lang w:bidi="fa-IR"/>
        </w:rPr>
        <w:t>إنّ هناک معیّة بین القرآن والسنّة، إلاّ أنّ هناک طولیة إثباتیة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الکریم متن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منها متمم للمتن والآخر شرح المتن إلاّ أنه جوامع الشرح، وسنّة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شارحة لمتن القانون و متممة مع شرحها للشرح فهی تفاصیل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استقی نظریته هذه من ممارسة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 لها فی البحار، ومن قبله 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والممارس لهذه الطریقة فی الفقه یلحظ أثرها بوضوح، وأنّ هناک بوناً شاسعاً فی الإستظهار واستنطاق الأدلّة بین هذه الطریقة والطریقة الأُخری التی غیّب القرآن فیها، کما نشیر إلی ذلک فی نقطة 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وبالإلتفات إلی الفرق الأصولی بین النظریتین یتبلور الفرق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الناظر إلی دلیل آخر بنحو تکون علاقته معه علاقة الحکومة التفسیریة یختلف عمّا لو فرضناه فی عرض الدلیل الآخر وأجنبیاً عنه فی کیفیة التعامل معه والاستفادة منه</w:t>
      </w:r>
      <w:r>
        <w:rPr>
          <w:rFonts w:eastAsia="IRNazanin" w:cs="IRNazanin"/>
          <w:color w:val="111111"/>
          <w:sz w:val="28"/>
          <w:szCs w:val="28"/>
          <w:rtl w:val="true"/>
          <w:lang w:bidi="fa-IR"/>
        </w:rPr>
        <w:t>.</w:t>
      </w:r>
    </w:p>
    <w:p>
      <w:pPr>
        <w:pStyle w:val="Heading6"/>
        <w:numPr>
          <w:ilvl w:val="5"/>
          <w:numId w:val="1"/>
        </w:numPr>
        <w:rPr/>
      </w:pPr>
      <w:bookmarkStart w:id="816" w:name="__RefHeading___Toc3300208_1468164448"/>
      <w:bookmarkStart w:id="817" w:name="_Toc325"/>
      <w:bookmarkEnd w:id="816"/>
      <w:r>
        <w:rPr>
          <w:rtl w:val="true"/>
        </w:rPr>
        <w:t>السنّة ناظرة إلی القرآن</w:t>
      </w:r>
      <w:bookmarkEnd w:id="81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البروجردی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ناظرة إلی القرآن، وإن لم تکن الروایة فی ذیل الآیة فهی القرینة والقرآن ذو القرینة، بل فی الوقت التی هی قرینة شارحة للآیة ومفسّرة لابدّ من المعیّة؛ لأنّ القرینة لا یفهم معناها إلاّ مع ذی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ذکروا أنّ الحاکم من دون محکوم لغو، غایته أنّ القرینة أقوی من ذی القرینة ومفسّرة لها لا أنها تغنی عنها، بل العلاقة بینهما أعمق من ذلک، فإنّ القرینیة متبادلة بینهما، أی إنّ ذا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قرینة علی</w:t>
      </w:r>
      <w:bookmarkStart w:id="818" w:name="pg16983_381059"/>
    </w:p>
    <w:p>
      <w:pPr>
        <w:pStyle w:val="BookText"/>
        <w:rPr/>
      </w:pPr>
      <w:bookmarkEnd w:id="818"/>
      <w:r>
        <w:rPr>
          <w:rFonts w:ascii="IRNazanin" w:hAnsi="IRNazanin" w:eastAsia="IRNazanin"/>
          <w:color w:val="111111"/>
          <w:sz w:val="28"/>
          <w:sz w:val="28"/>
          <w:szCs w:val="28"/>
          <w:rtl w:val="true"/>
          <w:lang w:bidi="fa-IR"/>
        </w:rPr>
        <w:t>السنّة فی عین أنه مشروح ومفسَّر بها؛ لأنّ الروایة صدرت فی جوّ القرآن، ومن ثمّ قد یکون فهمها لوحدها عکس ما لو لوحظ القرآن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نظیر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السنّة ناظرة إلی فقه العامة، مما یعنی أنّ فقه العامة یشکّل قرینة علی فهم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ستتحدد الروایة بما یلائم الآیة وسترتفع کثیر من التعارضات، وسیتبلور سرّ إعراض المشهور عن بعض الروایات الصحیحة فی بعض المسائل لمخالفتها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باختصار قرینتان مزدوجتان، کلّ منهما قرینة علی الآخر</w:t>
      </w:r>
      <w:r>
        <w:rPr>
          <w:rFonts w:eastAsia="IRNazanin" w:cs="IRNazanin"/>
          <w:color w:val="111111"/>
          <w:sz w:val="28"/>
          <w:szCs w:val="28"/>
          <w:rtl w:val="true"/>
          <w:lang w:bidi="fa-IR"/>
        </w:rPr>
        <w:t>.</w:t>
      </w:r>
    </w:p>
    <w:p>
      <w:pPr>
        <w:pStyle w:val="Heading6"/>
        <w:numPr>
          <w:ilvl w:val="5"/>
          <w:numId w:val="1"/>
        </w:numPr>
        <w:rPr/>
      </w:pPr>
      <w:bookmarkStart w:id="819" w:name="__RefHeading___Toc3300210_1468164448"/>
      <w:bookmarkStart w:id="820" w:name="_Toc326"/>
      <w:bookmarkEnd w:id="819"/>
      <w:r>
        <w:rPr>
          <w:rtl w:val="true"/>
        </w:rPr>
        <w:t>تصوّر المعیة علی صعید الحجّیة</w:t>
      </w:r>
      <w:bookmarkEnd w:id="820"/>
    </w:p>
    <w:p>
      <w:pPr>
        <w:pStyle w:val="BookText"/>
        <w:rPr/>
      </w:pPr>
      <w:r>
        <w:rPr>
          <w:rFonts w:ascii="IRNazanin" w:hAnsi="IRNazanin" w:eastAsia="IRNazanin"/>
          <w:color w:val="111111"/>
          <w:sz w:val="28"/>
          <w:sz w:val="28"/>
          <w:szCs w:val="28"/>
          <w:rtl w:val="true"/>
          <w:lang w:bidi="fa-IR"/>
        </w:rPr>
        <w:t>وأنت خبیر بارتباط هذه الصیاغة الأصولیة لتصویر المعیة بینهما بالدلالة، وهناک صیاغة أخری أصولیة تصوّر المعیة بینهما علی صعید الحجّیة،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حجّتان مشروطتان کلّ منهما بالأخری، بمعنی أنّ حجّیتهما مجموعیة لا استغراقیة، فلیس حجّیة کلّ منهما مستقلة، وإنما حجّیة کلّ منهما بنحو الإستغراق معلّقة علی الآخر، فلابدّ من مراعاة ذلک فی الممارسة الآحادیة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یقال من أنّ القرآن لم یستوعب کلّ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نجد کثیراً من الروایات لا یوجد مضمونها فی القرآن، وقد یحصل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للمعیة وتقیید حجّیة کلّ منهما بالآخر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ما ذکر فلابدّ من المعیة فیما وجد مضمونه فی الاثنین، علی أنّ مراد السیّد البروجردی من المعیة هو أنّ التفاصیل و إن لم یوجد تفصیلاً فی القرآن إلاّ أنّ قواعدها وعموماتها موجودة فیه، فلابدّ من المعیة حینئذ</w:t>
      </w:r>
      <w:r>
        <w:rPr>
          <w:rFonts w:eastAsia="IRNazanin" w:cs="IRNazanin"/>
          <w:color w:val="111111"/>
          <w:sz w:val="28"/>
          <w:szCs w:val="28"/>
          <w:rtl w:val="true"/>
          <w:lang w:bidi="fa-IR"/>
        </w:rPr>
        <w:t>.</w:t>
      </w:r>
      <w:r>
        <w:rPr>
          <w:rStyle w:val="FootnoteAnchor"/>
          <w:rtl w:val="true"/>
        </w:rPr>
        <w:footnoteReference w:id="128"/>
      </w:r>
      <w:bookmarkStart w:id="821" w:name="pg16983_381062"/>
    </w:p>
    <w:p>
      <w:pPr>
        <w:pStyle w:val="Heading6"/>
        <w:numPr>
          <w:ilvl w:val="5"/>
          <w:numId w:val="1"/>
        </w:numPr>
        <w:rPr/>
      </w:pPr>
      <w:bookmarkStart w:id="822" w:name="__RefHeading___Toc3300212_1468164448"/>
      <w:bookmarkStart w:id="823" w:name="_Toc327"/>
      <w:bookmarkEnd w:id="821"/>
      <w:bookmarkEnd w:id="822"/>
      <w:r>
        <w:rPr>
          <w:rtl w:val="true"/>
        </w:rPr>
        <w:t>دلیل صیاغة المعیة</w:t>
      </w:r>
      <w:bookmarkEnd w:id="823"/>
    </w:p>
    <w:p>
      <w:pPr>
        <w:pStyle w:val="BookText"/>
        <w:rPr/>
      </w:pPr>
      <w:r>
        <w:rPr>
          <w:rFonts w:ascii="IRNazanin" w:hAnsi="IRNazanin" w:eastAsia="IRNazanin"/>
          <w:color w:val="111111"/>
          <w:sz w:val="28"/>
          <w:sz w:val="28"/>
          <w:szCs w:val="28"/>
          <w:rtl w:val="true"/>
          <w:lang w:bidi="fa-IR"/>
        </w:rPr>
        <w:t xml:space="preserve">الدلیل الأول لهذه الصیاغة اتفاق علماء الإمامیة علی أنّ أحد شرائط حجّیة الخبر المنفردة موافقة مضمونه لکتاب اللّه، وهذا هو الذی ذکر فی المعاملات من أنّ صحة الشرط مشروطة بأن لا یکون مخالفاً لکتاب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یکون موافقاً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تعبیر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والإختلاف فی التعبیر جاء من اختلاف فهم شرط الحجّیة وصحة الشرط فی المعاملات بین أن لا یکون مضاداً للکتاب، وبین ضرورة موافقته للکتاب باندراجه تحت عموم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من الموافقة فی الفهم الثانی تطابق الإجمالی مع التفصیلی لا المطابقة التامة، وإلاّ أغنی أحدهما عن الآخر، بل یصعب تحصیله غالباً بینهما، وإنما نظیر من یری شبحاً ویراه الآخر تفصیلاً، فإنّ المرئی الثانی مطابق للأول مطابقة الإجمالی للتفصیلی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یمکن تحصیله فی الکتاب العزیز، فلابدّ أن لا تخرج تفاصیل السنّة عن الحدود العامة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إلی هنا یثبت تعلیق حجّیة السنّة علی الکتاب، ولکن بضمیمة ما ذکره الأخباریون من الروایات الدالّة علی خطأ التفرد فی فهم القرآن یتکامل الدلیل علی معیة حجّیتهما واشتراط کلّ منهما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التأبید الوارد فی حدیث الثقلین ظاهر فی المعیة فی کلّ المراحل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والجدیر بالإنتباه أنّ حدیث الثقلین أیضاً موجود فی القرآن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bookmarkStart w:id="824" w:name="pg16983_381064"/>
    </w:p>
    <w:p>
      <w:pPr>
        <w:pStyle w:val="BookText"/>
        <w:rPr/>
      </w:pPr>
      <w:bookmarkEnd w:id="824"/>
      <w:r>
        <w:rPr>
          <w:rFonts w:ascii="Amiri" w:hAnsi="Amiri" w:eastAsia="Amiri" w:cs="Amiri"/>
          <w:color w:val="111111"/>
          <w:sz w:val="28"/>
          <w:sz w:val="28"/>
          <w:szCs w:val="28"/>
          <w:rtl w:val="true"/>
          <w:lang w:bidi="ar-SA"/>
        </w:rPr>
        <w:t>آیاتٌ بَیِّناتٌ فِی صُدُورِ الَّذِینَ أُوتُوا الْعِلْمَ</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وآیات أخری جمعناها فی بحث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والمؤسف أننا لم نعثر علی أحد من المتکلّمین والمحدّثین قد نبّه علی أنّ سند حدیث الثقلین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دلیل الصیاغة الأصولیة الأولی والصیاغة الفقهیة هو الإستقراء فی أبواب المعارف والفقه، حیث نلاحظ هناک أنّ الکثیر من القواعد والعمومات قرآنیة والروایات مذیلة لها شارحة ومفصلة ومفسّرة ومستنطقة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منهج السیّد البروجردی هو معیة الکتاب والسنّة، فکما أنّ العام لا یکون حجّة إلاّ بعد الفحص عن الخاص، کذلک الخاص لا یکون حجّة إلاّ بملاحظة نسبته إلی العام، لأنّ التخصیص شأن دلالی فلا یمکن فهمه إلاّ بملاحظته للعام، و إن کان فیه جعل إلاّ أنه من سنخ الجعل الواقعی، فلیس هو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الإنفراد فی فهم القرآن أو السنّة من دون ملاحظة الآخر لا ینهی إلی معنی محصل</w:t>
      </w:r>
      <w:r>
        <w:rPr>
          <w:rFonts w:eastAsia="IRNazanin" w:cs="IRNazanin"/>
          <w:color w:val="111111"/>
          <w:sz w:val="28"/>
          <w:szCs w:val="28"/>
          <w:rtl w:val="true"/>
          <w:lang w:bidi="fa-IR"/>
        </w:rPr>
        <w:t>.</w:t>
      </w:r>
    </w:p>
    <w:p>
      <w:pPr>
        <w:pStyle w:val="Heading6"/>
        <w:numPr>
          <w:ilvl w:val="5"/>
          <w:numId w:val="1"/>
        </w:numPr>
        <w:rPr/>
      </w:pPr>
      <w:bookmarkStart w:id="825" w:name="__RefHeading___Toc3300214_1468164448"/>
      <w:bookmarkStart w:id="826" w:name="_Toc328"/>
      <w:bookmarkEnd w:id="825"/>
      <w:r>
        <w:rPr>
          <w:rtl w:val="true"/>
        </w:rPr>
        <w:t>آثار نظریة المعیة</w:t>
      </w:r>
      <w:bookmarkEnd w:id="8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یمارس هذه النظریة فی الفقه والمعارف یلمس آثارها المهمة، فمثلاً فی بحث الحج بعد أن حکّمنا الآیات الثلاثة الدالّة علی وجوبه علی الطوائف المتعارضة فی روایات الإستطاعة، انحل التعارض بعد أن انتهینا إلی أنّ الإستطاعة قید تنجیز لا وجوب، ومن ثمّ لو حجّ غیر المستطیع أجزأه عن حجّة الإسلام وقد التزم بذلک المشهور عملاً لا تصریحاً</w:t>
      </w:r>
      <w:r>
        <w:rPr>
          <w:rFonts w:eastAsia="IRNazanin" w:cs="IRNazanin"/>
          <w:color w:val="111111"/>
          <w:sz w:val="28"/>
          <w:szCs w:val="28"/>
          <w:rtl w:val="true"/>
          <w:lang w:bidi="fa-IR"/>
        </w:rPr>
        <w:t>.</w:t>
      </w:r>
      <w:bookmarkStart w:id="827" w:name="pg16983_381066"/>
    </w:p>
    <w:p>
      <w:pPr>
        <w:pStyle w:val="BookText"/>
        <w:rPr/>
      </w:pPr>
      <w:bookmarkEnd w:id="827"/>
      <w:r>
        <w:rPr>
          <w:rFonts w:ascii="IRNazanin" w:hAnsi="IRNazanin" w:eastAsia="IRNazanin"/>
          <w:color w:val="111111"/>
          <w:sz w:val="28"/>
          <w:sz w:val="28"/>
          <w:szCs w:val="28"/>
          <w:rtl w:val="true"/>
          <w:lang w:bidi="fa-IR"/>
        </w:rPr>
        <w:t>ومن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التشریعات العامة فی القرآن المبیّنة لحدود اللّه وفرائضه لا تقبل النسخ ولا التضاد ولا التزاحم، وقد علّل الإعادة فی الخمس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الخمس فریضة فی القرآن والباقی سنّة والسنّة لا تنقض الفریضة، وهذا الفهم لم یتشکل إلاّ بعد مراجعة القرآن، وقد حاول البعض تعمیم مفاد الحدیث لغیر الصلاة کالحج لنفس النکتة</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لما بنی علیه الأصولیون مجملاً فی قبال الأخباریین والعلاّمة من معیة القرآن والسنّة، وعدم الإنفراد بأحدهما وإهمال الآخر، بل ولا حتّی الاستقلال بأحدهما أیضاً، وإنما حجّیتهما بنحو المجموعیة، کما أوضحنا ذلک مفصلاً</w:t>
      </w:r>
      <w:r>
        <w:rPr>
          <w:rFonts w:eastAsia="IRNazanin" w:cs="IRNazanin"/>
          <w:color w:val="111111"/>
          <w:sz w:val="28"/>
          <w:szCs w:val="28"/>
          <w:rtl w:val="true"/>
          <w:lang w:bidi="fa-IR"/>
        </w:rPr>
        <w:t>.</w:t>
      </w:r>
    </w:p>
    <w:p>
      <w:pPr>
        <w:pStyle w:val="Heading6"/>
        <w:numPr>
          <w:ilvl w:val="5"/>
          <w:numId w:val="1"/>
        </w:numPr>
        <w:rPr/>
      </w:pPr>
      <w:bookmarkStart w:id="828" w:name="__RefHeading___Toc3300216_1468164448"/>
      <w:bookmarkStart w:id="829" w:name="_Toc329"/>
      <w:bookmarkEnd w:id="828"/>
      <w:r>
        <w:rPr>
          <w:rtl w:val="true"/>
        </w:rPr>
        <w:t>العلاقة بین الکتاب والسنّة والعقل</w:t>
      </w:r>
      <w:bookmarkEnd w:id="829"/>
    </w:p>
    <w:p>
      <w:pPr>
        <w:pStyle w:val="BookText"/>
        <w:rPr/>
      </w:pPr>
      <w:r>
        <w:rPr>
          <w:rFonts w:ascii="IRNazanin" w:hAnsi="IRNazanin" w:eastAsia="IRNazanin"/>
          <w:color w:val="111111"/>
          <w:sz w:val="28"/>
          <w:sz w:val="28"/>
          <w:szCs w:val="28"/>
          <w:rtl w:val="true"/>
          <w:lang w:bidi="fa-IR"/>
        </w:rPr>
        <w:t xml:space="preserve">اختلف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بحجّیة کلّ من ظواهر الکتاب والسنّة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وبیان العلاقة بین هذه الحجج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بالحجّیة بنحو الاستغراق، فکلّ منها حجّة استقلالاً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حجّة بنحو المجموع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نأخذ بمجموع محکمات القرآن والسنّة والعقل ونعرض متشابهات کلّ منها علی الجمیع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البروجردی فی العلاقة بین الکتاب والسنّة، ودور العقل أنه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فمتن الحکم القرآن، والسنّة شارحة، والعقل المخاطب، بمعنی أنه فی باب المعارف لم تخاطب الذهنیة البشریة علی مستوی الحس والوهم، وفی الفروع لم یخاطب الذهن العام، وإنما الذهن الإختصاصی، ومن ثمّ لا یحمل الدین علی</w:t>
      </w:r>
    </w:p>
    <w:p>
      <w:pPr>
        <w:pStyle w:val="BookText"/>
        <w:rPr/>
      </w:pPr>
      <w:r>
        <w:rPr>
          <w:rFonts w:ascii="IRNazanin" w:hAnsi="IRNazanin" w:eastAsia="IRNazanin"/>
          <w:color w:val="111111"/>
          <w:sz w:val="28"/>
          <w:sz w:val="28"/>
          <w:szCs w:val="28"/>
          <w:rtl w:val="true"/>
          <w:lang w:bidi="fa-IR"/>
        </w:rPr>
        <w:t>مستوی النازل من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ومثله القلب لغة، واللغة ما یکون التصور بسببها، وأمّا التصدیق الذی هو إذعان بالنسبة فهو شأن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علی هذا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حجّة بعد الإلتفات إلی ما ذکره المناطقة من أنّ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حدود وسطی فی البرهان، ویفترق هذا عن سابقه بالتفصیل مع کونه ذا طابع أصولی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أولیات المعرفة علی مستوی العقیدة والفروع 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هی المسماة بالشریعة الفطریة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 هذه الأولیات من الکلّیات النازلة تکون الحاجة إلی القرآن والسنّة مع حفظ دور العقل کمخاطب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الأخیرة من کتاب العقل والجهل فی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الصفوانی لا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هذه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الصراط والمسلک هو القرآن والسنّة، والمستطرق السالک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وبصیاغة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إلی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النور هو القرآن والمستفید المستضیء المستنیر هو العقل، والروایة التی أشرنا إلیها فی النظریة السابقة تشیر إلی هذه الصیاغة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عقل ظاهر، والعقل قرآن باطن، والرسول رسولٌ ظاهر، والعقل رسولٌ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وصیاغة هذه النظریة صناعیاً أنّ العقل لو اطّلع علی نمط تسلسل العلوم فی القرآن لأذعن بها والرأی أنها مبرهنة عقلیاً، لأنّ التسلسل منطقی برهانی لمّی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هناک طریق لمّی یمکن الإستغناء به عن کلّ علم، ولکن لعجز عقولنا لا یمکن لنا معرفة ذلک الطریق، وأنّ هذا الطریق هو العلم الإلهی الحقیقی، وما یوجد من فلسفة فهی تعبر عن قصور</w:t>
      </w:r>
    </w:p>
    <w:p>
      <w:pPr>
        <w:pStyle w:val="BookText"/>
        <w:rPr/>
      </w:pPr>
      <w:r>
        <w:rPr>
          <w:rFonts w:ascii="IRNazanin" w:hAnsi="IRNazanin" w:eastAsia="IRNazanin"/>
          <w:color w:val="111111"/>
          <w:sz w:val="28"/>
          <w:sz w:val="28"/>
          <w:szCs w:val="28"/>
          <w:rtl w:val="true"/>
          <w:lang w:bidi="fa-IR"/>
        </w:rPr>
        <w:t>العقل البشری، حیث لا تتعدی الکشف الإنّی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 هذا المعنی ابن سینا فی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بالمقابل ما یدرکه العقل لا ینفیه القرآن،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الدین دین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علی ذلک فی بحث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متن الواقع واحد والحقائق واحدة، وکلٌّ من القرآن والسنّة والعقل کواشف عن ذلک المتن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الرؤیة تقارب الرؤیة السابقة التی قرّرها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العلاّمة فی المیزان من أنّ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مدرکات العقل والقرآن والسنّة، والمعاد مختص بالقرآن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وشبیه بهذه النظریة ما ذکره الآخوند و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المعارف وأرکانها من إدراکات العقل علاوة علی القرآن والسنّة، وأمّا تفاصیل المعارف کلّها فهی من شأن النقل، علی شرط أن لا یضاد المحکمات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والسنّة القطعیین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حقّانیة الدین بالدلیل العقلی فحقّانیة مؤدیاتهما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یقعان حداً وسطاً فی البرهان، کما أشار إلی ذلک الآخوند، وکذا ابن سینا فی المعاد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لابدّ فی المعارف من الفحص عن قطعیات الکتاب والسنّة، وإن کانت المسألة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وتوسّع البعض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التعبد بالظن فی تفاصیل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تبعاً لکبار الأعلام کالشیخ الطوسی والمحقق الطوسی والبهائی والمجلسی والمیرزا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الظن المعتبر حداً أوسطاً ینتج نتیجة ظنیة إلاّ أنها معتبرة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سیکون الرجوع إلی الکتاب والسنّة والفحص فیها أکثر ضرورة وأوسع نطاقاً</w:t>
      </w:r>
      <w:r>
        <w:rPr>
          <w:rFonts w:eastAsia="IRNazanin" w:cs="IRNazanin"/>
          <w:color w:val="111111"/>
          <w:sz w:val="28"/>
          <w:szCs w:val="28"/>
          <w:rtl w:val="true"/>
          <w:lang w:bidi="fa-IR"/>
        </w:rPr>
        <w:t>.</w:t>
      </w:r>
      <w:r>
        <w:rPr>
          <w:rStyle w:val="FootnoteAnchor"/>
          <w:rtl w:val="true"/>
        </w:rPr>
        <w:footnoteReference w:id="133"/>
      </w:r>
      <w:bookmarkStart w:id="830" w:name="pg16983_381073"/>
    </w:p>
    <w:p>
      <w:pPr>
        <w:pStyle w:val="Heading6"/>
        <w:numPr>
          <w:ilvl w:val="5"/>
          <w:numId w:val="1"/>
        </w:numPr>
        <w:rPr/>
      </w:pPr>
      <w:bookmarkStart w:id="831" w:name="__RefHeading___Toc3300218_1468164448"/>
      <w:bookmarkStart w:id="832" w:name="_Toc330"/>
      <w:bookmarkEnd w:id="830"/>
      <w:bookmarkEnd w:id="831"/>
      <w:r>
        <w:rPr>
          <w:rtl w:val="true"/>
        </w:rPr>
        <w:t>ضرورة الرجوع إلی الظن ولو غیر المعتبر منه</w:t>
      </w:r>
      <w:bookmarkEnd w:id="832"/>
    </w:p>
    <w:p>
      <w:pPr>
        <w:pStyle w:val="BookText"/>
        <w:rPr/>
      </w:pPr>
      <w:r>
        <w:rPr>
          <w:rFonts w:ascii="IRNazanin" w:hAnsi="IRNazanin" w:eastAsia="IRNazanin"/>
          <w:color w:val="111111"/>
          <w:sz w:val="28"/>
          <w:sz w:val="28"/>
          <w:szCs w:val="28"/>
          <w:rtl w:val="true"/>
          <w:lang w:bidi="fa-IR"/>
        </w:rPr>
        <w:t>بل یمکن أن یقال بضرورة مراجعة حتی الظن غیر المعتبر، لدخالته فی توسعة أفق الباحث والأحاطة باحتمالات المسألة کلّها، ممّا یقربه أکثر إلی إصابة الواقع والوصول إلی الحقیقة والخروج بنتائج متکاملة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المعروف أنّ العقل حینما یرید أن یصل إلی التعرف علی مجهول یقوم بالفحص، ثمّ الإدراک، ثمّ الإذعان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هناک تناسباً طردیاً بین سعة دائرة الفحص وبین سلامة القوانین وإحکامها، ووضوح الإدراک وعمق الایمان، فکلّما کانت رقعة الفحص أوسع ومتنوعة کانت حرکة الفکر أسلم، وکان الإدراک للنتیجة أکثر وضوحاً، وکان الایمان أشدّ عمقاً ورسوخاً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أشارت الروایات الشریفة إلی هذا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مَنْ جَمَعَ عِلْمَ النَّاسِ إِلَی عِلْمِهِ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شَارَکَهَا فِی عُقُولِهَا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بالإضافة إلی الروایات الناهیة عن الإستبداد بالرأی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عملیة الفحص هناک مباد تصوریة وأخری تصدیقیة، وکلّ منها معین للوصول إلی النتیجة، فقد تسولم فی العلوم أنّ الإحتمال أول درجات العلم، وأنّ التصور مهم بل بالغ الأهمیة، وأنّ التصدیق</w:t>
      </w:r>
      <w:bookmarkStart w:id="833" w:name="pg16983_381075"/>
    </w:p>
    <w:p>
      <w:pPr>
        <w:pStyle w:val="BookText"/>
        <w:rPr/>
      </w:pPr>
      <w:bookmarkEnd w:id="833"/>
      <w:r>
        <w:rPr>
          <w:rFonts w:ascii="IRNazanin" w:hAnsi="IRNazanin" w:eastAsia="IRNazanin"/>
          <w:color w:val="111111"/>
          <w:sz w:val="28"/>
          <w:sz w:val="28"/>
          <w:szCs w:val="28"/>
          <w:rtl w:val="true"/>
          <w:lang w:bidi="fa-IR"/>
        </w:rPr>
        <w:t>لا یکون إلاّ عن تصوّر مسبق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حالات الجهل هی فی الواقع بسبب فقدان التصوّر وغیابه لا بسبب عسر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المقولات المنسوبة إلی الوحی أو إلی المعصوم وإن لم تکن حجّة، إلاّ أنه لاریب فی إحداثها تصورات واحتمالات لم یلتفت إلیها الفکر البشری، بالإضافة إلی أنها تحدث مزعمة معینة غیر مضمونة الخطأ، فلابدّ من التأکد من مدی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فعدم استیعاب الفحص فضلاً عن عدم الفحص بالمرة، لا تکون النتیجة منطقیة ومنهجیة وإن حصل إذعان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النکتة لم یقتصر الآخوند بل ولا حتی الإشراق علی ما اقتصر علیه المشّاء من الإستبداد بالعقل وعدم الرجوع إلی الکتاب والسنّة، بل وتحمیل ما وصل إلیه العقل علیهما</w:t>
      </w:r>
      <w:r>
        <w:rPr>
          <w:rFonts w:eastAsia="IRNazanin" w:cs="IRNazanin"/>
          <w:color w:val="111111"/>
          <w:sz w:val="28"/>
          <w:szCs w:val="28"/>
          <w:rtl w:val="true"/>
          <w:lang w:bidi="fa-IR"/>
        </w:rPr>
        <w:t>.</w:t>
      </w:r>
    </w:p>
    <w:p>
      <w:pPr>
        <w:pStyle w:val="Heading6"/>
        <w:numPr>
          <w:ilvl w:val="5"/>
          <w:numId w:val="1"/>
        </w:numPr>
        <w:rPr/>
      </w:pPr>
      <w:bookmarkStart w:id="834" w:name="__RefHeading___Toc3300220_1468164448"/>
      <w:bookmarkStart w:id="835" w:name="_Toc331"/>
      <w:bookmarkEnd w:id="834"/>
      <w:r>
        <w:rPr>
          <w:rtl w:val="true"/>
        </w:rPr>
        <w:t>تحصیل التواتر المعنوی فی روایات المعارف</w:t>
      </w:r>
      <w:bookmarkEnd w:id="835"/>
    </w:p>
    <w:p>
      <w:pPr>
        <w:pStyle w:val="BookText"/>
        <w:rPr/>
      </w:pPr>
      <w:r>
        <w:rPr>
          <w:rFonts w:ascii="IRNazanin" w:hAnsi="IRNazanin" w:eastAsia="IRNazanin"/>
          <w:color w:val="111111"/>
          <w:sz w:val="28"/>
          <w:sz w:val="28"/>
          <w:szCs w:val="28"/>
          <w:rtl w:val="true"/>
          <w:lang w:bidi="fa-IR"/>
        </w:rPr>
        <w:t>ومن المؤسف أن تهجر روایات المعارف مع کون واحدة من آلیات القطع التواتر المعنوی، وهو ممّا یمکن الحصول علیه ولکن بعد سبر طویل یرافقه خبرة وفقاهة فی استنطاق النصوص، بالإضافة إلی ما تحدثه من تصوّرات وتثیره من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فمثلاً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علی خلقه و جدّتنا فاطمة حجة اللَّه علینا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یمکن القول أنها متواترة معنی، یعرف ذلک من خلال ما تذعن به الإمامیة بمصحف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هو تلقّی عن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مصدراً للأئمة، ومن ثمّ فهی واسطة بین الغیب وبینهم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یعنی ذلک أنّ الإمام یفتح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ویفحصه علی حدّ فحصنا، حیث إنّ علمهم لدنّی حضوری، وإنما فی تلقّیهم الغیبی للقرآن الواقعی، ومصحف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بتوسط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روحی فداها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یتنزّل علی النبی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یتنزّل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فی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واسطة للأئمة کثیرة، فینتج تواتر الروایة المزبورة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التستری فی مقدّمة کتاب الأوائل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نزّهونا عن الربوبیة وقولوا فینا ما شئتم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موضوع، فی حین أنه لیس موضوعاً، بل یمکن دعوی التواتر المعنوی فیه، بعد ملاحظة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ما عرفک إلاّ اللّه وأنا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الدالّ علی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البشر غیر محدودین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 نبیک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بضمیمة القاعدة العقلیة أنّ الصادر الاول جامع لکلّ کمالات عالم الإمکان، 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المعارف کلّها مستلّة من القرآن والسنّة مما یضیف ضرورة إضافیة للفحص، ومن قبل أصحاب الملکة والخبرة فی الشؤون العقلیة حتی یمکنهم استلال هذه الأدلّة والنکات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الفحص والإعتماد علی الخبرة البشریة فقط لا تکون النتائج البرهانیة مجزیة، فلا یکون معذوراً عقلاً فی المعارف النظریة</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العرض تتبلور المعیة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تفصیل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الحجج الثلاث، والصیاغات المتقدّمة صحیحة جمیعاً بعد أن کان کلّ منها قد وضع إصبعه علی جانب من الحقیقة</w:t>
      </w:r>
      <w:r>
        <w:rPr>
          <w:rFonts w:eastAsia="IRNazanin" w:cs="IRNazanin"/>
          <w:color w:val="111111"/>
          <w:sz w:val="28"/>
          <w:szCs w:val="28"/>
          <w:rtl w:val="true"/>
          <w:lang w:bidi="fa-IR"/>
        </w:rPr>
        <w:t>.</w:t>
      </w:r>
      <w:r>
        <w:rPr>
          <w:rStyle w:val="FootnoteAnchor"/>
          <w:rtl w:val="true"/>
        </w:rPr>
        <w:footnoteReference w:id="141"/>
      </w:r>
      <w:bookmarkStart w:id="836" w:name="pg16983_381079"/>
    </w:p>
    <w:p>
      <w:pPr>
        <w:pStyle w:val="Heading4"/>
        <w:numPr>
          <w:ilvl w:val="3"/>
          <w:numId w:val="1"/>
        </w:numPr>
        <w:rPr/>
      </w:pPr>
      <w:bookmarkStart w:id="837" w:name="__RefHeading___Toc3300222_1468164448"/>
      <w:bookmarkStart w:id="838" w:name="_Toc332"/>
      <w:bookmarkEnd w:id="836"/>
      <w:bookmarkEnd w:id="837"/>
      <w:r>
        <w:rPr/>
        <w:t>4</w:t>
      </w:r>
      <w:r>
        <w:rPr>
          <w:rtl w:val="true"/>
        </w:rPr>
        <w:t xml:space="preserve"> . </w:t>
      </w:r>
      <w:r>
        <w:rPr>
          <w:rtl w:val="true"/>
        </w:rPr>
        <w:t>المقام الرابع</w:t>
      </w:r>
      <w:r>
        <w:rPr>
          <w:rtl w:val="true"/>
        </w:rPr>
        <w:t xml:space="preserve">: </w:t>
      </w:r>
      <w:r>
        <w:rPr>
          <w:rtl w:val="true"/>
        </w:rPr>
        <w:t>البحث فی تواتر القراءات القرآنیة وعدمه</w:t>
      </w:r>
      <w:bookmarkEnd w:id="838"/>
    </w:p>
    <w:p>
      <w:pPr>
        <w:pStyle w:val="Heading5"/>
        <w:numPr>
          <w:ilvl w:val="4"/>
          <w:numId w:val="1"/>
        </w:numPr>
        <w:rPr/>
      </w:pPr>
      <w:bookmarkStart w:id="839" w:name="__RefHeading___Toc3300224_1468164448"/>
      <w:bookmarkStart w:id="840" w:name="_Toc333"/>
      <w:bookmarkEnd w:id="839"/>
      <w:r>
        <w:rPr>
          <w:rtl w:val="true"/>
        </w:rPr>
        <w:t>سرّ البحث فی تواتر القراءات</w:t>
      </w:r>
      <w:bookmarkEnd w:id="840"/>
    </w:p>
    <w:p>
      <w:pPr>
        <w:pStyle w:val="BookText"/>
        <w:rPr/>
      </w:pPr>
      <w:r>
        <w:rPr>
          <w:rFonts w:ascii="IRNazanin" w:hAnsi="IRNazanin" w:eastAsia="IRNazanin"/>
          <w:color w:val="111111"/>
          <w:sz w:val="28"/>
          <w:sz w:val="28"/>
          <w:szCs w:val="28"/>
          <w:rtl w:val="true"/>
          <w:lang w:bidi="fa-IR"/>
        </w:rPr>
        <w:t xml:space="preserve">من البدیهی فی حجّیة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قطعیة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متنه قطعیاً کی یکون ظهوره ودلالته الظنیة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الدلالة ظنیة فالنتیجة ظنیة لا ینافی ضرورة قطعیة المتن جنباً إلی جنب قطعیة السند و إلاّ أخل بحجّیة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ظهور القرآن مشروطة بقطعیة المتن جنب قطعیة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القراءات یزعزع قطعیة المتن القرآنی، وبالتالی سیؤثر علی ظهور القرآن صغرویاً، فلا یمکن البناء علی حجّیة ما یظهر لنا، للشک فی کونه ظهوراً قرآنیاً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یفهم حرص علماء المسلمین لتصویر تواتر هذه القراءات تفادیاً لهذه المشکلة، فکان المشهور علی أنها متواترة</w:t>
      </w:r>
      <w:r>
        <w:rPr>
          <w:rFonts w:eastAsia="IRNazanin" w:cs="IRNazanin"/>
          <w:color w:val="111111"/>
          <w:sz w:val="28"/>
          <w:szCs w:val="28"/>
          <w:rtl w:val="true"/>
          <w:lang w:bidi="fa-IR"/>
        </w:rPr>
        <w:t>.</w:t>
      </w:r>
    </w:p>
    <w:p>
      <w:pPr>
        <w:pStyle w:val="Heading5"/>
        <w:numPr>
          <w:ilvl w:val="4"/>
          <w:numId w:val="1"/>
        </w:numPr>
        <w:rPr/>
      </w:pPr>
      <w:bookmarkStart w:id="841" w:name="__RefHeading___Toc3300226_1468164448"/>
      <w:bookmarkStart w:id="842" w:name="_Toc334"/>
      <w:bookmarkEnd w:id="841"/>
      <w:r>
        <w:rPr>
          <w:rtl w:val="true"/>
        </w:rPr>
        <w:t xml:space="preserve">التشکیک فی تواتر القراءات من السیّد الخوئی </w:t>
      </w:r>
      <w:r>
        <w:rPr>
          <w:rtl w:val="true"/>
        </w:rPr>
        <w:t>(</w:t>
      </w:r>
      <w:r>
        <w:rPr>
          <w:rtl w:val="true"/>
        </w:rPr>
        <w:t>قدس سره</w:t>
      </w:r>
      <w:r>
        <w:rPr>
          <w:rtl w:val="true"/>
        </w:rPr>
        <w:t>)</w:t>
      </w:r>
      <w:bookmarkEnd w:id="842"/>
    </w:p>
    <w:p>
      <w:pPr>
        <w:pStyle w:val="Heading6"/>
        <w:numPr>
          <w:ilvl w:val="5"/>
          <w:numId w:val="1"/>
        </w:numPr>
        <w:rPr/>
      </w:pPr>
      <w:bookmarkStart w:id="843" w:name="__RefHeading___Toc3300228_1468164448"/>
      <w:bookmarkStart w:id="844" w:name="_Toc335"/>
      <w:bookmarkEnd w:id="843"/>
      <w:r>
        <w:rPr>
          <w:rtl w:val="true"/>
        </w:rPr>
        <w:t>اشارة</w:t>
      </w:r>
      <w:bookmarkEnd w:id="84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البعض کالسیّد الخوئی شکّک فی هذا التواتر بأنها مرویة بروایات آحاد، أو أنّ القرآن نزل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واحد</w:t>
      </w:r>
      <w:bookmarkStart w:id="845" w:name="pg16983_381081"/>
    </w:p>
    <w:p>
      <w:pPr>
        <w:pStyle w:val="BookText"/>
        <w:rPr/>
      </w:pPr>
      <w:bookmarkEnd w:id="845"/>
      <w:r>
        <w:rPr>
          <w:rFonts w:ascii="IRNazanin" w:hAnsi="IRNazanin" w:eastAsia="IRNazanin"/>
          <w:color w:val="111111"/>
          <w:sz w:val="28"/>
          <w:sz w:val="28"/>
          <w:szCs w:val="28"/>
          <w:rtl w:val="true"/>
          <w:lang w:bidi="fa-IR"/>
        </w:rPr>
        <w:t>والإختلاف نشأ من عدم ضبط النص القرآنی فی الذاکرة أو من اختلاف اللهجات أو من خلوّ المصاحف آنذاک من النقط والتشکیل الإعرابی، أو أنّ قراءات السبعة أو العشرة اجتهادات، أو لطعن أحمد بن حنبل فی وثاقة بعض السبعة، أو للعلم الإجمالی بعدم صدور بعض القراءات عنه، للقطع بأنه نزل علی حرف واحد وأنّ ما ورد بأنه نزل علی سبعة أحرف لا یعمل به لضعفه أو لاحتمال التقیة</w:t>
      </w:r>
      <w:r>
        <w:rPr>
          <w:rFonts w:eastAsia="IRNazanin" w:cs="IRNazanin"/>
          <w:color w:val="111111"/>
          <w:sz w:val="28"/>
          <w:szCs w:val="28"/>
          <w:rtl w:val="true"/>
          <w:lang w:bidi="fa-IR"/>
        </w:rPr>
        <w:t>.</w:t>
      </w:r>
    </w:p>
    <w:p>
      <w:pPr>
        <w:pStyle w:val="Heading6"/>
        <w:numPr>
          <w:ilvl w:val="5"/>
          <w:numId w:val="1"/>
        </w:numPr>
        <w:rPr/>
      </w:pPr>
      <w:bookmarkStart w:id="846" w:name="__RefHeading___Toc3300230_1468164448"/>
      <w:bookmarkStart w:id="847" w:name="_Toc336"/>
      <w:bookmarkEnd w:id="846"/>
      <w:r>
        <w:rPr>
          <w:rtl w:val="true"/>
        </w:rPr>
        <w:t>تقویة تواتر القراءات</w:t>
      </w:r>
      <w:bookmarkEnd w:id="847"/>
    </w:p>
    <w:p>
      <w:pPr>
        <w:pStyle w:val="BookText"/>
        <w:rPr/>
      </w:pPr>
      <w:r>
        <w:rPr>
          <w:rFonts w:ascii="IRNazanin" w:hAnsi="IRNazanin" w:eastAsia="IRNazanin"/>
          <w:color w:val="111111"/>
          <w:sz w:val="28"/>
          <w:sz w:val="28"/>
          <w:szCs w:val="28"/>
          <w:rtl w:val="true"/>
          <w:lang w:bidi="fa-IR"/>
        </w:rPr>
        <w:t xml:space="preserve">بالمقابل تصدّی البعض لمناقشة هذه الإشکالیات لیصبّ فی صالح القول بتواتر القراءات، حیث ذکر أنّ عملیة الحصر بالسبعة أو العشرة ارتکبها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أفذاذ الفن فی أوائل القرن الثالث أی آخر الغیبة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بأنّ أمصارهم مجمعون علی قراءتهم والإعتماد علیهم، بالإضافة إلی کونهم من أهل الفن فی علوم القرآن والأدب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سبب الإختلاف لیس اجتهادیاً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لخلوّ المصاحف عن النقط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الصحابة کانوا مختلفین، وکلّ من القرّاء روی عن صحابی غیر من روی عنه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تضعیف ابن حنبل یکون فی خبرویتهم فی الحدیث لا فی صدق لهجتهم، وهو لا یؤثر علی الإعتماد علی قراءاتهم بعد أن کانوا من أهل الإختصاص والخبرة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لفتة مهمة جداً أخذت تغیب فی هذه الأعصار وهی أنّ توثیق الراوی یکون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تعمّده الکذب مع ضبطه، وعدم تخلیطه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الرجالیین قد یتناول إحدی الجهتین دون الأخری، ومن ثمّ فالطعن فی الجهة الثانیة لا یؤثر علی قبول روایاته فضلاً عن قراءته، إلاّ مع الشک فلا یعمل بالروایة بمقدار منطقة الشک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 إنّ کثیراً من طعن الرجالیین إنما هو فی الجهة الثانیة لا</w:t>
      </w:r>
      <w:bookmarkStart w:id="848" w:name="pg16983_381083"/>
    </w:p>
    <w:p>
      <w:pPr>
        <w:pStyle w:val="BookText"/>
        <w:rPr/>
      </w:pPr>
      <w:bookmarkEnd w:id="848"/>
      <w:r>
        <w:rPr>
          <w:rFonts w:ascii="IRNazanin" w:hAnsi="IRNazanin" w:eastAsia="IRNazanin"/>
          <w:color w:val="111111"/>
          <w:sz w:val="28"/>
          <w:sz w:val="28"/>
          <w:szCs w:val="28"/>
          <w:rtl w:val="true"/>
          <w:lang w:bidi="fa-IR"/>
        </w:rPr>
        <w:t>فی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مصطلح الضعیف کان یعنی عند القدماء عدم الضبط لا تعمّد الکذب، خلافاً لما یفهم منه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هذا البعض جیّد فی نفسه، إلاّ أنه لا یثبت له مطلوبه کما 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ویضیف أنّ سرّ اختلاف الصحابة فی القراءات هو انتماؤهم لقبائل عربیة مختلفة ذات لهجات متعددة، إلاّ أنّ قراءتهم کانت بمحضر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أُمضیتْ وأُقرّتْ، فهی وإن لم یکن منشؤها الوحی إلاّ أنها مع ذلک قبلها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للتسهیل، بل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 بلهجات متعددة تسهیلاً علی تلک القبائل، بعد أن کان المعنی منحفظاً و واحداً فی الجمیع</w:t>
      </w:r>
      <w:r>
        <w:rPr>
          <w:rFonts w:eastAsia="IRNazanin" w:cs="IRNazanin"/>
          <w:color w:val="111111"/>
          <w:sz w:val="28"/>
          <w:szCs w:val="28"/>
          <w:rtl w:val="true"/>
          <w:lang w:bidi="fa-IR"/>
        </w:rPr>
        <w:t>.</w:t>
      </w:r>
    </w:p>
    <w:p>
      <w:pPr>
        <w:pStyle w:val="Heading5"/>
        <w:numPr>
          <w:ilvl w:val="4"/>
          <w:numId w:val="1"/>
        </w:numPr>
        <w:rPr/>
      </w:pPr>
      <w:bookmarkStart w:id="849" w:name="__RefHeading___Toc3300232_1468164448"/>
      <w:bookmarkStart w:id="850" w:name="_Toc337"/>
      <w:bookmarkEnd w:id="849"/>
      <w:r>
        <w:rPr>
          <w:rtl w:val="true"/>
        </w:rPr>
        <w:t>أربع نقاط لبیان الحقّ فی المسألة</w:t>
      </w:r>
      <w:bookmarkEnd w:id="850"/>
    </w:p>
    <w:p>
      <w:pPr>
        <w:pStyle w:val="Heading6"/>
        <w:numPr>
          <w:ilvl w:val="5"/>
          <w:numId w:val="1"/>
        </w:numPr>
        <w:rPr/>
      </w:pPr>
      <w:bookmarkStart w:id="851" w:name="__RefHeading___Toc3300234_1468164448"/>
      <w:bookmarkStart w:id="852" w:name="_Toc338"/>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بهذا و غیره ینتهی إلی تواتر القراءات، ولکن الحقّ أنّ ما ذکره من شواهد وإن کان متیناً، إلاّ أنها لا تثبت التواتر، فی الوقت الذی لا نرتضی فیه مبنی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بلورة الحقّ فی المسألة نلفت النظر إلی أربعة نقاط کمقدّمة</w:t>
      </w:r>
      <w:r>
        <w:rPr>
          <w:rFonts w:eastAsia="IRNazanin" w:cs="IRNazanin"/>
          <w:color w:val="111111"/>
          <w:sz w:val="28"/>
          <w:szCs w:val="28"/>
          <w:rtl w:val="true"/>
          <w:lang w:bidi="fa-IR"/>
        </w:rPr>
        <w:t>.</w:t>
      </w:r>
    </w:p>
    <w:p>
      <w:pPr>
        <w:pStyle w:val="Heading6"/>
        <w:numPr>
          <w:ilvl w:val="5"/>
          <w:numId w:val="1"/>
        </w:numPr>
        <w:rPr/>
      </w:pPr>
      <w:bookmarkStart w:id="853" w:name="__RefHeading___Toc3300236_1468164448"/>
      <w:bookmarkStart w:id="854" w:name="_Toc339"/>
      <w:bookmarkEnd w:id="853"/>
      <w:r>
        <w:rPr>
          <w:rtl w:val="true"/>
        </w:rPr>
        <w:t>قطعیة القرآن سنداً ومتناً لا دلالةً‌</w:t>
      </w:r>
      <w:bookmarkEnd w:id="854"/>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القرآن قطعی وکذلک متنه قطعی لما دلّ من الآیات والروایات علی أنه مصون عن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دلالاته فمنها القطعی، ومنها الظنی، ومنها المتشابه وهو غیر حجّة</w:t>
      </w:r>
      <w:r>
        <w:rPr>
          <w:rFonts w:eastAsia="IRNazanin" w:cs="IRNazanin"/>
          <w:color w:val="111111"/>
          <w:sz w:val="28"/>
          <w:szCs w:val="28"/>
          <w:rtl w:val="true"/>
          <w:lang w:bidi="fa-IR"/>
        </w:rPr>
        <w:t>.</w:t>
      </w:r>
    </w:p>
    <w:p>
      <w:pPr>
        <w:pStyle w:val="Heading6"/>
        <w:numPr>
          <w:ilvl w:val="5"/>
          <w:numId w:val="1"/>
        </w:numPr>
        <w:rPr/>
      </w:pPr>
      <w:bookmarkStart w:id="855" w:name="__RefHeading___Toc3300238_1468164448"/>
      <w:bookmarkStart w:id="856" w:name="_Toc340"/>
      <w:bookmarkEnd w:id="855"/>
      <w:r>
        <w:rPr>
          <w:rtl w:val="true"/>
        </w:rPr>
        <w:t>اختلاف القراءات لا یستلزم التحریف</w:t>
      </w:r>
      <w:bookmarkEnd w:id="856"/>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القراءات یؤثر علی دلالة النص القرآنی لا علی متنه، حیث إنّ غالب الآیات التی اختلف فی قراءتها لم یتبدل فیها جوهر اللفظ فضلاً عن جوهر المعنی، وبالتالی فالقول بعدم تواتر القراءات لا یستلزم القول بالتحریف</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علم اللغة إنّ أصل المتن هو المادة التی</w:t>
      </w:r>
      <w:bookmarkStart w:id="857" w:name="pg16983_381085"/>
    </w:p>
    <w:p>
      <w:pPr>
        <w:pStyle w:val="BookText"/>
        <w:rPr/>
      </w:pPr>
      <w:bookmarkEnd w:id="857"/>
      <w:r>
        <w:rPr>
          <w:rFonts w:ascii="IRNazanin" w:hAnsi="IRNazanin" w:eastAsia="IRNazanin"/>
          <w:color w:val="111111"/>
          <w:sz w:val="28"/>
          <w:sz w:val="28"/>
          <w:szCs w:val="28"/>
          <w:rtl w:val="true"/>
          <w:lang w:bidi="fa-IR"/>
        </w:rPr>
        <w:t xml:space="preserve">یصاغ بأشکال مختلفة، و أمّا الإعراب مثلاً فهو علی هامش المتن لا من صمیمه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منتفٍ فی بعض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أصل المعنی فی ضمن المتن، ومن ثمّ المعنی الإعرابی والترکیبی یُعدّ من هوامش المعنی لا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علم المکتبات یذکر أنّ أصل المتن هو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النسخة الخطیة مثلاً أو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دامت محفوظة لم یتلاعب بها فالکتاب لا یعدّ محرّفاً، فإن حصل تغییر فی بعض طبعاته فهو تحریف فی تلک الطبعة لا فی الکتاب</w:t>
      </w:r>
      <w:r>
        <w:rPr>
          <w:rFonts w:eastAsia="IRNazanin" w:cs="IRNazanin"/>
          <w:color w:val="111111"/>
          <w:sz w:val="28"/>
          <w:szCs w:val="28"/>
          <w:rtl w:val="true"/>
          <w:lang w:bidi="fa-IR"/>
        </w:rPr>
        <w:t>.</w:t>
      </w:r>
    </w:p>
    <w:p>
      <w:pPr>
        <w:pStyle w:val="Heading6"/>
        <w:numPr>
          <w:ilvl w:val="5"/>
          <w:numId w:val="1"/>
        </w:numPr>
        <w:rPr/>
      </w:pPr>
      <w:bookmarkStart w:id="858" w:name="__RefHeading___Toc3300240_1468164448"/>
      <w:bookmarkStart w:id="859" w:name="_Toc341"/>
      <w:bookmarkEnd w:id="858"/>
      <w:r>
        <w:rPr>
          <w:rtl w:val="true"/>
        </w:rPr>
        <w:t>تأثیر اختلاف القراءات فی الدلالة</w:t>
      </w:r>
      <w:bookmarkEnd w:id="859"/>
    </w:p>
    <w:p>
      <w:pPr>
        <w:pStyle w:val="BookText"/>
        <w:rPr/>
      </w:pPr>
      <w:r>
        <w:rPr>
          <w:rFonts w:ascii="IRNazanin" w:hAnsi="IRNazanin" w:eastAsia="IRNazanin"/>
          <w:color w:val="111111"/>
          <w:sz w:val="28"/>
          <w:sz w:val="28"/>
          <w:szCs w:val="28"/>
          <w:rtl w:val="true"/>
          <w:lang w:bidi="fa-IR"/>
        </w:rPr>
        <w:t>ونحن لا ننکر أن تفسیر الإعراب أو الهیئة الترکیبیة بسبب اختلاف القراءات له أثر إلاّ أنّ أثره دلالی مرتبط بتشکّل المادة لا بأصلها ومتنها وجوهرها، وإلاّ لو کان اختلاف القراءات بضمیمة عدم تواترها تحریفاً لکان الإختلاف فی تشخیص الإسم المرفوع أنه مبتدأ أو فاعل، أو فی تشخیص کون الواو عاطفة أو استئنافیة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تحریفاً؛ لأنّ فرض الواو عاطفة یعنی وحدة الکلام، وفرض کونها استئنافیة یعنی تعدّده، مع أنه لم یختلف اثنان فی أنه لیس تحریفاً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اختلاف القراءة أجنبی عن التحریف، وبالتالی فعدم تواترها لا یشکّل مشکلة علی هذا الصعید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القرآن مصون عن التحریف ومصون وجوده اللفظی ومحفوظ فی الأمّة بمادته، بالإضافة إلی حفظه بکلّ 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وجوده النازل واللفظی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نزل علی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المعصوم المنتظر </w:t>
      </w:r>
      <w:r>
        <w:rPr>
          <w:rFonts w:eastAsia="IRNazanin" w:cs="IRNazanin"/>
          <w:color w:val="111111"/>
          <w:sz w:val="28"/>
          <w:szCs w:val="28"/>
          <w:rtl w:val="true"/>
          <w:lang w:bidi="fa-IR"/>
        </w:rPr>
        <w:t>* .</w:t>
      </w:r>
      <w:bookmarkStart w:id="860" w:name="pg16983_381087"/>
    </w:p>
    <w:p>
      <w:pPr>
        <w:pStyle w:val="BookText"/>
        <w:rPr/>
      </w:pPr>
      <w:bookmarkEnd w:id="860"/>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ثمّ یفهم اجماع المسلمین علی عدم التحریف جنباً إلی</w:t>
      </w:r>
    </w:p>
    <w:p>
      <w:pPr>
        <w:pStyle w:val="BookText"/>
        <w:rPr/>
      </w:pPr>
      <w:r>
        <w:rPr>
          <w:rFonts w:ascii="IRNazanin" w:hAnsi="IRNazanin" w:eastAsia="IRNazanin"/>
          <w:color w:val="111111"/>
          <w:sz w:val="28"/>
          <w:sz w:val="28"/>
          <w:szCs w:val="28"/>
          <w:rtl w:val="true"/>
          <w:lang w:bidi="fa-IR"/>
        </w:rPr>
        <w:t>جنب قبولهم لظاهرة اختلاف القراءات، مع ذهاب کثیر إلی عدم تواترها</w:t>
      </w:r>
      <w:r>
        <w:rPr>
          <w:rFonts w:eastAsia="IRNazanin" w:cs="IRNazanin"/>
          <w:color w:val="111111"/>
          <w:sz w:val="28"/>
          <w:szCs w:val="28"/>
          <w:rtl w:val="true"/>
          <w:lang w:bidi="fa-IR"/>
        </w:rPr>
        <w:t>.</w:t>
      </w:r>
    </w:p>
    <w:p>
      <w:pPr>
        <w:pStyle w:val="Heading6"/>
        <w:numPr>
          <w:ilvl w:val="5"/>
          <w:numId w:val="1"/>
        </w:numPr>
        <w:rPr/>
      </w:pPr>
      <w:bookmarkStart w:id="861" w:name="__RefHeading___Toc3300242_1468164448"/>
      <w:bookmarkStart w:id="862" w:name="_Toc342"/>
      <w:bookmarkEnd w:id="861"/>
      <w:r>
        <w:rPr>
          <w:rtl w:val="true"/>
        </w:rPr>
        <w:t>مناشئ اختلاف القراءات</w:t>
      </w:r>
      <w:bookmarkEnd w:id="862"/>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من مناشئ اختلاف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سیاسیة دینیة عقائدیة، حیث نشأت هذه الظاهرة بعد إدبار المسلمین عن الرجوع إلی المصدر الحافظ المنصوب من قبل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توحّدهم علی اتّباعه، مع أنه کان من المسلّم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لدیه مصحف وأراد أن یطلعهم علیه فأبوا، فاحتفظ 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ینتقل فی ذریته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خطوة عثمان بحرق ما کان من مصاحف وتوحیدها بمصحف واحد، کان واقعها أنّ جملة من المصاحف الموجودة آنذاک یخطئ ما ابتدعه من أحکام فی الوضوء وغیره، و إلاّ بمَ نفسّر إقدام عثمان الفردی وعدم تنسیقه مع کبار الصحابة فی مثل هذا المشروع الهام والخطیر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جمع المصحف عند الأول والثانی، إنما هو لتألیف السور والآیات فی کلّ سورة بالشکل الذی یخدمهم، لا بالشکل الذی نزلت ولیس کما یعلن أنه بسبب خدمة القرآن والدین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یقرأ القرآن غضّاً کما أنزل فلیقرأه علی قراءة ابن أُم عبد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أی ابن مسعود وذلک من جهة أنه حافَظَ علی واقع ما نزل، فی حین نجد الحساسیة بینه وبین عثمان علی أشدّها، وأنّ قراءته قد هجرت هجراً تاماً مما یؤکّد ما ذکرناه من أنّ إخفاء کثیر من القراءات کان بدافع سیاسی مذهبی لعدم انسجامها مع المنهج السیاسی آنذاک</w:t>
      </w:r>
      <w:r>
        <w:rPr>
          <w:rFonts w:eastAsia="IRNazanin" w:cs="IRNazanin"/>
          <w:color w:val="111111"/>
          <w:sz w:val="28"/>
          <w:szCs w:val="28"/>
          <w:rtl w:val="true"/>
          <w:lang w:bidi="fa-IR"/>
        </w:rPr>
        <w:t>.</w:t>
      </w:r>
      <w:bookmarkStart w:id="863" w:name="pg16983_381089"/>
    </w:p>
    <w:p>
      <w:pPr>
        <w:pStyle w:val="Heading6"/>
        <w:numPr>
          <w:ilvl w:val="5"/>
          <w:numId w:val="1"/>
        </w:numPr>
        <w:rPr/>
      </w:pPr>
      <w:bookmarkStart w:id="864" w:name="__RefHeading___Toc3300244_1468164448"/>
      <w:bookmarkStart w:id="865" w:name="_Toc343"/>
      <w:bookmarkEnd w:id="863"/>
      <w:bookmarkEnd w:id="864"/>
      <w:r>
        <w:rPr>
          <w:rtl w:val="true"/>
        </w:rPr>
        <w:t>بطون القرآن</w:t>
      </w:r>
      <w:bookmarkEnd w:id="865"/>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للقرآن سبعة أحرف أو سبعین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علی مراتب من المعانی الغزیرة العمیقة والبطون لا القراءات المتعددة، کما حقّق ذلک المفسّرون</w:t>
      </w:r>
      <w:r>
        <w:rPr>
          <w:rFonts w:eastAsia="IRNazanin" w:cs="IRNazanin"/>
          <w:color w:val="111111"/>
          <w:sz w:val="28"/>
          <w:szCs w:val="28"/>
          <w:rtl w:val="true"/>
          <w:lang w:bidi="fa-IR"/>
        </w:rPr>
        <w:t>.</w:t>
      </w:r>
    </w:p>
    <w:p>
      <w:pPr>
        <w:pStyle w:val="Heading6"/>
        <w:numPr>
          <w:ilvl w:val="5"/>
          <w:numId w:val="1"/>
        </w:numPr>
        <w:rPr/>
      </w:pPr>
      <w:bookmarkStart w:id="866" w:name="__RefHeading___Toc3300246_1468164448"/>
      <w:bookmarkStart w:id="867" w:name="_Toc344"/>
      <w:bookmarkEnd w:id="866"/>
      <w:r>
        <w:rPr>
          <w:rtl w:val="true"/>
        </w:rPr>
        <w:t>نتیجة النقاط الأربع عدم إثبات تواتر القراءات</w:t>
      </w:r>
      <w:bookmarkEnd w:id="867"/>
    </w:p>
    <w:p>
      <w:pPr>
        <w:pStyle w:val="BookText"/>
        <w:rPr/>
      </w:pPr>
      <w:r>
        <w:rPr>
          <w:rFonts w:ascii="IRNazanin" w:hAnsi="IRNazanin" w:eastAsia="IRNazanin"/>
          <w:color w:val="111111"/>
          <w:sz w:val="28"/>
          <w:sz w:val="28"/>
          <w:szCs w:val="28"/>
          <w:rtl w:val="true"/>
          <w:lang w:bidi="fa-IR"/>
        </w:rPr>
        <w:t>بعد هذه المقدّمة نلاحظ علی من أثبت تواتر القراءات أنّ ما ذکره من شواهد لا یدلّ علی التواتر؛ لأنّ مشجرة الطرق للقراءات السبعة أو العشرة تنتهی فی النتیجة إلی صحابی أو اثنین، فلا تواتر فی الطبقة الأولی، کما أنّهم غیر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وعبارة مجاهد وغیره تدلّ علی أنّ أهل المصر أجمع علی القراءة لا أنّ القراءة کانت بسبب إجماع أهل المصر، ومثل هذا ینفع فیما سنختار لا فی إثبات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حذف کثیر من القراءات من مجاهد تستلفت الإنتباه، حیث إننا نجد فی روایاتنا ترجیح الأئمة لقراءة علی أخری فی آیة، أو تعیین القراءة الصحیحة لآیة مما لا وجود لها الآن، ممّا یدلّل علی أنّ هناک تعتیماً علی حقیقة و إقصاءً لحقّ قام به مجاهد، علی حدّ ما قام به سلفه من إلغاء بعض المصاحف وعدم فسح المجال لها لأن تأخذ طریقها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من بعض الأعلام إعراضه عن مثل هذه الروایات بحجّة أنها من روایات التحریف المجمع علی بطلانه، أو أنها لا توافق المتواتر من القراءات،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والقراءات کانت کثیرة جداً، وبعضها ذات سند صحیح، واختلافها لا علاقة له بالتحریف فلِمَ لا یؤخذ بها؟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کلّ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انتخاب السبعة من بین القراءات لا ینسجم مع کونها متواترة، إذ معه لا معنی للإنتخاب، فهو و إن لم</w:t>
      </w:r>
      <w:bookmarkStart w:id="868" w:name="pg16983_381091"/>
    </w:p>
    <w:p>
      <w:pPr>
        <w:pStyle w:val="BookText"/>
        <w:rPr/>
      </w:pPr>
      <w:bookmarkEnd w:id="868"/>
      <w:r>
        <w:rPr>
          <w:rFonts w:ascii="IRNazanin" w:hAnsi="IRNazanin" w:eastAsia="IRNazanin"/>
          <w:color w:val="111111"/>
          <w:sz w:val="28"/>
          <w:sz w:val="28"/>
          <w:szCs w:val="28"/>
          <w:rtl w:val="true"/>
          <w:lang w:bidi="fa-IR"/>
        </w:rPr>
        <w:t>یکن اجتهاداً محضاً وحدساً فی کیفیة القراءة، ولکنّه یدلّ علی عدم التواتر، و إعمال الإجتهاد فی الترجیح بین روایات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مع تباین المعنی الموجود فی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الإجمالی الذی أشار إلیه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 ویَطَّهَّرْنَ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 وخیر أئمة، علی قراءة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دعوی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کلا المعنیین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البعض فی تفسیر اختلاف القراءات أنه بسبب تمادی الوقت وخیانة الذاکرة، یدلّ علی أنها لم تمض کلها، مع قبولنا أنّ بعضها کان بسبب اختلاف اللهجات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کلّ هذا یتبلور عدم صحة دعوی التواتر، ولکن لا نقبل رأی السیّد الخوئی أیضاً</w:t>
      </w:r>
      <w:r>
        <w:rPr>
          <w:rFonts w:eastAsia="IRNazanin" w:cs="IRNazanin"/>
          <w:color w:val="111111"/>
          <w:sz w:val="28"/>
          <w:szCs w:val="28"/>
          <w:rtl w:val="true"/>
          <w:lang w:bidi="fa-IR"/>
        </w:rPr>
        <w:t>.</w:t>
      </w:r>
    </w:p>
    <w:p>
      <w:pPr>
        <w:pStyle w:val="Heading5"/>
        <w:numPr>
          <w:ilvl w:val="4"/>
          <w:numId w:val="1"/>
        </w:numPr>
        <w:rPr/>
      </w:pPr>
      <w:bookmarkStart w:id="869" w:name="__RefHeading___Toc3300248_1468164448"/>
      <w:bookmarkStart w:id="870" w:name="_Toc345"/>
      <w:bookmarkEnd w:id="869"/>
      <w:r>
        <w:rPr>
          <w:rtl w:val="true"/>
        </w:rPr>
        <w:t>دعوی الإجماع والمناقشة فیها</w:t>
      </w:r>
      <w:bookmarkEnd w:id="870"/>
    </w:p>
    <w:p>
      <w:pPr>
        <w:pStyle w:val="BookText"/>
        <w:rPr/>
      </w:pPr>
      <w:r>
        <w:rPr>
          <w:rFonts w:ascii="IRNazanin" w:hAnsi="IRNazanin" w:eastAsia="IRNazanin"/>
          <w:color w:val="111111"/>
          <w:sz w:val="28"/>
          <w:sz w:val="28"/>
          <w:szCs w:val="28"/>
          <w:rtl w:val="true"/>
          <w:lang w:bidi="fa-IR"/>
        </w:rPr>
        <w:t>کما لا نقبل محاولة بعض الأعلام المتأخرین إثبات الإمضاء الشرعی للقراءات السبعة أو العشرة، من خلال الإجماع المؤکد الذی ذکره أقطاب الطائفة کالطوسی فی التبیان والطبرسی وآخرین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عدم القبول هو أنّ المتیقن من الإجماع هو إجزاء القراءة بهذه القراءات فی الصلاة، وهو بهذا المقدار لا یدلّ علی القرآنیة، وإنما یدلّ علی إجزاء 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فاستظهار الحکم الشرعی والمعرفة الدینیة حینئذ غیر متیقن من الإجماع، خاصة بعد ملاحظة ترجیح الأعلام لقراءة علی أخری فی مقام الإستظهار، وإن کان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ترجیح لمتواتر علی متواتر آخر، او لما هو سنده صحیح علی ما هو سنده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نقبل أنّ الإجماع فی الجملة، وأمّا بالجملة فلم یثبت لنا</w:t>
      </w:r>
      <w:r>
        <w:rPr>
          <w:rFonts w:eastAsia="IRNazanin" w:cs="IRNazanin"/>
          <w:color w:val="111111"/>
          <w:sz w:val="28"/>
          <w:szCs w:val="28"/>
          <w:rtl w:val="true"/>
          <w:lang w:bidi="fa-IR"/>
        </w:rPr>
        <w:t>.</w:t>
      </w:r>
    </w:p>
    <w:p>
      <w:pPr>
        <w:pStyle w:val="Heading5"/>
        <w:numPr>
          <w:ilvl w:val="4"/>
          <w:numId w:val="1"/>
        </w:numPr>
        <w:rPr/>
      </w:pPr>
      <w:bookmarkStart w:id="871" w:name="__RefHeading___Toc3300250_1468164448"/>
      <w:bookmarkStart w:id="872" w:name="_Toc346"/>
      <w:bookmarkEnd w:id="871"/>
      <w:r>
        <w:rPr>
          <w:rtl w:val="true"/>
        </w:rPr>
        <w:t>بیان المختار</w:t>
      </w:r>
      <w:bookmarkEnd w:id="872"/>
    </w:p>
    <w:p>
      <w:pPr>
        <w:pStyle w:val="Heading6"/>
        <w:numPr>
          <w:ilvl w:val="5"/>
          <w:numId w:val="1"/>
        </w:numPr>
        <w:rPr/>
      </w:pPr>
      <w:bookmarkStart w:id="873" w:name="__RefHeading___Toc3300252_1468164448"/>
      <w:bookmarkStart w:id="874" w:name="_Toc347"/>
      <w:bookmarkEnd w:id="873"/>
      <w:r>
        <w:rPr>
          <w:rtl w:val="true"/>
        </w:rPr>
        <w:t>اشارة</w:t>
      </w:r>
      <w:bookmarkEnd w:id="8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تصل النوبة لبیان المختار</w:t>
      </w:r>
      <w:r>
        <w:rPr>
          <w:rFonts w:eastAsia="IRNazanin" w:cs="IRNazanin"/>
          <w:color w:val="111111"/>
          <w:sz w:val="28"/>
          <w:szCs w:val="28"/>
          <w:rtl w:val="true"/>
          <w:lang w:bidi="fa-IR"/>
        </w:rPr>
        <w:t>:</w:t>
      </w:r>
      <w:bookmarkStart w:id="875" w:name="pg16983_381094"/>
    </w:p>
    <w:p>
      <w:pPr>
        <w:pStyle w:val="BookText"/>
        <w:rPr/>
      </w:pPr>
      <w:bookmarkEnd w:id="875"/>
      <w:r>
        <w:rPr>
          <w:rFonts w:ascii="IRNazanin" w:hAnsi="IRNazanin" w:eastAsia="IRNazanin"/>
          <w:color w:val="111111"/>
          <w:sz w:val="28"/>
          <w:sz w:val="28"/>
          <w:szCs w:val="28"/>
          <w:rtl w:val="true"/>
          <w:lang w:bidi="fa-IR"/>
        </w:rPr>
        <w:t xml:space="preserve">تقدّم أنّ عدم القول بالتواتر لا یستلزم القول بالتحریف وأنّ من مناشئ اختلاف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حصرها بالعدد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السیاسی والعقائدی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أنّ فی الباب الرابع و السبعین من أبواب القراءة فی الوسائل مجموعة روایات، من ضمنها ما هو تام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مبانینا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تخطئة کلّ القراءات عدا قراءة أبیّ، وسند هذه الروایة لا بأس به، وفی الکافی إضافة وجود ربیعة الرأی من مشاهیر فقهاء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إمضاء القراءات التی علیها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کانت شائعة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الشواهد الدالّة علی شهرتها وشیوعها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یکشف عن إمضائهم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موردها أعم من القراءة فی الصلاة، لأنّ القرآن إنما سمّی قرآناً لأنه مقروء، فحینما یعبّر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کَمَا عُلِّمْتُمْ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یکون ظاهراً فی أنه اجعلوا القرآن کما علّمتم، ومن ثمّ یستفاد منه فی الصلاة، والإستظهار والحجاج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ویؤکّد ذلک أنّ أسئلة الرواة لیست عن التلاوة، وإنما عن قرآنیة القرآن</w:t>
      </w:r>
      <w:r>
        <w:rPr>
          <w:rFonts w:eastAsia="IRNazanin" w:cs="IRNazanin"/>
          <w:color w:val="111111"/>
          <w:sz w:val="28"/>
          <w:szCs w:val="28"/>
          <w:rtl w:val="true"/>
          <w:lang w:bidi="fa-IR"/>
        </w:rPr>
        <w:t>.</w:t>
      </w:r>
    </w:p>
    <w:p>
      <w:pPr>
        <w:pStyle w:val="Heading6"/>
        <w:numPr>
          <w:ilvl w:val="5"/>
          <w:numId w:val="1"/>
        </w:numPr>
        <w:rPr/>
      </w:pPr>
      <w:bookmarkStart w:id="876" w:name="__RefHeading___Toc3300254_1468164448"/>
      <w:bookmarkStart w:id="877" w:name="_Toc348"/>
      <w:bookmarkEnd w:id="876"/>
      <w:r>
        <w:rPr>
          <w:rtl w:val="true"/>
        </w:rPr>
        <w:t xml:space="preserve">حصول إمضاء القراءات فی زمن الأئمة </w:t>
      </w:r>
      <w:r>
        <w:rPr>
          <w:rtl w:val="true"/>
        </w:rPr>
        <w:t>(</w:t>
      </w:r>
      <w:r>
        <w:rPr>
          <w:rtl w:val="true"/>
        </w:rPr>
        <w:t>علیهم السلام</w:t>
      </w:r>
      <w:r>
        <w:rPr>
          <w:rtl w:val="true"/>
        </w:rPr>
        <w:t>)</w:t>
      </w:r>
      <w:bookmarkEnd w:id="8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الإلتفات إلی المواد التی أشرنا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الإمضاء حصل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ذکره من الشواهد علی التواتر تدلّ علی شیوعها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یردعوها، وهو کاف فی الإمضاء فی مثل هذه الأمور الخطیرة، بل حتی الردع الضعیف لا یکفی ما لم یکن موازیاً</w:t>
      </w:r>
      <w:bookmarkStart w:id="878" w:name="pg16983_381095"/>
    </w:p>
    <w:p>
      <w:pPr>
        <w:pStyle w:val="BookText"/>
        <w:rPr/>
      </w:pPr>
      <w:bookmarkEnd w:id="878"/>
      <w:r>
        <w:rPr>
          <w:rFonts w:ascii="IRNazanin" w:hAnsi="IRNazanin" w:eastAsia="IRNazanin"/>
          <w:color w:val="111111"/>
          <w:sz w:val="28"/>
          <w:sz w:val="28"/>
          <w:szCs w:val="28"/>
          <w:rtl w:val="true"/>
          <w:lang w:bidi="fa-IR"/>
        </w:rPr>
        <w:t>فی قوته لحجم السیرة ومدی رسوخها وتجذرها</w:t>
      </w:r>
      <w:r>
        <w:rPr>
          <w:rFonts w:eastAsia="IRNazanin" w:cs="IRNazanin"/>
          <w:color w:val="111111"/>
          <w:sz w:val="28"/>
          <w:szCs w:val="28"/>
          <w:rtl w:val="true"/>
          <w:lang w:bidi="fa-IR"/>
        </w:rPr>
        <w:t>.</w:t>
      </w:r>
    </w:p>
    <w:p>
      <w:pPr>
        <w:pStyle w:val="Heading6"/>
        <w:numPr>
          <w:ilvl w:val="5"/>
          <w:numId w:val="1"/>
        </w:numPr>
        <w:rPr/>
      </w:pPr>
      <w:bookmarkStart w:id="879" w:name="__RefHeading___Toc3300256_1468164448"/>
      <w:bookmarkStart w:id="880" w:name="_Toc349"/>
      <w:bookmarkEnd w:id="879"/>
      <w:r>
        <w:rPr>
          <w:rtl w:val="true"/>
        </w:rPr>
        <w:t>الإمضاء ظاهری</w:t>
      </w:r>
      <w:bookmarkEnd w:id="880"/>
    </w:p>
    <w:p>
      <w:pPr>
        <w:pStyle w:val="BookText"/>
        <w:rPr/>
      </w:pPr>
      <w:r>
        <w:rPr>
          <w:rFonts w:ascii="IRNazanin" w:hAnsi="IRNazanin" w:eastAsia="IRNazanin"/>
          <w:color w:val="111111"/>
          <w:sz w:val="28"/>
          <w:sz w:val="28"/>
          <w:szCs w:val="28"/>
          <w:rtl w:val="true"/>
          <w:lang w:bidi="fa-IR"/>
        </w:rPr>
        <w:t>ولکن هذا الإمضاء إمضاء ظاهری لا واقعی، فهو یتحدد بمستوی الفهم والإستظهار الفقهی ولا یشمل بعض المسائل ذات البُعد العقائدی أو القرآنی الذی له صلة بالعقیدة، من قبیل اعتقاد الإمامیة بأنّ قرآن علیّ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ذلک بوضوح من ردعهم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وتخطئتهم لکلّ القراءات عدا قراءة أبیّ،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فالروایات أمضت القراءات ولو لحکمة التقیة، وفی الأعم من القرآن والصلاة بعد أن دلّت علی شیوع هذه القراءات فی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881" w:name="__RefHeading___Toc3300258_1468164448"/>
      <w:bookmarkStart w:id="882" w:name="_Toc350"/>
      <w:bookmarkEnd w:id="881"/>
      <w:r>
        <w:rPr>
          <w:rtl w:val="true"/>
        </w:rPr>
        <w:t>ثمرة بحث تواتر القراءات</w:t>
      </w:r>
      <w:bookmarkEnd w:id="882"/>
    </w:p>
    <w:p>
      <w:pPr>
        <w:pStyle w:val="BookText"/>
        <w:rPr/>
      </w:pPr>
      <w:r>
        <w:rPr>
          <w:rFonts w:ascii="IRNazanin" w:hAnsi="IRNazanin" w:eastAsia="IRNazanin"/>
          <w:color w:val="111111"/>
          <w:sz w:val="28"/>
          <w:sz w:val="28"/>
          <w:szCs w:val="28"/>
          <w:rtl w:val="true"/>
          <w:lang w:bidi="fa-IR"/>
        </w:rPr>
        <w:t>وفی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ننوّه إلی أنّ الثمرة تظهر علی مبنی تواتر القراءات فی الحکم بتعارض القراءتین علی حدّ تعارض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مبنی صحة السنّة أو السیرة الممضاة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تعدّد القراءة یقع التعارض إلاّ أنه علی حدّ تعارض الطریقین الظنیین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مبنی السیّد الخوئی الذی أنکر التواتر وصحة السند، ولم یقل إلاّ بالإجزاء فی قراءة الصلاة، فمع اختلاف القراءات یؤخذ بالقدر المتیقن فی مقام الإستظهار</w:t>
      </w:r>
      <w:r>
        <w:rPr>
          <w:rFonts w:eastAsia="IRNazanin" w:cs="IRNazanin"/>
          <w:color w:val="111111"/>
          <w:sz w:val="28"/>
          <w:szCs w:val="28"/>
          <w:rtl w:val="true"/>
          <w:lang w:bidi="fa-IR"/>
        </w:rPr>
        <w:t>.</w:t>
      </w:r>
      <w:bookmarkStart w:id="883" w:name="pg16983_381098"/>
    </w:p>
    <w:p>
      <w:pPr>
        <w:pStyle w:val="Heading4"/>
        <w:numPr>
          <w:ilvl w:val="3"/>
          <w:numId w:val="1"/>
        </w:numPr>
        <w:rPr/>
      </w:pPr>
      <w:bookmarkStart w:id="884" w:name="__RefHeading___Toc3300260_1468164448"/>
      <w:bookmarkStart w:id="885" w:name="_Toc351"/>
      <w:bookmarkEnd w:id="883"/>
      <w:bookmarkEnd w:id="884"/>
      <w:r>
        <w:rPr/>
        <w:t>5</w:t>
      </w:r>
      <w:r>
        <w:rPr>
          <w:rtl w:val="true"/>
        </w:rPr>
        <w:t xml:space="preserve"> . </w:t>
      </w:r>
      <w:r>
        <w:rPr>
          <w:rtl w:val="true"/>
        </w:rPr>
        <w:t>المقام الخامس</w:t>
      </w:r>
      <w:r>
        <w:rPr>
          <w:rtl w:val="true"/>
        </w:rPr>
        <w:t xml:space="preserve">: </w:t>
      </w:r>
      <w:r>
        <w:rPr>
          <w:rtl w:val="true"/>
        </w:rPr>
        <w:t>الأصول اللفظیة</w:t>
      </w:r>
      <w:bookmarkEnd w:id="885"/>
    </w:p>
    <w:p>
      <w:pPr>
        <w:pStyle w:val="Heading5"/>
        <w:numPr>
          <w:ilvl w:val="4"/>
          <w:numId w:val="1"/>
        </w:numPr>
        <w:rPr/>
      </w:pPr>
      <w:bookmarkStart w:id="886" w:name="__RefHeading___Toc3300262_1468164448"/>
      <w:bookmarkStart w:id="887" w:name="_Toc352"/>
      <w:bookmarkEnd w:id="886"/>
      <w:r>
        <w:rPr>
          <w:rtl w:val="true"/>
        </w:rPr>
        <w:t>اشارة</w:t>
      </w:r>
      <w:bookmarkEnd w:id="887"/>
    </w:p>
    <w:p>
      <w:pPr>
        <w:pStyle w:val="BookText"/>
        <w:rPr/>
      </w:pPr>
      <w:r>
        <w:rPr>
          <w:rFonts w:ascii="IRNazanin" w:hAnsi="IRNazanin" w:eastAsia="IRNazanin"/>
          <w:color w:val="111111"/>
          <w:sz w:val="28"/>
          <w:sz w:val="28"/>
          <w:szCs w:val="28"/>
          <w:rtl w:val="true"/>
          <w:lang w:bidi="fa-IR"/>
        </w:rPr>
        <w:t xml:space="preserve">قد بحث الشیخ عن الأصول اللفظیة فی بحث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لسابقیه حیث ذکروها فی مباحث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البحث صغرویاً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أصول ظنیة، فکانت بحاجة إلی البحث عن وجه حجّیتها ومداه، خاصة بعد أن کانت سیّالة جداً فی بحث الإستنباط</w:t>
      </w:r>
      <w:r>
        <w:rPr>
          <w:rFonts w:eastAsia="IRNazanin" w:cs="IRNazanin"/>
          <w:color w:val="111111"/>
          <w:sz w:val="28"/>
          <w:szCs w:val="28"/>
          <w:rtl w:val="true"/>
          <w:lang w:bidi="fa-IR"/>
        </w:rPr>
        <w:t>.</w:t>
      </w:r>
    </w:p>
    <w:p>
      <w:pPr>
        <w:pStyle w:val="Heading5"/>
        <w:numPr>
          <w:ilvl w:val="4"/>
          <w:numId w:val="1"/>
        </w:numPr>
        <w:rPr/>
      </w:pPr>
      <w:bookmarkStart w:id="888" w:name="__RefHeading___Toc3300264_1468164448"/>
      <w:bookmarkStart w:id="889" w:name="_Toc353"/>
      <w:bookmarkEnd w:id="888"/>
      <w:r>
        <w:rPr>
          <w:rtl w:val="true"/>
        </w:rPr>
        <w:t>معنی الأصل اللفظی</w:t>
      </w:r>
      <w:bookmarkEnd w:id="889"/>
    </w:p>
    <w:p>
      <w:pPr>
        <w:pStyle w:val="Heading6"/>
        <w:numPr>
          <w:ilvl w:val="5"/>
          <w:numId w:val="1"/>
        </w:numPr>
        <w:rPr/>
      </w:pPr>
      <w:bookmarkStart w:id="890" w:name="__RefHeading___Toc3300266_1468164448"/>
      <w:bookmarkStart w:id="891" w:name="_Toc354"/>
      <w:bookmarkEnd w:id="890"/>
      <w:r>
        <w:rPr>
          <w:rtl w:val="true"/>
        </w:rPr>
        <w:t>اشارة</w:t>
      </w:r>
      <w:bookmarkEnd w:id="891"/>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کونه لفظیاً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اجتهادی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بحکم کونه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رافعة للتحیر فی مقام العمل، وهما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اللفظی لیس لفظاً، وإنما هو قرینة نوعیة غیر ملفوظة قد تبانی علیها العقلاء، تنضم إلی اللفظ فی صیاغة الظهور وتشکیله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فالتبانی لیس مجرداً کی تکون من الأصول العملیة، و إنما مرتبط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البناء کانت أصلاً بالإضافة إلی أنّ النوبة لا تصل إلیها إلاّ بعد فقد القرینة اللفظیة الجزئیة الخاصة، ومن حیث ارتباط هذا البناء باللفظ کان لفظیاً</w:t>
      </w:r>
      <w:r>
        <w:rPr>
          <w:rFonts w:eastAsia="IRNazanin" w:cs="IRNazanin"/>
          <w:color w:val="111111"/>
          <w:sz w:val="28"/>
          <w:szCs w:val="28"/>
          <w:rtl w:val="true"/>
          <w:lang w:bidi="fa-IR"/>
        </w:rPr>
        <w:t>.</w:t>
      </w:r>
    </w:p>
    <w:p>
      <w:pPr>
        <w:pStyle w:val="Heading6"/>
        <w:numPr>
          <w:ilvl w:val="5"/>
          <w:numId w:val="1"/>
        </w:numPr>
        <w:rPr/>
      </w:pPr>
      <w:bookmarkStart w:id="892" w:name="__RefHeading___Toc3300268_1468164448"/>
      <w:bookmarkStart w:id="893" w:name="_Toc355"/>
      <w:bookmarkEnd w:id="892"/>
      <w:r>
        <w:rPr>
          <w:rtl w:val="true"/>
        </w:rPr>
        <w:t>الأصل اللفظی هل هو تعبدی أم لا؟</w:t>
      </w:r>
      <w:bookmarkEnd w:id="89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اللفظی هل هو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بناء العقلاء وتقنینهم للأصول اللفظیة للحجاج والتنجیز والتعذیر لا للإراءة و الحاکویة، 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التقنین هذا یرجع إلی مولویة المجموع علی الأفراد ولابدّیة التسلیم للقانون لا من باب الکشف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غیر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غرض التقنین هو الإراءة والحاکویة أیضاً، ولیس</w:t>
      </w:r>
      <w:bookmarkStart w:id="894" w:name="pg16983_381100"/>
    </w:p>
    <w:p>
      <w:pPr>
        <w:pStyle w:val="BookText"/>
        <w:rPr/>
      </w:pPr>
      <w:bookmarkEnd w:id="894"/>
      <w:r>
        <w:rPr>
          <w:rFonts w:ascii="IRNazanin" w:hAnsi="IRNazanin" w:eastAsia="IRNazanin"/>
          <w:color w:val="111111"/>
          <w:sz w:val="28"/>
          <w:sz w:val="28"/>
          <w:szCs w:val="28"/>
          <w:rtl w:val="true"/>
          <w:lang w:bidi="fa-IR"/>
        </w:rPr>
        <w:t>صرف التنجیز والتعذیر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یخفی أنّ هذا السؤال قریب الأفق إلی السؤال الأول أو له ارتباط به</w:t>
      </w:r>
      <w:r>
        <w:rPr>
          <w:rFonts w:eastAsia="IRNazanin" w:cs="IRNazanin"/>
          <w:color w:val="111111"/>
          <w:sz w:val="28"/>
          <w:szCs w:val="28"/>
          <w:rtl w:val="true"/>
          <w:lang w:bidi="fa-IR"/>
        </w:rPr>
        <w:t>.</w:t>
      </w:r>
    </w:p>
    <w:p>
      <w:pPr>
        <w:pStyle w:val="Heading6"/>
        <w:numPr>
          <w:ilvl w:val="5"/>
          <w:numId w:val="1"/>
        </w:numPr>
        <w:rPr/>
      </w:pPr>
      <w:bookmarkStart w:id="895" w:name="__RefHeading___Toc3300270_1468164448"/>
      <w:bookmarkStart w:id="896" w:name="_Toc356"/>
      <w:bookmarkEnd w:id="895"/>
      <w:r>
        <w:rPr>
          <w:rtl w:val="true"/>
        </w:rPr>
        <w:t>ثمرة هذا البحث</w:t>
      </w:r>
      <w:bookmarkEnd w:id="896"/>
    </w:p>
    <w:p>
      <w:pPr>
        <w:pStyle w:val="BookText"/>
        <w:rPr/>
      </w:pPr>
      <w:r>
        <w:rPr>
          <w:rFonts w:ascii="IRNazanin" w:hAnsi="IRNazanin" w:eastAsia="IRNazanin"/>
          <w:color w:val="111111"/>
          <w:sz w:val="28"/>
          <w:sz w:val="28"/>
          <w:szCs w:val="28"/>
          <w:rtl w:val="true"/>
          <w:lang w:bidi="fa-IR"/>
        </w:rPr>
        <w:t>کما لا یخفی الثمرة المترتبة علی هذا التساؤل، حیث إنّه مع الشک فی قرینیة الموجود أو مع وجود القرینة المجملة فی الجملة یؤخذ بظاهر الکلام بناءً علی التعبدیة، ولا یؤخذ به بناءً علی الأماریة لعدم بنائهم علی الأماریة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التساؤل ینسحب علی کلّ البناءات العقلائیة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الأصولیة منها أم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إنّ هذا النمط من التقنین کان لصرف المتابعة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باب الموالی والعبید علی حدّ تعبیر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الأماریة؟ فالید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قانون قنّنه العقلاء للإحتجاج وقطع العذر وحکمته وخلفیته الحاکویة، أو أنّ الأماریة والحاکویة هی المجعولة؟ ومثله فی الإقرار وتظهر الثمرة فی ما لو أقرّ علی نفسه بإقرارین، فإنّهما یتساقطان علی الأماریة، ولا یتساقطان مع التعبدیة</w:t>
      </w:r>
      <w:r>
        <w:rPr>
          <w:rFonts w:eastAsia="IRNazanin" w:cs="IRNazanin"/>
          <w:color w:val="111111"/>
          <w:sz w:val="28"/>
          <w:szCs w:val="28"/>
          <w:rtl w:val="true"/>
          <w:lang w:bidi="fa-IR"/>
        </w:rPr>
        <w:t>.</w:t>
      </w:r>
    </w:p>
    <w:p>
      <w:pPr>
        <w:pStyle w:val="Heading5"/>
        <w:numPr>
          <w:ilvl w:val="4"/>
          <w:numId w:val="1"/>
        </w:numPr>
        <w:rPr/>
      </w:pPr>
      <w:bookmarkStart w:id="897" w:name="__RefHeading___Toc3300272_1468164448"/>
      <w:bookmarkStart w:id="898" w:name="_Toc357"/>
      <w:bookmarkEnd w:id="897"/>
      <w:r>
        <w:rPr>
          <w:rtl w:val="true"/>
        </w:rPr>
        <w:t>استخدام لغة القانون فی الشرع</w:t>
      </w:r>
      <w:bookmarkEnd w:id="898"/>
    </w:p>
    <w:p>
      <w:pPr>
        <w:pStyle w:val="Heading6"/>
        <w:numPr>
          <w:ilvl w:val="5"/>
          <w:numId w:val="1"/>
        </w:numPr>
        <w:rPr/>
      </w:pPr>
      <w:bookmarkStart w:id="899" w:name="__RefHeading___Toc3300274_1468164448"/>
      <w:bookmarkStart w:id="900" w:name="_Toc358"/>
      <w:bookmarkEnd w:id="899"/>
      <w:r>
        <w:rPr>
          <w:rtl w:val="true"/>
        </w:rPr>
        <w:t>اشارة</w:t>
      </w:r>
      <w:bookmarkEnd w:id="900"/>
    </w:p>
    <w:p>
      <w:pPr>
        <w:pStyle w:val="BookText"/>
        <w:rPr/>
      </w:pPr>
      <w:r>
        <w:rPr>
          <w:rFonts w:ascii="IRNazanin" w:hAnsi="IRNazanin" w:eastAsia="IRNazanin"/>
          <w:color w:val="111111"/>
          <w:sz w:val="28"/>
          <w:sz w:val="28"/>
          <w:szCs w:val="28"/>
          <w:rtl w:val="true"/>
          <w:lang w:bidi="fa-IR"/>
        </w:rPr>
        <w:t>ونذکّر ثانیاً بما بیّناه سابقاً من أنّ علاقة القانون الشرعی بالقانون العقلائی تشبه علاقة القرآن الکریم باللغة العربیة، فکما أنّ اللغة العربیة لیست مجعولة ومع ذلک نزل القرآن بها، فهو فی عین أنه لم یؤسس اللغة ولم یحددّها بما لها من علوم مرتبطة بها، وهو معجز وأبرز مراتب إعجازه لعامة الناس هو البُعد الأدبی البلاغی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الإبتکار محفوظاً للقرآن، فی عین أنه لم یستحدث لغة جدیدة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فی لغة القانون، فإنّ جری الشارع علی تلک اللغة وعدم تأسیسه للغة جدیدة لا یعنی أنّ الشریعة فی متناول الجمیع و أننا فی</w:t>
      </w:r>
      <w:bookmarkStart w:id="901" w:name="pg16983_381102"/>
    </w:p>
    <w:p>
      <w:pPr>
        <w:pStyle w:val="BookText"/>
        <w:rPr/>
      </w:pPr>
      <w:bookmarkEnd w:id="901"/>
      <w:r>
        <w:rPr>
          <w:rFonts w:ascii="IRNazanin" w:hAnsi="IRNazanin" w:eastAsia="IRNazanin"/>
          <w:color w:val="111111"/>
          <w:sz w:val="28"/>
          <w:sz w:val="28"/>
          <w:szCs w:val="28"/>
          <w:rtl w:val="true"/>
          <w:lang w:bidi="fa-IR"/>
        </w:rPr>
        <w:t>غنی عنها حیث یمکن وصول العقلاء إلی أسرارها، کلاّ و إنما الشارع استخدم هذه اللغة فی بیان قضایاه وتصدیقاته القانونیة التی یعجز البشر عن نیلها وإدراکها بنفسه</w:t>
      </w:r>
      <w:r>
        <w:rPr>
          <w:rFonts w:eastAsia="IRNazanin" w:cs="IRNazanin"/>
          <w:color w:val="111111"/>
          <w:sz w:val="28"/>
          <w:szCs w:val="28"/>
          <w:rtl w:val="true"/>
          <w:lang w:bidi="fa-IR"/>
        </w:rPr>
        <w:t>.</w:t>
      </w:r>
    </w:p>
    <w:p>
      <w:pPr>
        <w:pStyle w:val="Heading6"/>
        <w:numPr>
          <w:ilvl w:val="5"/>
          <w:numId w:val="1"/>
        </w:numPr>
        <w:rPr/>
      </w:pPr>
      <w:bookmarkStart w:id="902" w:name="__RefHeading___Toc3300276_1468164448"/>
      <w:bookmarkStart w:id="903" w:name="_Toc359"/>
      <w:bookmarkEnd w:id="902"/>
      <w:r>
        <w:rPr>
          <w:rtl w:val="true"/>
        </w:rPr>
        <w:t>المراد من الإمضاء فی باب المعاملات</w:t>
      </w:r>
      <w:bookmarkEnd w:id="903"/>
    </w:p>
    <w:p>
      <w:pPr>
        <w:pStyle w:val="BookText"/>
        <w:rPr/>
      </w:pPr>
      <w:r>
        <w:rPr>
          <w:rFonts w:ascii="IRNazanin" w:hAnsi="IRNazanin" w:eastAsia="IRNazanin"/>
          <w:color w:val="111111"/>
          <w:sz w:val="28"/>
          <w:sz w:val="28"/>
          <w:szCs w:val="28"/>
          <w:rtl w:val="true"/>
          <w:lang w:bidi="fa-IR"/>
        </w:rPr>
        <w:t>ثم إنّ ما ذکره الأعلام فی باب المعاملات أنها إمضائیة یقصدون منه شیئاً آخر غیر إمضاء لغة القانون المرکوزة وجریه علیها، وإنما للعقلاء قوانین تصدیقیة وقضایا قانونیة أقرّها الشارع علاوة علی إقراره لأصل اللغة والمبادئ التصوریة للقانون، ومن ثمّ حتی لو ردع عن کلّ هذه التصدیقات الإعتباریة یبقی جاریاً وممضیاً للغة القانون بدلیل أنه لم یبتکر لغة جدیدة</w:t>
      </w:r>
      <w:r>
        <w:rPr>
          <w:rFonts w:eastAsia="IRNazanin" w:cs="IRNazanin"/>
          <w:color w:val="111111"/>
          <w:sz w:val="28"/>
          <w:szCs w:val="28"/>
          <w:rtl w:val="true"/>
          <w:lang w:bidi="fa-IR"/>
        </w:rPr>
        <w:t>.</w:t>
      </w:r>
    </w:p>
    <w:p>
      <w:pPr>
        <w:pStyle w:val="Heading6"/>
        <w:numPr>
          <w:ilvl w:val="5"/>
          <w:numId w:val="1"/>
        </w:numPr>
        <w:rPr/>
      </w:pPr>
      <w:bookmarkStart w:id="904" w:name="__RefHeading___Toc3300278_1468164448"/>
      <w:bookmarkStart w:id="905" w:name="_Toc360"/>
      <w:bookmarkEnd w:id="904"/>
      <w:r>
        <w:rPr>
          <w:rtl w:val="true"/>
        </w:rPr>
        <w:t>ضرورة الإلمام بالمبادئ التصوریة القانونیة</w:t>
      </w:r>
      <w:bookmarkEnd w:id="905"/>
    </w:p>
    <w:p>
      <w:pPr>
        <w:pStyle w:val="BookText"/>
        <w:rPr/>
      </w:pPr>
      <w:r>
        <w:rPr>
          <w:rFonts w:ascii="IRNazanin" w:hAnsi="IRNazanin" w:eastAsia="IRNazanin"/>
          <w:color w:val="111111"/>
          <w:sz w:val="28"/>
          <w:sz w:val="28"/>
          <w:szCs w:val="28"/>
          <w:rtl w:val="true"/>
          <w:lang w:bidi="fa-IR"/>
        </w:rPr>
        <w:t xml:space="preserve">وعلی أساس هذه اللغة لابدّ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الدخول فی أیّ باب فقهی کالفقه الجنائی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الإلمام بالمبادئ التصوریة القانونیة لذلک الباب، حیث یؤثر جداً فی فهم تشریعات الباب، نظیر ضرورة الإلمام بعلوم اللغة والأدب والدخول إلی القرآن والروایة کما أنّ علی الفقیه أن یقدم تعریفاً قانونیاً لموضوع کلّ مسألة، کالغناء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 إلی جنب التعریف اللغوی والعرفی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وانطلاقاً من هذه الضرورة أخذ متأخرو الأعلام بالتفکیر بإلحاق باب جدید لعلم الأصول هو باب اللغة القانونیة جنباً إلی جنب مباحث الألفاظ والحجج والدلیل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کلّ هذا یتضح مرة أخری أنّ السیرة والبناء العقلائی هما نتیجة وثمرة للتقنین العقلائی، وبالتالی یتضح أنّ الأصول اللفظیة حینئذ قوانین سنّها العقلاء لمعالجة مشکلات المحاورة وتنظیم عملیة التفاهم، ولکن هل فقط جعلت للحجاج وقطع العذر أو جعلت أمارة؟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06" w:name="__RefHeading___Toc3300280_1468164448"/>
      <w:bookmarkStart w:id="907" w:name="_Toc361"/>
      <w:bookmarkEnd w:id="906"/>
      <w:r>
        <w:rPr>
          <w:rtl w:val="true"/>
        </w:rPr>
        <w:t>أقسام الأصول اللفظیة</w:t>
      </w:r>
      <w:bookmarkStart w:id="908" w:name="pg16983_381104"/>
      <w:bookmarkEnd w:id="907"/>
    </w:p>
    <w:p>
      <w:pPr>
        <w:pStyle w:val="BookText"/>
        <w:rPr/>
      </w:pPr>
      <w:bookmarkEnd w:id="908"/>
      <w:r>
        <w:rPr>
          <w:rFonts w:ascii="IRNazanin" w:hAnsi="IRNazanin" w:eastAsia="IRNazanin"/>
          <w:color w:val="111111"/>
          <w:sz w:val="28"/>
          <w:sz w:val="28"/>
          <w:szCs w:val="28"/>
          <w:rtl w:val="true"/>
          <w:lang w:bidi="fa-IR"/>
        </w:rPr>
        <w:t xml:space="preserve">الأصول اللفظیة علی أقسام؛ فبعضها لتشخیص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الحقیقة عند المرتضی بعد إحراز المراد وقول اللغوی إذا کان ظنیاً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لتشخیص مراد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منها ما یشخّص المراد الإستعمالی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کأصالة الحقیقة وأصالة عدم القرینة علی المجاز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یشخّص المراد التفهیمی بعد الإلتفات إلی أنه لا یتطابق هذا مع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الکنایة والمجاز السکاکی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 لتحدید المراد الجدّی وهو أیضاً قد لا یتطابق مع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الإستفهام التعجیزی، حیث إنّ المراد التفهیمی منه التحدی، والمراد الجدی إلفاتهم إلی عجزهم لا التحدی لعلمه بعدم قدرتهم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یخفی أنّ ثمرة عدم التطابق هی تقدیم المراد المتقدّم رتبة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وأصالة العموم مرتبطة بتحدید المراد التفهیمی لوجود دالّ علی العموم، بینما أصالة الإطلاق تحدّد المراد الجدّی عند الأکثر</w:t>
      </w:r>
      <w:r>
        <w:rPr>
          <w:rFonts w:eastAsia="IRNazanin" w:cs="IRNazanin"/>
          <w:color w:val="111111"/>
          <w:sz w:val="28"/>
          <w:szCs w:val="28"/>
          <w:rtl w:val="true"/>
          <w:lang w:bidi="fa-IR"/>
        </w:rPr>
        <w:t>.</w:t>
      </w:r>
    </w:p>
    <w:p>
      <w:pPr>
        <w:pStyle w:val="Heading6"/>
        <w:numPr>
          <w:ilvl w:val="5"/>
          <w:numId w:val="1"/>
        </w:numPr>
        <w:rPr/>
      </w:pPr>
      <w:bookmarkStart w:id="909" w:name="__RefHeading___Toc3300282_1468164448"/>
      <w:bookmarkStart w:id="910" w:name="_Toc362"/>
      <w:bookmarkEnd w:id="909"/>
      <w:r>
        <w:rPr>
          <w:rtl w:val="true"/>
        </w:rPr>
        <w:t>مرجع الأصول اللفظیة</w:t>
      </w:r>
      <w:bookmarkEnd w:id="910"/>
    </w:p>
    <w:p>
      <w:pPr>
        <w:pStyle w:val="BookText"/>
        <w:rPr/>
      </w:pPr>
      <w:r>
        <w:rPr>
          <w:rFonts w:ascii="IRNazanin" w:hAnsi="IRNazanin" w:eastAsia="IRNazanin"/>
          <w:color w:val="111111"/>
          <w:sz w:val="28"/>
          <w:sz w:val="28"/>
          <w:szCs w:val="28"/>
          <w:rtl w:val="true"/>
          <w:lang w:bidi="fa-IR"/>
        </w:rPr>
        <w:t>یظهر من الشیخ أنّ الأصول الوجودیة علی اختلاف مراتبها ترجع إلی عدمیة، ویظهر من الآخوند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أنّهما أصلان لا یرجع أحدهما إلی الآخر، فإنّ الأصل الوجودی بمثابة المقتضی، والأصل العدمی بمثابة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للعموم أدواته ودوالّه وللتخصیص کذلک، وبالتالی لابدّ من أصل یؤمّن وجود أداة العموم ودلالتها، ومن آخر ینفی التخصیص، وهکذا فی سائر الأصول الوجودیة ومقابلاتها العدمیة،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مقتضیها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العلقة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الحقیقة تؤمّن لنا إرادة العلقة الوضعیة، وأصالة عدم القرینة تؤمّن لنا عدم القرینة الصارفة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11" w:name="__RefHeading___Toc3300284_1468164448"/>
      <w:bookmarkStart w:id="912" w:name="_Toc363"/>
      <w:bookmarkEnd w:id="911"/>
      <w:r>
        <w:rPr>
          <w:rtl w:val="true"/>
        </w:rPr>
        <w:t>بیان الإصفهانی لعدم التعارض بین الأصول اللفظیة</w:t>
      </w:r>
      <w:bookmarkStart w:id="913" w:name="pg16983_381106"/>
      <w:bookmarkEnd w:id="912"/>
    </w:p>
    <w:p>
      <w:pPr>
        <w:pStyle w:val="BookText"/>
        <w:rPr/>
      </w:pPr>
      <w:bookmarkEnd w:id="913"/>
      <w:r>
        <w:rPr>
          <w:rFonts w:ascii="IRNazanin" w:hAnsi="IRNazanin" w:eastAsia="IRNazanin"/>
          <w:color w:val="111111"/>
          <w:sz w:val="28"/>
          <w:sz w:val="28"/>
          <w:szCs w:val="28"/>
          <w:rtl w:val="true"/>
          <w:lang w:bidi="fa-IR"/>
        </w:rPr>
        <w:t>الشیخ الإصفهانی أشکل علی فکرة التعارض بین الأصول اللفظیة فتقدیم أحدها علی الآخر، وذلک لأنّ الأصول هذه مجعولة من العقلاء، ولا یتعقل التعارض بین جعول العقلاء بعد فرض إلتفاتهم إلی جعولهم، نظیر جعولات الشارع الواقعیة فإنّها لا یعقل تعارضها بعد أن کان الشارع الأقدس ملتفتاً ومحیطاً بالواقع، فینحصر التعارض فی الکواشف</w:t>
      </w:r>
      <w:r>
        <w:rPr>
          <w:rFonts w:eastAsia="IRNazanin" w:cs="IRNazanin"/>
          <w:color w:val="111111"/>
          <w:sz w:val="28"/>
          <w:szCs w:val="28"/>
          <w:rtl w:val="true"/>
          <w:lang w:bidi="fa-IR"/>
        </w:rPr>
        <w:t>.</w:t>
      </w:r>
    </w:p>
    <w:p>
      <w:pPr>
        <w:pStyle w:val="Heading6"/>
        <w:numPr>
          <w:ilvl w:val="5"/>
          <w:numId w:val="1"/>
        </w:numPr>
        <w:rPr/>
      </w:pPr>
      <w:bookmarkStart w:id="914" w:name="__RefHeading___Toc3300286_1468164448"/>
      <w:bookmarkStart w:id="915" w:name="_Toc364"/>
      <w:bookmarkEnd w:id="914"/>
      <w:r>
        <w:rPr>
          <w:rtl w:val="true"/>
        </w:rPr>
        <w:t>تعمیم الإشکال إلی کلّ الجعول العقلائیة</w:t>
      </w:r>
      <w:bookmarkEnd w:id="915"/>
    </w:p>
    <w:p>
      <w:pPr>
        <w:pStyle w:val="BookText"/>
        <w:rPr/>
      </w:pPr>
      <w:r>
        <w:rPr>
          <w:rFonts w:ascii="IRNazanin" w:hAnsi="IRNazanin" w:eastAsia="IRNazanin"/>
          <w:color w:val="111111"/>
          <w:sz w:val="28"/>
          <w:sz w:val="28"/>
          <w:szCs w:val="28"/>
          <w:rtl w:val="true"/>
          <w:lang w:bidi="fa-IR"/>
        </w:rPr>
        <w:t>ولا یخفی أنّ دلیل الشیخ الإصفهانی هذا لا یخص الأصول اللفظیة، وإنما هو شامل لکلّ الجعولات العقلائیة سیما الظاهریة منها، فلا تعارض بین الخبرین بعد فرض أنّ دلیل حجّیته سیرة العقلاء، کما لا تعارض بین حجّیتن، وإنما یعمل مباشرة بالراجح منهما، بمعنی أنّ جعلهم ینصبّ علی الأمارة الأقوی، و أمّا الأضعف فلا یجعلونها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البدایة یقنّنون الکلّیات بشکل محدود بحیث لا یصطدم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مع دوران الأمر بین العموم و الشک فی المخصص لا تعارض بین حجّیتن وإنما هناک أمارة واصلة وأخری غیر واصلة، والعمل یکون علی الواصلة ولا یعتنی بغیر الواصلة سیما فی الحکم الأصولی، حیث إنّ روحه الوصول والتنجیز، فلا تحیر عند العقلاء کی یرفعوا تحیرهم من خلال جعل الأصول اللفظیة</w:t>
      </w:r>
      <w:r>
        <w:rPr>
          <w:rFonts w:eastAsia="IRNazanin" w:cs="IRNazanin"/>
          <w:color w:val="111111"/>
          <w:sz w:val="28"/>
          <w:szCs w:val="28"/>
          <w:rtl w:val="true"/>
          <w:lang w:bidi="fa-IR"/>
        </w:rPr>
        <w:t>.</w:t>
      </w:r>
      <w:r>
        <w:rPr>
          <w:rStyle w:val="FootnoteAnchor"/>
          <w:rtl w:val="true"/>
        </w:rPr>
        <w:footnoteReference w:id="14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16" w:name="__RefHeading___Toc3300288_1468164448"/>
      <w:bookmarkStart w:id="917" w:name="_Toc365"/>
      <w:bookmarkEnd w:id="916"/>
      <w:r>
        <w:rPr>
          <w:rtl w:val="true"/>
        </w:rPr>
        <w:t>ملاحظات علی الإصفهانی</w:t>
      </w:r>
      <w:bookmarkEnd w:id="91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التضاد المنفی فی جعول العقلاء ما کان بسبب جهلهم وعدم إلتفاتهم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التضاد الذی یحصل بسبب تنزّل الکلّیات واصطکاک المصادیق وتزاحمها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لابدّ منه سواء کان المقنّن الهیاً أم عقلائیاً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ینفه فی دلیله</w:t>
      </w:r>
      <w:r>
        <w:rPr>
          <w:rFonts w:eastAsia="IRNazanin" w:cs="IRNazanin"/>
          <w:color w:val="111111"/>
          <w:sz w:val="28"/>
          <w:szCs w:val="28"/>
          <w:rtl w:val="true"/>
          <w:lang w:bidi="fa-IR"/>
        </w:rPr>
        <w:t>.</w:t>
      </w:r>
      <w:r>
        <w:rPr>
          <w:rStyle w:val="FootnoteAnchor"/>
          <w:rtl w:val="true"/>
        </w:rPr>
        <w:footnoteReference w:id="14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العقلاء لیست لهم الحیطة الکاملة بالحقیقة والواقع، والملاحق القانونیة التی تذیل بها القوانین دلیل محدودیتهم وتطوّرهم تدریجیاً واکتشافهم للحقیقة أکثر وأکثر مع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الملاحظتان مرتبطتان بالکبری</w:t>
      </w:r>
      <w:r>
        <w:rPr>
          <w:rFonts w:eastAsia="IRNazanin" w:cs="IRNazanin"/>
          <w:color w:val="111111"/>
          <w:sz w:val="28"/>
          <w:szCs w:val="28"/>
          <w:rtl w:val="true"/>
          <w:lang w:bidi="fa-IR"/>
        </w:rPr>
        <w:t>. ]</w:t>
      </w:r>
      <w:r>
        <w:rPr>
          <w:rStyle w:val="FootnoteAnchor"/>
          <w:rtl w:val="true"/>
        </w:rPr>
        <w:footnoteReference w:id="148"/>
      </w:r>
      <w:bookmarkStart w:id="918" w:name="pg16983_381111"/>
    </w:p>
    <w:p>
      <w:pPr>
        <w:pStyle w:val="BookText"/>
        <w:rPr/>
      </w:pPr>
      <w:bookmarkEnd w:id="91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ملاحظة مرتبطة بتطبیقه الکبری علی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الشک فی الأصول اللفظیة هو أنّ الأمارة هل هی العلقة الوضعیة أو القرینة المتصلة، لا أنّ کلتا الأمارتین موجودتان ومتعلّق الشک فی الواصل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إحراز الترکیبة الخاصة للکلام الواحد، فنجری الأصل لإحرازها، لا أنّ الترکیب محرز وشک فی القرینة المنفصلة</w:t>
      </w:r>
      <w:r>
        <w:rPr>
          <w:rFonts w:eastAsia="IRNazanin" w:cs="IRNazanin"/>
          <w:color w:val="111111"/>
          <w:sz w:val="28"/>
          <w:szCs w:val="28"/>
          <w:rtl w:val="true"/>
          <w:lang w:bidi="fa-IR"/>
        </w:rPr>
        <w:t>.</w:t>
      </w:r>
    </w:p>
    <w:p>
      <w:pPr>
        <w:pStyle w:val="Heading5"/>
        <w:numPr>
          <w:ilvl w:val="4"/>
          <w:numId w:val="1"/>
        </w:numPr>
        <w:rPr/>
      </w:pPr>
      <w:bookmarkStart w:id="919" w:name="__RefHeading___Toc3300290_1468164448"/>
      <w:bookmarkStart w:id="920" w:name="_Toc366"/>
      <w:bookmarkEnd w:id="919"/>
      <w:r>
        <w:rPr>
          <w:rtl w:val="true"/>
        </w:rPr>
        <w:t>وجه حجّیة الأصول اللفظیة</w:t>
      </w:r>
      <w:bookmarkEnd w:id="920"/>
    </w:p>
    <w:p>
      <w:pPr>
        <w:pStyle w:val="BookText"/>
        <w:rPr/>
      </w:pPr>
      <w:r>
        <w:rPr>
          <w:rFonts w:ascii="IRNazanin" w:hAnsi="IRNazanin" w:eastAsia="IRNazanin"/>
          <w:color w:val="111111"/>
          <w:sz w:val="28"/>
          <w:sz w:val="28"/>
          <w:szCs w:val="28"/>
          <w:rtl w:val="true"/>
          <w:lang w:bidi="fa-IR"/>
        </w:rPr>
        <w:t>ممّا تقدم لاح وجه حجّیة هذه الأصول، وهو أنها قوانین عقلائیة لإحراز صغری الظهور ظناً بعد تعذره قطعاً، قد تجذرت ولم یردع الشارع عنها الکاشف عن إمضائه لها، ومن ثمّ مَن ظنّ بالظهور عبر قناة الأصل اللفظی فهو مصداق لحجّیة الظهور جنباً إلی جنب الظهور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ولیلتفت إلی أنّ حجّیة الأصول لا من باب اندراجها تحت حجّیة الظواهر کما توهّمه البعض</w:t>
      </w:r>
      <w:r>
        <w:rPr>
          <w:rFonts w:eastAsia="IRNazanin" w:cs="IRNazanin"/>
          <w:color w:val="111111"/>
          <w:sz w:val="28"/>
          <w:szCs w:val="28"/>
          <w:rtl w:val="true"/>
          <w:lang w:bidi="fa-IR"/>
        </w:rPr>
        <w:t>.</w:t>
      </w:r>
    </w:p>
    <w:p>
      <w:pPr>
        <w:pStyle w:val="Heading5"/>
        <w:numPr>
          <w:ilvl w:val="4"/>
          <w:numId w:val="1"/>
        </w:numPr>
        <w:rPr/>
      </w:pPr>
      <w:bookmarkStart w:id="921" w:name="__RefHeading___Toc3300292_1468164448"/>
      <w:bookmarkStart w:id="922" w:name="_Toc367"/>
      <w:bookmarkEnd w:id="921"/>
      <w:r>
        <w:rPr>
          <w:rtl w:val="true"/>
        </w:rPr>
        <w:t>شرط حجّیة الأصول اللفظیة</w:t>
      </w:r>
      <w:bookmarkEnd w:id="922"/>
    </w:p>
    <w:p>
      <w:pPr>
        <w:pStyle w:val="BookText"/>
        <w:rPr/>
      </w:pPr>
      <w:r>
        <w:rPr>
          <w:rFonts w:ascii="IRNazanin" w:hAnsi="IRNazanin" w:eastAsia="IRNazanin"/>
          <w:color w:val="111111"/>
          <w:sz w:val="28"/>
          <w:sz w:val="28"/>
          <w:szCs w:val="28"/>
          <w:rtl w:val="true"/>
          <w:lang w:bidi="fa-IR"/>
        </w:rPr>
        <w:t>کلمة 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ألفتنا إلی أنّ جریان الأصول اللفظیة لرفع حیرة المخاطب و شکّه فی ظهور الکلام الواحد، فهی تعینه فی رفع الإجمال عن الکلام، حیث تنقح له صغری الظهور بالظن النوعی المعتبر من قبل الشارع ولا علاقة لها بالقرائن المنفصلة، والتی هی تعارض ذا القرینة فی حجّیته لا فی ظهوره، ومن ثمّ لابدّ من الفحص الکامل عن القرائن المنفصلة، و إلاّ أثر علی حجّیة الظهور وإن انعقد بتوسط الأصل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ألفتنا إلی أنّ حجّیة الأصول مشروطة بالشک بعد الفحص التام</w:t>
      </w:r>
    </w:p>
    <w:p>
      <w:pPr>
        <w:pStyle w:val="BookText"/>
        <w:rPr/>
      </w:pPr>
      <w:r>
        <w:rPr>
          <w:rFonts w:ascii="IRNazanin" w:hAnsi="IRNazanin" w:eastAsia="IRNazanin"/>
          <w:color w:val="111111"/>
          <w:sz w:val="28"/>
          <w:sz w:val="28"/>
          <w:szCs w:val="28"/>
          <w:rtl w:val="true"/>
          <w:lang w:bidi="fa-IR"/>
        </w:rPr>
        <w:t>والمستوعب عن القرائن المتصلة لفظیة وحالیة، وإلاّ لم تصل النوبة إلیها ولا تکون حجّة، فلا یکون الظهور الظنی المنعقد بها صغری لکبری الظهور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المنهجی الفحص عن القرائن والأدلّة المنفصلة الخاصة علی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فی النتیجة للأصل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یکتفی بالأصل اللفظی، فمثلاً فی بیع المعاطاة تمسک البعض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فی کونها بیعاً بعد أن لم یعثر علی قرائن من الخارج تنفی ذلک، فأجری الأصل وانعقد الظهور فی العموم وبنی علی حجّیته، بینما لم یکتف کاشف الغطاء حتی وجد سبع أو أکثر قرائن خاصة تؤکد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دأب المتمرسین فی العمل الفقهی والضلیعین فی الإستنباط ذلک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وأشرنا ونؤکد أنّ هذا المنهج هو الصحیح، لما عرفت أنّ النوبة لا تصل إلی الأصل مع وجود الدلیل، مع قبولنا عدم استناد کلّ الفقه علی الأدلّة الخاصة، وأنّ للأصل مجالاً ومساحة، والمساحة التی یفقد فیها الدلیل الخاص</w:t>
      </w:r>
      <w:r>
        <w:rPr>
          <w:rFonts w:eastAsia="IRNazanin" w:cs="IRNazanin"/>
          <w:color w:val="111111"/>
          <w:sz w:val="28"/>
          <w:szCs w:val="28"/>
          <w:rtl w:val="true"/>
          <w:lang w:bidi="fa-IR"/>
        </w:rPr>
        <w:t>.</w:t>
      </w:r>
      <w:bookmarkStart w:id="923" w:name="pg16983_381115"/>
    </w:p>
    <w:p>
      <w:pPr>
        <w:pStyle w:val="Heading4"/>
        <w:numPr>
          <w:ilvl w:val="3"/>
          <w:numId w:val="1"/>
        </w:numPr>
        <w:rPr/>
      </w:pPr>
      <w:bookmarkStart w:id="924" w:name="__RefHeading___Toc3300294_1468164448"/>
      <w:bookmarkStart w:id="925" w:name="_Toc368"/>
      <w:bookmarkEnd w:id="923"/>
      <w:bookmarkEnd w:id="924"/>
      <w:r>
        <w:rPr/>
        <w:t>6</w:t>
      </w:r>
      <w:r>
        <w:rPr>
          <w:rtl w:val="true"/>
        </w:rPr>
        <w:t xml:space="preserve"> . </w:t>
      </w:r>
      <w:r>
        <w:rPr>
          <w:rtl w:val="true"/>
        </w:rPr>
        <w:t>المقام السادس</w:t>
      </w:r>
      <w:r>
        <w:rPr>
          <w:rtl w:val="true"/>
        </w:rPr>
        <w:t xml:space="preserve">: </w:t>
      </w:r>
      <w:r>
        <w:rPr>
          <w:rtl w:val="true"/>
        </w:rPr>
        <w:t>حجّیة قول اللغوی</w:t>
      </w:r>
      <w:bookmarkEnd w:id="925"/>
    </w:p>
    <w:p>
      <w:pPr>
        <w:pStyle w:val="Heading5"/>
        <w:numPr>
          <w:ilvl w:val="4"/>
          <w:numId w:val="1"/>
        </w:numPr>
        <w:rPr/>
      </w:pPr>
      <w:bookmarkStart w:id="926" w:name="__RefHeading___Toc3300296_1468164448"/>
      <w:bookmarkStart w:id="927" w:name="_Toc369"/>
      <w:bookmarkEnd w:id="926"/>
      <w:r>
        <w:rPr>
          <w:rtl w:val="true"/>
        </w:rPr>
        <w:t>أهمیة هذا البحث</w:t>
      </w:r>
      <w:bookmarkEnd w:id="927"/>
    </w:p>
    <w:p>
      <w:pPr>
        <w:pStyle w:val="BookText"/>
        <w:rPr/>
      </w:pPr>
      <w:r>
        <w:rPr>
          <w:rFonts w:ascii="IRNazanin" w:hAnsi="IRNazanin" w:eastAsia="IRNazanin"/>
          <w:color w:val="111111"/>
          <w:sz w:val="28"/>
          <w:sz w:val="28"/>
          <w:szCs w:val="28"/>
          <w:rtl w:val="true"/>
          <w:lang w:bidi="fa-IR"/>
        </w:rPr>
        <w:t xml:space="preserve">إنّ صغری الظهور ومتنه والدالّ بدلالة ظنیة علی المراد؛ إمّا أن تحرز بالقطع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التبادر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تحرز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یعرف أهمیة البحث عن حجّیته؛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سیتأمن لدینا ظن نوعی لإثبات المتن عند الشک فی الدالّ علی الظهور من جهة العلقة الوضعیة، نظیر الأصول اللفظیة فإنها وسائل ظنیة</w:t>
      </w:r>
      <w:r>
        <w:rPr>
          <w:rFonts w:eastAsia="IRNazanin" w:cs="IRNazanin"/>
          <w:color w:val="111111"/>
          <w:sz w:val="28"/>
          <w:szCs w:val="28"/>
          <w:rtl w:val="true"/>
          <w:lang w:bidi="fa-IR"/>
        </w:rPr>
        <w:t>.</w:t>
      </w:r>
    </w:p>
    <w:p>
      <w:pPr>
        <w:pStyle w:val="Heading5"/>
        <w:numPr>
          <w:ilvl w:val="4"/>
          <w:numId w:val="1"/>
        </w:numPr>
        <w:rPr/>
      </w:pPr>
      <w:bookmarkStart w:id="928" w:name="__RefHeading___Toc3300298_1468164448"/>
      <w:bookmarkStart w:id="929" w:name="_Toc370"/>
      <w:bookmarkEnd w:id="928"/>
      <w:r>
        <w:rPr>
          <w:rtl w:val="true"/>
        </w:rPr>
        <w:t>تعمیم البحث لکلّ علوم الأدب</w:t>
      </w:r>
      <w:bookmarkEnd w:id="929"/>
    </w:p>
    <w:p>
      <w:pPr>
        <w:pStyle w:val="Heading6"/>
        <w:numPr>
          <w:ilvl w:val="5"/>
          <w:numId w:val="1"/>
        </w:numPr>
        <w:rPr/>
      </w:pPr>
      <w:bookmarkStart w:id="930" w:name="__RefHeading___Toc3300300_1468164448"/>
      <w:bookmarkStart w:id="931" w:name="_Toc371"/>
      <w:bookmarkEnd w:id="930"/>
      <w:r>
        <w:rPr>
          <w:rtl w:val="true"/>
        </w:rPr>
        <w:t>اشارة</w:t>
      </w:r>
      <w:bookmarkEnd w:id="931"/>
    </w:p>
    <w:p>
      <w:pPr>
        <w:pStyle w:val="BookText"/>
        <w:rPr/>
      </w:pPr>
      <w:r>
        <w:rPr>
          <w:rFonts w:ascii="IRNazanin" w:hAnsi="IRNazanin" w:eastAsia="IRNazanin"/>
          <w:color w:val="111111"/>
          <w:sz w:val="28"/>
          <w:sz w:val="28"/>
          <w:szCs w:val="28"/>
          <w:rtl w:val="true"/>
          <w:lang w:bidi="fa-IR"/>
        </w:rPr>
        <w:t xml:space="preserve">البحث لیس عن حجّیة قول اللغوی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وضع اللفظ لمعناه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عن کلّ علوم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البحث عن حجّیة قول النحوی والبلاغی و أمثالهما وإن کان ظاهر عبارة الأعلام الأول</w:t>
      </w:r>
      <w:r>
        <w:rPr>
          <w:rFonts w:eastAsia="IRNazanin" w:cs="IRNazanin"/>
          <w:color w:val="111111"/>
          <w:sz w:val="28"/>
          <w:szCs w:val="28"/>
          <w:rtl w:val="true"/>
          <w:lang w:bidi="fa-IR"/>
        </w:rPr>
        <w:t>.</w:t>
      </w:r>
    </w:p>
    <w:p>
      <w:pPr>
        <w:pStyle w:val="Heading6"/>
        <w:numPr>
          <w:ilvl w:val="5"/>
          <w:numId w:val="1"/>
        </w:numPr>
        <w:rPr/>
      </w:pPr>
      <w:bookmarkStart w:id="932" w:name="__RefHeading___Toc3300302_1468164448"/>
      <w:bookmarkStart w:id="933" w:name="_Toc372"/>
      <w:bookmarkEnd w:id="932"/>
      <w:r>
        <w:rPr>
          <w:rtl w:val="true"/>
        </w:rPr>
        <w:t>مهمّة اللغوی</w:t>
      </w:r>
      <w:bookmarkEnd w:id="933"/>
    </w:p>
    <w:p>
      <w:pPr>
        <w:pStyle w:val="BookText"/>
        <w:rPr/>
      </w:pPr>
      <w:r>
        <w:rPr>
          <w:rFonts w:ascii="IRNazanin" w:hAnsi="IRNazanin" w:eastAsia="IRNazanin"/>
          <w:color w:val="111111"/>
          <w:sz w:val="28"/>
          <w:sz w:val="28"/>
          <w:szCs w:val="28"/>
          <w:rtl w:val="true"/>
          <w:lang w:bidi="fa-IR"/>
        </w:rPr>
        <w:t>المعروف بین الأعلام أنّ همّ اللغوی تجمیع المعانی التی استعمل فیها اللفظ من دون فرز للمعنی الحقیقی عن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حین مراجعة کتب فقه اللغة التی ألّفها القدماء کالمزهر للسیوطی یصرّحون بأنّ مهمة اللغوی تشخیص المعنی الحقیقی وفرزه عن المجازی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حین تتبعنا الأمر وجدنا أنّ الصحیح ما ذکره السیوطی، وأنّ جمعاً من اللغویین یصرّحون بالمعنی الحقیقی و المجازی، من قبیل ابن فارس فی مقاییس اللغة و الزمخشری فی أساس اللغة، وابن درید فی الإشتقاق و الجمهرة وابن جنی فی الإختصاص و أبی علی</w:t>
      </w:r>
      <w:bookmarkStart w:id="934" w:name="pg16983_381117"/>
    </w:p>
    <w:p>
      <w:pPr>
        <w:pStyle w:val="BookText"/>
        <w:rPr/>
      </w:pPr>
      <w:bookmarkEnd w:id="934"/>
      <w:r>
        <w:rPr>
          <w:rFonts w:ascii="IRNazanin" w:hAnsi="IRNazanin" w:eastAsia="IRNazanin"/>
          <w:color w:val="111111"/>
          <w:sz w:val="28"/>
          <w:sz w:val="28"/>
          <w:szCs w:val="28"/>
          <w:rtl w:val="true"/>
          <w:lang w:bidi="fa-IR"/>
        </w:rPr>
        <w:t>الفارسی وقبلهم جمیعاً الخلیل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علماء الإشتقاق بأقسامه، المعنییّن فی دراسة المادة بکلّ تقلّباتها الإشتقاقیة یشخّصون بالدقة المعنی الحقیقی، بل هم یلاحقون ظاهرة اشتراک مادتین فی حرف أو أکثر والإختلاف فی الباقی، فانتهوا فی دراستهم إلی ضرورة و لابدیة الإشتراک المعنوی بینهما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 کتب اللغة تمیّز المعنی الحقیقی عن المجازی ولکن من دون تصریح، وإنما حرصت علی ذکر المعانی المجازیة جنباً إلی جنب المعنی الحقیقی لإدراکهم عدم کفایة الوصول إلی المعنی الظاهر بصرف الحیطة بالوضع لإمکان احتفاف الکلام بقرائن عامة تصرفه عن ظهوره فی معناه الحقیقی، وهم من خلال ذکرهم للمعانی الأُخری یحاولون وضع الید علی تلک القرائن العامة واستلالها ووضعها فی خدمة الباحث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ینسب إلی اللغویین من عدم اعتنائهم بتمییز المعنی الحقیقی ناش من عدم المداقة فی حقیقة مهنتهم</w:t>
      </w:r>
      <w:r>
        <w:rPr>
          <w:rFonts w:eastAsia="IRNazanin" w:cs="IRNazanin"/>
          <w:color w:val="111111"/>
          <w:sz w:val="28"/>
          <w:szCs w:val="28"/>
          <w:rtl w:val="true"/>
          <w:lang w:bidi="fa-IR"/>
        </w:rPr>
        <w:t>.</w:t>
      </w:r>
    </w:p>
    <w:p>
      <w:pPr>
        <w:pStyle w:val="Heading6"/>
        <w:numPr>
          <w:ilvl w:val="5"/>
          <w:numId w:val="1"/>
        </w:numPr>
        <w:rPr/>
      </w:pPr>
      <w:bookmarkStart w:id="935" w:name="__RefHeading___Toc3300304_1468164448"/>
      <w:bookmarkStart w:id="936" w:name="_Toc373"/>
      <w:bookmarkEnd w:id="935"/>
      <w:r>
        <w:rPr>
          <w:rtl w:val="true"/>
        </w:rPr>
        <w:t>عدم اعتناء اللغویین بذکر السند</w:t>
      </w:r>
      <w:bookmarkEnd w:id="936"/>
    </w:p>
    <w:p>
      <w:pPr>
        <w:pStyle w:val="BookText"/>
        <w:rPr/>
      </w:pPr>
      <w:r>
        <w:rPr>
          <w:rFonts w:ascii="IRNazanin" w:hAnsi="IRNazanin" w:eastAsia="IRNazanin"/>
          <w:color w:val="111111"/>
          <w:sz w:val="28"/>
          <w:sz w:val="28"/>
          <w:szCs w:val="28"/>
          <w:rtl w:val="true"/>
          <w:lang w:bidi="fa-IR"/>
        </w:rPr>
        <w:t>إنّ البعض قد صنّف اللغویین فی المحدّثین والنقلة فی الجملة أو بالجملة علی اختلاف النسبة علی حدّ محدّثی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غیر صحیح؛ لأنّنا لا نجد أنّ المتأخر منهم ینقل عن المتقدّم حتی تصل السلسة إلی مثل الخلیل و سیبویه، فلا نجدهم یعتنون بذکر السند ولا یظهر منهم النقل عن أحد دائماً، وإنما استفادوا ذلک بخبرتهم من کلام العرب، بل قد لا یأتی بعضهم حتی بمثال من العرب وإنما هو یمثّل مثالاً من نفسه أو یوضّح الفکرة بما ینسجم مع کلام العرب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کلّ کلمة نقلوها عن غیرهم، ولیس کلّ کلمة لها شواهد جاءت فی کلامهم بصیغة نقل وکمحدّثین</w:t>
      </w:r>
      <w:r>
        <w:rPr>
          <w:rFonts w:eastAsia="IRNazanin" w:cs="IRNazanin"/>
          <w:color w:val="111111"/>
          <w:sz w:val="28"/>
          <w:szCs w:val="28"/>
          <w:rtl w:val="true"/>
          <w:lang w:bidi="fa-IR"/>
        </w:rPr>
        <w:t>.</w:t>
      </w:r>
      <w:bookmarkStart w:id="937" w:name="pg16983_381120"/>
    </w:p>
    <w:p>
      <w:pPr>
        <w:pStyle w:val="Heading6"/>
        <w:numPr>
          <w:ilvl w:val="5"/>
          <w:numId w:val="1"/>
        </w:numPr>
        <w:rPr/>
      </w:pPr>
      <w:bookmarkStart w:id="938" w:name="__RefHeading___Toc3300306_1468164448"/>
      <w:bookmarkStart w:id="939" w:name="_Toc374"/>
      <w:bookmarkEnd w:id="937"/>
      <w:bookmarkEnd w:id="938"/>
      <w:r>
        <w:rPr>
          <w:rtl w:val="true"/>
        </w:rPr>
        <w:t>أدلّة حجّیة قول اللغوی وتقییمها</w:t>
      </w:r>
      <w:bookmarkEnd w:id="939"/>
    </w:p>
    <w:p>
      <w:pPr>
        <w:pStyle w:val="BookText"/>
        <w:rPr/>
      </w:pPr>
      <w:r>
        <w:rPr>
          <w:rFonts w:ascii="IRNazanin" w:hAnsi="IRNazanin" w:eastAsia="IRNazanin"/>
          <w:color w:val="111111"/>
          <w:sz w:val="28"/>
          <w:sz w:val="28"/>
          <w:szCs w:val="28"/>
          <w:rtl w:val="true"/>
          <w:lang w:bidi="fa-IR"/>
        </w:rPr>
        <w:t>ذکرتْ جملة أدلّة علی حجّیة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وحاله وضاح لا یحتاج إلی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المتشرعة المعاصرة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ردع، الکاشف عن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مجمل، حیث لا نعرف أنّ رجوعهم إلی اللغوی هل کان من جهة أنه یورث القطع أو الظن المعتبر؟ سیما أنهم کانوا من أبناء اللغة وکانوا قریبی عهد باللغة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یوجب الظن، وهو أولی بالحجّیة بعد حجّیته فی الأحکام، ولکنّه حدس ظنّی لا یمکن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حجّة من باب الإنسداد الکبیر أو الصغیر ولکن لو قلنا بعدم الحجّیة فلا انسداد کبیر لإمکان تحصیل القطع والجزم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والإنسداد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الأبواب أو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حجّیة الظن بعد أن لم یکن الإحتیاط متعذراً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أهل الخبرة، والعقلاء بنوا علی الرجوع لهم فی کلّ المجالات، وهو بناء کبروی ممضی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العمدة، فلو کانت هناک تساؤلات حول إمضاء الکبری لابدّ من الإجابة عنها، وإشکالات علی الصغری لابدّ من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فالتساؤلات حول إمضاء الکبری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نحتاج فی الإمضاء إلی ممارسة العقلاء وتطبیقهم للقانون علی جزئیاته فی عهد المعصوم أو یکفی تطبیقهم بنحو الموجبة الجزئیة فی إمضاء الکبری بحیث تشمل ما یستجد من صغریات لم تکن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تشترط ممارسة العقلاء للقانون بمرأی وبمسمع من الإمام وفی أمور لها صلة بالشرعیات حتی یکون ممضی أو لا یشترط ذلک؟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الإشکالات علی الصغری فهی</w:t>
      </w:r>
      <w:r>
        <w:rPr>
          <w:rFonts w:eastAsia="IRNazanin" w:cs="IRNazanin"/>
          <w:color w:val="111111"/>
          <w:sz w:val="28"/>
          <w:szCs w:val="28"/>
          <w:rtl w:val="true"/>
          <w:lang w:bidi="fa-IR"/>
        </w:rPr>
        <w:t>:</w:t>
      </w:r>
      <w:bookmarkStart w:id="940" w:name="pg16983_381121"/>
    </w:p>
    <w:p>
      <w:pPr>
        <w:pStyle w:val="BookText"/>
        <w:rPr/>
      </w:pPr>
      <w:bookmarkEnd w:id="940"/>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من حجّیة قوله ما أورث الإطمئنان هنا أو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 لا یمتهن نقل الأوضاع اللغویة غالباً، حیث یعتنی غالباً بتجمیع ما استعمل فیه اللفظ وتدوینه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اللغوی لیس عالماً خبیراً وإنما محدّث راوٍ ناقل للآثار، لأنه ما نقل کان حسیاً لا یحتاج إلی توسیط فهم وبالتالی فملاک حجّیته کونه ثقة لا یتعمد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علی الحجّیة وإن کان من باب أنه خبیر، ولکنّه لا ینفع الفقیه المجتهد بعد أن کان شرط ملکته أن یکون لغویاً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 أهل الخبرة لأهل الخبرة ممنوع؛ لأنّ العقلاء بنوا علی رجوع الجاهل للعالم، لا العالم للعالم</w:t>
      </w:r>
      <w:r>
        <w:rPr>
          <w:rFonts w:eastAsia="IRNazanin" w:cs="IRNazanin"/>
          <w:color w:val="111111"/>
          <w:sz w:val="28"/>
          <w:szCs w:val="28"/>
          <w:rtl w:val="true"/>
          <w:lang w:bidi="fa-IR"/>
        </w:rPr>
        <w:t>.</w:t>
      </w:r>
    </w:p>
    <w:p>
      <w:pPr>
        <w:pStyle w:val="Heading6"/>
        <w:numPr>
          <w:ilvl w:val="5"/>
          <w:numId w:val="1"/>
        </w:numPr>
        <w:rPr/>
      </w:pPr>
      <w:bookmarkStart w:id="941" w:name="__RefHeading___Toc3300308_1468164448"/>
      <w:bookmarkStart w:id="942" w:name="_Toc375"/>
      <w:bookmarkEnd w:id="941"/>
      <w:r>
        <w:rPr>
          <w:rtl w:val="true"/>
        </w:rPr>
        <w:t>ملاحظة حول الإشکال الأول</w:t>
      </w:r>
      <w:bookmarkEnd w:id="942"/>
    </w:p>
    <w:p>
      <w:pPr>
        <w:pStyle w:val="BookText"/>
        <w:rPr/>
      </w:pPr>
      <w:r>
        <w:rPr>
          <w:rFonts w:ascii="IRNazanin" w:hAnsi="IRNazanin" w:eastAsia="IRNazanin"/>
          <w:color w:val="111111"/>
          <w:sz w:val="28"/>
          <w:sz w:val="28"/>
          <w:szCs w:val="28"/>
          <w:rtl w:val="true"/>
          <w:lang w:bidi="fa-IR"/>
        </w:rPr>
        <w:t xml:space="preserve">یلاحظ أنّ الإشکال الأول یتکرر فی کثیر من المسائل، وبالتأمل فیه نجد أنه ناش من أخذ موضوع الحجّیة وموصوفها القطع والإذعان، ومثله الإطمئنان، مع أنّا ذکرنا فی بحث القطع والإطمئنان أنّ الحجّیة للمقدّمات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للإطمینان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تدور الحجّیة مدار القطع والإطمئنان وإنما مدار سببهما، غایته أنّ منشأ الإطمئنان استلزام ظنی اعتدّ به الشارع أو العقلاء، ومنشأ العلم استلزام ضروری لابدی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ذکرنا أنّ ما اشتهر من کون حجّیة القطع ذاتیة لا أساس له، وأنّ الأعلام یبنون عملاً علی ما ذکرنا وإن جاءت تصریحاتهم خلاف ذلک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یعرف أنّ التردید فی الحجّیة بین الظن أو الإطمئنان النوعی أو الشخصی أو ما قیل من أنّ الحجّة هو الإطمئنان الشخصی، لأنه مردف وملحق بالعلم فمع عدمه لا معنی لأن یکون حجّة ناشئ من جعل الحجّیة وصفاً للدرجة الإذعانیة، وأمّا مع</w:t>
      </w:r>
      <w:bookmarkStart w:id="943" w:name="pg16983_381124"/>
    </w:p>
    <w:p>
      <w:pPr>
        <w:pStyle w:val="BookText"/>
        <w:rPr/>
      </w:pPr>
      <w:bookmarkEnd w:id="943"/>
      <w:r>
        <w:rPr>
          <w:rFonts w:ascii="IRNazanin" w:hAnsi="IRNazanin" w:eastAsia="IRNazanin"/>
          <w:color w:val="111111"/>
          <w:sz w:val="28"/>
          <w:sz w:val="28"/>
          <w:szCs w:val="28"/>
          <w:rtl w:val="true"/>
          <w:lang w:bidi="fa-IR"/>
        </w:rPr>
        <w:t>إرجاعها وصفاً إلی المنشأ والمقدمات لا معنی للتردید بین النوعی والشخصی فضلاًعن التعیین فی الشخصی</w:t>
      </w:r>
      <w:r>
        <w:rPr>
          <w:rFonts w:eastAsia="IRNazanin" w:cs="IRNazanin"/>
          <w:color w:val="111111"/>
          <w:sz w:val="28"/>
          <w:szCs w:val="28"/>
          <w:rtl w:val="true"/>
          <w:lang w:bidi="fa-IR"/>
        </w:rPr>
        <w:t>.</w:t>
      </w:r>
    </w:p>
    <w:p>
      <w:pPr>
        <w:pStyle w:val="Heading6"/>
        <w:numPr>
          <w:ilvl w:val="5"/>
          <w:numId w:val="1"/>
        </w:numPr>
        <w:rPr/>
      </w:pPr>
      <w:bookmarkStart w:id="944" w:name="__RefHeading___Toc3300310_1468164448"/>
      <w:bookmarkStart w:id="945" w:name="_Toc376"/>
      <w:bookmarkEnd w:id="944"/>
      <w:r>
        <w:rPr>
          <w:rtl w:val="true"/>
        </w:rPr>
        <w:t>معنی الإطمئنان الشخصی</w:t>
      </w:r>
      <w:bookmarkEnd w:id="945"/>
    </w:p>
    <w:p>
      <w:pPr>
        <w:pStyle w:val="BookText"/>
        <w:rPr/>
      </w:pPr>
      <w:r>
        <w:rPr>
          <w:rFonts w:ascii="IRNazanin" w:hAnsi="IRNazanin" w:eastAsia="IRNazanin"/>
          <w:color w:val="111111"/>
          <w:sz w:val="28"/>
          <w:sz w:val="28"/>
          <w:szCs w:val="28"/>
          <w:rtl w:val="true"/>
          <w:lang w:bidi="fa-IR"/>
        </w:rPr>
        <w:t>إذا اتضح ما تقدّم نلفت النظر إلی نکتة مهمة وهی أنّ المنشأ قد یضبط عند العقلاء ویقنون ویجعل رسمیاً مثل خبر الثقة، فی قبال مناشئ لم یعتدّ بها العقلاء فلم یقنّنوها، إمّا لعدم کثرتها أو عدم ابتلاء النوع بها أو عدم إصابتها الغالبة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مثل هذه المناشئ إذا انضم بعضها إلی بعض تولّد الظن أو الإطمئنان أو العلم عند النوع، فإنّ مثل هذا التراکم حجّة اعتدّ به العقلاء، مع ضبطهم وتأطیرهم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یکون مراد الأعلام من الإطمئنان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أخذوه موصوف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لم یرجع إلی منشأ منضبط خاص، وإنما ولید قرائن متراکمة تجمّعت عنده ولم تتجمّع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تجمّعت لغیره لحصل له الإطمئنان أیضاً لأنه المنشأ من النوع الموجب للإطمئنان عند النوع، غایته أنه لم یتلفت إلیه إلاّ هذا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الحجّیة فی العلم والإطمئنان والظن للمنشأ لا للحالة الإذعانیة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الحجّیة للمنشأ بما هو لا بما هو موجب لإذعان النوع، وإنما خصیصته کقضیة واقعیة هی أنه موجب لإذعان النوع وإلاّ فالعقلاء لم یلحظوا الدرجة الإذعانیة أصلاً وإنما اعتبروه لدرجة الإصابة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المنشأ یکون خاصاً کخبر الثقة وقد یکون عاماً، أی عبارة عن مجموع مناشئ لم یعتدّ بها العقل والعقلاء إلاّ أنه اعتدّ بها کمجموع؛ لأنّ درجة إصابتها حینئذ علی حدّ درجة إصابة المنشأ</w:t>
      </w:r>
      <w:bookmarkStart w:id="946" w:name="pg16983_381126"/>
    </w:p>
    <w:p>
      <w:pPr>
        <w:pStyle w:val="BookText"/>
        <w:rPr/>
      </w:pPr>
      <w:bookmarkEnd w:id="946"/>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p>
    <w:p>
      <w:pPr>
        <w:pStyle w:val="Heading6"/>
        <w:numPr>
          <w:ilvl w:val="5"/>
          <w:numId w:val="1"/>
        </w:numPr>
        <w:rPr/>
      </w:pPr>
      <w:bookmarkStart w:id="947" w:name="__RefHeading___Toc3300312_1468164448"/>
      <w:bookmarkStart w:id="948" w:name="_Toc377"/>
      <w:bookmarkEnd w:id="947"/>
      <w:r>
        <w:rPr>
          <w:rtl w:val="true"/>
        </w:rPr>
        <w:t>الأمارات العقلائیة المستجدّة</w:t>
      </w:r>
      <w:bookmarkEnd w:id="948"/>
    </w:p>
    <w:p>
      <w:pPr>
        <w:pStyle w:val="BookText"/>
        <w:rPr/>
      </w:pPr>
      <w:r>
        <w:rPr>
          <w:rFonts w:ascii="IRNazanin" w:hAnsi="IRNazanin" w:eastAsia="IRNazanin"/>
          <w:color w:val="111111"/>
          <w:sz w:val="28"/>
          <w:sz w:val="28"/>
          <w:szCs w:val="28"/>
          <w:rtl w:val="true"/>
          <w:lang w:bidi="fa-IR"/>
        </w:rPr>
        <w:t xml:space="preserve">هناک جملة من الأمارات التی اعتبرها العقلاء لم تکن فی عهد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استجدّت نتیجة الحاجة فی عصر متأخر عنه، وغالبها مرتبط بالشبهات الموضوعیة من قبیل ما تبانی علیه العقلاء فی ضبط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تخریج أصولی لحجّیتها وإمضائها من قبل الشارع أو لا؟</w:t>
      </w:r>
    </w:p>
    <w:p>
      <w:pPr>
        <w:pStyle w:val="Heading6"/>
        <w:numPr>
          <w:ilvl w:val="5"/>
          <w:numId w:val="1"/>
        </w:numPr>
        <w:rPr/>
      </w:pPr>
      <w:bookmarkStart w:id="949" w:name="__RefHeading___Toc3300314_1468164448"/>
      <w:bookmarkStart w:id="950" w:name="_Toc378"/>
      <w:bookmarkEnd w:id="949"/>
      <w:r>
        <w:rPr>
          <w:rtl w:val="true"/>
        </w:rPr>
        <w:t>تخریج أصولی لحجّیتها</w:t>
      </w:r>
      <w:bookmarkEnd w:id="950"/>
    </w:p>
    <w:p>
      <w:pPr>
        <w:pStyle w:val="BookText"/>
        <w:rPr/>
      </w:pPr>
      <w:r>
        <w:rPr>
          <w:rFonts w:ascii="IRNazanin" w:hAnsi="IRNazanin" w:eastAsia="IRNazanin"/>
          <w:color w:val="111111"/>
          <w:sz w:val="28"/>
          <w:sz w:val="28"/>
          <w:szCs w:val="28"/>
          <w:rtl w:val="true"/>
          <w:lang w:bidi="fa-IR"/>
        </w:rPr>
        <w:t>أشرنا فی بحث الإعتبار إلی أنّ هناک قوانین ممضاة من قبل الشارع تصلح لأن تستوعب الحقوق والموضوعات الجدیدة العقلائیة، فیمکن العثور علی أحکام کلّیة عقلائیة أمضِیتْ من قبل الشارع تستوعب کلّ ما یستجدّ من مصادیق کلّیة لها</w:t>
      </w:r>
      <w:r>
        <w:rPr>
          <w:rFonts w:eastAsia="IRNazanin" w:cs="IRNazanin"/>
          <w:color w:val="111111"/>
          <w:sz w:val="28"/>
          <w:szCs w:val="28"/>
          <w:rtl w:val="true"/>
          <w:lang w:bidi="fa-IR"/>
        </w:rPr>
        <w:t>.</w:t>
      </w:r>
    </w:p>
    <w:p>
      <w:pPr>
        <w:pStyle w:val="Heading6"/>
        <w:numPr>
          <w:ilvl w:val="5"/>
          <w:numId w:val="1"/>
        </w:numPr>
        <w:rPr/>
      </w:pPr>
      <w:bookmarkStart w:id="951" w:name="__RefHeading___Toc3300316_1468164448"/>
      <w:bookmarkStart w:id="952" w:name="_Toc379"/>
      <w:bookmarkEnd w:id="951"/>
      <w:r>
        <w:rPr>
          <w:rtl w:val="true"/>
        </w:rPr>
        <w:t>إمضاء الشارع هل یکون للکبری أو للصغری؟</w:t>
      </w:r>
      <w:bookmarkEnd w:id="952"/>
    </w:p>
    <w:p>
      <w:pPr>
        <w:pStyle w:val="BookText"/>
        <w:rPr/>
      </w:pPr>
      <w:r>
        <w:rPr>
          <w:rFonts w:ascii="IRNazanin" w:hAnsi="IRNazanin" w:eastAsia="IRNazanin"/>
          <w:color w:val="111111"/>
          <w:sz w:val="28"/>
          <w:sz w:val="28"/>
          <w:szCs w:val="28"/>
          <w:rtl w:val="true"/>
          <w:lang w:bidi="fa-IR"/>
        </w:rPr>
        <w:t xml:space="preserve">وإمضاء الشارع تارة یکون لنفس الکبری، ومن ثمّ تشمل کلّ ما یستجدّ لها من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شریطة أن یکون اعتبار العقلاء للمصداق من جهة أنه مصداق للکبری الممضاة فقط، و إلاّ لو کان اعتبارهم لحیثیات متعددة، أحدها صغرویته للکبری الممضاة لم یمکن إثبات إمضائه حینئذ من خلال امضاء الشارع لکبراه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وأخری لا یکون مصبّ إمضاء الشارع الکبری مباشرة، وإنما یمضی صغری من صغریاته، فهل یرجع مثل هذا الإمضاء إلی إمضاء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نستفید إمضاء کلّ الصغریات حتی المستجدة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فمثلاً لو أمضی حجّیة قول اللغوی؛ فهل هو إمضاء له لأجل کونه لغویاً أو لأجل أنه من أهل الخبرة، فإمضاؤها إمضاء للنکتة التی علی أساسها اعتمد العقلاء قوله؟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یکون لهذا التساؤل معنی إذا کانت الحیثیة التی اعتمدها</w:t>
      </w:r>
      <w:bookmarkStart w:id="953" w:name="pg16983_381128"/>
    </w:p>
    <w:p>
      <w:pPr>
        <w:pStyle w:val="BookText"/>
        <w:rPr/>
      </w:pPr>
      <w:bookmarkEnd w:id="953"/>
      <w:r>
        <w:rPr>
          <w:rFonts w:ascii="IRNazanin" w:hAnsi="IRNazanin" w:eastAsia="IRNazanin"/>
          <w:color w:val="111111"/>
          <w:sz w:val="28"/>
          <w:sz w:val="28"/>
          <w:szCs w:val="28"/>
          <w:rtl w:val="true"/>
          <w:lang w:bidi="fa-IR"/>
        </w:rPr>
        <w:t>العقلاء فی قول اللغوی هی حیثیة الخبرویة فقط، وإلاّ لم یکن معنی للسؤال إذا کان اعتمادهم لخبرویته وشیء آخر</w:t>
      </w:r>
      <w:r>
        <w:rPr>
          <w:rFonts w:eastAsia="IRNazanin" w:cs="IRNazanin"/>
          <w:color w:val="111111"/>
          <w:sz w:val="28"/>
          <w:szCs w:val="28"/>
          <w:rtl w:val="true"/>
          <w:lang w:bidi="fa-IR"/>
        </w:rPr>
        <w:t>.</w:t>
      </w:r>
    </w:p>
    <w:p>
      <w:pPr>
        <w:pStyle w:val="Heading6"/>
        <w:numPr>
          <w:ilvl w:val="5"/>
          <w:numId w:val="1"/>
        </w:numPr>
        <w:rPr/>
      </w:pPr>
      <w:bookmarkStart w:id="954" w:name="__RefHeading___Toc3300318_1468164448"/>
      <w:bookmarkStart w:id="955" w:name="_Toc380"/>
      <w:bookmarkEnd w:id="954"/>
      <w:r>
        <w:rPr>
          <w:rtl w:val="true"/>
        </w:rPr>
        <w:t>شواهد دالّة علی إمضاء الکبری</w:t>
      </w:r>
      <w:bookmarkEnd w:id="955"/>
    </w:p>
    <w:p>
      <w:pPr>
        <w:pStyle w:val="BookText"/>
        <w:rPr/>
      </w:pPr>
      <w:r>
        <w:rPr>
          <w:rFonts w:ascii="IRNazanin" w:hAnsi="IRNazanin" w:eastAsia="IRNazanin"/>
          <w:color w:val="111111"/>
          <w:sz w:val="28"/>
          <w:sz w:val="28"/>
          <w:szCs w:val="28"/>
          <w:rtl w:val="true"/>
          <w:lang w:bidi="fa-IR"/>
        </w:rPr>
        <w:t>محققو الأصول المتأخرون ألفتوا إلی عدّة شواهد تدلّ علی إمضاء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الصغری للعقلاء لم یکن إلاّ لصغرویتها لکبراهم، فالإمضاء لها لم یکن إلاّ لنفس الحیثیة، وهو یعنی إمضاء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شرط الإمضاء الشرعی للقانون العقلائی معاصرته للمعصوم مع اتصاله وتماسّه مع الشرعیات، إذ یکفی فی استکشاف الإمضاء والرادعیة کونه فی معرض الإتصال بالشرعیات ولو فی غیر زمن المعصوم؛ لأنّ مهمة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منحصرة بمعالجة خصوص القوانین المتصلة بقوانینه المعاصرة له، وإنما تعمّ ما کان مؤهّلاً وقابلاً لذلک ولو فی غیر عصره، ومن ثمّ فعدم ردعه کاشف عن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الأعلام بنوا علی إمضاء الشارع لقوانین لم تکن فی عصره متصلة بالشرعیات من خلال عدم ردعه، ولم یکن ذلک إلاّ لکونها فی معرض الإتصال بالشرعیات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بُعدها الفقهی والأصولی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استوعبت کلّ أفعال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تنوعها واختلافها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من أفعاله تشریعاتُه القانونیة، فلابدّ أن یکون للشارع فیها نظر، إنْ بالقبول وإنْ بالردع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تقنینات العقلاء إن کانت شریعة فی قبال شریعة الدین فهی مردوع عنها، کذا إن کانت تُصادِم التشریع الدینی فهی مردوع عنها، وأمّا إذا لم تکن کذلک فإمضاؤه 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کالفتوی وقول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للکبری</w:t>
      </w:r>
      <w:r>
        <w:rPr>
          <w:rFonts w:eastAsia="IRNazanin" w:cs="IRNazanin"/>
          <w:color w:val="111111"/>
          <w:sz w:val="28"/>
          <w:szCs w:val="28"/>
          <w:rtl w:val="true"/>
          <w:lang w:bidi="fa-IR"/>
        </w:rPr>
        <w:t>.</w:t>
      </w:r>
      <w:r>
        <w:rPr>
          <w:rStyle w:val="FootnoteAnchor"/>
          <w:rtl w:val="true"/>
        </w:rPr>
        <w:footnoteReference w:id="150"/>
      </w:r>
      <w:bookmarkStart w:id="956" w:name="pg16983_381132"/>
    </w:p>
    <w:p>
      <w:pPr>
        <w:pStyle w:val="Heading6"/>
        <w:numPr>
          <w:ilvl w:val="5"/>
          <w:numId w:val="1"/>
        </w:numPr>
        <w:rPr/>
      </w:pPr>
      <w:bookmarkStart w:id="957" w:name="__RefHeading___Toc3300320_1468164448"/>
      <w:bookmarkStart w:id="958" w:name="_Toc381"/>
      <w:bookmarkEnd w:id="956"/>
      <w:bookmarkEnd w:id="957"/>
      <w:r>
        <w:rPr>
          <w:rtl w:val="true"/>
        </w:rPr>
        <w:t>تأثیر إحراز الملاک فی الإمضاء</w:t>
      </w:r>
      <w:bookmarkEnd w:id="958"/>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الإعتبار الشرعی التأسیسی یشمل الإعتبارات الشرعیة الموافقة لاعتبار العقلاء فی الصیاغة القانونیة المختلفة معه ملاکاً، وبالتالی فالإمضائی یخص ما کان موافقاً فی ملاکه ملاک العقلاء علاوة علی التوافق فی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ألفت الشیخ العراقی فی بحث الصحیح والأعم فی المعاملات إلی أنّ إمضاء الشارع لا یشترط أن یکون بنفس ملاک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فإمضاء الشارع لبعض الصغریات لا یمکن أن یکشف عن إمضاء الکلّی بعدُ، ما لم نحرز وحدة الملاک قبلاً، وإلاّ کان یحتمل أن یکون اعتباراً تأسیسیاً، وهو یمنع من التعدی إلی غیره إذ لا یتأتّی فیه البیان السابق فی کیفیة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مثل قول أهل الخبرة نجد نهیاً عن بعض الصغریات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 المنجّم فی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جنباً إلی جنب إمضائه لصغریات أخری، مما یکشف عن عدم اتفاقه معهم فی الکبری وملاک جعلها</w:t>
      </w:r>
      <w:r>
        <w:rPr>
          <w:rFonts w:eastAsia="IRNazanin" w:cs="IRNazanin"/>
          <w:color w:val="111111"/>
          <w:sz w:val="28"/>
          <w:szCs w:val="28"/>
          <w:rtl w:val="true"/>
          <w:lang w:bidi="fa-IR"/>
        </w:rPr>
        <w:t>.</w:t>
      </w:r>
    </w:p>
    <w:p>
      <w:pPr>
        <w:pStyle w:val="Heading6"/>
        <w:numPr>
          <w:ilvl w:val="5"/>
          <w:numId w:val="1"/>
        </w:numPr>
        <w:rPr/>
      </w:pPr>
      <w:bookmarkStart w:id="959" w:name="__RefHeading___Toc3300322_1468164448"/>
      <w:bookmarkStart w:id="960" w:name="_Toc382"/>
      <w:bookmarkEnd w:id="959"/>
      <w:r>
        <w:rPr>
          <w:rtl w:val="true"/>
        </w:rPr>
        <w:t>تخطئة المصداق لا الملاک</w:t>
      </w:r>
      <w:bookmarkEnd w:id="960"/>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وجیه جداً علی صعید الإمکان بل هو واقع کموجبة جزئیة، ولکن من ناحیة إثباتیة یحمل الإمضاء مع عدم القرینة علی الإختلاف فی الملاک مع العقلاء علی التطابق معهم ملاکاً وصورة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إقرار الصغری کقول اللغوی والمفتی ظاهر فی إقراره بما له من تقرّر ماهوی عند العقلاء، ولیس هو إلاّ کونه من أهل الخبرة، فیکون ظاهراً فی إمضاء قانونیة وحجّیة قول أهل الخبرة، وإلاّ کان علیه أن ینصبّ قرینة علی خلاف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إمضاء الکبری عموم کسائر العمومات قابل للتخصیص،</w:t>
      </w:r>
      <w:bookmarkStart w:id="961" w:name="pg16983_381134"/>
    </w:p>
    <w:p>
      <w:pPr>
        <w:pStyle w:val="BookText"/>
        <w:rPr/>
      </w:pPr>
      <w:bookmarkEnd w:id="961"/>
      <w:r>
        <w:rPr>
          <w:rFonts w:ascii="IRNazanin" w:hAnsi="IRNazanin" w:eastAsia="IRNazanin"/>
          <w:color w:val="111111"/>
          <w:sz w:val="28"/>
          <w:sz w:val="28"/>
          <w:szCs w:val="28"/>
          <w:rtl w:val="true"/>
          <w:lang w:bidi="fa-IR"/>
        </w:rPr>
        <w:t>واستثناء قول المنجّم بالردع عنه من التخصیص، والذی یرجع إلی تخطئة الشارع للعقلاء فی المصداق لا فی الملاکات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الردع عن قول المنجّم لیس من زاویة کونه خبیراً ولم یعتدّ به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ما ذکره الفقهاء من حجّیة قوله مع غیم السماء أو السجن، بل تقدّمه علی کلّ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الردع من جهة أنّ العلم متیسر وفی متناول الجمیع، واعتبار العقلاء لقول أهل الخبرة إنما هو فی حالة تعسّر العلم ولزوم اختلال النظام بالتکلیف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ذکرنا أنّ تخطئة الشارع فی المصداق لا الملاک</w:t>
      </w:r>
      <w:r>
        <w:rPr>
          <w:rFonts w:eastAsia="IRNazanin" w:cs="IRNazanin"/>
          <w:color w:val="111111"/>
          <w:sz w:val="28"/>
          <w:szCs w:val="28"/>
          <w:rtl w:val="true"/>
          <w:lang w:bidi="fa-IR"/>
        </w:rPr>
        <w:t>.</w:t>
      </w:r>
    </w:p>
    <w:p>
      <w:pPr>
        <w:pStyle w:val="Heading6"/>
        <w:numPr>
          <w:ilvl w:val="5"/>
          <w:numId w:val="1"/>
        </w:numPr>
        <w:rPr/>
      </w:pPr>
      <w:bookmarkStart w:id="962" w:name="__RefHeading___Toc3300324_1468164448"/>
      <w:bookmarkStart w:id="963" w:name="_Toc383"/>
      <w:bookmarkEnd w:id="962"/>
      <w:r>
        <w:rPr>
          <w:rtl w:val="true"/>
        </w:rPr>
        <w:t>حجّیة قول اللغوی من باب أنه من أهل الخبرة</w:t>
      </w:r>
      <w:bookmarkEnd w:id="963"/>
    </w:p>
    <w:p>
      <w:pPr>
        <w:pStyle w:val="BookText"/>
        <w:rPr/>
      </w:pPr>
      <w:r>
        <w:rPr>
          <w:rFonts w:ascii="IRNazanin" w:hAnsi="IRNazanin" w:eastAsia="IRNazanin"/>
          <w:color w:val="111111"/>
          <w:sz w:val="28"/>
          <w:sz w:val="28"/>
          <w:szCs w:val="28"/>
          <w:rtl w:val="true"/>
          <w:lang w:bidi="fa-IR"/>
        </w:rPr>
        <w:t>ومن کلّ ما تقدّم 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قول اللغوی عقلائیاً من باب أنه من أهل الخبرة لیس أکثر، وانتهی البحث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إمضائه إن حصل وثبت فهو إمضاء لکبراه، لما عرفت أنّ إمضاء الإرتکاز لیس لمورده وإنما لعمومه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وبالتالی کلّ الأمارات المستجدّة التی تندرج تحت تلک الکبری فهو حجّة لحجّیة کبراها، بل کبری قول أهل الخبرة هی صغری لکبری تشملها وتشمل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الواحد والظهور والإستفاضة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حجّیة الإطمئنان الذی اعتبره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الإطمئنان بما هو درجة إذعانیة فضلاً عن کونه الشخصی، وإنما درجة معینة من الکاشفیة والإصابة مع عدم وجود مفسدة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فإمضاء قول أهل الخبرة وخبر الواحد والظهور وأمثالها یرجع إلی إمضاء هذه الکبری لا إلی إمضائها کمصادیق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فکلّ ما یستجدّ من أمارات موضوعیة 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الحکمیة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ممضاة من الشارع من خلال إمضاء کبراها، ولکن علی شرط أن لا یکون اعتبار العقلاء لها إلاّ من جهة اندراجها تحت الکبری المذکورة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فالبحث فی الحجج من باب الدرج علی ما درج علیه العقلاء، وإلاّ فهی صغریات لتلک الکبری الممضاة، لا فی عرضها وإن کانت</w:t>
      </w:r>
      <w:bookmarkStart w:id="964" w:name="pg16983_381136"/>
    </w:p>
    <w:p>
      <w:pPr>
        <w:pStyle w:val="BookText"/>
        <w:rPr/>
      </w:pPr>
      <w:bookmarkEnd w:id="964"/>
      <w:r>
        <w:rPr>
          <w:rFonts w:ascii="IRNazanin" w:hAnsi="IRNazanin" w:eastAsia="IRNazanin"/>
          <w:color w:val="111111"/>
          <w:sz w:val="28"/>
          <w:sz w:val="28"/>
          <w:szCs w:val="28"/>
          <w:rtl w:val="true"/>
          <w:lang w:bidi="fa-IR"/>
        </w:rPr>
        <w:t xml:space="preserve">الصغری أیضاً تحتاج إلی تقنین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أشبه ما تکون بالموضوع المستنبط فلا یمکن ترک تحدیدها لعامة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ومثل هذا نجده فی التشریع الدینی، حیث لم یکتف بتشریع الکلّیات حتی تصدّی لتشریع صغریات ذلک التشریع الکلّی،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فإنه تصدّی للعقود المندرجة تحت هذا الکلّی أیضاً، ولم یترکها بید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فتبلور أنّ فی الأحکام الأصولیة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کبری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تندرج تحتها کبریات أصغر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هذه الکبریات کلیات أنزل منها، وقد تناول العقلاء فی تقنینهم کلّ هذه السلسلة، والإمضاء الشرعی للجزئی یکشف عن ترامی الإمضاء حتی الکبری التی ما بعدها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الجمیع بإمضاء الشارع للإطمئنان الناشئ من تراکم القرائن غیر المعتبرة فی نفسها، وإن کانت أو بعضها مستجدّة، والذی أسماه البعض بالإطمئنان الشخصی فی قبال الإطمئنان النوعی الناشئ من مناشئ خاصة، کالظهور وخبر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أنّا ألفتنا ونکرر</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3300326_1468164448"/>
      <w:bookmarkStart w:id="966" w:name="_Toc384"/>
      <w:bookmarkEnd w:id="965"/>
      <w:r>
        <w:rPr>
          <w:rtl w:val="true"/>
        </w:rPr>
        <w:t>الإمضاء لیس للإذعان بل لمنشأه</w:t>
      </w:r>
      <w:bookmarkEnd w:id="96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الحجّیة والإمضاء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جعل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للحالة الإذعانیة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الإطمئنان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للمنشأ، غایته أنّ المنشأ لیس خاصاً وإنما هو منشأ عام تراکمی اعتبر من قبل العقلاء وأقرّ من قبل الشارع عند وصول هذا التراکم حدّاً تکون درجة کشفه وإصابته کالمنشأ الخاص</w:t>
      </w:r>
      <w:r>
        <w:rPr>
          <w:rFonts w:eastAsia="IRNazanin" w:cs="IRNazanin"/>
          <w:color w:val="111111"/>
          <w:sz w:val="28"/>
          <w:szCs w:val="28"/>
          <w:rtl w:val="true"/>
          <w:lang w:bidi="fa-IR"/>
        </w:rPr>
        <w:t>.</w:t>
      </w:r>
    </w:p>
    <w:p>
      <w:pPr>
        <w:pStyle w:val="Heading6"/>
        <w:numPr>
          <w:ilvl w:val="5"/>
          <w:numId w:val="1"/>
        </w:numPr>
        <w:rPr/>
      </w:pPr>
      <w:bookmarkStart w:id="967" w:name="__RefHeading___Toc3300328_1468164448"/>
      <w:bookmarkStart w:id="968" w:name="_Toc385"/>
      <w:bookmarkEnd w:id="967"/>
      <w:r>
        <w:rPr>
          <w:rtl w:val="true"/>
        </w:rPr>
        <w:t>الخطأ فی تعبیر الإطمئنان الشخصی</w:t>
      </w:r>
      <w:bookmarkEnd w:id="9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المنشأ التراکمی یوجب الظن والإطمئنان النوعی،</w:t>
      </w:r>
      <w:bookmarkStart w:id="969" w:name="pg16983_381138"/>
    </w:p>
    <w:p>
      <w:pPr>
        <w:pStyle w:val="BookText"/>
        <w:rPr/>
      </w:pPr>
      <w:bookmarkEnd w:id="969"/>
      <w:r>
        <w:rPr>
          <w:rFonts w:ascii="IRNazanin" w:hAnsi="IRNazanin" w:eastAsia="IRNazanin"/>
          <w:color w:val="111111"/>
          <w:sz w:val="28"/>
          <w:sz w:val="28"/>
          <w:szCs w:val="28"/>
          <w:rtl w:val="true"/>
          <w:lang w:bidi="fa-IR"/>
        </w:rPr>
        <w:t>وإنما عُبّر عنه بالإطمئنان الشخصی خطأً، أو کما ذکرناه من أنّ هذه القرائن توفّرت لهذا المطمئن دون غیره، ولو توفّرت للجمیع لکانت سبباً فی اطمئنان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الإطمئنان والظن الناشئ من مناشئ خاصة فلم یجزم الجمیع بإمضاء المستجدّ منه، وإن جزم بعض المتأخرین بذلک وهو الحقّ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نبّهنا أیضاً إلی أنّ الممضی لیس هو السیرة والشیوع فی أوساط العقلاء، وإنما القانون العقلانی الذی کان سبباً فی السیرة و الإنتشار</w:t>
      </w:r>
      <w:r>
        <w:rPr>
          <w:rFonts w:eastAsia="IRNazanin" w:cs="IRNazanin"/>
          <w:color w:val="111111"/>
          <w:sz w:val="28"/>
          <w:szCs w:val="28"/>
          <w:rtl w:val="true"/>
          <w:lang w:bidi="fa-IR"/>
        </w:rPr>
        <w:t>.</w:t>
      </w:r>
    </w:p>
    <w:p>
      <w:pPr>
        <w:pStyle w:val="Heading6"/>
        <w:numPr>
          <w:ilvl w:val="5"/>
          <w:numId w:val="1"/>
        </w:numPr>
        <w:rPr/>
      </w:pPr>
      <w:bookmarkStart w:id="970" w:name="__RefHeading___Toc3300330_1468164448"/>
      <w:bookmarkStart w:id="971" w:name="_Toc386"/>
      <w:bookmarkEnd w:id="970"/>
      <w:r>
        <w:rPr>
          <w:rtl w:val="true"/>
        </w:rPr>
        <w:t>قانون العقلاء شریعة کاملة</w:t>
      </w:r>
      <w:bookmarkEnd w:id="971"/>
    </w:p>
    <w:p>
      <w:pPr>
        <w:pStyle w:val="BookText"/>
        <w:rPr/>
      </w:pPr>
      <w:r>
        <w:rPr>
          <w:rFonts w:ascii="IRNazanin" w:hAnsi="IRNazanin" w:eastAsia="IRNazanin"/>
          <w:color w:val="111111"/>
          <w:sz w:val="28"/>
          <w:sz w:val="28"/>
          <w:szCs w:val="28"/>
          <w:rtl w:val="true"/>
          <w:lang w:bidi="fa-IR"/>
        </w:rPr>
        <w:t>ونبّهنا کذلک إلی أنّ قانون العقلاء شریعة کاملة تضم کلّ أبواب الفقه، بل تعمّ الأحکام الأصولیة، فلیست هی عبارة عن جملة قوانین مبعثرة ومتناثرة، ومن ثمّ فالشارع یواجه مثل هذه الحقیقة، فسکوته وعدم ردعه عنها یکشف عن قبوله بها بضمیمة إمضائه اللفظی العام إلاّ ما ردع عنه</w:t>
      </w:r>
      <w:r>
        <w:rPr>
          <w:rFonts w:eastAsia="IRNazanin" w:cs="IRNazanin"/>
          <w:color w:val="111111"/>
          <w:sz w:val="28"/>
          <w:szCs w:val="28"/>
          <w:rtl w:val="true"/>
          <w:lang w:bidi="fa-IR"/>
        </w:rPr>
        <w:t>.</w:t>
      </w:r>
    </w:p>
    <w:p>
      <w:pPr>
        <w:pStyle w:val="Heading6"/>
        <w:numPr>
          <w:ilvl w:val="5"/>
          <w:numId w:val="1"/>
        </w:numPr>
        <w:rPr/>
      </w:pPr>
      <w:bookmarkStart w:id="972" w:name="__RefHeading___Toc3300332_1468164448"/>
      <w:bookmarkStart w:id="973" w:name="_Toc387"/>
      <w:bookmarkEnd w:id="972"/>
      <w:r>
        <w:rPr>
          <w:rtl w:val="true"/>
        </w:rPr>
        <w:t>وجه إمضاء الکبری من خلال الصغری</w:t>
      </w:r>
      <w:bookmarkEnd w:id="973"/>
    </w:p>
    <w:p>
      <w:pPr>
        <w:pStyle w:val="BookText"/>
        <w:rPr/>
      </w:pPr>
      <w:r>
        <w:rPr>
          <w:rFonts w:ascii="IRNazanin" w:hAnsi="IRNazanin" w:eastAsia="IRNazanin"/>
          <w:color w:val="111111"/>
          <w:sz w:val="28"/>
          <w:sz w:val="28"/>
          <w:szCs w:val="28"/>
          <w:rtl w:val="true"/>
          <w:lang w:bidi="fa-IR"/>
        </w:rPr>
        <w:t>ومن هنا یتساءل عن الحاجة إلی معرفة إمضاء الکبری من خلال إمضاء الصغری، بعد أن أمکن معرفة إمضائها مباشرة؟</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الکبریات لیست مواد للتعاطی والتنفیذ والإجراء المباشر، وإنما تحتاج إلی جعل من العقلاء لموضوعاتها وصغریاتها کی تکون قابلة للعمل، فالأوثق فی الدلالة علی الإمضاء وقبول الشارع بها أن یکون من خلال الصغری التی هی تفصیل للکبری، ولا یکتفی بصرف کون الکبری معلومة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فی معرض الإبتلاء فی الکشف عن إمضائها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بثمرة معرفة الکلّیات المتسلسلة للصغریات المندرجة تحتها حیث إنّها تساهم فی معرفة أهمیة حکم الصغری ودرجة ملاکه</w:t>
      </w:r>
      <w:bookmarkStart w:id="974" w:name="pg16983_381140"/>
    </w:p>
    <w:p>
      <w:pPr>
        <w:pStyle w:val="BookText"/>
        <w:rPr/>
      </w:pPr>
      <w:bookmarkEnd w:id="974"/>
      <w:r>
        <w:rPr>
          <w:rFonts w:ascii="IRNazanin" w:hAnsi="IRNazanin" w:eastAsia="IRNazanin"/>
          <w:color w:val="111111"/>
          <w:sz w:val="28"/>
          <w:sz w:val="28"/>
          <w:szCs w:val="28"/>
          <w:rtl w:val="true"/>
          <w:lang w:bidi="fa-IR"/>
        </w:rPr>
        <w:t>لوضوح ملاک الکبریات لقربها وتماسها مع حِکَم الشریعة العقلیة 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وبالإضافة إلی مساهمتها فی تحدید نطاق الصغریات، فبعد التعرف علی أنّ إحیاء الموات یندرج تحت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التعرف علی عدم شرعیة الإحیاء، وأنّه لا یوجب الملک فی بعض الحالات التی تتناقض مع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البعض تحدید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أحیی أرضاً میتة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مصادقة العموم لروح الشریعة أو من خلال المقاصد، إلاّ أنه لا یخفی أنّ مثل هذا غیر منضبط بحدّ، ربما یکون استحسانیاً فی بعض تطبیقاته، بخلاف ما ذکرناه، فإنّ الکبری القانونیة ترسم بدقة حدود صغریاتها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جمیع ما تقدّم تبلور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الإشکال الأول علی حجّیة قول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حاول إرجاع الحجّیة إلی الإطمئنان الشخصی من باب تراکم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بعدما عرفت أنه صغری لکبری الخبرویة</w:t>
      </w:r>
      <w:r>
        <w:rPr>
          <w:rFonts w:eastAsia="IRNazanin" w:cs="IRNazanin"/>
          <w:color w:val="111111"/>
          <w:sz w:val="28"/>
          <w:szCs w:val="28"/>
          <w:rtl w:val="true"/>
          <w:lang w:bidi="fa-IR"/>
        </w:rPr>
        <w:t>.</w:t>
      </w:r>
    </w:p>
    <w:p>
      <w:pPr>
        <w:pStyle w:val="Heading6"/>
        <w:numPr>
          <w:ilvl w:val="5"/>
          <w:numId w:val="1"/>
        </w:numPr>
        <w:rPr/>
      </w:pPr>
      <w:bookmarkStart w:id="975" w:name="__RefHeading___Toc3300334_1468164448"/>
      <w:bookmarkStart w:id="976" w:name="_Toc388"/>
      <w:bookmarkEnd w:id="975"/>
      <w:r>
        <w:rPr>
          <w:rtl w:val="true"/>
        </w:rPr>
        <w:t>الملاحظة علی الإشکال الثانی</w:t>
      </w:r>
      <w:bookmarkEnd w:id="976"/>
    </w:p>
    <w:p>
      <w:pPr>
        <w:pStyle w:val="BookText"/>
        <w:rPr/>
      </w:pPr>
      <w:r>
        <w:rPr>
          <w:rFonts w:ascii="IRNazanin" w:hAnsi="IRNazanin" w:eastAsia="IRNazanin"/>
          <w:color w:val="111111"/>
          <w:sz w:val="28"/>
          <w:sz w:val="28"/>
          <w:szCs w:val="28"/>
          <w:rtl w:val="true"/>
          <w:lang w:bidi="fa-IR"/>
        </w:rPr>
        <w:t>کما یلاحظ علی الإشکال الثانی ما ذکرناه فی المقدمة من عدم التفات الأعلام إلی مهمة اللغوی، وربما یکون السبب فی ذلک عدم الإلمام بلغة اللغوی ومصطلحاته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أنّ الإشکال 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مهمة اللغوی تجمیع المعانی التی استعمل فیها اللفظ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ذلک سقوط قوله عن الحجّیة و الثمرة، لأنه نوع من ایصال العرف الإرتکازی العربی القدیم إلینا، فهو حلقة الوصل بیننا وبین لغة النص، ولا تخفی أهمیة مثل هذا، حیث إنّ منه نتعرف علی التبادر والإشتراک والقرائن وغیر ذلک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77" w:name="__RefHeading___Toc3300336_1468164448"/>
      <w:bookmarkStart w:id="978" w:name="_Toc389"/>
      <w:bookmarkEnd w:id="977"/>
      <w:r>
        <w:rPr>
          <w:rtl w:val="true"/>
        </w:rPr>
        <w:t>الملاحظة علی الإشکال الثالث</w:t>
      </w:r>
      <w:bookmarkStart w:id="979" w:name="pg16983_381142"/>
      <w:bookmarkEnd w:id="978"/>
    </w:p>
    <w:p>
      <w:pPr>
        <w:pStyle w:val="BookText"/>
        <w:rPr/>
      </w:pPr>
      <w:bookmarkEnd w:id="979"/>
      <w:r>
        <w:rPr>
          <w:rFonts w:ascii="IRNazanin" w:hAnsi="IRNazanin" w:eastAsia="IRNazanin"/>
          <w:color w:val="111111"/>
          <w:sz w:val="28"/>
          <w:sz w:val="28"/>
          <w:szCs w:val="28"/>
          <w:rtl w:val="true"/>
          <w:lang w:bidi="fa-IR"/>
        </w:rPr>
        <w:t>ومثله فی الضعف الإشکال الثالث، حیث یلاحظ علیه ما ذکرناه فی المقدّمة من أنّ الکثیر من نقولاتهم غیر مسندة وکثیراً من أمثلتهم مرتجلة، مع وضوح إعمالهم للحدس الملحوظ فی تخطئة بعضهم للبعض، فکلّ هذا یکشف عن أنّهم لیسوا رواة محدّثین</w:t>
      </w:r>
      <w:r>
        <w:rPr>
          <w:rFonts w:eastAsia="IRNazanin" w:cs="IRNazanin"/>
          <w:color w:val="111111"/>
          <w:sz w:val="28"/>
          <w:szCs w:val="28"/>
          <w:rtl w:val="true"/>
          <w:lang w:bidi="fa-IR"/>
        </w:rPr>
        <w:t>.</w:t>
      </w:r>
    </w:p>
    <w:p>
      <w:pPr>
        <w:pStyle w:val="Heading6"/>
        <w:numPr>
          <w:ilvl w:val="5"/>
          <w:numId w:val="1"/>
        </w:numPr>
        <w:rPr/>
      </w:pPr>
      <w:bookmarkStart w:id="980" w:name="__RefHeading___Toc3300338_1468164448"/>
      <w:bookmarkStart w:id="981" w:name="_Toc390"/>
      <w:bookmarkEnd w:id="980"/>
      <w:r>
        <w:rPr>
          <w:rtl w:val="true"/>
        </w:rPr>
        <w:t>الملاحظة علی الإشکال الرابع</w:t>
      </w:r>
      <w:bookmarkEnd w:id="981"/>
    </w:p>
    <w:p>
      <w:pPr>
        <w:pStyle w:val="BookText"/>
        <w:rPr/>
      </w:pPr>
      <w:r>
        <w:rPr>
          <w:rFonts w:ascii="IRNazanin" w:hAnsi="IRNazanin" w:eastAsia="IRNazanin"/>
          <w:color w:val="111111"/>
          <w:sz w:val="28"/>
          <w:sz w:val="28"/>
          <w:szCs w:val="28"/>
          <w:rtl w:val="true"/>
          <w:lang w:bidi="fa-IR"/>
        </w:rPr>
        <w:t>وأخیراً یلاحظ علی الإشکال الرابع أنه لا یشترط فی الإجتهاد أن یکون مجتهداً فی المقدّمات البعیدة، فلیس من شروط المجتهد أن یکون أدیباً بل ولا رجالیاً ولا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غالی البعض فقال بعدم شرطیة اجتهاده فی بعض مسائل الأصول، إلاّ أنه مسامحة بعد أن نعرف أنّ الأصول باب من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فی اجتهاده إلمامُه بالمقدمات القریبة بحدّ یکون من أصحاب الرأی فیها، وما عدا ذلک یمکن له التقلید بالرجوع إلی أهل الخبرة، إلاّ إذا کان من ذوی الملکة فی الأدب، فلا یکون قول الأدیب فی حقه حجّة حینئذ؛ إذ سیکون من قبیل فتوی المجتهد بالنسبة إلی مجتهد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ملکته إذا لم یستنبط بالفعل فی مسألةٍ مّا کمبرّر وجیه أمکنه الرجوع إلی المجتهد الأدیب أیضاً فی تلک المسألة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یشترط العقلاء فی حجّیة قول الأدیب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مطلق قول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علاوة علی خبرویته عدا عدم مظنة الکذب، وأمّا الوثاقة والرجولة والحیاة فلیس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الأعلمیة إلاّ مع التعارض مع الإختلاف الفاحش، وأمّا مع الإختلاف الیسیر والتساوی فالحکم هو التساقط</w:t>
      </w:r>
      <w:r>
        <w:rPr>
          <w:rFonts w:eastAsia="IRNazanin" w:cs="IRNazanin"/>
          <w:color w:val="111111"/>
          <w:sz w:val="28"/>
          <w:szCs w:val="28"/>
          <w:rtl w:val="true"/>
          <w:lang w:bidi="fa-IR"/>
        </w:rPr>
        <w:t>.</w:t>
      </w:r>
      <w:r>
        <w:rPr>
          <w:rStyle w:val="FootnoteAnchor"/>
          <w:rtl w:val="true"/>
        </w:rPr>
        <w:footnoteReference w:id="152"/>
      </w:r>
      <w:bookmarkStart w:id="982" w:name="pg16983_381145"/>
    </w:p>
    <w:p>
      <w:pPr>
        <w:pStyle w:val="Heading6"/>
        <w:numPr>
          <w:ilvl w:val="5"/>
          <w:numId w:val="1"/>
        </w:numPr>
        <w:rPr/>
      </w:pPr>
      <w:bookmarkStart w:id="983" w:name="__RefHeading___Toc3300340_1468164448"/>
      <w:bookmarkStart w:id="984" w:name="_Toc391"/>
      <w:bookmarkEnd w:id="982"/>
      <w:bookmarkEnd w:id="983"/>
      <w:r>
        <w:rPr>
          <w:rtl w:val="true"/>
        </w:rPr>
        <w:t>أصناف سیر العقلاء</w:t>
      </w:r>
      <w:bookmarkEnd w:id="984"/>
    </w:p>
    <w:p>
      <w:pPr>
        <w:pStyle w:val="BookText"/>
        <w:rPr/>
      </w:pPr>
      <w:r>
        <w:rPr>
          <w:rFonts w:ascii="IRNazanin" w:hAnsi="IRNazanin" w:eastAsia="IRNazanin"/>
          <w:color w:val="111111"/>
          <w:sz w:val="28"/>
          <w:sz w:val="28"/>
          <w:szCs w:val="28"/>
          <w:rtl w:val="true"/>
          <w:lang w:bidi="fa-IR"/>
        </w:rPr>
        <w:t>وفی الختام لابدّ من الإنتباه إلی أنّ سیر العقلاء علی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لأجل استیفاء الأغراض والحصول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قانونهم جاء لأجل تحصیل الواقع لا للتعذیر والتنجیز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یتقیدون بأکثر الشروط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وجود عام وخاص لا یقدَّم الخاص، أو لا یقدَّم بعد العمل بالعام، بل إنّ الظهور لیس بحجّة وإنما لابدّ من حصول الإطمئنان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علی الفرض والواقع ولکن من قناة التنجیز والتعذیر، وحجّیة قول الأدیب من هذا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هذا الصنف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التقنین من باب الأمارة والإراءة عن الواقع، ومثاله قول اللغوی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باب التعبد والتحاجّ من دون نظر إلی الإراءة والحکایة</w:t>
      </w:r>
      <w:r>
        <w:rPr>
          <w:rFonts w:eastAsia="IRNazanin" w:cs="IRNazanin"/>
          <w:color w:val="111111"/>
          <w:sz w:val="28"/>
          <w:szCs w:val="28"/>
          <w:rtl w:val="true"/>
          <w:lang w:bidi="fa-IR"/>
        </w:rPr>
        <w:t>.</w:t>
      </w:r>
      <w:bookmarkStart w:id="985" w:name="pg16983_381147"/>
    </w:p>
    <w:p>
      <w:pPr>
        <w:pStyle w:val="Heading3"/>
        <w:numPr>
          <w:ilvl w:val="2"/>
          <w:numId w:val="1"/>
        </w:numPr>
        <w:rPr/>
      </w:pPr>
      <w:bookmarkStart w:id="986" w:name="__RefHeading___Toc3300342_1468164448"/>
      <w:bookmarkStart w:id="987" w:name="_Toc392"/>
      <w:bookmarkEnd w:id="985"/>
      <w:bookmarkEnd w:id="986"/>
      <w:r>
        <w:rPr/>
        <w:t>4</w:t>
      </w:r>
      <w:r>
        <w:rPr>
          <w:rtl w:val="true"/>
        </w:rPr>
        <w:t xml:space="preserve"> . </w:t>
      </w:r>
      <w:r>
        <w:rPr>
          <w:rtl w:val="true"/>
        </w:rPr>
        <w:t>الإجماع</w:t>
      </w:r>
      <w:bookmarkEnd w:id="9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8" w:name="__RefHeading___Toc3300344_1468164448"/>
      <w:bookmarkStart w:id="989" w:name="_Toc393"/>
      <w:bookmarkEnd w:id="988"/>
      <w:r>
        <w:rPr>
          <w:rtl w:val="true"/>
        </w:rPr>
        <w:t>اشارة</w:t>
      </w:r>
      <w:bookmarkStart w:id="990" w:name="pg16983_381151"/>
      <w:bookmarkEnd w:id="989"/>
    </w:p>
    <w:p>
      <w:pPr>
        <w:pStyle w:val="Heading4"/>
        <w:numPr>
          <w:ilvl w:val="3"/>
          <w:numId w:val="1"/>
        </w:numPr>
        <w:rPr/>
      </w:pPr>
      <w:bookmarkStart w:id="991" w:name="__RefHeading___Toc3300346_1468164448"/>
      <w:bookmarkStart w:id="992" w:name="_Toc394"/>
      <w:bookmarkEnd w:id="990"/>
      <w:bookmarkEnd w:id="991"/>
      <w:r>
        <w:rPr/>
        <w:t>1</w:t>
      </w:r>
      <w:r>
        <w:rPr>
          <w:rtl w:val="true"/>
        </w:rPr>
        <w:t xml:space="preserve"> . </w:t>
      </w:r>
      <w:r>
        <w:rPr>
          <w:rtl w:val="true"/>
        </w:rPr>
        <w:t>نقاط تمهیدیة فی الإجماع</w:t>
      </w:r>
      <w:bookmarkEnd w:id="992"/>
    </w:p>
    <w:p>
      <w:pPr>
        <w:pStyle w:val="Heading5"/>
        <w:numPr>
          <w:ilvl w:val="4"/>
          <w:numId w:val="1"/>
        </w:numPr>
        <w:rPr/>
      </w:pPr>
      <w:bookmarkStart w:id="993" w:name="__RefHeading___Toc3300348_1468164448"/>
      <w:bookmarkStart w:id="994" w:name="_Toc395"/>
      <w:bookmarkEnd w:id="993"/>
      <w:r>
        <w:rPr>
          <w:rtl w:val="true"/>
        </w:rPr>
        <w:t>الأولی</w:t>
      </w:r>
      <w:r>
        <w:rPr>
          <w:rtl w:val="true"/>
        </w:rPr>
        <w:t xml:space="preserve">: </w:t>
      </w:r>
      <w:r>
        <w:rPr>
          <w:rtl w:val="true"/>
        </w:rPr>
        <w:t>سرّ اختصاص البحث بالإجماع المنقول بخبر الواحد</w:t>
      </w:r>
      <w:bookmarkEnd w:id="994"/>
    </w:p>
    <w:p>
      <w:pPr>
        <w:pStyle w:val="BookText"/>
        <w:rPr/>
      </w:pPr>
      <w:r>
        <w:rPr>
          <w:rFonts w:ascii="IRNazanin" w:hAnsi="IRNazanin" w:eastAsia="IRNazanin"/>
          <w:color w:val="111111"/>
          <w:sz w:val="28"/>
          <w:sz w:val="28"/>
          <w:szCs w:val="28"/>
          <w:rtl w:val="true"/>
          <w:lang w:bidi="fa-IR"/>
        </w:rPr>
        <w:t xml:space="preserve">عنون الأعلام البحث فی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المنقول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 فی نقل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والسرّ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محور البحث الإجماع لا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من أنّ کشف الإجماع عن رأی المعصوم قطعی فلا بحث فی حجّیته، فینحصر البحث فی خبر الواحد الناقل له، أی إنّ البحث فی الواقع فی الإجماع المنقول لا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علم الأصول هو 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منها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البحث لیس عن متنها وإنما عن کواشفها، والخبر کاشف ظنی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ما ذکر من توجیه لا یعدو کونه توجیهاً للتعبیر الذی أخذ عنواناً للبحث، وإلاّ فإنّ واقع بحث الأعلام لم یقف عند خصوص الخبر الناقل، وإنما بحثوا حتی عن حجّیة الإجماع المحصَّل جنباً إلی جنب بحثهم عن شمول حجّیة الخبر الواحد للخبر الناقل للإجماع باعتبار الإشکالات الناجمة من هذا النقل؛ لأنّ المنقول لیس حکماً شرعیاً، بالإضافة إلی أنه لیس أمراً حسیاً وإنما هو الکاشف عن رأی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بالتصویرات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مختلف عن المنقولات الأخری بخبر الواحد من الأحکام وموضوعاتها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کان من الضروری مثل هذا البحث، والملفت أنّ الأعلام</w:t>
      </w:r>
      <w:bookmarkStart w:id="995" w:name="pg16983_381153"/>
    </w:p>
    <w:p>
      <w:pPr>
        <w:pStyle w:val="BookText"/>
        <w:rPr/>
      </w:pPr>
      <w:bookmarkEnd w:id="995"/>
      <w:r>
        <w:rPr>
          <w:rFonts w:ascii="IRNazanin" w:hAnsi="IRNazanin" w:eastAsia="IRNazanin"/>
          <w:color w:val="111111"/>
          <w:sz w:val="28"/>
          <w:sz w:val="28"/>
          <w:szCs w:val="28"/>
          <w:rtl w:val="true"/>
          <w:lang w:bidi="fa-IR"/>
        </w:rPr>
        <w:t>نبّهوا علی شرائط مهمة فی حجّیة خبر الواحد هنا لم یلفتوا لها هناک</w:t>
      </w:r>
      <w:r>
        <w:rPr>
          <w:rFonts w:eastAsia="IRNazanin" w:cs="IRNazanin"/>
          <w:color w:val="111111"/>
          <w:sz w:val="28"/>
          <w:szCs w:val="28"/>
          <w:rtl w:val="true"/>
          <w:lang w:bidi="fa-IR"/>
        </w:rPr>
        <w:t>.</w:t>
      </w:r>
    </w:p>
    <w:p>
      <w:pPr>
        <w:pStyle w:val="Heading5"/>
        <w:numPr>
          <w:ilvl w:val="4"/>
          <w:numId w:val="1"/>
        </w:numPr>
        <w:rPr/>
      </w:pPr>
      <w:bookmarkStart w:id="996" w:name="__RefHeading___Toc3300350_1468164448"/>
      <w:bookmarkStart w:id="997" w:name="_Toc396"/>
      <w:bookmarkEnd w:id="996"/>
      <w:r>
        <w:rPr>
          <w:rtl w:val="true"/>
        </w:rPr>
        <w:t>الثانیة</w:t>
      </w:r>
      <w:r>
        <w:rPr>
          <w:rtl w:val="true"/>
        </w:rPr>
        <w:t xml:space="preserve">: </w:t>
      </w:r>
      <w:r>
        <w:rPr>
          <w:rtl w:val="true"/>
        </w:rPr>
        <w:t>دور المعصوم فی حجّیة الإجماع</w:t>
      </w:r>
      <w:bookmarkEnd w:id="997"/>
    </w:p>
    <w:p>
      <w:pPr>
        <w:pStyle w:val="BookText"/>
        <w:rPr/>
      </w:pPr>
      <w:r>
        <w:rPr>
          <w:rFonts w:ascii="IRNazanin" w:hAnsi="IRNazanin" w:eastAsia="IRNazanin"/>
          <w:color w:val="111111"/>
          <w:sz w:val="28"/>
          <w:sz w:val="28"/>
          <w:szCs w:val="28"/>
          <w:rtl w:val="true"/>
          <w:lang w:bidi="fa-IR"/>
        </w:rPr>
        <w:t xml:space="preserve">لا حجّیة للإجماع عند الإمامیة وراء المعصوم وفی عرضه خلافاً للعامة، بل العامّة أیضاً لا یدّعون حجّیة ذاتیة للإجماع وإنما حجّیته مستمدة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ضلالة</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ولکن مع ذلک یبقی فرق بیننا وبینهم فی نظرتنا للإجماع؛ إذ علی فرض صحة الحدیث فإنّنا نفهمه أنّ المجموع إنما لا یخطأ لأنه شامل للمعصوم، فالعبرة لیست للکمّ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فهمه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والدراسات الحدیثة تؤکّد علی عدم القیمة الذاتیة للظواهر الإجتماعیة فی المسائل النظریة ما لم یکن هناک ضمان ومؤمّن لصوابها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الکریم ذمّ الکثرة العددیة؛ لأنها غالباً مّا تنساق خلف الغرائز،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وصیة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فالمعیار للکیف والنوع لا للکمّ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 خالف الجماعة 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أمیرالمؤمنین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والروایات</w:t>
      </w:r>
      <w:bookmarkStart w:id="998" w:name="pg16983_381155"/>
    </w:p>
    <w:p>
      <w:pPr>
        <w:pStyle w:val="BookText"/>
        <w:rPr/>
      </w:pPr>
      <w:bookmarkEnd w:id="998"/>
      <w:r>
        <w:rPr>
          <w:rFonts w:ascii="Amiri" w:hAnsi="Amiri" w:eastAsia="Amiri" w:cs="Amiri"/>
          <w:color w:val="111111"/>
          <w:sz w:val="28"/>
          <w:sz w:val="28"/>
          <w:szCs w:val="28"/>
          <w:rtl w:val="true"/>
          <w:lang w:bidi="ar-SA"/>
        </w:rPr>
        <w:t>تصرّح أنّ الجماعة هی مَن کانوا علی الحق وإن قلّوا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وهذه الروایات صریحة فی أنّ الجماعة هی مَن کانوا علی الحق وإن قلّوا</w:t>
      </w:r>
      <w:r>
        <w:rPr>
          <w:rFonts w:eastAsia="IRNazanin" w:cs="IRNazanin"/>
          <w:color w:val="111111"/>
          <w:sz w:val="28"/>
          <w:szCs w:val="28"/>
          <w:rtl w:val="true"/>
          <w:lang w:bidi="fa-IR"/>
        </w:rPr>
        <w:t>.</w:t>
      </w:r>
    </w:p>
    <w:p>
      <w:pPr>
        <w:pStyle w:val="Heading5"/>
        <w:numPr>
          <w:ilvl w:val="4"/>
          <w:numId w:val="1"/>
        </w:numPr>
        <w:rPr/>
      </w:pPr>
      <w:bookmarkStart w:id="999" w:name="__RefHeading___Toc3300352_1468164448"/>
      <w:bookmarkStart w:id="1000" w:name="_Toc397"/>
      <w:bookmarkEnd w:id="999"/>
      <w:r>
        <w:rPr>
          <w:rtl w:val="true"/>
        </w:rPr>
        <w:t>الثالثة</w:t>
      </w:r>
      <w:r>
        <w:rPr>
          <w:rtl w:val="true"/>
        </w:rPr>
        <w:t xml:space="preserve">: </w:t>
      </w:r>
      <w:r>
        <w:rPr>
          <w:rtl w:val="true"/>
        </w:rPr>
        <w:t>ما هو المنکشف بالإجماع؟</w:t>
      </w:r>
      <w:bookmarkEnd w:id="1000"/>
    </w:p>
    <w:p>
      <w:pPr>
        <w:pStyle w:val="BookText"/>
        <w:rPr/>
      </w:pPr>
      <w:r>
        <w:rPr>
          <w:rFonts w:ascii="IRNazanin" w:hAnsi="IRNazanin" w:eastAsia="IRNazanin"/>
          <w:color w:val="111111"/>
          <w:sz w:val="28"/>
          <w:sz w:val="28"/>
          <w:szCs w:val="28"/>
          <w:rtl w:val="true"/>
          <w:lang w:bidi="fa-IR"/>
        </w:rPr>
        <w:t>إنّ المنکشف بالإجماع تارة یکون رأیَ المعصوم، وأخری قولَه المروی بروایة وقعت فی أیدی المجمعین وخفیت علینا، وثالثة تقریرَ المعصوم للسیرة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ادّعی الأعلام خصوص الأول، ولکن الواقع هو أحد الثلاثة مع الإلتفات إلی ارتباط الثالث بالسیرة، والثانی بخبر الواحد، فیبقی الأول مورد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فما ذکره المرحوم المظفّر من أنّ الإجماع کاشف عن السنّة فی غیر محلّه، لأنّ السنّة اصطلاحاً هی قول المعصوم وفعله وتقریره، والإجماع قد یکشف عن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قوله</w:t>
      </w:r>
      <w:r>
        <w:rPr>
          <w:rFonts w:eastAsia="IRNazanin" w:cs="IRNazanin"/>
          <w:color w:val="111111"/>
          <w:sz w:val="28"/>
          <w:szCs w:val="28"/>
          <w:rtl w:val="true"/>
          <w:lang w:bidi="fa-IR"/>
        </w:rPr>
        <w:t>.</w:t>
      </w:r>
    </w:p>
    <w:p>
      <w:pPr>
        <w:pStyle w:val="Heading5"/>
        <w:numPr>
          <w:ilvl w:val="4"/>
          <w:numId w:val="1"/>
        </w:numPr>
        <w:rPr/>
      </w:pPr>
      <w:bookmarkStart w:id="1001" w:name="__RefHeading___Toc3300354_1468164448"/>
      <w:bookmarkStart w:id="1002" w:name="_Toc398"/>
      <w:bookmarkEnd w:id="1001"/>
      <w:r>
        <w:rPr>
          <w:rtl w:val="true"/>
        </w:rPr>
        <w:t>الرابعة</w:t>
      </w:r>
      <w:r>
        <w:rPr>
          <w:rtl w:val="true"/>
        </w:rPr>
        <w:t xml:space="preserve">: </w:t>
      </w:r>
      <w:r>
        <w:rPr>
          <w:rtl w:val="true"/>
        </w:rPr>
        <w:t>الإجماع فی الإستعمالات المختلفة</w:t>
      </w:r>
      <w:bookmarkEnd w:id="1002"/>
    </w:p>
    <w:p>
      <w:pPr>
        <w:pStyle w:val="BookText"/>
        <w:rPr/>
      </w:pPr>
      <w:r>
        <w:rPr>
          <w:rFonts w:ascii="IRNazanin" w:hAnsi="IRNazanin" w:eastAsia="IRNazanin"/>
          <w:color w:val="111111"/>
          <w:sz w:val="28"/>
          <w:sz w:val="28"/>
          <w:szCs w:val="28"/>
          <w:rtl w:val="true"/>
          <w:lang w:bidi="fa-IR"/>
        </w:rPr>
        <w:t>قد یطلق الإجماع ویراد منه الإتفاق المطبق المعبِّر عن ضرورة الطائفة، وقد یطلق ویراد منه الإتفاق المطبق بین الفقهاء المساوی لکونه ضرورة فقهیة، وقد یطلق ویراد منه تسالم الفقهاء، وقد یطلق ویراد منه اتفاق الفقهاء، وقد یطلق ویراد منه الشهرة العظیمة جداً بین الفقهاء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التسالم والإتفاق أنّ الثانی مجرد انطباق رأی أحدهم علی الآخر، والأول یزید علیه بإذعانهم بأنه کذلک، وأنّه ثابت لا یخدش فیه من دون أن یصل إلی حدّ الضرورة لأنه استدلالی لا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وبالدقة الفرق بین التسالم والضرورة کالفرق المذکور فی</w:t>
      </w:r>
      <w:bookmarkStart w:id="1003" w:name="pg16983_381157"/>
    </w:p>
    <w:p>
      <w:pPr>
        <w:pStyle w:val="BookText"/>
        <w:rPr/>
      </w:pPr>
      <w:bookmarkEnd w:id="1003"/>
      <w:r>
        <w:rPr>
          <w:rFonts w:ascii="IRNazanin" w:hAnsi="IRNazanin" w:eastAsia="IRNazanin"/>
          <w:color w:val="111111"/>
          <w:sz w:val="28"/>
          <w:sz w:val="28"/>
          <w:szCs w:val="28"/>
          <w:rtl w:val="true"/>
          <w:lang w:bidi="fa-IR"/>
        </w:rPr>
        <w:t>المنطق بین المسلّمات والیقینیات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نزاع فلا بحث فی الإجماع بمعنی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الفقهیة أم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فسّقوا المخالف للإجماع بهذین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روایة مولانا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المبینة لأصول الإستدلال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منه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فلیس کلّما ورد تعبیر الإجماع فهو یعنی قابلیته للبحث وبالتالی القبول أو الرد، فالبحث ینحصر فی الإجماع بمعنی الإتفاق والشهرة، وأمّا بمعنی التسالم فهل هو مورد بحث، وهل یمکن مخالفته مع الإلتفات إلی أنه مدرکی أو لا؟ جملة من الأعلام أیضاً فسّق من یخالفه</w:t>
      </w:r>
      <w:r>
        <w:rPr>
          <w:rFonts w:eastAsia="IRNazanin" w:cs="IRNazanin"/>
          <w:color w:val="111111"/>
          <w:sz w:val="28"/>
          <w:szCs w:val="28"/>
          <w:rtl w:val="true"/>
          <w:lang w:bidi="fa-IR"/>
        </w:rPr>
        <w:t>.</w:t>
      </w:r>
    </w:p>
    <w:p>
      <w:pPr>
        <w:pStyle w:val="Heading5"/>
        <w:numPr>
          <w:ilvl w:val="4"/>
          <w:numId w:val="1"/>
        </w:numPr>
        <w:rPr/>
      </w:pPr>
      <w:bookmarkStart w:id="1004" w:name="__RefHeading___Toc3300356_1468164448"/>
      <w:bookmarkStart w:id="1005" w:name="_Toc399"/>
      <w:bookmarkEnd w:id="1004"/>
      <w:r>
        <w:rPr>
          <w:rtl w:val="true"/>
        </w:rPr>
        <w:t>الخامسة</w:t>
      </w:r>
      <w:r>
        <w:rPr>
          <w:rtl w:val="true"/>
        </w:rPr>
        <w:t xml:space="preserve">: </w:t>
      </w:r>
      <w:r>
        <w:rPr>
          <w:rtl w:val="true"/>
        </w:rPr>
        <w:t>الإجماع القولی والعملی</w:t>
      </w:r>
      <w:bookmarkEnd w:id="1005"/>
    </w:p>
    <w:p>
      <w:pPr>
        <w:pStyle w:val="BookText"/>
        <w:rPr/>
      </w:pPr>
      <w:r>
        <w:rPr>
          <w:rFonts w:ascii="IRNazanin" w:hAnsi="IRNazanin" w:eastAsia="IRNazanin"/>
          <w:color w:val="111111"/>
          <w:sz w:val="28"/>
          <w:sz w:val="28"/>
          <w:szCs w:val="28"/>
          <w:rtl w:val="true"/>
          <w:lang w:bidi="fa-IR"/>
        </w:rPr>
        <w:t>الإجماع قد یکون قولیاً وقد یکون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من الإجماع القولی وقوع الإجماع علی قالب لفظی، ویترتب علیه إمکان التسمک بالإطلاق لأنّ معقد الإجماع لفظی إن کان للفتوی اللفظیة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ویقصد من العملی تارة الإتفاق غیر الملفوظ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استنادهم إلی کتاب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إتفاق الفقهاء علی قاعدة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دعوی الإجماع فی تطبیق هذه القاعدة علی صغریاتها، کما نشاهده فی جملة من إجماعات الشیخ فی المبسوط وابن زهرة فی الغنیة و المرتضی فی بعض کتبه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من الإجماع هذا الإجماع التقدیری الذی یحصل لمقتضی القاعدة، وإلاّ فالفقهاء لم یجمعوا إلاّ علی القاعدة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ثالثة إجماع السیرة، حیث یعبّر عنه بالعملی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منه سیرة المتشرعة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العقلاء وإجماع المتشرعة</w:t>
      </w:r>
      <w:r>
        <w:rPr>
          <w:rFonts w:eastAsia="IRNazanin" w:cs="IRNazanin"/>
          <w:color w:val="111111"/>
          <w:sz w:val="28"/>
          <w:szCs w:val="28"/>
          <w:rtl w:val="true"/>
          <w:lang w:bidi="fa-IR"/>
        </w:rPr>
        <w:t>. ]</w:t>
      </w:r>
    </w:p>
    <w:p>
      <w:pPr>
        <w:pStyle w:val="Heading5"/>
        <w:numPr>
          <w:ilvl w:val="4"/>
          <w:numId w:val="1"/>
        </w:numPr>
        <w:rPr/>
      </w:pPr>
      <w:bookmarkStart w:id="1006" w:name="__RefHeading___Toc3300358_1468164448"/>
      <w:bookmarkStart w:id="1007" w:name="_Toc400"/>
      <w:bookmarkEnd w:id="1006"/>
      <w:r>
        <w:rPr>
          <w:rtl w:val="true"/>
        </w:rPr>
        <w:t>السادسة</w:t>
      </w:r>
      <w:r>
        <w:rPr>
          <w:rtl w:val="true"/>
        </w:rPr>
        <w:t xml:space="preserve">: </w:t>
      </w:r>
      <w:r>
        <w:rPr>
          <w:rtl w:val="true"/>
        </w:rPr>
        <w:t>الإجماع منشأ خاص أو منشأ عام؟</w:t>
      </w:r>
      <w:bookmarkEnd w:id="10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بحث الإجماع وکذلک الشهرة وشطر من خبر الواحد تم البحث عنها من زاویتین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منشأ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الظن النوعی</w:t>
      </w:r>
      <w:bookmarkStart w:id="1008" w:name="pg16983_381159"/>
    </w:p>
    <w:p>
      <w:pPr>
        <w:pStyle w:val="BookText"/>
        <w:rPr/>
      </w:pPr>
      <w:bookmarkEnd w:id="1008"/>
      <w:r>
        <w:rPr>
          <w:rFonts w:ascii="IRNazanin" w:hAnsi="IRNazanin" w:eastAsia="IRNazanin"/>
          <w:color w:val="111111"/>
          <w:sz w:val="28"/>
          <w:sz w:val="28"/>
          <w:szCs w:val="28"/>
          <w:rtl w:val="true"/>
          <w:lang w:bidi="fa-IR"/>
        </w:rPr>
        <w:t xml:space="preserve">کالظهور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و الثانیة إنها منشأ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الظن النوعی من جهة تراکم القرائن وتراکم الإحتمال </w:t>
      </w:r>
      <w:r>
        <w:rPr>
          <w:rFonts w:eastAsia="IRNazanin" w:cs="IRNazanin"/>
          <w:color w:val="111111"/>
          <w:sz w:val="28"/>
          <w:szCs w:val="28"/>
          <w:rtl w:val="true"/>
          <w:lang w:bidi="fa-IR"/>
        </w:rPr>
        <w:t>].</w:t>
      </w:r>
    </w:p>
    <w:p>
      <w:pPr>
        <w:pStyle w:val="Heading5"/>
        <w:numPr>
          <w:ilvl w:val="4"/>
          <w:numId w:val="1"/>
        </w:numPr>
        <w:rPr/>
      </w:pPr>
      <w:bookmarkStart w:id="1009" w:name="__RefHeading___Toc3300360_1468164448"/>
      <w:bookmarkStart w:id="1010" w:name="_Toc401"/>
      <w:bookmarkEnd w:id="1009"/>
      <w:r>
        <w:rPr>
          <w:rtl w:val="true"/>
        </w:rPr>
        <w:t>السابعة</w:t>
      </w:r>
      <w:r>
        <w:rPr>
          <w:rtl w:val="true"/>
        </w:rPr>
        <w:t xml:space="preserve">: </w:t>
      </w:r>
      <w:r>
        <w:rPr>
          <w:rtl w:val="true"/>
        </w:rPr>
        <w:t>رتبة الإجماع فی الحجّیة</w:t>
      </w:r>
      <w:bookmarkEnd w:id="1010"/>
    </w:p>
    <w:p>
      <w:pPr>
        <w:pStyle w:val="Heading6"/>
        <w:numPr>
          <w:ilvl w:val="5"/>
          <w:numId w:val="1"/>
        </w:numPr>
        <w:rPr/>
      </w:pPr>
      <w:bookmarkStart w:id="1011" w:name="__RefHeading___Toc3300362_1468164448"/>
      <w:bookmarkStart w:id="1012" w:name="_Toc402"/>
      <w:bookmarkEnd w:id="1011"/>
      <w:r>
        <w:rPr>
          <w:rtl w:val="true"/>
        </w:rPr>
        <w:t>اشارة</w:t>
      </w:r>
      <w:bookmarkEnd w:id="1012"/>
    </w:p>
    <w:p>
      <w:pPr>
        <w:pStyle w:val="BookText"/>
        <w:rPr/>
      </w:pPr>
      <w:r>
        <w:rPr>
          <w:rFonts w:ascii="IRNazanin" w:hAnsi="IRNazanin" w:eastAsia="IRNazanin"/>
          <w:color w:val="111111"/>
          <w:sz w:val="28"/>
          <w:sz w:val="28"/>
          <w:szCs w:val="28"/>
          <w:rtl w:val="true"/>
          <w:lang w:bidi="fa-IR"/>
        </w:rPr>
        <w:t xml:space="preserve">إنّ الإعتماد علی الإجماع والشهرة فی وسط علماء الإمامیة أکثر ما ظهر عند مدرسة الوحید البهبهانی، حیث بنی علی الإنسداد وحجّیة الظن المطلق، ولما کان کلّ ظن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والشهرة یوجبان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نجم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قبول أهمیة مراجعة کلمات الأعلام فی تحریر الفرض الفقهی والتعرف علی نکات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التضلع بالفقه الروائی والقرآنی، مما شکّل فجوة فقهیة واضحة فی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القائلین بالإنسداد اکتفوا بمثل هذه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من الإجماع والشهرة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مراجعة أعمق وأشمل للنصوص لتحصیل الظنون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وتلاحظ هذه الظاهرة بوضوح فی مثل الریاض و الخزائن و الجواهر بل وحتی فی المستمسک و التنقیح بشکل مخفف، و هی ظاهرة خطیرة بعد الإلتفات إلی أنّ رتبة الإجماع فی الحجّیة متأخرة عن رتبة الدلیل الإجتهادی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وتحدیداً ظواهر الکتاب والروایات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علاقته معهما کعلاقة الأصل العملی مع الدلیل الإجتهادی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النوبة إلیه إلاّ بعد فقده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فالإغراق فی الإعتماد علی الإجماع یوجب تدریجاً ضیاع المعالم الروائیة وضیاع الدلالات القرآنیة، من دون أن یعنی ذلک ضرب هذه الإجماعات علی الجدار، وإنما نستفید منها کمنبّهات علی وجود أدلّة روائیة أو قرآنیة علی معقد الإجماع</w:t>
      </w:r>
      <w:r>
        <w:rPr>
          <w:rFonts w:eastAsia="IRNazanin" w:cs="IRNazanin"/>
          <w:color w:val="111111"/>
          <w:sz w:val="28"/>
          <w:szCs w:val="28"/>
          <w:rtl w:val="true"/>
          <w:lang w:bidi="fa-IR"/>
        </w:rPr>
        <w:t>.</w:t>
      </w:r>
    </w:p>
    <w:p>
      <w:pPr>
        <w:pStyle w:val="Heading6"/>
        <w:numPr>
          <w:ilvl w:val="5"/>
          <w:numId w:val="1"/>
        </w:numPr>
        <w:rPr/>
      </w:pPr>
      <w:bookmarkStart w:id="1013" w:name="__RefHeading___Toc3300364_1468164448"/>
      <w:bookmarkStart w:id="1014" w:name="_Toc403"/>
      <w:bookmarkEnd w:id="1013"/>
      <w:r>
        <w:rPr>
          <w:rtl w:val="true"/>
        </w:rPr>
        <w:t>وراء کلِ‌ّ إجماعٍ دلیلٌ‌</w:t>
      </w:r>
      <w:bookmarkEnd w:id="101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نغالی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وراء کلّ الإجماعات أدلّة قرآنیة وروائیة،</w:t>
      </w:r>
      <w:bookmarkStart w:id="1015" w:name="pg16983_381162"/>
    </w:p>
    <w:p>
      <w:pPr>
        <w:pStyle w:val="BookText"/>
        <w:rPr/>
      </w:pPr>
      <w:bookmarkEnd w:id="1015"/>
      <w:r>
        <w:rPr>
          <w:rFonts w:ascii="IRNazanin" w:hAnsi="IRNazanin" w:eastAsia="IRNazanin"/>
          <w:color w:val="111111"/>
          <w:sz w:val="28"/>
          <w:sz w:val="28"/>
          <w:szCs w:val="28"/>
          <w:rtl w:val="true"/>
          <w:lang w:bidi="fa-IR"/>
        </w:rPr>
        <w:t xml:space="preserve">و إنّ ما نقل عن السیّد الیزدی فی حوار له مع الشیخ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أکثر من مائتی فرع لا دلیل علیه سوی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نقبله، وقد لاحظنا فی تجربتنا الفقهیة المحدودة فی کتاب الطهارة ما یقرب من عشرین مورداً لحدّ الآن ادّعی فیها الإجماع فقط، مع أنّنا عثرنا لها بأدلّة روائیة وشواهد 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نرجع إلی إجماعات المتقدّمین نلحظ أنّهم لا یستدلّون بالإجماع غالباً إلاّ فی حالة کون معقده من الضروریات أو من المتسالم علیه أو من باب تطبیق القواعد المجمع علیها علی صغریاتها، سیما المحدّثین کالصدوق و الطوسی فی کتب حدیثیة کالتهذیب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عدا ذلک یذکرون دلیلاً روائیاً أو قرآنیاً، ولم یستدلّوا بالإجماع وحده إلاّ فی قبال العامة، کما نلحظ ذلک فی الخلاف للشیخ الطوسی و انتصار السیّد المرتضی وأمثالهما من کتب الفقه المقارن</w:t>
      </w:r>
      <w:r>
        <w:rPr>
          <w:rFonts w:eastAsia="IRNazanin" w:cs="IRNazanin"/>
          <w:color w:val="111111"/>
          <w:sz w:val="28"/>
          <w:szCs w:val="28"/>
          <w:rtl w:val="true"/>
          <w:lang w:bidi="fa-IR"/>
        </w:rPr>
        <w:t>.</w:t>
      </w:r>
    </w:p>
    <w:p>
      <w:pPr>
        <w:pStyle w:val="Heading5"/>
        <w:numPr>
          <w:ilvl w:val="4"/>
          <w:numId w:val="1"/>
        </w:numPr>
        <w:rPr/>
      </w:pPr>
      <w:bookmarkStart w:id="1016" w:name="__RefHeading___Toc3300366_1468164448"/>
      <w:bookmarkStart w:id="1017" w:name="_Toc404"/>
      <w:bookmarkEnd w:id="1016"/>
      <w:r>
        <w:rPr>
          <w:rtl w:val="true"/>
        </w:rPr>
        <w:t>الثامنة</w:t>
      </w:r>
      <w:r>
        <w:rPr>
          <w:rtl w:val="true"/>
        </w:rPr>
        <w:t xml:space="preserve">: </w:t>
      </w:r>
      <w:r>
        <w:rPr>
          <w:rtl w:val="true"/>
        </w:rPr>
        <w:t>الإجماع الکاشف عن السبب أو المسبب</w:t>
      </w:r>
      <w:bookmarkEnd w:id="1017"/>
    </w:p>
    <w:p>
      <w:pPr>
        <w:pStyle w:val="BookText"/>
        <w:rPr/>
      </w:pPr>
      <w:r>
        <w:rPr>
          <w:rFonts w:ascii="IRNazanin" w:hAnsi="IRNazanin" w:eastAsia="IRNazanin"/>
          <w:color w:val="111111"/>
          <w:sz w:val="28"/>
          <w:sz w:val="28"/>
          <w:szCs w:val="28"/>
          <w:rtl w:val="true"/>
          <w:lang w:bidi="fa-IR"/>
        </w:rPr>
        <w:t xml:space="preserve">الإجماع قد یکون کاشفاً عن المسبب وهو رأی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یکون کاشفاً عن السبب کاتفاق الأعلام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الإنقسام نجده فی المحصّل والمنقول معاً؛ فالمحصّل من الإجماعات ینقسم إلی إجماع تم تحصیله کاشفٍ عن السبب وآخر عن المسبب، والمنقول من الإجماعات ینقسم أیضاً إلی الکاشف عن السبب وآخر عن المسبب</w:t>
      </w:r>
      <w:r>
        <w:rPr>
          <w:rFonts w:eastAsia="IRNazanin" w:cs="IRNazanin"/>
          <w:color w:val="111111"/>
          <w:sz w:val="28"/>
          <w:szCs w:val="28"/>
          <w:rtl w:val="true"/>
          <w:lang w:bidi="fa-IR"/>
        </w:rPr>
        <w:t>.</w:t>
      </w:r>
      <w:bookmarkStart w:id="1018" w:name="pg16983_381164"/>
    </w:p>
    <w:p>
      <w:pPr>
        <w:pStyle w:val="Heading4"/>
        <w:numPr>
          <w:ilvl w:val="3"/>
          <w:numId w:val="1"/>
        </w:numPr>
        <w:rPr/>
      </w:pPr>
      <w:bookmarkStart w:id="1019" w:name="__RefHeading___Toc3300368_1468164448"/>
      <w:bookmarkStart w:id="1020" w:name="_Toc405"/>
      <w:bookmarkEnd w:id="1018"/>
      <w:bookmarkEnd w:id="1019"/>
      <w:r>
        <w:rPr/>
        <w:t>2</w:t>
      </w:r>
      <w:r>
        <w:rPr>
          <w:rtl w:val="true"/>
        </w:rPr>
        <w:t xml:space="preserve"> . </w:t>
      </w:r>
      <w:r>
        <w:rPr>
          <w:rtl w:val="true"/>
        </w:rPr>
        <w:t>الإجماع المحصَّل</w:t>
      </w:r>
      <w:bookmarkEnd w:id="1020"/>
    </w:p>
    <w:p>
      <w:pPr>
        <w:pStyle w:val="Heading5"/>
        <w:numPr>
          <w:ilvl w:val="4"/>
          <w:numId w:val="1"/>
        </w:numPr>
        <w:rPr/>
      </w:pPr>
      <w:bookmarkStart w:id="1021" w:name="__RefHeading___Toc3300370_1468164448"/>
      <w:bookmarkStart w:id="1022" w:name="_Toc406"/>
      <w:bookmarkEnd w:id="1021"/>
      <w:r>
        <w:rPr>
          <w:rtl w:val="true"/>
        </w:rPr>
        <w:t>أدلّة حجّیة الإجماع المحصَّل بمعنی الإتفاق وتطابق الآراء بعضها مع البعض الآخر</w:t>
      </w:r>
      <w:bookmarkEnd w:id="1022"/>
    </w:p>
    <w:p>
      <w:pPr>
        <w:pStyle w:val="Heading6"/>
        <w:numPr>
          <w:ilvl w:val="5"/>
          <w:numId w:val="1"/>
        </w:numPr>
        <w:rPr/>
      </w:pPr>
      <w:bookmarkStart w:id="1023" w:name="__RefHeading___Toc3300372_1468164448"/>
      <w:bookmarkStart w:id="1024" w:name="_Toc407"/>
      <w:bookmarkEnd w:id="1023"/>
      <w:r>
        <w:rPr>
          <w:rtl w:val="true"/>
        </w:rPr>
        <w:t>اشارة</w:t>
      </w:r>
      <w:bookmarkEnd w:id="1024"/>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خطأ أو علی ضلالة</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وقد استدلّ بذلک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بحکم سیاقها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جاءت بعد مجموعة من الآیات التی ذمّت المنافقین والمعاندین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حجّیة طریقة النخبة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صدق إیمانهم وخلص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متابعتهم متابعة لمنهج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ما اتخذوه من طریقة متلقّی من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نظیر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الجماعة هم جماعة الحقّ وإن 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صدد بیان حجّیة سیرة المتشرعة لا 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ظاهرة جماعیة وبما هی کثرة 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ظاهرة فی التوجیه المنطقی لمَن قامت عنده المقدّمات وتمّت إلاّ أنه لم یذعن بالنتیجة 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التزام المؤمنین من ذوی المتانة واللّب کاف فی القضاء علی مثل هذا التردد وتوفیر جوّ من الإطمئنان والإستقرار بحدّ قاطع للعذر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مفاد الإجماع المطابقی بنحو قطعی هو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بدلاً من التعبیر بأنه رأی المعصوم عبّر عنه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دین الإمامیة، أو أنه مذهب الإمامیة، أو أنّ مذهبنا کذا، وما شاکل هذه التعبیرات الحاکیة عن رأی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وبنحو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مثل هذا فی کلمات الأقدمین کالصدوق والکلینی وابن</w:t>
      </w:r>
      <w:bookmarkStart w:id="1025" w:name="pg16983_381166"/>
    </w:p>
    <w:p>
      <w:pPr>
        <w:pStyle w:val="BookText"/>
        <w:rPr/>
      </w:pPr>
      <w:bookmarkEnd w:id="1025"/>
      <w:r>
        <w:rPr>
          <w:rFonts w:ascii="IRNazanin" w:hAnsi="IRNazanin" w:eastAsia="IRNazanin"/>
          <w:color w:val="111111"/>
          <w:sz w:val="28"/>
          <w:sz w:val="28"/>
          <w:szCs w:val="28"/>
          <w:rtl w:val="true"/>
          <w:lang w:bidi="fa-IR"/>
        </w:rPr>
        <w:t>قولویه و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مفاده کاشفاً بنحو قطعی عن اتفاق أصحاب الأئمة والرواة اللصیقین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هذا الإتفاق المنکشف کاشف بالملازمة عن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هذه الإجماعات نجدها أیضاً فی کتب القدماء مثل الغیبة للشیخ الطوسی</w:t>
      </w:r>
      <w:r>
        <w:rPr>
          <w:rFonts w:eastAsia="IRNazanin" w:cs="IRNazanin"/>
          <w:color w:val="111111"/>
          <w:sz w:val="28"/>
          <w:szCs w:val="28"/>
          <w:rtl w:val="true"/>
          <w:lang w:bidi="fa-IR"/>
        </w:rPr>
        <w:t>.</w:t>
      </w:r>
    </w:p>
    <w:p>
      <w:pPr>
        <w:pStyle w:val="Heading6"/>
        <w:numPr>
          <w:ilvl w:val="5"/>
          <w:numId w:val="1"/>
        </w:numPr>
        <w:rPr/>
      </w:pPr>
      <w:bookmarkStart w:id="1026" w:name="__RefHeading___Toc3300374_1468164448"/>
      <w:bookmarkStart w:id="1027" w:name="_Toc408"/>
      <w:bookmarkEnd w:id="1026"/>
      <w:r>
        <w:rPr>
          <w:rtl w:val="true"/>
        </w:rPr>
        <w:t>قاعدة اللطف</w:t>
      </w:r>
      <w:bookmarkEnd w:id="1027"/>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 لإثبات حجّیة الإجماع والإتفاق الصرف فی عصر من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ألفت الی ذلک الشیخ الطوسی وتوبع به إلی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لیس علی مذاق المحدّثین وإنما علی مذاق الفقهاء والمتکلّمین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لم نجده فی کتب الشیخ نفسه الحدیثیة وإنما ذکره فی کتبه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اللطف واجب عن اللّه تعالی والرسول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یستدلّ به فی الحکمة النظریة الی عهد الفارابی، حتی جاء ابن سینا ومَن بعده فلم یستدلّوا بالعقل العملی فی الحکمة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علی المعصوم إرشاد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الصواب فیما إذا اتفقوا علی خطأ فی تکلیف فعلی غیر ساقط حتی لا تنطمس معالم الدین ولا تندرس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عدم حصول الخلاف یکشف عن موافقة ما اتفق علیه لرأیه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1028" w:name="__RefHeading___Toc3300376_1468164448"/>
      <w:bookmarkStart w:id="1029" w:name="_Toc409"/>
      <w:bookmarkEnd w:id="1028"/>
      <w:r>
        <w:rPr>
          <w:rtl w:val="true"/>
        </w:rPr>
        <w:t>مناقشة السیّد المرتضی فی قاعدة اللطف</w:t>
      </w:r>
      <w:bookmarkEnd w:id="1029"/>
    </w:p>
    <w:p>
      <w:pPr>
        <w:pStyle w:val="BookText"/>
        <w:rPr/>
      </w:pPr>
      <w:r>
        <w:rPr>
          <w:rFonts w:ascii="IRNazanin" w:hAnsi="IRNazanin" w:eastAsia="IRNazanin"/>
          <w:color w:val="111111"/>
          <w:sz w:val="28"/>
          <w:sz w:val="28"/>
          <w:szCs w:val="28"/>
          <w:rtl w:val="true"/>
          <w:lang w:bidi="fa-IR"/>
        </w:rPr>
        <w:t xml:space="preserve">ولم یرتض السیّد المرتضی تطبیق قاعدة اللطف علی ما نحن فیه؛ لأنّ وجوده وبذله نفسه وإن کان لطفاً إلاّ أنّ الحرمان منه کان منّا، لأنه لو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وبغیبته حُرّمنا من ألطاف کثیرة من قبیل إقامة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الدولة والحکومة وإقامة العدل وتوزیع الحقوق وهدایة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خفاء الحکم الواقعی وضیاعه علینا بأعظم من تلک الألطاف التی</w:t>
      </w:r>
    </w:p>
    <w:p>
      <w:pPr>
        <w:pStyle w:val="BookText"/>
        <w:rPr/>
      </w:pPr>
      <w:r>
        <w:rPr>
          <w:rFonts w:ascii="Amiri" w:hAnsi="Amiri" w:eastAsia="Amiri" w:cs="Amiri"/>
          <w:color w:val="111111"/>
          <w:sz w:val="28"/>
          <w:sz w:val="28"/>
          <w:szCs w:val="28"/>
          <w:rtl w:val="true"/>
          <w:lang w:bidi="ar-SA"/>
        </w:rPr>
        <w:t>حُرّمنا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ونضیف الی مناقشة السیّد ما ورد من روایات دالّة علی خفاء جملة من الأحکام حتی یظهر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وتتالت النصوص علی تطبیق الشیخ لقاعدة اللطف من قبیل کفایة الخلاف السابق علی عصر الإتفاق، ولیس شرطاً فی اللطف أن یتحقق الخلاف فی عصر الإتفاق، فلا یکشف الإتفاق حینئذ عن موافقة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قبیل أنه لو حصل اتفاقان متعاکسان فی عصرین، فأیّهما الحجّة الکاشف عن رأی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وذکره الشیخ الطوسی أیضاً فی بعض کتبه ولم یلفت إلیه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للدین یردّ عنه شُبَه المبطلین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مستفاد من الروایات التی ربما تکون متواترة، والآیات الدالّة علی أنّ الإمام لا یسمح باندراس الدین فی کلّ عصر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حصل اتفاق فی عصر کشف عن رأی الامام، وإلاّ لو کان علی باطل لتدخل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الخلاف وإظهار الحقّ ولو من خلال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کلا الدلیلین للشیخ لا یمکن الإعتماد علیهما کلّیاً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للنقوض والإشکالات التی ذکرها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المقابل لا ننفیهما کلّیاً، وإنما نعتمدها جزئیاً فی حالة وصول الإتفاق فی عصر إلی درجة التسالم بحیث أصبح قریباً من البداهة، المستلزم لانطماس شیء من أرکان الدین وأساسیاته لو کان باطلاً بحدّ قد تؤول معه کلمات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فروع الدین البارزة لا فی الجزئیات التی لا یوجب الإتفاق الباطل علیها اندراس الدین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هذه الإجماعات حجّة وکاشفة عن رأی المعصوم بدلیلی الشیخ، من قبیل ما ذکره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الذین ینکرون انطباق</w:t>
      </w:r>
      <w:bookmarkStart w:id="1030" w:name="pg16983_381171"/>
    </w:p>
    <w:p>
      <w:pPr>
        <w:pStyle w:val="BookText"/>
        <w:rPr/>
      </w:pPr>
      <w:bookmarkEnd w:id="1030"/>
      <w:r>
        <w:rPr>
          <w:rFonts w:ascii="IRNazanin" w:hAnsi="IRNazanin" w:eastAsia="IRNazanin"/>
          <w:color w:val="111111"/>
          <w:sz w:val="28"/>
          <w:sz w:val="28"/>
          <w:szCs w:val="28"/>
          <w:rtl w:val="true"/>
          <w:lang w:bidi="fa-IR"/>
        </w:rPr>
        <w:t xml:space="preserve">قاعدة اللطف علی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تعتقده الإمامیة الآن فی ما یرتبط بشؤون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علمه بأعمال العباد جمیعاً وأنّ للإمام عموداً من نور یری فیه العوالم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من الضروریات فی الوقت الذی کان یعدّ ذلک سابقاً من الغلو</w:t>
      </w:r>
      <w:r>
        <w:rPr>
          <w:rFonts w:eastAsia="IRNazanin" w:cs="IRNazanin"/>
          <w:color w:val="111111"/>
          <w:sz w:val="28"/>
          <w:szCs w:val="28"/>
          <w:rtl w:val="true"/>
          <w:lang w:bidi="fa-IR"/>
        </w:rPr>
        <w:t>.</w:t>
      </w:r>
    </w:p>
    <w:p>
      <w:pPr>
        <w:pStyle w:val="Heading6"/>
        <w:numPr>
          <w:ilvl w:val="5"/>
          <w:numId w:val="1"/>
        </w:numPr>
        <w:rPr/>
      </w:pPr>
      <w:bookmarkStart w:id="1031" w:name="__RefHeading___Toc3300378_1468164448"/>
      <w:bookmarkStart w:id="1032" w:name="_Toc410"/>
      <w:bookmarkEnd w:id="1031"/>
      <w:r>
        <w:rPr>
          <w:rtl w:val="true"/>
        </w:rPr>
        <w:t>دلیل تراکم القرائن</w:t>
      </w:r>
      <w:bookmarkEnd w:id="1032"/>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العمدة فی إثبات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سمّی بتراکم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ذلک فی کلمات الشیخ و صاحب المقابیس و الکاظمینی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وحساب الإحتمالات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تعبیر السیّد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الحدسی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الإنصاف أنه قریب من الحس بسبب تصاعد الإحتمال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والإجماع بهذا الدلیل قد یکشف عن رأی المعصوم، وقد یکشف عن نص کان بأیدی المجمعین خفی علینا، وقد یکشف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والسیرة المنکشفة بهذا الإجماع هی سیرة المتشرعة، وهی تمتاز عن سیرة العقلاء ولا تخضع لضوابطها، حیث إنها تلقی من الشارع بنحو الفعل أو القول أو التقریر أو التربیة، بخلاف سیرة العقلاء فإنّها ناشئة من تقنین العقلاء ولا علاقة لها بالشارع، غایته أنّ الشارع أقرّ شطراً منها و ردع عن شطر مع استعماله نفس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وقع البحث عن حقیقة الإمضاء والردع وکیفیة اکتشافهما، مع البحث عن حقیقة هذه اللغة ونظامها وموقعها من التکوین للتعرّف من خلالها علی الإعتبار الشرعی وموقعه وأقسامه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 من المتأخرین رکّزوا علی أنّ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صورة فهو یرجع إلی سیرة المتشرعة من الأقدمین والمتقدّمین، فإنّها هی التی تکشف عن رأیه، خاصة بعد الإلتفات إلی أنّ الأقدمین لم یکونوا اجتهادیین کثیراً، ممّا یبعد احتمال کون اتفاقهم حدسیاً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33" w:name="__RefHeading___Toc3300380_1468164448"/>
      <w:bookmarkStart w:id="1034" w:name="_Toc411"/>
      <w:bookmarkEnd w:id="1033"/>
      <w:r>
        <w:rPr>
          <w:rtl w:val="true"/>
        </w:rPr>
        <w:t>شروط کشف الإجماع عن وجود نص خفی علینا</w:t>
      </w:r>
      <w:bookmarkStart w:id="1035" w:name="pg16983_381173"/>
      <w:bookmarkEnd w:id="1034"/>
    </w:p>
    <w:p>
      <w:pPr>
        <w:pStyle w:val="BookText"/>
        <w:rPr/>
      </w:pPr>
      <w:bookmarkEnd w:id="1035"/>
      <w:r>
        <w:rPr>
          <w:rFonts w:ascii="IRNazanin" w:hAnsi="IRNazanin" w:eastAsia="IRNazanin"/>
          <w:color w:val="111111"/>
          <w:sz w:val="28"/>
          <w:sz w:val="28"/>
          <w:szCs w:val="28"/>
          <w:rtl w:val="true"/>
          <w:lang w:bidi="fa-IR"/>
        </w:rPr>
        <w:t xml:space="preserve">أما کشف الإجماع هذا عن وجود نص خفی علینا بحساب الإحتمال وتراکم القرائن؛ فقد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مدرسة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حاصل ولکن بشروط لابدّ أن تتوفّر مجتمعة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هناک عموم قرآنی أو روائی أو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 الفقهاء به بل اتفقوا علی عکسه، من دون أن یذکروا دلیلاً علی هذه المخالفة سوی وجه لا یعتدّ به، مع عدم وجود ابتلاء عملی کی یفترض أنّ هناک سیرة، فلا وجه حینئذ لمثل هذا الإتفاق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توفّر باقی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وجود نص خفی علینا لسبب کالضیاع أو ما یشبه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معقد الإجماع من المسائل المتلقاة لا من المسائل التفریعیة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ویعنی من المتلقاة أنها تلقّیتْ من عصر الأئمة، حیث اثیرت آنذاک، وبالتالی فهی تعبدیة توقیفیة، فی قبال المسائل التی لم تکن مثارة آنذاک، وإنما استحدثها الفقهاء بتفریعهم وتشقیقهم، ویصطلح علیها بالمسائل الإجتهادیة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وأهمیة الإجماع تظهر فی النوع الأول دون الثانی لعدم وجودها فی عصر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 کتب المتقدّمین مسائلها متلقاة کالنهایة والمقنعة والهدایة والمقنع والمراسم و الوسیلة والمهذب وجمل العلم والعمل والإنتصار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شدّد السیّد البروجردی علی طباعتها ونشرها لهذا السبب، وهو أنّ مسائلها متلقاة، فهی تنفع خاصة فیما لا نص علیه منها</w:t>
      </w:r>
      <w:r>
        <w:rPr>
          <w:rFonts w:eastAsia="IRNazanin" w:cs="IRNazanin"/>
          <w:color w:val="111111"/>
          <w:sz w:val="28"/>
          <w:szCs w:val="28"/>
          <w:rtl w:val="true"/>
          <w:lang w:bidi="fa-IR"/>
        </w:rPr>
        <w:t>.</w:t>
      </w:r>
    </w:p>
    <w:p>
      <w:pPr>
        <w:pStyle w:val="Heading6"/>
        <w:numPr>
          <w:ilvl w:val="5"/>
          <w:numId w:val="1"/>
        </w:numPr>
        <w:rPr/>
      </w:pPr>
      <w:bookmarkStart w:id="1036" w:name="__RefHeading___Toc3300382_1468164448"/>
      <w:bookmarkStart w:id="1037" w:name="_Toc412"/>
      <w:bookmarkEnd w:id="1036"/>
      <w:r>
        <w:rPr>
          <w:rtl w:val="true"/>
        </w:rPr>
        <w:t>قرائن تزید درجة الکشف المزبور</w:t>
      </w:r>
      <w:bookmarkEnd w:id="1037"/>
    </w:p>
    <w:p>
      <w:pPr>
        <w:pStyle w:val="BookText"/>
        <w:rPr/>
      </w:pPr>
      <w:r>
        <w:rPr>
          <w:rFonts w:ascii="IRNazanin" w:hAnsi="IRNazanin" w:eastAsia="IRNazanin"/>
          <w:color w:val="111111"/>
          <w:sz w:val="28"/>
          <w:sz w:val="28"/>
          <w:szCs w:val="28"/>
          <w:rtl w:val="true"/>
          <w:lang w:bidi="fa-IR"/>
        </w:rPr>
        <w:t>وهذان الشرطان إذا توفّرا کان الإجماع کاشفاً بدرجة الإطمئنان عن وجود نص معتبر خفی علینا، ولکن مع الإلتفات إلی جملة قرائن تصعد من درجة الکشف المزبور، وهی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المتقدّمین قد وقعت فی أیدیهم مصادر روائیة حُرّمنا منها نحن، وبشکل کاف ومستوعب، من قبیل مدینة العلم للصدوق</w:t>
      </w:r>
      <w:bookmarkStart w:id="1038" w:name="pg16983_381175"/>
    </w:p>
    <w:p>
      <w:pPr>
        <w:pStyle w:val="BookText"/>
        <w:rPr/>
      </w:pPr>
      <w:bookmarkEnd w:id="1038"/>
      <w:r>
        <w:rPr>
          <w:rFonts w:ascii="IRNazanin" w:hAnsi="IRNazanin" w:eastAsia="IRNazanin"/>
          <w:color w:val="111111"/>
          <w:sz w:val="28"/>
          <w:sz w:val="28"/>
          <w:szCs w:val="28"/>
          <w:rtl w:val="true"/>
          <w:lang w:bidi="fa-IR"/>
        </w:rPr>
        <w:t>وکتاب الرحمة للأشعری وغیرهما من الکتب التی أشار إلیها المحقق فی المعتبر فی المقدمة الرابعة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إفتاء المتقدّمین عادة کان بنصوص الروایات لا بإنشاء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یلاحظ ذلک فی فتاوی الصدوقین و الشیخ فی النهایة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فتاوی المتقدّمین عادة کانت من الروایات لا من أدلّة اجتهادیة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الشیخ فی دیباجة المبسوط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المتقدّمین لم یکتبوا کتباً استدلالیة بل کانت کتاباتهم بشکل کتب الفتوی، ومن ثمّ یتعقل أن نجد اتفاقاً منهم علی فتوی من دون أن نجد النص، لعدم ذکره مع الفتوی وإنما یذکر فی کتب الحدیث وقد ضاع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القرائن لیس حصراً وإنما أمثلة بارزة، وتحصیل غیرها من القرائن العامة أو الخاصة متروک إلی سعة باع المجتهد فی علوم الرجال والفقه والحدیث مع إحاطته بالفروع الفقهیة، فإنه ربما یطلع علی کمّ معتدّ به من القرائن التی تصعد من قیمة هذه الإتفاقات أو بعضها بحدّ یکون کاشفاً نوعیاً عن النص المعتبر</w:t>
      </w:r>
      <w:r>
        <w:rPr>
          <w:rFonts w:eastAsia="IRNazanin" w:cs="IRNazanin"/>
          <w:color w:val="111111"/>
          <w:sz w:val="28"/>
          <w:szCs w:val="28"/>
          <w:rtl w:val="true"/>
          <w:lang w:bidi="fa-IR"/>
        </w:rPr>
        <w:t>.</w:t>
      </w:r>
    </w:p>
    <w:p>
      <w:pPr>
        <w:pStyle w:val="Heading6"/>
        <w:numPr>
          <w:ilvl w:val="5"/>
          <w:numId w:val="1"/>
        </w:numPr>
        <w:rPr/>
      </w:pPr>
      <w:bookmarkStart w:id="1039" w:name="__RefHeading___Toc3300384_1468164448"/>
      <w:bookmarkStart w:id="1040" w:name="_Toc413"/>
      <w:bookmarkEnd w:id="1039"/>
      <w:r>
        <w:rPr>
          <w:rtl w:val="true"/>
        </w:rPr>
        <w:t>کاشفیة الإجماع عن السیرة</w:t>
      </w:r>
      <w:bookmarkEnd w:id="1040"/>
    </w:p>
    <w:p>
      <w:pPr>
        <w:pStyle w:val="BookText"/>
        <w:rPr/>
      </w:pPr>
      <w:r>
        <w:rPr>
          <w:rFonts w:ascii="IRNazanin" w:hAnsi="IRNazanin" w:eastAsia="IRNazanin"/>
          <w:color w:val="111111"/>
          <w:sz w:val="28"/>
          <w:sz w:val="28"/>
          <w:szCs w:val="28"/>
          <w:rtl w:val="true"/>
          <w:lang w:bidi="fa-IR"/>
        </w:rPr>
        <w:t xml:space="preserve">وأمّا کشفه عن السیرة فقد ذکر متأخرو الأصولیین أنه مشروط بوجود شواهد علی وقوع السیرة فی أوساط المتقدّمین أو الأقدمین أو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الرواة، وذلک لأنّ سیرة المتأخرین بما أنها مبتلاة بموانع فیضعف احتمال کونها متلقاة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لا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کونها متولّدة من فتاوی الفقهاء، واحتمال کونها ناشئة عن تقصیر ولا مبالاة المتشرعة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علی العکس من اکتشاف رأی المعصوم من الإجماع، فإنّهم لم یشترطوا فی کاشفیته إجماع المتقدّمین،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اتفاق المتأخرین فی المسائل النظریة قد یکون</w:t>
      </w:r>
      <w:bookmarkStart w:id="1041" w:name="pg16983_381177"/>
    </w:p>
    <w:p>
      <w:pPr>
        <w:pStyle w:val="BookText"/>
        <w:rPr/>
      </w:pPr>
      <w:bookmarkEnd w:id="1041"/>
      <w:r>
        <w:rPr>
          <w:rFonts w:ascii="IRNazanin" w:hAnsi="IRNazanin" w:eastAsia="IRNazanin"/>
          <w:color w:val="111111"/>
          <w:sz w:val="28"/>
          <w:sz w:val="28"/>
          <w:szCs w:val="28"/>
          <w:rtl w:val="true"/>
          <w:lang w:bidi="fa-IR"/>
        </w:rPr>
        <w:t xml:space="preserve">أصوب من اتفاق المتقدّمین بل حتی المعاصرین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کالمدرسة القمّیة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المتأخرین أدقّ نظراً أو أشمل إطّلاعاً وإحاطة بالروایات؛ إذ الحوزات الروائیة آنذاک لم تلم بکلّ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قد تظهر جملة من الإتفاقات عندهم لیست مدرکیة، وإنما هی نتیجة جملة من المعادلات بین القواعد الفقهیة والإنتقال من لازم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الإتفاقات وبحساب الإحتمال تکشف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1042" w:name="__RefHeading___Toc3300386_1468164448"/>
      <w:bookmarkStart w:id="1043" w:name="_Toc414"/>
      <w:bookmarkEnd w:id="1042"/>
      <w:r>
        <w:rPr>
          <w:rtl w:val="true"/>
        </w:rPr>
        <w:t>الحس الفقهی</w:t>
      </w:r>
      <w:bookmarkEnd w:id="1043"/>
    </w:p>
    <w:p>
      <w:pPr>
        <w:pStyle w:val="BookText"/>
        <w:rPr/>
      </w:pPr>
      <w:r>
        <w:rPr>
          <w:rFonts w:ascii="IRNazanin" w:hAnsi="IRNazanin" w:eastAsia="IRNazanin"/>
          <w:color w:val="111111"/>
          <w:sz w:val="28"/>
          <w:sz w:val="28"/>
          <w:szCs w:val="28"/>
          <w:rtl w:val="true"/>
          <w:lang w:bidi="fa-IR"/>
        </w:rPr>
        <w:t>وعلی هذا الأساس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أجمع الفاضلان والشهیدان والمحققان والکرکی علی مسألة نظریة یقطع بأنه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وسرّه ما ذکرناه من أنّ واحدة من مناهج الاستدلال ما یسمّی بالحس الفقهی، وهو الحرکة من خلال اللوازم الفقهیة والإستنتاج من معادلة القواعد بمنطق عقلیة استنطاق المراد</w:t>
      </w:r>
      <w:r>
        <w:rPr>
          <w:rFonts w:eastAsia="IRNazanin" w:cs="IRNazanin"/>
          <w:color w:val="111111"/>
          <w:sz w:val="28"/>
          <w:szCs w:val="28"/>
          <w:rtl w:val="true"/>
          <w:lang w:bidi="fa-IR"/>
        </w:rPr>
        <w:t>.</w:t>
      </w:r>
    </w:p>
    <w:p>
      <w:pPr>
        <w:pStyle w:val="Heading6"/>
        <w:numPr>
          <w:ilvl w:val="5"/>
          <w:numId w:val="1"/>
        </w:numPr>
        <w:rPr/>
      </w:pPr>
      <w:bookmarkStart w:id="1044" w:name="__RefHeading___Toc3300388_1468164448"/>
      <w:bookmarkStart w:id="1045" w:name="_Toc415"/>
      <w:bookmarkEnd w:id="1044"/>
      <w:r>
        <w:rPr>
          <w:rtl w:val="true"/>
        </w:rPr>
        <w:t>موانع تضعف من درجة الکشف المزبور</w:t>
      </w:r>
      <w:bookmarkEnd w:id="1045"/>
    </w:p>
    <w:p>
      <w:pPr>
        <w:pStyle w:val="BookText"/>
        <w:rPr/>
      </w:pPr>
      <w:r>
        <w:rPr>
          <w:rFonts w:ascii="IRNazanin" w:hAnsi="IRNazanin" w:eastAsia="IRNazanin"/>
          <w:color w:val="111111"/>
          <w:sz w:val="28"/>
          <w:sz w:val="28"/>
          <w:szCs w:val="28"/>
          <w:rtl w:val="true"/>
          <w:lang w:bidi="fa-IR"/>
        </w:rPr>
        <w:t>ولکن بالمقابل هناک عدّة موانع تضعف من درجة الکشف المطلوبة فی الحجّیة ما لم یحرز الباحث المحصّل للإجماع عدم وجودها، وقد ذکرت هذه الموانع فی حاشیتین علی إجماع القوانین لعَلَمین فی الأصول، 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فتاوی الفقهاء ترجع إمّا إلی النص، أو إلی إعمال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عدم وجدان الدلیل الخاص، فتحکیم العمومات الفوقانیة جداً أو الأصل العملی أو إلی الغفلة عن نکتة دالّة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هذا ذکرنا أنه لا یعتمد علی المتقدّمین حتی لو اتفقوا فی المسائل النظریة لاحتمال الغفلة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والإتفاق الکاشف عن رأی المعصوم أو السیرة أو النص إنما یکون إذا أحرز عدم اعتمادهم فی الفتوی علی الأسباب الثلاثة الأخیرة</w:t>
      </w:r>
      <w:r>
        <w:rPr>
          <w:rFonts w:eastAsia="IRNazanin" w:cs="IRNazanin"/>
          <w:color w:val="111111"/>
          <w:sz w:val="28"/>
          <w:szCs w:val="28"/>
          <w:rtl w:val="true"/>
          <w:lang w:bidi="fa-IR"/>
        </w:rPr>
        <w:t>.</w:t>
      </w:r>
      <w:bookmarkStart w:id="1046" w:name="pg16983_381179"/>
    </w:p>
    <w:p>
      <w:pPr>
        <w:pStyle w:val="Heading6"/>
        <w:numPr>
          <w:ilvl w:val="5"/>
          <w:numId w:val="1"/>
        </w:numPr>
        <w:rPr/>
      </w:pPr>
      <w:bookmarkStart w:id="1047" w:name="__RefHeading___Toc3300390_1468164448"/>
      <w:bookmarkStart w:id="1048" w:name="_Toc416"/>
      <w:bookmarkEnd w:id="1046"/>
      <w:bookmarkEnd w:id="1047"/>
      <w:r>
        <w:rPr>
          <w:rtl w:val="true"/>
        </w:rPr>
        <w:t>إعمال النظر من المتقدّمین</w:t>
      </w:r>
      <w:bookmarkEnd w:id="1048"/>
    </w:p>
    <w:p>
      <w:pPr>
        <w:pStyle w:val="BookText"/>
        <w:rPr/>
      </w:pPr>
      <w:r>
        <w:rPr>
          <w:rFonts w:ascii="IRNazanin" w:hAnsi="IRNazanin" w:eastAsia="IRNazanin"/>
          <w:color w:val="111111"/>
          <w:sz w:val="28"/>
          <w:sz w:val="28"/>
          <w:szCs w:val="28"/>
          <w:rtl w:val="true"/>
          <w:lang w:bidi="fa-IR"/>
        </w:rPr>
        <w:t>والحق أنّ المتقدّمین أیضاً عندهم إعمال للنظر، حتی من مثل الصدوق والکلینی کما نلاحظ ذلک فی مثل إرث المجوسی حیث تقیّد الطوسی بإطلاق النص، ولکن الصدوق فصّل فیه عن اجتهاد وإعمال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 موارد أخری یرفع الید عن العمل بالروایات لقواعد معینة، ممّا یکشف عن أنّ الرجل قد مارس الترتیب الصناعی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ونری الکلینی فی أبواب متعددة کالطلاق والعدّة یکتفی بکلام الفضل بن شاذان ویبیّن فروعاً متعددة ورد النص فیها، إلاّ أنه یخرّجها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التقطیع فی الروایات الذی مارسه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بکثرة، فإنه دلیل إعمال الإجتهاد، وهو ما لا نجده عند الطوسی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أخباری أکثر من الأخباریین، حیث یورد الروایة کلّها، ولو أوجب ذلک أن یکرّرها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فاتفاقهم صرفاً لا یدلّ علی التلقّی من المعصوم، وإنما لابدّ من التأکد أولاً من أنّهم لم یعملوا مقدّمات إجتهادیة، وإلاّ کان الإتفاق مدرکیاً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الموانع أیضاً أنّ کتب المتقدّمین فتوائیة فقط لا استدلال فیها، وبالتالی یصعب مع الفحص الیسیر السریع معرفة أنّ الإتفاق لیس مدرکیاً، ولیس مستنداً إلی عدم وجدان الدلیل علی الخلاف، ولیس عن اجتهاد، وإنما لابدّ من الفحص المضنی حتی یقترب من الواقع أکثر، ویتجاوز الموانع المحتملة التی تحول دون کشف الإتفاق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الموانع مطابقةُ الفتوی التی اتفقوا علیها لعموم، بمعنی أنّهم التزموا فی المورد الخاص بمفاد العموم ولو مع الزیادة، مع وجود روایات مخصصة، ولکنّها لیست صریحة، وإنما فیها فذلکة صناعیة</w:t>
      </w:r>
      <w:bookmarkStart w:id="1049" w:name="pg16983_381182"/>
    </w:p>
    <w:p>
      <w:pPr>
        <w:pStyle w:val="BookText"/>
        <w:rPr/>
      </w:pPr>
      <w:bookmarkEnd w:id="1049"/>
      <w:r>
        <w:rPr>
          <w:rFonts w:ascii="IRNazanin" w:hAnsi="IRNazanin" w:eastAsia="IRNazanin"/>
          <w:color w:val="111111"/>
          <w:sz w:val="28"/>
          <w:sz w:val="28"/>
          <w:szCs w:val="28"/>
          <w:rtl w:val="true"/>
          <w:lang w:bidi="fa-IR"/>
        </w:rPr>
        <w:t>تحتاج إلی فحص وتأمل حتی یلتفت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الإتفاق لا یکشف عن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یحرز عدم مثل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لابدّ من أخذها بعین الإعتبار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نلحظه فی فترةٍ مّا بعد الشیخ الطوسی إلی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فترة الهیمنة العلمیة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یضعّف قیمة الإتفاقات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تکشف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نتیجة لتأثر بالشیخ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یحرز بعد الفحص وبتریّث أنه اتفاق عن قناعة لا عن تقلید مبطن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الظاهرة نلحظها فی بعض تلامذة السیّد الخوئی، حیث جاءت فتاواهم فی الجملة مطابقة لفتاوی أستاذهم نتیجة التأثر به وهیمنته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ونلحظها فی مبانی الصدوق الرجالیة حیث تابع شیخه ابن الولید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الظاهر أنّ ذلک کان فی النصف الأول من حیاته العلمیة الشریفة، وأمّا فی النصف الثانی منها فإنه تحرّر من هذه التبعیة</w:t>
      </w:r>
      <w:r>
        <w:rPr>
          <w:rFonts w:eastAsia="IRNazanin" w:cs="IRNazanin"/>
          <w:color w:val="111111"/>
          <w:sz w:val="28"/>
          <w:szCs w:val="28"/>
          <w:rtl w:val="true"/>
          <w:lang w:bidi="fa-IR"/>
        </w:rPr>
        <w:t>.</w:t>
      </w:r>
    </w:p>
    <w:p>
      <w:pPr>
        <w:pStyle w:val="Heading6"/>
        <w:numPr>
          <w:ilvl w:val="5"/>
          <w:numId w:val="1"/>
        </w:numPr>
        <w:rPr/>
      </w:pPr>
      <w:bookmarkStart w:id="1050" w:name="__RefHeading___Toc3300392_1468164448"/>
      <w:bookmarkStart w:id="1051" w:name="_Toc417"/>
      <w:bookmarkEnd w:id="1050"/>
      <w:r>
        <w:rPr>
          <w:rtl w:val="true"/>
        </w:rPr>
        <w:t>تکافؤ القرائن الموجبة للتقویة أو للتضعیف</w:t>
      </w:r>
      <w:bookmarkEnd w:id="1051"/>
    </w:p>
    <w:p>
      <w:pPr>
        <w:pStyle w:val="BookText"/>
        <w:rPr/>
      </w:pPr>
      <w:r>
        <w:rPr>
          <w:rFonts w:ascii="IRNazanin" w:hAnsi="IRNazanin" w:eastAsia="IRNazanin"/>
          <w:color w:val="111111"/>
          <w:sz w:val="28"/>
          <w:sz w:val="28"/>
          <w:szCs w:val="28"/>
          <w:rtl w:val="true"/>
          <w:lang w:bidi="fa-IR"/>
        </w:rPr>
        <w:t>وممّا تقدّم نخلص إلی هذه النتیجة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القرائن الموجبة لتقویة کشف الإجماع یقابلها قرائن معاکسة بحجمها، وما ذکرناه کان من باب الأمثلة والشواهد البارزة لا الحصر، فلابدّ من التحری جیّداً واستفراغ الوسع فی الفحص قبل الإستقرار علی نتیجة فی اتفاق من الإتفاقات</w:t>
      </w:r>
      <w:r>
        <w:rPr>
          <w:rFonts w:eastAsia="IRNazanin" w:cs="IRNazanin"/>
          <w:color w:val="111111"/>
          <w:sz w:val="28"/>
          <w:szCs w:val="28"/>
          <w:rtl w:val="true"/>
          <w:lang w:bidi="fa-IR"/>
        </w:rPr>
        <w:t>.</w:t>
      </w:r>
    </w:p>
    <w:p>
      <w:pPr>
        <w:pStyle w:val="Heading6"/>
        <w:numPr>
          <w:ilvl w:val="5"/>
          <w:numId w:val="1"/>
        </w:numPr>
        <w:rPr/>
      </w:pPr>
      <w:bookmarkStart w:id="1052" w:name="__RefHeading___Toc3300394_1468164448"/>
      <w:bookmarkStart w:id="1053" w:name="_Toc418"/>
      <w:bookmarkEnd w:id="1052"/>
      <w:r>
        <w:rPr>
          <w:rtl w:val="true"/>
        </w:rPr>
        <w:t>التمسک بالروایات</w:t>
      </w:r>
      <w:bookmarkEnd w:id="1053"/>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بما ورد من روایات قد یفهم منها الدلالة علی الحجّیة للإجماع بالمعنی الذی قرّره الإمامیة لا العامة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عمر بن حنظلة المذکورة فی الکافی</w:t>
      </w:r>
      <w:r>
        <w:rPr>
          <w:rStyle w:val="FootnoteAnchor"/>
          <w:rtl w:val="true"/>
        </w:rPr>
        <w:footnoteReference w:id="160"/>
      </w:r>
      <w:r>
        <w:rPr>
          <w:rFonts w:ascii="IRNazanin" w:hAnsi="IRNazanin" w:eastAsia="IRNazanin"/>
          <w:color w:val="111111"/>
          <w:sz w:val="28"/>
          <w:sz w:val="28"/>
          <w:szCs w:val="28"/>
          <w:rtl w:val="true"/>
          <w:lang w:bidi="fa-IR"/>
        </w:rPr>
        <w:t>ونقلها</w:t>
      </w:r>
      <w:bookmarkStart w:id="1054" w:name="pg16983_381184"/>
    </w:p>
    <w:p>
      <w:pPr>
        <w:pStyle w:val="BookText"/>
        <w:rPr/>
      </w:pPr>
      <w:bookmarkEnd w:id="1054"/>
      <w:r>
        <w:rPr>
          <w:rFonts w:ascii="IRNazanin" w:hAnsi="IRNazanin" w:eastAsia="IRNazanin"/>
          <w:color w:val="111111"/>
          <w:sz w:val="28"/>
          <w:sz w:val="28"/>
          <w:szCs w:val="28"/>
          <w:rtl w:val="true"/>
          <w:lang w:bidi="fa-IR"/>
        </w:rPr>
        <w:t>الوسائل</w:t>
      </w:r>
      <w:r>
        <w:rPr>
          <w:rStyle w:val="FootnoteAnchor"/>
          <w:rtl w:val="true"/>
        </w:rPr>
        <w:footnoteReference w:id="161"/>
      </w:r>
      <w:r>
        <w:rPr>
          <w:rFonts w:ascii="IRNazanin" w:hAnsi="IRNazanin" w:eastAsia="IRNazanin"/>
          <w:color w:val="111111"/>
          <w:sz w:val="28"/>
          <w:sz w:val="28"/>
          <w:szCs w:val="28"/>
          <w:rtl w:val="true"/>
          <w:lang w:bidi="fa-IR"/>
        </w:rPr>
        <w:t>أیضاً فی أبواب صفات القاضی إلاّ أنه لم ینقلها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صحیحة لا مصححة فضلاً عن کونها مقبولة، لأنّ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بقرائن متعددة تقرب من العشرین أشرنا إلیها فی کتاب هیویات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أتراب محمّد بن مسلم بل أفقه منه، کما یشیر إلی ذلک نفس محمّد بن مسلم فی روایة صحیحة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 هذه الروایة والروایة الأُخری المذکورة فی الوسائل مرسلة فی أبواب صفات القاضی</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المفید مسندة فی الإختصاص مع اشتمال السند علی مجهولین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نوکله إلی بحث الشهرة لاستدلال البعض بروایة ابن حنظلة علی حجّیة الشهرة، فکان حدیث الأعلام عنها هناک، ومنه تتضح قیمة هذا الدلیل</w:t>
      </w:r>
      <w:r>
        <w:rPr>
          <w:rFonts w:eastAsia="IRNazanin" w:cs="IRNazanin"/>
          <w:color w:val="111111"/>
          <w:sz w:val="28"/>
          <w:szCs w:val="28"/>
          <w:rtl w:val="true"/>
          <w:lang w:bidi="fa-IR"/>
        </w:rPr>
        <w:t>.</w:t>
      </w:r>
      <w:r>
        <w:rPr>
          <w:rStyle w:val="FootnoteAnchor"/>
          <w:rtl w:val="true"/>
        </w:rPr>
        <w:footnoteReference w:id="16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55" w:name="__RefHeading___Toc3300396_1468164448"/>
      <w:bookmarkStart w:id="1056" w:name="_Toc419"/>
      <w:bookmarkEnd w:id="1055"/>
      <w:r>
        <w:rPr>
          <w:rtl w:val="true"/>
        </w:rPr>
        <w:t>هل یمکن الإستدلال علی حجّیة الإجماع بخبر الواحد؟</w:t>
      </w:r>
      <w:bookmarkStart w:id="1057" w:name="pg16983_381185"/>
      <w:bookmarkEnd w:id="1056"/>
    </w:p>
    <w:p>
      <w:pPr>
        <w:pStyle w:val="BookText"/>
        <w:rPr/>
      </w:pPr>
      <w:bookmarkEnd w:id="1057"/>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ألفتنا إلی أنّ العامة استدلّوا علی حجّیة الإجماع بروایة أو روایتین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أشکل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الإشکال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أن یکتفی فی حجّیة الإجماع بروایة أو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ینبثق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یکفی فی إثبات الحجّیة بالروایة والروایتین بعد أن کان خبر الواحد حجّة، وبعدما ألفت السیّد بحرالعلوم إلی إمکان ترامی الحجج بمعنی أن تثبت حجّة معتبرة حجّیة حجّة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نفتّش فی کلمات الأعلام نلحظ حالة أکثر مشابهة لما تقدّم، فالشیخ الطوسی فی سجالاته مع العامة ینقض علیهم بأنّ الدلیل خبر واحد وهو لا یعوّل علیه، مع أنه قائل بحجّیته فی قبال السیّد المرتضی مستدلاً بأنّ دلیله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إباء الفقهاء العمل بخبر الواحد المخالف للقاعدة إذا کانت محکمة جداً فی سندها أو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کلّ هذا بعد أن کان الخبر حجّة معتبرة من قبل الشارع؟</w:t>
      </w:r>
    </w:p>
    <w:p>
      <w:pPr>
        <w:pStyle w:val="Heading6"/>
        <w:numPr>
          <w:ilvl w:val="5"/>
          <w:numId w:val="1"/>
        </w:numPr>
        <w:rPr/>
      </w:pPr>
      <w:bookmarkStart w:id="1058" w:name="__RefHeading___Toc3300398_1468164448"/>
      <w:bookmarkStart w:id="1059" w:name="_Toc420"/>
      <w:bookmarkEnd w:id="1058"/>
      <w:r>
        <w:rPr>
          <w:rtl w:val="true"/>
        </w:rPr>
        <w:t>الترتب بین الحجج</w:t>
      </w:r>
      <w:bookmarkEnd w:id="1059"/>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أُصولیاً أنّ هناک تسلسلاً رتبیاً بین الحجج، فالأمارة متقدّمة رتبة علی الأصل العملی الشرعی، وهو متقدّم رتبة علی الأصل العملی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الأصل الشرعی یتقدّم المحرز منه علی غیر المحرز،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هناک ترتب بین الأمارات اللفظیة، ولیست هی فی عرض بعضها البعض، إلاّ أنّ الأعلام لم یحدّدوا معالم هذا الترتب ولم یضعوا له 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الظهور ذکروا تقدّم الأظهر 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کالخاص علی العام والصریح علی الظاهر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فیما عدا ذلک فلا نجد سوی أمثلة متناثرة وبعض الضوابط الجزئیة فی باب التعارض</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60" w:name="__RefHeading___Toc3300400_1468164448"/>
      <w:bookmarkStart w:id="1061" w:name="_Toc421"/>
      <w:bookmarkEnd w:id="1060"/>
      <w:r>
        <w:rPr>
          <w:rtl w:val="true"/>
        </w:rPr>
        <w:t>ضرورة التناسب بین الدلیل وبین المدّعی</w:t>
      </w:r>
      <w:bookmarkStart w:id="1062" w:name="pg16983_381188"/>
      <w:bookmarkEnd w:id="1061"/>
    </w:p>
    <w:p>
      <w:pPr>
        <w:pStyle w:val="BookText"/>
        <w:rPr/>
      </w:pPr>
      <w:bookmarkEnd w:id="1062"/>
      <w:r>
        <w:rPr>
          <w:rFonts w:ascii="IRNazanin" w:hAnsi="IRNazanin" w:eastAsia="IRNazanin"/>
          <w:color w:val="111111"/>
          <w:sz w:val="28"/>
          <w:sz w:val="28"/>
          <w:szCs w:val="28"/>
          <w:rtl w:val="true"/>
          <w:lang w:bidi="fa-IR"/>
        </w:rPr>
        <w:t>ونحن قد أشرنا فی بحث الإعتبار إلی ضابطة کلّیة فی القانون وهی لابدّیة التناسب بین الدلیل وبین المطلوب إثباته، فکلّما کانت القاعدة القانونیة أوسع کان المفروض فی دلیلها أن یکون أبین وأصرح من أدلّة القاعدة الأضیق فضلاً عن تفریعاتها، خاصة مع وجود فاصلة مراتب بین القاعدة الأصل والفرع</w:t>
      </w:r>
      <w:r>
        <w:rPr>
          <w:rFonts w:eastAsia="IRNazanin" w:cs="IRNazanin"/>
          <w:color w:val="111111"/>
          <w:sz w:val="28"/>
          <w:szCs w:val="28"/>
          <w:rtl w:val="true"/>
          <w:lang w:bidi="fa-IR"/>
        </w:rPr>
        <w:t>.</w:t>
      </w:r>
    </w:p>
    <w:p>
      <w:pPr>
        <w:pStyle w:val="Heading6"/>
        <w:numPr>
          <w:ilvl w:val="5"/>
          <w:numId w:val="1"/>
        </w:numPr>
        <w:rPr/>
      </w:pPr>
      <w:bookmarkStart w:id="1063" w:name="__RefHeading___Toc3300402_1468164448"/>
      <w:bookmarkStart w:id="1064" w:name="_Toc422"/>
      <w:bookmarkEnd w:id="1063"/>
      <w:r>
        <w:rPr>
          <w:rtl w:val="true"/>
        </w:rPr>
        <w:t>ضرورة التناسب بین مقام الثبوت وبین مقام الإثبات</w:t>
      </w:r>
      <w:bookmarkEnd w:id="1064"/>
    </w:p>
    <w:p>
      <w:pPr>
        <w:pStyle w:val="BookText"/>
        <w:rPr/>
      </w:pPr>
      <w:r>
        <w:rPr>
          <w:rFonts w:ascii="IRNazanin" w:hAnsi="IRNazanin" w:eastAsia="IRNazanin"/>
          <w:color w:val="111111"/>
          <w:sz w:val="28"/>
          <w:sz w:val="28"/>
          <w:szCs w:val="28"/>
          <w:rtl w:val="true"/>
          <w:lang w:bidi="fa-IR"/>
        </w:rPr>
        <w:t>وهذا التناسب کما هو بین الأدلّة کذلک بین الملاکات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ملاک القاعدة الأصل أهمّ من ملاک الفرع، فالملاکات لیست فی عرض واحد، وإنما هی متدرجة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أدلّة الأحکام والقواعد الکاشفة عن الملاکات لیس فی عرض واحد وإنما متدرجة مترتبة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تناسب بین الثبوت والإثبات، فکلّما کان الملاک أهمّ کان الدلیل أعرف وأبین وأشدّ وضوحاً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وبحکم أنّ الإعتبار علی وزان التکوین یعرف أنّ جذر هذا القانون تکوینی، فحینما نقایس بین أدلّة التوحید والإمامة نجد أنّ الأولی أبین من الثانیة، وما ذلک إلاّ لأنّ الوجود کلّما کان أقوی کان ظهوره أشدّ</w:t>
      </w:r>
      <w:r>
        <w:rPr>
          <w:rFonts w:eastAsia="IRNazanin" w:cs="IRNazanin"/>
          <w:color w:val="111111"/>
          <w:sz w:val="28"/>
          <w:szCs w:val="28"/>
          <w:rtl w:val="true"/>
          <w:lang w:bidi="fa-IR"/>
        </w:rPr>
        <w:t>.</w:t>
      </w:r>
      <w:r>
        <w:rPr>
          <w:rStyle w:val="FootnoteAnchor"/>
          <w:rtl w:val="true"/>
        </w:rPr>
        <w:footnoteReference w:id="164"/>
      </w:r>
      <w:bookmarkStart w:id="1065" w:name="pg16983_381190"/>
    </w:p>
    <w:p>
      <w:pPr>
        <w:pStyle w:val="BookText"/>
        <w:rPr/>
      </w:pPr>
      <w:bookmarkEnd w:id="1065"/>
      <w:r>
        <w:rPr>
          <w:rFonts w:ascii="IRNazanin" w:hAnsi="IRNazanin" w:eastAsia="IRNazanin"/>
          <w:color w:val="111111"/>
          <w:sz w:val="28"/>
          <w:sz w:val="28"/>
          <w:szCs w:val="28"/>
          <w:rtl w:val="true"/>
          <w:lang w:bidi="fa-IR"/>
        </w:rPr>
        <w:t>ولم یحالفنا التوفیق لحدّ الآن لتنظیم الأمارات علی أساس هذه الضابطة، سوی أنّ ما ذکره الأعلام من مفردات هی تطبیقات لهذه الضابطة</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1066" w:name="__RefHeading___Toc3300404_1468164448"/>
      <w:bookmarkStart w:id="1067" w:name="_Toc423"/>
      <w:bookmarkEnd w:id="1066"/>
      <w:r>
        <w:rPr>
          <w:rtl w:val="true"/>
        </w:rPr>
        <w:t>لا یمکن إثبات حجّیة الإجماع السنّی بروایة</w:t>
      </w:r>
      <w:bookmarkEnd w:id="1067"/>
    </w:p>
    <w:p>
      <w:pPr>
        <w:pStyle w:val="BookText"/>
        <w:rPr/>
      </w:pPr>
      <w:r>
        <w:rPr>
          <w:rFonts w:ascii="IRNazanin" w:hAnsi="IRNazanin" w:eastAsia="IRNazanin"/>
          <w:color w:val="111111"/>
          <w:sz w:val="28"/>
          <w:sz w:val="28"/>
          <w:szCs w:val="28"/>
          <w:rtl w:val="true"/>
          <w:lang w:bidi="fa-IR"/>
        </w:rPr>
        <w:t>فالإجماع بالمعنی السنّی یراد منه أن یکون حجّة فی عرض خبر الواحد بل فی عرض المعصوم، فلا یمکن أن تثبت حجّیته بروایة أو روایتین، ولیس هذا تنازلاً عن حجّیة الخبر وإنما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مثل حجّیة الشهرة لا یمکن أن نثبتها بروایة عمر بن حنظلة فقط إذا کنّا نرید أن تکون فی مصاف خبر الواحد فی إثبات</w:t>
      </w:r>
    </w:p>
    <w:p>
      <w:pPr>
        <w:pStyle w:val="BookText"/>
        <w:rPr/>
      </w:pPr>
      <w:r>
        <w:rPr>
          <w:rFonts w:ascii="IRNazanin" w:hAnsi="IRNazanin" w:eastAsia="IRNazanin"/>
          <w:color w:val="111111"/>
          <w:sz w:val="28"/>
          <w:sz w:val="28"/>
          <w:szCs w:val="28"/>
          <w:rtl w:val="true"/>
          <w:lang w:bidi="fa-IR"/>
        </w:rPr>
        <w:t>الحکم الشرعی بل أوسع، کما رام البعض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روایة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تنفع فی إثبات حجّیة الشهرة بمقدار کونها معاضدة وشرطاً لا حجّة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الإستصحاب لم یقبلوا حجّیته إلاّ بخبر مستفیض، ومن ثمّ مَن لم یلتفت إلی الاستفاضة استشکل فی حجّیته فی الشبهات الحکمیة بروایة واحدة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حجّیة البیّنة لم یکتفوا بروایة مسعدة بن صدقة؛ لأنها قاعدة</w:t>
      </w:r>
    </w:p>
    <w:p>
      <w:pPr>
        <w:pStyle w:val="BookText"/>
        <w:rPr/>
      </w:pPr>
      <w:r>
        <w:rPr>
          <w:rFonts w:ascii="IRNazanin" w:hAnsi="IRNazanin" w:eastAsia="IRNazanin"/>
          <w:color w:val="111111"/>
          <w:sz w:val="28"/>
          <w:sz w:val="28"/>
          <w:szCs w:val="28"/>
          <w:rtl w:val="true"/>
          <w:lang w:bidi="fa-IR"/>
        </w:rPr>
        <w:t>شرعیة واسعة، ومن ثمّ عنّف البعض علی المستمسک فی اکتفائه بذلک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یتضح أیضاً عدم صحة مقولة إنّ المتنجّز لا یتنجّز، حیث تبیّن أنّ بعض القواعد تقتضی تظافر التنجیز وتأکده، بعد أن کانت تتطلب حججاً أکبر وأدلّة أکثر</w:t>
      </w:r>
      <w:r>
        <w:rPr>
          <w:rFonts w:eastAsia="IRNazanin" w:cs="IRNazanin"/>
          <w:color w:val="111111"/>
          <w:sz w:val="28"/>
          <w:szCs w:val="28"/>
          <w:rtl w:val="true"/>
          <w:lang w:bidi="fa-IR"/>
        </w:rPr>
        <w:t>.</w:t>
      </w:r>
      <w:r>
        <w:rPr>
          <w:rStyle w:val="FootnoteAnchor"/>
          <w:rtl w:val="true"/>
        </w:rPr>
        <w:footnoteReference w:id="166"/>
      </w:r>
      <w:bookmarkStart w:id="1068" w:name="pg16983_381194"/>
    </w:p>
    <w:p>
      <w:pPr>
        <w:pStyle w:val="Heading4"/>
        <w:numPr>
          <w:ilvl w:val="3"/>
          <w:numId w:val="1"/>
        </w:numPr>
        <w:rPr/>
      </w:pPr>
      <w:bookmarkStart w:id="1069" w:name="__RefHeading___Toc3300406_1468164448"/>
      <w:bookmarkStart w:id="1070" w:name="_Toc424"/>
      <w:bookmarkEnd w:id="1068"/>
      <w:bookmarkEnd w:id="1069"/>
      <w:r>
        <w:rPr/>
        <w:t>3</w:t>
      </w:r>
      <w:r>
        <w:rPr>
          <w:rtl w:val="true"/>
        </w:rPr>
        <w:t xml:space="preserve"> . </w:t>
      </w:r>
      <w:r>
        <w:rPr>
          <w:rtl w:val="true"/>
        </w:rPr>
        <w:t>الإجماع المنقول بخبر الواحد</w:t>
      </w:r>
      <w:bookmarkEnd w:id="1070"/>
    </w:p>
    <w:p>
      <w:pPr>
        <w:pStyle w:val="Heading5"/>
        <w:numPr>
          <w:ilvl w:val="4"/>
          <w:numId w:val="1"/>
        </w:numPr>
        <w:rPr/>
      </w:pPr>
      <w:bookmarkStart w:id="1071" w:name="__RefHeading___Toc3300408_1468164448"/>
      <w:bookmarkStart w:id="1072" w:name="_Toc425"/>
      <w:bookmarkEnd w:id="1071"/>
      <w:r>
        <w:rPr>
          <w:rtl w:val="true"/>
        </w:rPr>
        <w:t>اشارة</w:t>
      </w:r>
      <w:bookmarkEnd w:id="1072"/>
    </w:p>
    <w:p>
      <w:pPr>
        <w:pStyle w:val="BookText"/>
        <w:rPr/>
      </w:pPr>
      <w:r>
        <w:rPr>
          <w:rFonts w:ascii="IRNazanin" w:hAnsi="IRNazanin" w:eastAsia="IRNazanin"/>
          <w:color w:val="111111"/>
          <w:sz w:val="28"/>
          <w:sz w:val="28"/>
          <w:szCs w:val="28"/>
          <w:rtl w:val="true"/>
          <w:lang w:bidi="fa-IR"/>
        </w:rPr>
        <w:t>إنّ البحث فی الإجماع المنقول بحث فی خصوصیات الخبر الواحد، أکثر مما هو بحث عن الإجماع</w:t>
      </w:r>
      <w:r>
        <w:rPr>
          <w:rFonts w:eastAsia="IRNazanin" w:cs="IRNazanin"/>
          <w:color w:val="111111"/>
          <w:sz w:val="28"/>
          <w:szCs w:val="28"/>
          <w:rtl w:val="true"/>
          <w:lang w:bidi="fa-IR"/>
        </w:rPr>
        <w:t>.</w:t>
      </w:r>
    </w:p>
    <w:p>
      <w:pPr>
        <w:pStyle w:val="Heading5"/>
        <w:numPr>
          <w:ilvl w:val="4"/>
          <w:numId w:val="1"/>
        </w:numPr>
        <w:rPr/>
      </w:pPr>
      <w:bookmarkStart w:id="1073" w:name="__RefHeading___Toc3300410_1468164448"/>
      <w:bookmarkStart w:id="1074" w:name="_Toc426"/>
      <w:bookmarkEnd w:id="1073"/>
      <w:r>
        <w:rPr>
          <w:rtl w:val="true"/>
        </w:rPr>
        <w:t>شرط حجیّة خبر الواحد</w:t>
      </w:r>
      <w:bookmarkEnd w:id="1074"/>
    </w:p>
    <w:p>
      <w:pPr>
        <w:pStyle w:val="Heading6"/>
        <w:numPr>
          <w:ilvl w:val="5"/>
          <w:numId w:val="1"/>
        </w:numPr>
        <w:rPr/>
      </w:pPr>
      <w:bookmarkStart w:id="1075" w:name="__RefHeading___Toc3300412_1468164448"/>
      <w:bookmarkStart w:id="1076" w:name="_Toc427"/>
      <w:bookmarkEnd w:id="1075"/>
      <w:r>
        <w:rPr>
          <w:rtl w:val="true"/>
        </w:rPr>
        <w:t>اشارة</w:t>
      </w:r>
      <w:bookmarkEnd w:id="1076"/>
    </w:p>
    <w:p>
      <w:pPr>
        <w:pStyle w:val="BookText"/>
        <w:rPr/>
      </w:pPr>
      <w:r>
        <w:rPr>
          <w:rFonts w:ascii="IRNazanin" w:hAnsi="IRNazanin" w:eastAsia="IRNazanin"/>
          <w:color w:val="111111"/>
          <w:sz w:val="28"/>
          <w:sz w:val="28"/>
          <w:szCs w:val="28"/>
          <w:rtl w:val="true"/>
          <w:lang w:bidi="fa-IR"/>
        </w:rPr>
        <w:t>خبر الواحد حجّة فیما إذ کان مستند الناقل فی ما یخبره الحس أو الحدس القریب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الحجّیة أن یتوفّر أمران فی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مرتبط بالجانب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الضبط والخبرة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مرتبط بالجانب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الصدق والأمانة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الشرط الثانی هو الأهم، وهو الرکن للحجّیة والأول تابع له علی العکس من حجّیة الخبرة، فإنّ الشرط الأول هو الرکن الأهم والثانی تابع 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وعلی هذا الأساس کانت حجّیة خبر الواحد مخصوصة بما کان مستنداً إلی الحس أو القریب منه، وأمّا إذا انضمت إلیه مقدّمات حدسیة فلیس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کان النقل للإتفاق کاشفاً عن السبب کالنص أو کان المنقول هو السبب کسیرة أصحاب الأئمة فهو نقل حسیّ حجّة من هذه الجهة، وإن کان کاشفاً عن المسبب فهو حدسی لا یتناوله دلیل حجّیة الخبر الواحد، ما لم یکن المسبب مستنداً إلی سبب تام جداً، بحیث یجعل من المسبب قریباً من الحس کاتفاق کلّ علماء الطائفة فإنّ الخبر حجّة فیه، لأنه مدلوله الإلتزامی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77" w:name="__RefHeading___Toc3300414_1468164448"/>
      <w:bookmarkStart w:id="1078" w:name="_Toc428"/>
      <w:bookmarkEnd w:id="1077"/>
      <w:r>
        <w:rPr>
          <w:rtl w:val="true"/>
        </w:rPr>
        <w:t>ما هو دلیل توفّر الشرطین فی حجّیة الخبر؟</w:t>
      </w:r>
      <w:bookmarkStart w:id="1079" w:name="pg16983_381196"/>
      <w:bookmarkEnd w:id="1078"/>
    </w:p>
    <w:p>
      <w:pPr>
        <w:pStyle w:val="BookText"/>
        <w:rPr/>
      </w:pPr>
      <w:bookmarkEnd w:id="1079"/>
      <w:r>
        <w:rPr>
          <w:rFonts w:ascii="IRNazanin" w:hAnsi="IRNazanin" w:eastAsia="IRNazanin"/>
          <w:color w:val="111111"/>
          <w:sz w:val="28"/>
          <w:sz w:val="28"/>
          <w:szCs w:val="28"/>
          <w:rtl w:val="true"/>
          <w:lang w:bidi="fa-IR"/>
        </w:rPr>
        <w:t>أشرنا إلی ضرورة توفّر أمرین کی یکون 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والضبط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ینبثق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أدلّة الحجّیة دالّة علی الحجّیة فی نطاق هذین الشرطین، أو أنّ الشرطیة ثبتت بأدلّة أخری؟</w:t>
      </w:r>
    </w:p>
    <w:p>
      <w:pPr>
        <w:pStyle w:val="Heading6"/>
        <w:numPr>
          <w:ilvl w:val="5"/>
          <w:numId w:val="1"/>
        </w:numPr>
        <w:rPr/>
      </w:pPr>
      <w:bookmarkStart w:id="1080" w:name="__RefHeading___Toc3300416_1468164448"/>
      <w:bookmarkStart w:id="1081" w:name="_Toc429"/>
      <w:bookmarkEnd w:id="1080"/>
      <w:r>
        <w:rPr>
          <w:rtl w:val="true"/>
        </w:rPr>
        <w:t xml:space="preserve">رأی الشیخ الأعظم </w:t>
      </w:r>
      <w:r>
        <w:rPr>
          <w:rtl w:val="true"/>
        </w:rPr>
        <w:t>(</w:t>
      </w:r>
      <w:r>
        <w:rPr>
          <w:rtl w:val="true"/>
        </w:rPr>
        <w:t>رحمه الله</w:t>
      </w:r>
      <w:r>
        <w:rPr>
          <w:rtl w:val="true"/>
        </w:rPr>
        <w:t>)</w:t>
      </w:r>
      <w:bookmarkEnd w:id="1081"/>
    </w:p>
    <w:p>
      <w:pPr>
        <w:pStyle w:val="BookText"/>
        <w:rPr/>
      </w:pPr>
      <w:r>
        <w:rPr>
          <w:rFonts w:ascii="IRNazanin" w:hAnsi="IRNazanin" w:eastAsia="IRNazanin"/>
          <w:color w:val="111111"/>
          <w:sz w:val="28"/>
          <w:sz w:val="28"/>
          <w:szCs w:val="28"/>
          <w:rtl w:val="true"/>
          <w:lang w:bidi="fa-IR"/>
        </w:rPr>
        <w:t xml:space="preserve">الشیخ الأعظم أصرّ علی أنّ أدلّة الحجّیة لم تأخذ إلاّ شرطیة الأمانة، خصوصاً آیة النبأ، وأمّا الضبط فإذا کان الراوی متصفاً بالضبط وشک فی اشتباهه فنجری أصالة عدم الاشتباه العقلائیة لنفی مثل هذا الشک، وأمّا شرطیة 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کصفة لابدّ من توفّرها فی الراوی کی یکون خبره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فأیضاً تثبت بأصالة عدم الاشتباه، فإنّها وإن کانت تجری فی الصغری إلاّ أنّ العقلاء لم یقنّنوها إلاّ لحالات الشک الصغرویة فی اشتباه الراوی الثبت بدرجة 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ویستشهد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القدماء من أعلام الرجال کانوا یصنّفون الرواة درجات فی الثبت، ممّا یکشف عن شرطیة صفة الثبت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تأییداً للشیخ نضیف أنّ غالب الرجالیین القدماء حینما یعبّرون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یقصدون منه عدم الأمانة وإنما عدم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لا یجری العقلاء الأصل المذکور مع عدم کون الراوی ثبتاً، کذا لا یجرونه مع کونه مستنده حدسیاً؛ إذ أنّهم قنّنوا هذا الأصل فی نطاق ما لم یکن مثار الاشتباه، والحدسی مثار الاشتباه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وناتج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عن الإجماع إن کان إخباراً عن المسبب ولم یکن قریباً من الحس فهو لیس بحجّة، وإن کان إخباراً عن السبب فیمکن أن یکون حجّة من هذه الزاویة</w:t>
      </w:r>
      <w:r>
        <w:rPr>
          <w:rFonts w:eastAsia="IRNazanin" w:cs="IRNazanin"/>
          <w:color w:val="111111"/>
          <w:sz w:val="28"/>
          <w:szCs w:val="28"/>
          <w:rtl w:val="true"/>
          <w:lang w:bidi="fa-IR"/>
        </w:rPr>
        <w:t>.</w:t>
      </w:r>
      <w:r>
        <w:rPr>
          <w:rStyle w:val="FootnoteAnchor"/>
          <w:rtl w:val="true"/>
        </w:rPr>
        <w:footnoteReference w:id="168"/>
      </w:r>
      <w:bookmarkStart w:id="1082" w:name="pg16983_381198"/>
    </w:p>
    <w:p>
      <w:pPr>
        <w:pStyle w:val="Heading5"/>
        <w:numPr>
          <w:ilvl w:val="4"/>
          <w:numId w:val="1"/>
        </w:numPr>
        <w:rPr/>
      </w:pPr>
      <w:bookmarkStart w:id="1083" w:name="__RefHeading___Toc3300418_1468164448"/>
      <w:bookmarkStart w:id="1084" w:name="_Toc430"/>
      <w:bookmarkEnd w:id="1082"/>
      <w:bookmarkEnd w:id="1083"/>
      <w:r>
        <w:rPr>
          <w:rtl w:val="true"/>
        </w:rPr>
        <w:t>عویصة فی حجّیة الخبر الناقل للإجماع</w:t>
      </w:r>
      <w:bookmarkEnd w:id="1084"/>
    </w:p>
    <w:p>
      <w:pPr>
        <w:pStyle w:val="Heading6"/>
        <w:numPr>
          <w:ilvl w:val="5"/>
          <w:numId w:val="1"/>
        </w:numPr>
        <w:rPr/>
      </w:pPr>
      <w:bookmarkStart w:id="1085" w:name="__RefHeading___Toc3300420_1468164448"/>
      <w:bookmarkStart w:id="1086" w:name="_Toc431"/>
      <w:bookmarkEnd w:id="1085"/>
      <w:r>
        <w:rPr>
          <w:rtl w:val="true"/>
        </w:rPr>
        <w:t>اشارة</w:t>
      </w:r>
      <w:bookmarkEnd w:id="1086"/>
    </w:p>
    <w:p>
      <w:pPr>
        <w:pStyle w:val="BookText"/>
        <w:rPr/>
      </w:pPr>
      <w:r>
        <w:rPr>
          <w:rFonts w:ascii="IRNazanin" w:hAnsi="IRNazanin" w:eastAsia="IRNazanin"/>
          <w:color w:val="111111"/>
          <w:sz w:val="28"/>
          <w:sz w:val="28"/>
          <w:szCs w:val="28"/>
          <w:rtl w:val="true"/>
          <w:lang w:bidi="fa-IR"/>
        </w:rPr>
        <w:t>من زاویة أخری قد یمنع من حجّیة الخبر الحسی الناقل للسبب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الخبر الحجّة هو المنتهی إلی أثر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إخباراً بالمطابقة أو بالإلتزام عن الحکم أو عن موضوعه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والإخبار عن اتفاق جملة من العلماء لا یلازم رأی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یکون إخباراً عن حکم شرعی أو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مع ضمیمة جملة أخری من الآراء یحصل علیها، یلازم المجموع رأی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الإخبار عن اتفاق کاشف عن رأی المعصوم کان مدلول الخبر الإلتزامی حکماً شرعیاً فیمکن فرض حجّیة الخبر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ألفت المیرزا وفصّل المظفر بأنّ حجّیة الخبر فی مدلوله الإلتزامی مشروط بکون اللزوم بیّناً بالمعنی الأخص أو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الأکثر فی قبال مَن خصه بالبیّن بالمعنی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أن یکون منشأ الملازمة عقلیاً أو عرفیاً، وأما إذا لم یکن بیّناً فالخبر لیس حجّة فیه من باب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نحن فیه غالب الإجماعات المنقولة لا ملازمة بیّنة بینها وبین رأی المعصوم، وإنما هی ملازمة نظریة یتمّ الوصول إلیها بمقدّمات لابدّ من إضافتها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یحصّلها المجتهد بنفسه أو بضمّ إجماعات أخری فی مجال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فهل خبر الواحد حجّة فی مثل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مفاده المطابقی والإلتزامی البیّن لیس حکماً شرعیاً ولا موضوعاً له؟ </w:t>
      </w:r>
      <w:r>
        <w:rPr>
          <w:rFonts w:eastAsia="IRNazanin" w:cs="IRNazanin"/>
          <w:color w:val="111111"/>
          <w:sz w:val="28"/>
          <w:szCs w:val="28"/>
          <w:rtl w:val="true"/>
          <w:lang w:bidi="fa-IR"/>
        </w:rPr>
        <w:t>]</w:t>
      </w:r>
    </w:p>
    <w:p>
      <w:pPr>
        <w:pStyle w:val="Heading6"/>
        <w:numPr>
          <w:ilvl w:val="5"/>
          <w:numId w:val="1"/>
        </w:numPr>
        <w:rPr/>
      </w:pPr>
      <w:bookmarkStart w:id="1087" w:name="__RefHeading___Toc3300422_1468164448"/>
      <w:bookmarkStart w:id="1088" w:name="_Toc432"/>
      <w:bookmarkEnd w:id="1087"/>
      <w:r>
        <w:rPr>
          <w:rtl w:val="true"/>
        </w:rPr>
        <w:t>تسریة العویصة إلی موارد أخری</w:t>
      </w:r>
      <w:bookmarkEnd w:id="1088"/>
    </w:p>
    <w:p>
      <w:pPr>
        <w:pStyle w:val="BookText"/>
        <w:rPr/>
      </w:pPr>
      <w:r>
        <w:rPr>
          <w:rFonts w:ascii="IRNazanin" w:hAnsi="IRNazanin" w:eastAsia="IRNazanin"/>
          <w:color w:val="111111"/>
          <w:sz w:val="28"/>
          <w:sz w:val="28"/>
          <w:szCs w:val="28"/>
          <w:rtl w:val="true"/>
          <w:lang w:bidi="fa-IR"/>
        </w:rPr>
        <w:t>وهذه المشکلة نجدها فی خبر الواحد بالواسطة، کخبر الکلینی فإنه لیس حکماً شرعیاً ولا موضوعاً له لأنه إخبار لخبر الراوی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ونجدها فی أسئلة الرواة للإمام، فإنّ السؤال لیس حکماً ولا موضوعاً، لا بمفاده المطابقی ولا بمفاده الإلتزامی</w:t>
      </w:r>
      <w:r>
        <w:rPr>
          <w:rFonts w:eastAsia="IRNazanin" w:cs="IRNazanin"/>
          <w:color w:val="111111"/>
          <w:sz w:val="28"/>
          <w:szCs w:val="28"/>
          <w:rtl w:val="true"/>
          <w:lang w:bidi="fa-IR"/>
        </w:rPr>
        <w:t>.</w:t>
      </w:r>
      <w:bookmarkStart w:id="1089" w:name="pg16983_381201"/>
    </w:p>
    <w:p>
      <w:pPr>
        <w:pStyle w:val="BookText"/>
        <w:rPr/>
      </w:pPr>
      <w:bookmarkEnd w:id="1089"/>
      <w:r>
        <w:rPr>
          <w:rFonts w:ascii="IRNazanin" w:hAnsi="IRNazanin" w:eastAsia="IRNazanin"/>
          <w:color w:val="111111"/>
          <w:sz w:val="28"/>
          <w:sz w:val="28"/>
          <w:szCs w:val="28"/>
          <w:rtl w:val="true"/>
          <w:lang w:bidi="fa-IR"/>
        </w:rPr>
        <w:t>ونجدها فی الفعل الذی یحکیه الراوی عن نفسه ویقرّه الإمام، فإنه لیس حکماً ولا موضوعاً</w:t>
      </w:r>
      <w:r>
        <w:rPr>
          <w:rFonts w:eastAsia="IRNazanin" w:cs="IRNazanin"/>
          <w:color w:val="111111"/>
          <w:sz w:val="28"/>
          <w:szCs w:val="28"/>
          <w:rtl w:val="true"/>
          <w:lang w:bidi="fa-IR"/>
        </w:rPr>
        <w:t>.</w:t>
      </w:r>
    </w:p>
    <w:p>
      <w:pPr>
        <w:pStyle w:val="Heading6"/>
        <w:numPr>
          <w:ilvl w:val="5"/>
          <w:numId w:val="1"/>
        </w:numPr>
        <w:rPr/>
      </w:pPr>
      <w:bookmarkStart w:id="1090" w:name="__RefHeading___Toc3300424_1468164448"/>
      <w:bookmarkStart w:id="1091" w:name="_Toc433"/>
      <w:bookmarkEnd w:id="1090"/>
      <w:r>
        <w:rPr>
          <w:rtl w:val="true"/>
        </w:rPr>
        <w:t>حلّ العویصة فی تلک الموارد</w:t>
      </w:r>
      <w:bookmarkEnd w:id="1091"/>
    </w:p>
    <w:p>
      <w:pPr>
        <w:pStyle w:val="BookText"/>
        <w:rPr/>
      </w:pPr>
      <w:r>
        <w:rPr>
          <w:rFonts w:ascii="IRNazanin" w:hAnsi="IRNazanin" w:eastAsia="IRNazanin"/>
          <w:color w:val="111111"/>
          <w:sz w:val="28"/>
          <w:sz w:val="28"/>
          <w:szCs w:val="28"/>
          <w:rtl w:val="true"/>
          <w:lang w:bidi="fa-IR"/>
        </w:rPr>
        <w:t xml:space="preserve">والحقّ أنّ سؤال الراوی وإن لم یکن موضوعاً لحکم فقهی ولا حکماً فقهیاً إلاّ أنه موضوع الحکم 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حاکمیة دلالة السؤال علی الجواب من جهة، وبالعکس من جهة أخری، ووحدة السؤال والجواب من عناصر صیاغة الظهور الذی هو متعلّق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خبر الواحد بالواسطة، فإنّ مفاد خبر الکلینی هو وجود خبر العطّار، فهو موضوع لحکم أصولی وهو وجوب تصدیق خبر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فحجّیة خبر الکلینی تثبت لنا موضوع وجوب تصدیق خبر العطّار، وهو وجود خبر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الفعل الذی قرّره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یرجع إلی الظهور إن کان نقل التقریر ظنیاً، وأمّا إذا کان قطعیاً فلا کلام لنا فیه؛ لأنّ البحث فی حدود حجّیة الظن الخاص وکیفیة شمولها للموارد المذکورة</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1092" w:name="__RefHeading___Toc3300426_1468164448"/>
      <w:bookmarkStart w:id="1093" w:name="_Toc434"/>
      <w:bookmarkEnd w:id="1092"/>
      <w:r>
        <w:rPr>
          <w:rtl w:val="true"/>
        </w:rPr>
        <w:t>حلّ العویصة فی نقل الإجماع</w:t>
      </w:r>
      <w:bookmarkEnd w:id="1093"/>
    </w:p>
    <w:p>
      <w:pPr>
        <w:pStyle w:val="BookText"/>
        <w:rPr/>
      </w:pPr>
      <w:r>
        <w:rPr>
          <w:rFonts w:ascii="IRNazanin" w:hAnsi="IRNazanin" w:eastAsia="IRNazanin"/>
          <w:color w:val="111111"/>
          <w:sz w:val="28"/>
          <w:sz w:val="28"/>
          <w:szCs w:val="28"/>
          <w:rtl w:val="true"/>
          <w:lang w:bidi="fa-IR"/>
        </w:rPr>
        <w:t xml:space="preserve">وأما نقل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فالحقّ هو التفصیل بالقول بالحجّیة فی بعض الحالات وعدمها فی الحالات الأُخری ولکن من دون أن یکون لغواً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الإجماع المحکی والمنقول بخبر الواحد أو سیرة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الضرورة المذهبیة أو الفقهیة أو کان المنقول هو الإتفاق الخاص الموجب لاندراس مَعْلَم من معالم الدین فبقاعدة</w:t>
      </w:r>
      <w:bookmarkStart w:id="1094" w:name="pg16983_381203"/>
    </w:p>
    <w:p>
      <w:pPr>
        <w:pStyle w:val="BookText"/>
        <w:rPr/>
      </w:pPr>
      <w:bookmarkEnd w:id="1094"/>
      <w:r>
        <w:rPr>
          <w:rFonts w:ascii="IRNazanin" w:hAnsi="IRNazanin" w:eastAsia="IRNazanin"/>
          <w:color w:val="111111"/>
          <w:sz w:val="28"/>
          <w:sz w:val="28"/>
          <w:szCs w:val="28"/>
          <w:rtl w:val="true"/>
          <w:lang w:bidi="fa-IR"/>
        </w:rPr>
        <w:t xml:space="preserve">اللطف أو اللطف الشرعی یکشف عن موافقة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فمثل هذا الخبر حجّة؛ لأنّ مفاده الإلتزامی البیّن هو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الإتفاقات المذکورة تلازم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بملازمة بیّنة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أبیت إلاّ عن کون الملازمة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فی تنبیهات خبر الواحد صیاغة وجه للحجّیة لم یبلور فی کلماتهم</w:t>
      </w:r>
      <w:r>
        <w:rPr>
          <w:rFonts w:eastAsia="IRNazanin" w:cs="IRNazanin"/>
          <w:color w:val="111111"/>
          <w:sz w:val="28"/>
          <w:szCs w:val="28"/>
          <w:rtl w:val="true"/>
          <w:lang w:bidi="fa-IR"/>
        </w:rPr>
        <w:t>.</w:t>
      </w:r>
    </w:p>
    <w:p>
      <w:pPr>
        <w:pStyle w:val="Heading6"/>
        <w:numPr>
          <w:ilvl w:val="5"/>
          <w:numId w:val="1"/>
        </w:numPr>
        <w:rPr/>
      </w:pPr>
      <w:bookmarkStart w:id="1095" w:name="__RefHeading___Toc3300428_1468164448"/>
      <w:bookmarkStart w:id="1096" w:name="_Toc435"/>
      <w:bookmarkEnd w:id="1095"/>
      <w:r>
        <w:rPr>
          <w:rtl w:val="true"/>
        </w:rPr>
        <w:t>التفصیل هو المختار</w:t>
      </w:r>
      <w:bookmarkEnd w:id="1096"/>
    </w:p>
    <w:p>
      <w:pPr>
        <w:pStyle w:val="BookText"/>
        <w:rPr/>
      </w:pP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اشتهر بین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کون مفاد الأمارة إمّا حکماً شرعیاً أو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یُلتزم به فی الفقه عملاً، حیث وجدنا أنّهم وسّعوا الحجّیة للموضوع العقلی لأثر شرعی أو عقلی تابع للشرعیات کالإمتثال وبراءة الذمة والفراغ، أی أنّهم وسّعوا الحجّیة للوازم البیّنة وإن لم تکن شرعیة ولکنّها من شؤون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توسّعوا أکثر من ذلک، حیث قالوا بحجّیة الأمارة والأصل فی الموضوع العقلی الذی یترتب علیه حکم شرعی بالملازمة النظریة، ولکن لا من جهة أنّ من مدالیلها ومفادها اللازم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مقصورة علی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من جهة توسعة مصححیة الحجّیة، ومصحح الحجّة غیر مفاد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کالأصل العملی یجری فی شیء یترتب علیه عقلاً أثر عقلی أو شرعی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وفیما نحن فیه 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المعصوم لیس لازماً بیّناً للإجماعات المذکورة، فیمکن لنا تصویر حجّیة الخبر الناقل لمثل هذه الإجماعات بالتوسّع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خلال مصحح الحجّیة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نقل الإجماع الحدسی الذی یحتاج إلی ضمائم فهو لیس بحجّة؛ لأنّ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لازماً بیّناً لمفاد الخبر وهو الإجماع کی یکون حجّة فیه من باب الظهور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لیس رأی المعصوم بمفرده لازماً نظریاً للإجماع یترتب علیه بحکم العقل کی یشمله مصحح الحجّیة</w:t>
      </w:r>
      <w:r>
        <w:rPr>
          <w:rFonts w:eastAsia="IRNazanin" w:cs="IRNazanin"/>
          <w:color w:val="111111"/>
          <w:sz w:val="28"/>
          <w:szCs w:val="28"/>
          <w:rtl w:val="true"/>
          <w:lang w:bidi="fa-IR"/>
        </w:rPr>
        <w:t>.</w:t>
      </w:r>
      <w:bookmarkStart w:id="1097" w:name="pg16983_381205"/>
    </w:p>
    <w:p>
      <w:pPr>
        <w:pStyle w:val="BookText"/>
        <w:rPr/>
      </w:pPr>
      <w:bookmarkEnd w:id="1097"/>
      <w:r>
        <w:rPr>
          <w:rFonts w:ascii="IRNazanin" w:hAnsi="IRNazanin" w:eastAsia="IRNazanin"/>
          <w:color w:val="111111"/>
          <w:sz w:val="28"/>
          <w:sz w:val="28"/>
          <w:szCs w:val="28"/>
          <w:rtl w:val="true"/>
          <w:lang w:bidi="fa-IR"/>
        </w:rPr>
        <w:t>ولکن یبقی لمثل هذا النقل ثمرة؛ لأنه و إن کان ظناً تکوینیاً غیر معتبر إلاّ أنه لا یخرج عن کونه قرینة یضمّ إلیه بقیة القرائن فیحصل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الشیخ من حجّیة نقل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لا نقبله، کما لا نقبل ما ذکره المظفر من عدم الحجّیة مطلقاً واللغویة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الحق هو التفصیل، مع الثمرة والفائدة فی مورد عدم الحجّیة</w:t>
      </w:r>
      <w:r>
        <w:rPr>
          <w:rFonts w:eastAsia="IRNazanin" w:cs="IRNazanin"/>
          <w:color w:val="111111"/>
          <w:sz w:val="28"/>
          <w:szCs w:val="28"/>
          <w:rtl w:val="true"/>
          <w:lang w:bidi="fa-IR"/>
        </w:rPr>
        <w:t>.</w:t>
      </w:r>
    </w:p>
    <w:p>
      <w:pPr>
        <w:pStyle w:val="Heading5"/>
        <w:numPr>
          <w:ilvl w:val="4"/>
          <w:numId w:val="1"/>
        </w:numPr>
        <w:rPr/>
      </w:pPr>
      <w:bookmarkStart w:id="1098" w:name="__RefHeading___Toc3300430_1468164448"/>
      <w:bookmarkStart w:id="1099" w:name="_Toc436"/>
      <w:bookmarkEnd w:id="1098"/>
      <w:r>
        <w:rPr>
          <w:rtl w:val="true"/>
        </w:rPr>
        <w:t>تنبیهات بحث الإجماع</w:t>
      </w:r>
      <w:bookmarkEnd w:id="1099"/>
    </w:p>
    <w:p>
      <w:pPr>
        <w:pStyle w:val="BookText"/>
        <w:rPr/>
      </w:pPr>
      <w:r>
        <w:rPr>
          <w:rFonts w:ascii="IRNazanin" w:hAnsi="IRNazanin" w:eastAsia="IRNazanin"/>
          <w:color w:val="111111"/>
          <w:sz w:val="28"/>
          <w:sz w:val="28"/>
          <w:szCs w:val="28"/>
          <w:rtl w:val="true"/>
          <w:lang w:bidi="fa-IR"/>
        </w:rPr>
        <w:t>وقبل الخروج من الموضوع لابدّ من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جملة 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بها العامة علی 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الذی قررّوه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عنها الشیخ الطوسی فی العدّة، کذا أجیب عنها فی کتب الکلام، ومن ثمّ نکتفی بالإشارة إلی مواقع هذه الآیات تارکین التفاصیل إلی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الآیات کسابقتها تدلّ علی ضرورة الإمام وحجّیة ما نهجه حواریو الإمام وأصحابه، وأجوبة الشیخ وإن لم تشر إلی ذلک إلاّ أنّ الروایات أرشدت إلی هذا البُعد العقلی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متممات الأدلّة علی حدّ الإستصحاب، بمعنی أنّهما دلیلان لبیّان تصل النوبة إلیهما عند إعواز الدلیل اللفظی، فعند توفّر الدلیل اللفظی لا قیمة لها بعد أن کانت زوایا المسألة مستوعبة، فإنّ الإجماع حینئذ سیکون مدرکیاً لا حجّیة له سیما أنه فی طول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کاشف عن رأی المعصوم</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المرکب إن رجع إلی إجماع بسیط علی نفی الثالث فهو حجّة فی نفی الثالث، ومن المسامحة القول بأنه یرجع إلی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بسیط لأنه فی الواقع إجماع بسیط مع اختلاف بین المتفقین فی جهاتٍ مّا، وأمّا إن لم یرجع إلی إجماع بسیط فهو لیس بحجّة</w:t>
      </w:r>
      <w:r>
        <w:rPr>
          <w:rFonts w:eastAsia="IRNazanin" w:cs="IRNazanin"/>
          <w:color w:val="111111"/>
          <w:sz w:val="28"/>
          <w:szCs w:val="28"/>
          <w:rtl w:val="true"/>
          <w:lang w:bidi="fa-IR"/>
        </w:rPr>
        <w:t>.</w:t>
      </w:r>
      <w:bookmarkStart w:id="1100" w:name="pg16983_381211"/>
    </w:p>
    <w:p>
      <w:pPr>
        <w:pStyle w:val="Heading3"/>
        <w:numPr>
          <w:ilvl w:val="2"/>
          <w:numId w:val="1"/>
        </w:numPr>
        <w:rPr/>
      </w:pPr>
      <w:bookmarkStart w:id="1101" w:name="__RefHeading___Toc3300432_1468164448"/>
      <w:bookmarkStart w:id="1102" w:name="_Toc437"/>
      <w:bookmarkEnd w:id="1100"/>
      <w:bookmarkEnd w:id="1101"/>
      <w:r>
        <w:rPr/>
        <w:t>5</w:t>
      </w:r>
      <w:r>
        <w:rPr>
          <w:rtl w:val="true"/>
        </w:rPr>
        <w:t xml:space="preserve"> . </w:t>
      </w:r>
      <w:r>
        <w:rPr>
          <w:rtl w:val="true"/>
        </w:rPr>
        <w:t>الشهرة</w:t>
      </w:r>
      <w:bookmarkEnd w:id="11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3" w:name="__RefHeading___Toc3300434_1468164448"/>
      <w:bookmarkStart w:id="1104" w:name="_Toc438"/>
      <w:bookmarkEnd w:id="1103"/>
      <w:r>
        <w:rPr>
          <w:rtl w:val="true"/>
        </w:rPr>
        <w:t>اشارة</w:t>
      </w:r>
      <w:bookmarkStart w:id="1105" w:name="pg16983_381215"/>
      <w:bookmarkEnd w:id="1104"/>
    </w:p>
    <w:p>
      <w:pPr>
        <w:pStyle w:val="Heading4"/>
        <w:numPr>
          <w:ilvl w:val="3"/>
          <w:numId w:val="1"/>
        </w:numPr>
        <w:rPr/>
      </w:pPr>
      <w:bookmarkStart w:id="1106" w:name="__RefHeading___Toc3300436_1468164448"/>
      <w:bookmarkStart w:id="1107" w:name="_Toc439"/>
      <w:bookmarkEnd w:id="1105"/>
      <w:bookmarkEnd w:id="1106"/>
      <w:r>
        <w:rPr>
          <w:rtl w:val="true"/>
        </w:rPr>
        <w:t>مصبّ البحث</w:t>
      </w:r>
      <w:bookmarkEnd w:id="1107"/>
    </w:p>
    <w:p>
      <w:pPr>
        <w:pStyle w:val="BookText"/>
        <w:rPr/>
      </w:pPr>
      <w:r>
        <w:rPr>
          <w:rFonts w:ascii="IRNazanin" w:hAnsi="IRNazanin" w:eastAsia="IRNazanin"/>
          <w:color w:val="111111"/>
          <w:sz w:val="28"/>
          <w:sz w:val="28"/>
          <w:szCs w:val="28"/>
          <w:rtl w:val="true"/>
          <w:lang w:bidi="fa-IR"/>
        </w:rPr>
        <w:t>البحث فی الشهرة بحث عن حجّیتها المستقلة علی حدّ حجّیة خبر الواحد والإجماع، ومن ثمّ سیقتصر علی الشهرة الفتوائیة لوضوح عدم حجّیة الشهرة العملیة والروائیة بمفردهما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ذیل هذا البحث سنبحث عن قیمة الشهرة التی لیست بحجّة، و هل أنها جابرة وکاسرة لضعف الخبر وقوّته فی سنده أو دلالته؟ وهل أنها جابرة للخبر مع اختلاف النسخ؟ وهل أنها جابرة لجهة صدوره؟ وغیر ذلک من الحیثیات</w:t>
      </w:r>
      <w:r>
        <w:rPr>
          <w:rFonts w:eastAsia="IRNazanin" w:cs="IRNazanin"/>
          <w:color w:val="111111"/>
          <w:sz w:val="28"/>
          <w:szCs w:val="28"/>
          <w:rtl w:val="true"/>
          <w:lang w:bidi="fa-IR"/>
        </w:rPr>
        <w:t>.</w:t>
      </w:r>
      <w:bookmarkStart w:id="1108" w:name="pg16983_381217"/>
    </w:p>
    <w:p>
      <w:pPr>
        <w:pStyle w:val="Heading4"/>
        <w:numPr>
          <w:ilvl w:val="3"/>
          <w:numId w:val="1"/>
        </w:numPr>
        <w:rPr/>
      </w:pPr>
      <w:bookmarkStart w:id="1109" w:name="__RefHeading___Toc3300438_1468164448"/>
      <w:bookmarkStart w:id="1110" w:name="_Toc440"/>
      <w:bookmarkEnd w:id="1108"/>
      <w:bookmarkEnd w:id="1109"/>
      <w:r>
        <w:rPr/>
        <w:t>1</w:t>
      </w:r>
      <w:r>
        <w:rPr>
          <w:rtl w:val="true"/>
        </w:rPr>
        <w:t xml:space="preserve"> . </w:t>
      </w:r>
      <w:r>
        <w:rPr>
          <w:rtl w:val="true"/>
        </w:rPr>
        <w:t>أقسام الشهرة</w:t>
      </w:r>
      <w:bookmarkEnd w:id="1110"/>
    </w:p>
    <w:p>
      <w:pPr>
        <w:pStyle w:val="BookText"/>
        <w:rPr/>
      </w:pPr>
      <w:r>
        <w:rPr>
          <w:rFonts w:ascii="IRNazanin" w:hAnsi="IRNazanin" w:eastAsia="IRNazanin"/>
          <w:color w:val="111111"/>
          <w:sz w:val="28"/>
          <w:sz w:val="28"/>
          <w:szCs w:val="28"/>
          <w:rtl w:val="true"/>
          <w:lang w:bidi="fa-IR"/>
        </w:rPr>
        <w:t>الشهرة إما فتوائیة أو روائیة أو 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شهرة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توافق جماعة کثیرة علی فتوی، أعم من أن یکونوا قد استندوا فیها إلی مستند واحد أو مختلف، مصرح به أو غیر مصرح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الطرق إلی روایة واحدة، ولها أقسام ذکرت فی علم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بروایة معینة أو دلالة خاصة وان اختلفت فتاواهم لاختلاف اجتهادهم فی الدلیل المذکور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شهرة الفتوی قریبة الأفق من الإجماع لا تختلف عنه إلاّ بالمرتبة، وبالتالی فهی تشترک معه فی ما ذکرناه من مقدّمات وأقسام</w:t>
      </w:r>
      <w:r>
        <w:rPr>
          <w:rFonts w:eastAsia="IRNazanin" w:cs="IRNazanin"/>
          <w:color w:val="111111"/>
          <w:sz w:val="28"/>
          <w:szCs w:val="28"/>
          <w:rtl w:val="true"/>
          <w:lang w:bidi="fa-IR"/>
        </w:rPr>
        <w:t>.</w:t>
      </w:r>
      <w:bookmarkStart w:id="1111" w:name="pg16983_381219"/>
    </w:p>
    <w:p>
      <w:pPr>
        <w:pStyle w:val="Heading4"/>
        <w:numPr>
          <w:ilvl w:val="3"/>
          <w:numId w:val="1"/>
        </w:numPr>
        <w:rPr/>
      </w:pPr>
      <w:bookmarkStart w:id="1112" w:name="__RefHeading___Toc3300440_1468164448"/>
      <w:bookmarkStart w:id="1113" w:name="_Toc441"/>
      <w:bookmarkEnd w:id="1111"/>
      <w:bookmarkEnd w:id="1112"/>
      <w:r>
        <w:rPr/>
        <w:t>2</w:t>
      </w:r>
      <w:r>
        <w:rPr>
          <w:rtl w:val="true"/>
        </w:rPr>
        <w:t xml:space="preserve"> . </w:t>
      </w:r>
      <w:r>
        <w:rPr>
          <w:rtl w:val="true"/>
        </w:rPr>
        <w:t>أدلّة حجّیة الشهرة وتقییمها</w:t>
      </w:r>
      <w:bookmarkEnd w:id="1113"/>
    </w:p>
    <w:p>
      <w:pPr>
        <w:pStyle w:val="Heading5"/>
        <w:numPr>
          <w:ilvl w:val="4"/>
          <w:numId w:val="1"/>
        </w:numPr>
        <w:rPr/>
      </w:pPr>
      <w:bookmarkStart w:id="1114" w:name="__RefHeading___Toc3300442_1468164448"/>
      <w:bookmarkStart w:id="1115" w:name="_Toc442"/>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استدلّ للحجّیة بأدلّة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الشهرة فی الحجّیة من خبر الواحد، لتوفّرها علی ملاک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الظن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بدرجة 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أولویة ظنیة لعدم القطع بملاکیة ما ذکر، بل لا یوجد حتی الظن بعد أن نری أنّ الشارع قد نهی عن ظنون أرجح من خبر الواحد، واعتبر ظنوناً أدنی من ظن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کالأمارات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أنّ معیار الحجّیة لیس هو الظن وإنما کثرة الإصابة</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 بن حنظلة، وتحدیداً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بقرینة الشاذ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وبقرینة سؤال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یدلّ علی أنّ المجمع علیه لیس قطعیاً و إلاّ لم یکن معنی للسؤال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الحکم الذی هو الفتوی یکون المراد من الشهرة هی الشهرة الفتوائیة وهی حجّة متأخرة عن الأدلّة اللفظیة؛ لأنها جعلت مرجّحاً لأحد الخبرین المتعارضین، ولو کانت حجّیتها فی عرض الخبر لما کانت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یعدو الإحتمال، لوجود احتمالات معاکسة متکافئة، فلا ظهور فی الشهرة الفتوائیة وإنما کلّ الشهرات الثلاث محتملة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رجوعه إلی الخبر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به ویترک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فالشهرة روائیة أو عملیة، سیما أنّ</w:t>
      </w:r>
    </w:p>
    <w:p>
      <w:pPr>
        <w:pStyle w:val="BookText"/>
        <w:rPr/>
      </w:pPr>
      <w:r>
        <w:rPr>
          <w:rFonts w:ascii="IRNazanin" w:hAnsi="IRNazanin" w:eastAsia="IRNazanin"/>
          <w:color w:val="111111"/>
          <w:sz w:val="28"/>
          <w:sz w:val="28"/>
          <w:szCs w:val="28"/>
          <w:rtl w:val="true"/>
          <w:lang w:bidi="fa-IR"/>
        </w:rPr>
        <w:t xml:space="preserve">ابن حنظلة فهم الشهرة الروائیة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أنه جعل الشهرة وصف الخبر، والفتوائیة لا تصلح وصفاً للخبر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رواهما الثقات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بتقریب الشیخ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شهرتین فتوائیتین فی مسألة واحدة لا یعقلان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غیر صحیح، وذلک لوجودهما وفی عصر واحد ومتعدّدة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الملاحظة</w:t>
      </w:r>
    </w:p>
    <w:p>
      <w:pPr>
        <w:pStyle w:val="BookText"/>
        <w:rPr/>
      </w:pPr>
      <w:r>
        <w:rPr>
          <w:rFonts w:ascii="IRNazanin" w:hAnsi="IRNazanin" w:eastAsia="IRNazanin"/>
          <w:color w:val="111111"/>
          <w:sz w:val="28"/>
          <w:sz w:val="28"/>
          <w:szCs w:val="28"/>
          <w:rtl w:val="true"/>
          <w:lang w:bidi="fa-IR"/>
        </w:rPr>
        <w:t xml:space="preserve">ولکن مع کلّ هذه القرائن المضادة، هناک قرینة دامغة لصالح المستدلّ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یجاب علی فهم ابن حنظلة بأنه لیس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الحجّیة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مطلق لا نسبی، وبقرینة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بعدئذ من الحلال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یصلح شیء للحجّیة المستقلة من الشهرات سوی الشهرة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الشهرة الروائیة والعملیة لا تقبل الحجّیة المستقلة حیث إنّ ماهیتها غیر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بالحجّیة المستقلة علی الحجّیة غیر المستقلة وهی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ولشدّة وضوح ما ذکر لم یناقش السیّد الخوئی فیه وإنما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القطعی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بالمخالف للسنّة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القائل بدلالة الفقرة علی حجّیة الشهرة یرد علی السیّد الخوئی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مرجّحاً فی الرتبة الخامسة أو السادسة، فلو کان بمعنی الإجماع القطعی لکان مقدّماً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الترجیح بالصفات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ظنیة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أنه طبّق علی المشهور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وتخلصاً من هذه القرینة فهم السیّد الخوئی وغیره الشهرة</w:t>
      </w:r>
      <w:bookmarkStart w:id="1116" w:name="pg16983_381223"/>
    </w:p>
    <w:p>
      <w:pPr>
        <w:pStyle w:val="BookText"/>
        <w:rPr/>
      </w:pPr>
      <w:bookmarkEnd w:id="1116"/>
      <w:r>
        <w:rPr>
          <w:rFonts w:ascii="IRNazanin" w:hAnsi="IRNazanin" w:eastAsia="IRNazanin"/>
          <w:color w:val="111111"/>
          <w:sz w:val="28"/>
          <w:sz w:val="28"/>
          <w:szCs w:val="28"/>
          <w:rtl w:val="true"/>
          <w:lang w:bidi="fa-IR"/>
        </w:rPr>
        <w:t>بمعناها اللغوی وهو الوضوح</w:t>
      </w:r>
      <w:r>
        <w:rPr>
          <w:rFonts w:eastAsia="IRNazanin" w:cs="IRNazanin"/>
          <w:color w:val="111111"/>
          <w:sz w:val="28"/>
          <w:szCs w:val="28"/>
          <w:rtl w:val="true"/>
          <w:lang w:bidi="fa-IR"/>
        </w:rPr>
        <w:t>.</w:t>
      </w:r>
    </w:p>
    <w:p>
      <w:pPr>
        <w:pStyle w:val="Heading5"/>
        <w:numPr>
          <w:ilvl w:val="4"/>
          <w:numId w:val="1"/>
        </w:numPr>
        <w:rPr/>
      </w:pPr>
      <w:bookmarkStart w:id="1117" w:name="__RefHeading___Toc3300444_1468164448"/>
      <w:bookmarkStart w:id="1118" w:name="_Toc443"/>
      <w:bookmarkEnd w:id="1117"/>
      <w:r>
        <w:rPr>
          <w:rtl w:val="true"/>
        </w:rPr>
        <w:t>عدم دلالة المقبولة علی الحجیّة المستقلة للشهرة الفتوائیة</w:t>
      </w:r>
      <w:bookmarkEnd w:id="1118"/>
    </w:p>
    <w:p>
      <w:pPr>
        <w:pStyle w:val="BookText"/>
        <w:rPr/>
      </w:pPr>
      <w:r>
        <w:rPr>
          <w:rFonts w:ascii="IRNazanin" w:hAnsi="IRNazanin" w:eastAsia="IRNazanin"/>
          <w:color w:val="111111"/>
          <w:sz w:val="28"/>
          <w:sz w:val="28"/>
          <w:szCs w:val="28"/>
          <w:rtl w:val="true"/>
          <w:lang w:bidi="fa-IR"/>
        </w:rPr>
        <w:t>وبعد کلّ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الشریفة لا تدلّ علی الحجّیة المستقلة للشهرة الفتوائیة، وذلک لوجاهة ما ذکر من القرائن علی العدم، وضعف قرائن المستدلّ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فبحکم رجوع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الضمائر إلی الخبر، مع ضمیمة أنّ الأوصاف یتلو بعضها بعضاً، سیکون الظهور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إلی الخبر، وعلی الأقل أنه یحتمل قویاً ذلک، یضاف إلیه فهم عمر بن حنظلة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الإمام فی صدد بیان حجّیة الشهرة الفتوائیة، لما انتقل عمر فی تسلسل سؤاله للإمام إلی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 توفّر کلّ منهما علی المرجّح المذکور، وبالتالی یسأل عن المرجّح 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المطلق، إلاّ أنّ عمر سأله عن فردین الروائیة والعملیة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یرید الإمام بیان الحجّیة المستقلة لمطلق الشهرات، بعد أن عرفت أنّ ماهیة الروائیة والعملیة قاصرة عن الإستقلال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نجد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یعبّر عن الإجماع أو الشهرة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والمجمع علیه هو الخبر، فهو وصف الخبر مما یعنی أنّ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المرجّح لا فی تأسیس حجّیة مستقلة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طبّق البیّن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قرینة علی أنّ البیّن لیس بقول مطلق، وإنما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البیّن النسبی، ومعه یکون مرجّحاً لا حجّة مستقلة، لأنه وإن کان لا ریب فیه إلاّ أنه بالنسبة لا فی نفسه</w:t>
      </w:r>
      <w:r>
        <w:rPr>
          <w:rFonts w:eastAsia="IRNazanin" w:cs="IRNazanin"/>
          <w:color w:val="111111"/>
          <w:sz w:val="28"/>
          <w:szCs w:val="28"/>
          <w:rtl w:val="true"/>
          <w:lang w:bidi="fa-IR"/>
        </w:rPr>
        <w:t>.</w:t>
      </w:r>
      <w:bookmarkStart w:id="1119" w:name="pg16983_381225"/>
    </w:p>
    <w:p>
      <w:pPr>
        <w:pStyle w:val="Heading5"/>
        <w:numPr>
          <w:ilvl w:val="4"/>
          <w:numId w:val="1"/>
        </w:numPr>
        <w:rPr/>
      </w:pPr>
      <w:bookmarkStart w:id="1120" w:name="__RefHeading___Toc3300446_1468164448"/>
      <w:bookmarkStart w:id="1121" w:name="_Toc444"/>
      <w:bookmarkEnd w:id="1119"/>
      <w:bookmarkEnd w:id="1120"/>
      <w:r>
        <w:rPr>
          <w:rtl w:val="true"/>
        </w:rPr>
        <w:t>دعوی وحدة الملاک فی حجّیة الخبر وحجّیة الشهرة الفتوائیة</w:t>
      </w:r>
      <w:bookmarkEnd w:id="1121"/>
    </w:p>
    <w:p>
      <w:pPr>
        <w:pStyle w:val="BookText"/>
        <w:rPr/>
      </w:pPr>
      <w:r>
        <w:rPr>
          <w:rFonts w:ascii="IRNazanin" w:hAnsi="IRNazanin" w:eastAsia="IRNazanin"/>
          <w:color w:val="111111"/>
          <w:sz w:val="28"/>
          <w:sz w:val="28"/>
          <w:szCs w:val="28"/>
          <w:rtl w:val="true"/>
          <w:lang w:bidi="fa-IR"/>
        </w:rPr>
        <w:t>ألفت الآخوند إلی أنّ مَن یبنی علی أنّ حجّیة الخبر بالإمضاء الشرعی للسیرة العقلائیة، أمکنه القول بحجّیة الشهرة الفتوائیة، فإنّ الملاک فیها واحد لو لم یکن فی الشهرة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علی ما التزمنا به من أنّ الحجج العقلائیة مصادیق مجعولة من قبلهم لحجّة کلّیة عقلائیة هی التی أمضاها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حجّیة الإطمئنان النوعی الحاصل من منشأ عام کتراکم القرائن أو من منشأ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قد جعلوا الشهرة مصداقاً للموضوع الکلّی الحجّة الممضی من قبل الشارع بما أنها من منشأ خاص کخبر الواحد وقول الخبیر الواحد، بل هی أولی منهما لأقوائیة الظن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الجعل لا یخدم فی المقام؛ لأنّ الکلام لیس فی رجوع الجاهل إلی العالم الخبیر، وإنما فی رجوع الخبیر إلی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والعقلاء اعتبروا الشهرة الفتوائیة مصداقاً للکلّی الحجّة علی العامی الممضاة من قبل الشارع، ولا دلیل علی وجود اعتبار عقلائی علی مصداقیة الشهرة لکلّی الحجّة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الشهرة الفتوائیة مصداق للمنشأ العام الحجّة عند العقلاء والشارع؛ لأنها عبارة عن کتلة قرائن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وهو حق بمقدار أنها جزء الحجّة، لأنّ التراکم فیها غایة ما ینتج الظن، والکلّی الحجّة هو الإطمئنان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ضمّ قرائن أخری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ینتج المجموع الإطمئنان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نافعة</w:t>
      </w:r>
      <w:r>
        <w:rPr>
          <w:rFonts w:eastAsia="IRNazanin" w:cs="IRNazanin"/>
          <w:color w:val="111111"/>
          <w:sz w:val="28"/>
          <w:szCs w:val="28"/>
          <w:rtl w:val="true"/>
          <w:lang w:bidi="fa-IR"/>
        </w:rPr>
        <w:t>.</w:t>
      </w:r>
    </w:p>
    <w:p>
      <w:pPr>
        <w:pStyle w:val="Heading5"/>
        <w:numPr>
          <w:ilvl w:val="4"/>
          <w:numId w:val="1"/>
        </w:numPr>
        <w:rPr/>
      </w:pPr>
      <w:bookmarkStart w:id="1122" w:name="__RefHeading___Toc3300448_1468164448"/>
      <w:bookmarkStart w:id="1123" w:name="_Toc445"/>
      <w:bookmarkEnd w:id="1122"/>
      <w:r>
        <w:rPr>
          <w:rtl w:val="true"/>
        </w:rPr>
        <w:t>أدلّة عدم حجّیة الشهرة</w:t>
      </w:r>
      <w:bookmarkEnd w:id="112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24" w:name="__RefHeading___Toc3300450_1468164448"/>
      <w:bookmarkStart w:id="1125" w:name="_Toc446"/>
      <w:bookmarkEnd w:id="1124"/>
      <w:r>
        <w:rPr>
          <w:rtl w:val="true"/>
        </w:rPr>
        <w:t>(</w:t>
      </w:r>
      <w:r>
        <w:rPr/>
        <w:t>1</w:t>
      </w:r>
      <w:r>
        <w:rPr>
          <w:rtl w:val="true"/>
        </w:rPr>
        <w:t xml:space="preserve"> ) </w:t>
      </w:r>
      <w:r>
        <w:rPr>
          <w:rtl w:val="true"/>
        </w:rPr>
        <w:t>استدلال النراقی علی عدم حجّیة الشهرة</w:t>
      </w:r>
      <w:bookmarkStart w:id="1126" w:name="pg16983_381227"/>
      <w:bookmarkEnd w:id="1125"/>
    </w:p>
    <w:p>
      <w:pPr>
        <w:pStyle w:val="BookText"/>
        <w:rPr/>
      </w:pPr>
      <w:bookmarkEnd w:id="1126"/>
      <w:r>
        <w:rPr>
          <w:rFonts w:ascii="IRNazanin" w:hAnsi="IRNazanin" w:eastAsia="IRNazanin"/>
          <w:color w:val="111111"/>
          <w:sz w:val="28"/>
          <w:sz w:val="28"/>
          <w:szCs w:val="28"/>
          <w:rtl w:val="true"/>
          <w:lang w:bidi="fa-IR"/>
        </w:rPr>
        <w:t xml:space="preserve">استدلّ النراقی علی عدم حجّیة الشهرة الفتوائیة المستقلة بأنّ المسلّم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لعدم الدلیل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رجوع المجتهد إلی مجتهد آخر، والرجوع لشهرة الفتوی لباً رجوع المجتهد إلی أقرانه</w:t>
      </w:r>
      <w:r>
        <w:rPr>
          <w:rFonts w:eastAsia="IRNazanin" w:cs="IRNazanin"/>
          <w:color w:val="111111"/>
          <w:sz w:val="28"/>
          <w:szCs w:val="28"/>
          <w:rtl w:val="true"/>
          <w:lang w:bidi="fa-IR"/>
        </w:rPr>
        <w:t>.</w:t>
      </w:r>
    </w:p>
    <w:p>
      <w:pPr>
        <w:pStyle w:val="Heading6"/>
        <w:numPr>
          <w:ilvl w:val="5"/>
          <w:numId w:val="1"/>
        </w:numPr>
        <w:rPr/>
      </w:pPr>
      <w:bookmarkStart w:id="1127" w:name="__RefHeading___Toc3300452_1468164448"/>
      <w:bookmarkStart w:id="1128" w:name="_Toc447"/>
      <w:bookmarkEnd w:id="1127"/>
      <w:r>
        <w:rPr>
          <w:rtl w:val="true"/>
        </w:rPr>
        <w:t>ملاحظة نقدیة من النراقی</w:t>
      </w:r>
      <w:bookmarkEnd w:id="1128"/>
    </w:p>
    <w:p>
      <w:pPr>
        <w:pStyle w:val="BookText"/>
        <w:rPr/>
      </w:pPr>
      <w:r>
        <w:rPr>
          <w:rFonts w:ascii="IRNazanin" w:hAnsi="IRNazanin" w:eastAsia="IRNazanin"/>
          <w:color w:val="111111"/>
          <w:sz w:val="28"/>
          <w:sz w:val="28"/>
          <w:szCs w:val="28"/>
          <w:rtl w:val="true"/>
          <w:lang w:bidi="fa-IR"/>
        </w:rPr>
        <w:t xml:space="preserve">ثمّ أشکل علی هذا الإستدلال بالفرق الموضوعی بین رجوع الفقیه إلی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تعویل علی فتوی واحدة ومن حیث هی فهم المفتی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رجوعه إلی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تعویل علی تظافر الفهم، وهو خصیصة مفقودة فی فتوی الفقیه الواحد</w:t>
      </w:r>
      <w:r>
        <w:rPr>
          <w:rFonts w:eastAsia="IRNazanin" w:cs="IRNazanin"/>
          <w:color w:val="111111"/>
          <w:sz w:val="28"/>
          <w:szCs w:val="28"/>
          <w:rtl w:val="true"/>
          <w:lang w:bidi="fa-IR"/>
        </w:rPr>
        <w:t>. ]</w:t>
      </w:r>
    </w:p>
    <w:p>
      <w:pPr>
        <w:pStyle w:val="Heading6"/>
        <w:numPr>
          <w:ilvl w:val="5"/>
          <w:numId w:val="1"/>
        </w:numPr>
        <w:rPr/>
      </w:pPr>
      <w:bookmarkStart w:id="1129" w:name="__RefHeading___Toc3300454_1468164448"/>
      <w:bookmarkStart w:id="1130" w:name="_Toc448"/>
      <w:bookmarkEnd w:id="1129"/>
      <w:r>
        <w:rPr>
          <w:rtl w:val="true"/>
        </w:rPr>
        <w:t>إجابة عن إشکال النراقی</w:t>
      </w:r>
      <w:bookmarkEnd w:id="1130"/>
    </w:p>
    <w:p>
      <w:pPr>
        <w:pStyle w:val="BookText"/>
        <w:rPr/>
      </w:pPr>
      <w:r>
        <w:rPr>
          <w:rFonts w:ascii="IRNazanin" w:hAnsi="IRNazanin" w:eastAsia="IRNazanin"/>
          <w:color w:val="111111"/>
          <w:sz w:val="28"/>
          <w:sz w:val="28"/>
          <w:szCs w:val="28"/>
          <w:rtl w:val="true"/>
          <w:lang w:bidi="fa-IR"/>
        </w:rPr>
        <w:t>ویلاحظ علی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التقلید لا یتقوّم بالرجوع إلی مجتهد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درج ذلک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یتحقق بالرجوع إلی جماعة متفقین، فالرجوع إلی الشهرة لا یعدو التقلید</w:t>
      </w:r>
      <w:r>
        <w:rPr>
          <w:rFonts w:eastAsia="IRNazanin" w:cs="IRNazanin"/>
          <w:color w:val="111111"/>
          <w:sz w:val="28"/>
          <w:szCs w:val="28"/>
          <w:rtl w:val="true"/>
          <w:lang w:bidi="fa-IR"/>
        </w:rPr>
        <w:t>.</w:t>
      </w:r>
    </w:p>
    <w:p>
      <w:pPr>
        <w:pStyle w:val="Heading6"/>
        <w:numPr>
          <w:ilvl w:val="5"/>
          <w:numId w:val="1"/>
        </w:numPr>
        <w:rPr/>
      </w:pPr>
      <w:bookmarkStart w:id="1131" w:name="__RefHeading___Toc3300456_1468164448"/>
      <w:bookmarkStart w:id="1132" w:name="_Toc449"/>
      <w:bookmarkEnd w:id="1131"/>
      <w:r>
        <w:rPr>
          <w:rtl w:val="true"/>
        </w:rPr>
        <w:t>ملاحظة أخری علی الإستدلال</w:t>
      </w:r>
      <w:bookmarkEnd w:id="1132"/>
    </w:p>
    <w:p>
      <w:pPr>
        <w:pStyle w:val="BookText"/>
        <w:rPr/>
      </w:pPr>
      <w:r>
        <w:rPr>
          <w:rFonts w:ascii="IRNazanin" w:hAnsi="IRNazanin" w:eastAsia="IRNazanin"/>
          <w:color w:val="111111"/>
          <w:sz w:val="28"/>
          <w:sz w:val="28"/>
          <w:szCs w:val="28"/>
          <w:rtl w:val="true"/>
          <w:lang w:bidi="fa-IR"/>
        </w:rPr>
        <w:t>نعم، یمکن الملاحظة علی الاستدلال بأنه وإن کان تقلیداً إلاّ أنه من نمط خاص، لا دلیل علی حرمته، أو أنّ رجوع الخبیر إلیهم من جهة خاصة وهی التظافر لا غیر، أو أنّ حرمة التقلید قابلة للتخصیص کما عند الإنسدادی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لیس الرجوع إلی الشهرة من باب تقلید الخبیر للخبیر المحرّم</w:t>
      </w:r>
      <w:r>
        <w:rPr>
          <w:rFonts w:eastAsia="IRNazanin" w:cs="IRNazanin"/>
          <w:color w:val="111111"/>
          <w:sz w:val="28"/>
          <w:szCs w:val="28"/>
          <w:rtl w:val="true"/>
          <w:lang w:bidi="fa-IR"/>
        </w:rPr>
        <w:t>.</w:t>
      </w:r>
    </w:p>
    <w:p>
      <w:pPr>
        <w:pStyle w:val="Heading6"/>
        <w:numPr>
          <w:ilvl w:val="5"/>
          <w:numId w:val="1"/>
        </w:numPr>
        <w:rPr/>
      </w:pPr>
      <w:bookmarkStart w:id="1133" w:name="__RefHeading___Toc3300458_1468164448"/>
      <w:bookmarkStart w:id="1134" w:name="_Toc450"/>
      <w:bookmarkEnd w:id="1133"/>
      <w:r>
        <w:rPr>
          <w:rtl w:val="true"/>
        </w:rPr>
        <w:t>وجاهة إستدلاله</w:t>
      </w:r>
      <w:bookmarkEnd w:id="113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یبقی استدلاله وجیهاً بعد أن لم یکن هناک دلیل خاص علی الجواز یسمح للمجتهد أن یرجع إلی المجتهد بهذا القدر</w:t>
      </w:r>
      <w:r>
        <w:rPr>
          <w:rFonts w:eastAsia="IRNazanin" w:cs="IRNazanin"/>
          <w:color w:val="111111"/>
          <w:sz w:val="28"/>
          <w:szCs w:val="28"/>
          <w:rtl w:val="true"/>
          <w:lang w:bidi="fa-IR"/>
        </w:rPr>
        <w:t>.</w:t>
      </w:r>
      <w:bookmarkStart w:id="1135" w:name="pg16983_381229"/>
    </w:p>
    <w:p>
      <w:pPr>
        <w:pStyle w:val="Heading6"/>
        <w:numPr>
          <w:ilvl w:val="5"/>
          <w:numId w:val="1"/>
        </w:numPr>
        <w:rPr/>
      </w:pPr>
      <w:bookmarkStart w:id="1136" w:name="__RefHeading___Toc3300460_1468164448"/>
      <w:bookmarkStart w:id="1137" w:name="_Toc451"/>
      <w:bookmarkEnd w:id="1135"/>
      <w:bookmarkEnd w:id="1136"/>
      <w:r>
        <w:rPr>
          <w:rtl w:val="true"/>
        </w:rPr>
        <w:t>(</w:t>
      </w:r>
      <w:r>
        <w:rPr/>
        <w:t>2</w:t>
      </w:r>
      <w:r>
        <w:rPr>
          <w:rtl w:val="true"/>
        </w:rPr>
        <w:t xml:space="preserve"> ) </w:t>
      </w:r>
      <w:r>
        <w:rPr>
          <w:rtl w:val="true"/>
        </w:rPr>
        <w:t>القول بحجّیتها یستلزم عدم حجّیتها</w:t>
      </w:r>
      <w:bookmarkEnd w:id="1137"/>
    </w:p>
    <w:p>
      <w:pPr>
        <w:pStyle w:val="BookText"/>
        <w:rPr/>
      </w:pPr>
      <w:r>
        <w:rPr>
          <w:rFonts w:ascii="IRNazanin" w:hAnsi="IRNazanin" w:eastAsia="IRNazanin"/>
          <w:color w:val="111111"/>
          <w:sz w:val="28"/>
          <w:sz w:val="28"/>
          <w:szCs w:val="28"/>
          <w:rtl w:val="true"/>
          <w:lang w:bidi="fa-IR"/>
        </w:rPr>
        <w:t>دلیل آخر علی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بحجّیة الشهرة الفتوائیة یستلزم عدم حجّیتها؛ لأنّ مشهور علماء الأصول و الفقه علی عدم حجّیة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الاستدلال من باب شمول القضیة لنفسها، وهو ممتنع قانوناً لا ملاکاً، بل قال بعض بالإمتناع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فیه فی خبر الواحد</w:t>
      </w:r>
      <w:r>
        <w:rPr>
          <w:rFonts w:eastAsia="IRNazanin" w:cs="IRNazanin"/>
          <w:color w:val="111111"/>
          <w:sz w:val="28"/>
          <w:szCs w:val="28"/>
          <w:rtl w:val="true"/>
          <w:lang w:bidi="fa-IR"/>
        </w:rPr>
        <w:t>.</w:t>
      </w:r>
    </w:p>
    <w:p>
      <w:pPr>
        <w:pStyle w:val="Heading6"/>
        <w:numPr>
          <w:ilvl w:val="5"/>
          <w:numId w:val="1"/>
        </w:numPr>
        <w:rPr/>
      </w:pPr>
      <w:bookmarkStart w:id="1138" w:name="__RefHeading___Toc3300462_1468164448"/>
      <w:bookmarkStart w:id="1139" w:name="_Toc452"/>
      <w:bookmarkEnd w:id="1138"/>
      <w:r>
        <w:rPr>
          <w:rtl w:val="true"/>
        </w:rPr>
        <w:t>(</w:t>
      </w:r>
      <w:r>
        <w:rPr/>
        <w:t>3</w:t>
      </w:r>
      <w:r>
        <w:rPr>
          <w:rtl w:val="true"/>
        </w:rPr>
        <w:t xml:space="preserve"> ) </w:t>
      </w:r>
      <w:r>
        <w:rPr>
          <w:rtl w:val="true"/>
        </w:rPr>
        <w:t>عدم إمکان إثبات حجّیتها بروایة واحدة</w:t>
      </w:r>
      <w:bookmarkEnd w:id="113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ثالث علی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هو إثبات حجّیتها فی کلّ الأبواب ولو کمتمّم للأدلّة عند إعواز النص، ومثل هذا لا یمکن أن یثبت بروایة واحدة، خاصة مع عدم صراحة دلالتها وذلک لما ذکرناه فی بحث الإجماع من ضرورة تناسب الدلیل مع أهمیة المطلوب إثباته</w:t>
      </w:r>
      <w:r>
        <w:rPr>
          <w:rFonts w:eastAsia="IRNazanin" w:cs="IRNazanin"/>
          <w:color w:val="111111"/>
          <w:sz w:val="28"/>
          <w:szCs w:val="28"/>
          <w:rtl w:val="true"/>
          <w:lang w:bidi="fa-IR"/>
        </w:rPr>
        <w:t>.</w:t>
      </w:r>
      <w:bookmarkStart w:id="1140" w:name="pg16983_381231"/>
    </w:p>
    <w:p>
      <w:pPr>
        <w:pStyle w:val="Heading4"/>
        <w:numPr>
          <w:ilvl w:val="3"/>
          <w:numId w:val="1"/>
        </w:numPr>
        <w:rPr/>
      </w:pPr>
      <w:bookmarkStart w:id="1141" w:name="__RefHeading___Toc3300464_1468164448"/>
      <w:bookmarkStart w:id="1142" w:name="_Toc453"/>
      <w:bookmarkEnd w:id="1140"/>
      <w:bookmarkEnd w:id="1141"/>
      <w:r>
        <w:rPr/>
        <w:t>3</w:t>
      </w:r>
      <w:r>
        <w:rPr>
          <w:rtl w:val="true"/>
        </w:rPr>
        <w:t xml:space="preserve"> . </w:t>
      </w:r>
      <w:r>
        <w:rPr>
          <w:rtl w:val="true"/>
        </w:rPr>
        <w:t>جابریة الشهرة وکاسریتها</w:t>
      </w:r>
      <w:bookmarkEnd w:id="1142"/>
    </w:p>
    <w:p>
      <w:pPr>
        <w:pStyle w:val="Heading5"/>
        <w:numPr>
          <w:ilvl w:val="4"/>
          <w:numId w:val="1"/>
        </w:numPr>
        <w:rPr/>
      </w:pPr>
      <w:bookmarkStart w:id="1143" w:name="__RefHeading___Toc3300466_1468164448"/>
      <w:bookmarkStart w:id="1144" w:name="_Toc454"/>
      <w:bookmarkEnd w:id="1143"/>
      <w:r>
        <w:rPr>
          <w:rtl w:val="true"/>
        </w:rPr>
        <w:t>تغایر ماهیة الشهرة الروائیة والعملیة مع ماهیة الشهرة الفتوائیة</w:t>
      </w:r>
      <w:bookmarkEnd w:id="1144"/>
    </w:p>
    <w:p>
      <w:pPr>
        <w:pStyle w:val="BookText"/>
        <w:rPr/>
      </w:pPr>
      <w:r>
        <w:rPr>
          <w:rFonts w:ascii="IRNazanin" w:hAnsi="IRNazanin" w:eastAsia="IRNazanin"/>
          <w:color w:val="111111"/>
          <w:sz w:val="28"/>
          <w:sz w:val="28"/>
          <w:szCs w:val="28"/>
          <w:rtl w:val="true"/>
          <w:lang w:bidi="fa-IR"/>
        </w:rPr>
        <w:t>ماهیة الشهرة الروائیة والعملیة لیست مستقلة؛ لأنّ مصبها ومتعلّقها لیس الحکم الشرعی، وإنما هو صدور الروایة وسندها وطریقها، ومن ثمّ لا معنی للحدیث عن حجّیتهما المستقلة، بخلاف الشهرة الفتوائیة، فإنّ متعلّقها هو الحکم الشرعی، وبالتالی أمکن الحدیث عن حجّیتها المستقلة إضافة علی الحدیث فی حدّ حجّیة خبر الواحد والظهور</w:t>
      </w:r>
      <w:r>
        <w:rPr>
          <w:rFonts w:eastAsia="IRNazanin" w:cs="IRNazanin"/>
          <w:color w:val="111111"/>
          <w:sz w:val="28"/>
          <w:szCs w:val="28"/>
          <w:rtl w:val="true"/>
          <w:lang w:bidi="fa-IR"/>
        </w:rPr>
        <w:t>.</w:t>
      </w:r>
    </w:p>
    <w:p>
      <w:pPr>
        <w:pStyle w:val="Heading5"/>
        <w:numPr>
          <w:ilvl w:val="4"/>
          <w:numId w:val="1"/>
        </w:numPr>
        <w:rPr/>
      </w:pPr>
      <w:bookmarkStart w:id="1145" w:name="__RefHeading___Toc3300468_1468164448"/>
      <w:bookmarkStart w:id="1146" w:name="_Toc455"/>
      <w:bookmarkEnd w:id="1145"/>
      <w:r>
        <w:rPr>
          <w:rtl w:val="true"/>
        </w:rPr>
        <w:t>معنی الجبر</w:t>
      </w:r>
      <w:bookmarkEnd w:id="1146"/>
    </w:p>
    <w:p>
      <w:pPr>
        <w:pStyle w:val="BookText"/>
        <w:rPr/>
      </w:pPr>
      <w:r>
        <w:rPr>
          <w:rFonts w:ascii="IRNazanin" w:hAnsi="IRNazanin" w:eastAsia="IRNazanin"/>
          <w:color w:val="111111"/>
          <w:sz w:val="28"/>
          <w:sz w:val="28"/>
          <w:szCs w:val="28"/>
          <w:rtl w:val="true"/>
          <w:lang w:bidi="fa-IR"/>
        </w:rPr>
        <w:t xml:space="preserve">الجبر هو الترمیم لنقص فی شیء، وبالتالی فهو الانضمام والجزئیة، لا الاستقلال والکلّیة، علماً أنه کثیراً مّا لا یتمّ الوصول إلی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طی حجج متعددة ینضمّ بعضها إلی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الواحد والظهور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یمکن التعرف علی الحکم الفقهی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یعنی ذلک أنّ خبر الواحد أو الظهور فی مثل تلک الحالات لیس حجّة مستقلة؛ لأنّ الحجّة المستقلة لا تعنی إمکان الإستنباط منها وحدها، وإنما تعنی أنها لیست حجّة أفقیة وفی عرض حجّة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وإن لم تکشف عن الواقع مباشرة ولکنّها تبقی مستقلة؛ لأنّ علاقتها مع الحجج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لابدّ منها معها فی استنباط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الواحد یکشف عن الظهور، والظهور یکشف عن الواقع، فهو کاشف عن الکاشف ولیس ضمنیاً وغیر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فالطولیة نحو انضمام وحاجة وتکافل، ولکن لیست من نحو الضمیمة والجزء العرضی</w:t>
      </w:r>
      <w:r>
        <w:rPr>
          <w:rFonts w:eastAsia="IRNazanin" w:cs="IRNazanin"/>
          <w:color w:val="111111"/>
          <w:sz w:val="28"/>
          <w:szCs w:val="28"/>
          <w:rtl w:val="true"/>
          <w:lang w:bidi="fa-IR"/>
        </w:rPr>
        <w:t>.</w:t>
      </w:r>
      <w:bookmarkStart w:id="1147" w:name="pg16983_381233"/>
    </w:p>
    <w:p>
      <w:pPr>
        <w:pStyle w:val="Heading5"/>
        <w:numPr>
          <w:ilvl w:val="4"/>
          <w:numId w:val="1"/>
        </w:numPr>
        <w:rPr/>
      </w:pPr>
      <w:bookmarkStart w:id="1148" w:name="__RefHeading___Toc3300470_1468164448"/>
      <w:bookmarkStart w:id="1149" w:name="_Toc456"/>
      <w:bookmarkEnd w:id="1147"/>
      <w:bookmarkEnd w:id="1148"/>
      <w:r>
        <w:rPr>
          <w:rtl w:val="true"/>
        </w:rPr>
        <w:t>عدم الملازمة بین الحجّیة المستقلة وغیر المستقلة</w:t>
      </w:r>
      <w:bookmarkEnd w:id="1149"/>
    </w:p>
    <w:p>
      <w:pPr>
        <w:pStyle w:val="BookText"/>
        <w:rPr/>
      </w:pPr>
      <w:r>
        <w:rPr>
          <w:rFonts w:ascii="IRNazanin" w:hAnsi="IRNazanin" w:eastAsia="IRNazanin"/>
          <w:color w:val="111111"/>
          <w:sz w:val="28"/>
          <w:sz w:val="28"/>
          <w:szCs w:val="28"/>
          <w:rtl w:val="true"/>
          <w:lang w:bidi="fa-IR"/>
        </w:rPr>
        <w:t xml:space="preserve">الحجّیة المستقلة و غیر المستقلة سنخان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أجنبی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یلازم أحدهما الآخر، لا طرداً ولا 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یحتاج إلی دلیل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الواحد حجّة مستقلة، إلاّ أنه لا یصلح مرجّحاً عند التعارض، وقاعدة الید حجّة مستقلة من دون أن یعنی ذلک أنها مرجح عند التعارض، والشهرة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القائل بحجّیتها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یلازم کونها جابرة وکاسرة، وإنما لابدّ من استئناف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بالمقابل، صفات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غیر مستقلة، یُرجّح بها عند التعارض من دون أن یلزم ذلک حجّیتها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حجّیة أحدهما أو عدم حجّیته لا یدلّ علی حجّیة الآخر أو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تقدّم یتبلور اللبس الذی وقع به البعض من أنّ الشهرة لمّا لم تکن حجّة مستقلة فهی لیست جابرة کاسرة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یعقل أن یکون غیر الحجّة کاسراً للحجّة أو جابراً للضعیف بحیث یرقی به إلی مصاف الحجّة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دمج بین الحجّتین المستقلة وغیر المستقلة مع أنّهما سنخان علی صعید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الروائیة والعملیة ماهیة غیر مستقلة فلا یعقل أن تکون حجّة مستقلة، وأنّ الحجّة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یتأتی منها الجبر والکسر فإنها متأخرة رتبة عن خبر الواحد، الذی یؤکد عدم ملازمتها للجبر والکسر</w:t>
      </w:r>
      <w:r>
        <w:rPr>
          <w:rFonts w:eastAsia="IRNazanin" w:cs="IRNazanin"/>
          <w:color w:val="111111"/>
          <w:sz w:val="28"/>
          <w:szCs w:val="28"/>
          <w:rtl w:val="true"/>
          <w:lang w:bidi="fa-IR"/>
        </w:rPr>
        <w:t>.</w:t>
      </w:r>
    </w:p>
    <w:p>
      <w:pPr>
        <w:pStyle w:val="Heading5"/>
        <w:numPr>
          <w:ilvl w:val="4"/>
          <w:numId w:val="1"/>
        </w:numPr>
        <w:rPr/>
      </w:pPr>
      <w:bookmarkStart w:id="1150" w:name="__RefHeading___Toc3300472_1468164448"/>
      <w:bookmarkStart w:id="1151" w:name="_Toc457"/>
      <w:bookmarkEnd w:id="1150"/>
      <w:r>
        <w:rPr>
          <w:rtl w:val="true"/>
        </w:rPr>
        <w:t>معنی حجّیة الشهرة</w:t>
      </w:r>
      <w:bookmarkEnd w:id="1151"/>
    </w:p>
    <w:p>
      <w:pPr>
        <w:pStyle w:val="Heading6"/>
        <w:numPr>
          <w:ilvl w:val="5"/>
          <w:numId w:val="1"/>
        </w:numPr>
        <w:rPr/>
      </w:pPr>
      <w:bookmarkStart w:id="1152" w:name="__RefHeading___Toc3300474_1468164448"/>
      <w:bookmarkStart w:id="1153" w:name="_Toc458"/>
      <w:bookmarkEnd w:id="1152"/>
      <w:r>
        <w:rPr>
          <w:rtl w:val="true"/>
        </w:rPr>
        <w:t>اشارة</w:t>
      </w:r>
      <w:bookmarkEnd w:id="115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جزء الحجّة ماهیة ومحمولاً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بعض 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الشهرة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مستقلة، ولکن فی مقام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الجبر والکسر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حجّة</w:t>
      </w:r>
      <w:bookmarkStart w:id="1154" w:name="pg16983_381235"/>
    </w:p>
    <w:p>
      <w:pPr>
        <w:pStyle w:val="BookText"/>
        <w:rPr/>
      </w:pPr>
      <w:bookmarkEnd w:id="1154"/>
      <w:r>
        <w:rPr>
          <w:rFonts w:ascii="IRNazanin" w:hAnsi="IRNazanin" w:eastAsia="IRNazanin"/>
          <w:color w:val="111111"/>
          <w:sz w:val="28"/>
          <w:sz w:val="28"/>
          <w:szCs w:val="28"/>
          <w:rtl w:val="true"/>
          <w:lang w:bidi="fa-IR"/>
        </w:rPr>
        <w:t xml:space="preserve">غیر مستقلة علی حدّ المرجّح بین المتعارضین ولکن مع فارق أنّ المرجّح جزء الحجّة من طرف المحمول، وأنّ الشهرة جزء الحجّة من طرف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إنها تحقق صغری لموضوع کبری وهی 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الجبر، وفی الکسر تفعل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تعدّ صغری الموضوع</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5" w:name="__RefHeading___Toc3300476_1468164448"/>
      <w:bookmarkStart w:id="1156" w:name="_Toc459"/>
      <w:bookmarkEnd w:id="1155"/>
      <w:r>
        <w:rPr>
          <w:rtl w:val="true"/>
        </w:rPr>
        <w:t>تقریب لجابریة الشهرة</w:t>
      </w:r>
      <w:bookmarkEnd w:id="1156"/>
    </w:p>
    <w:p>
      <w:pPr>
        <w:pStyle w:val="BookText"/>
        <w:rPr/>
      </w:pPr>
      <w:r>
        <w:rPr>
          <w:rFonts w:ascii="IRNazanin" w:hAnsi="IRNazanin" w:eastAsia="IRNazanin"/>
          <w:color w:val="111111"/>
          <w:sz w:val="28"/>
          <w:sz w:val="28"/>
          <w:szCs w:val="28"/>
          <w:rtl w:val="true"/>
          <w:lang w:bidi="fa-IR"/>
        </w:rPr>
        <w:t xml:space="preserve">یمکن الإستدلال بصحیحة عمر بن حنظلة علی جابریة الشهرة وکاسریتها؛ لأنّ الصحیحة دلّت علی أنها حجّة غیر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والمرجّح إما مساو للجابریة والکاسریة أو أعمّ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مرتبط بالمحمول، والجبر والکسر مرتبط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الحالین یمکن القول بحجّیة الشهرة غیر المستقلة بمعنی الجبر والکسر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صعید الحجّیة للشهرة کمنشأ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تعبداً أو یعدم تعبداً صغری الموضوع الکلّی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علی صعید حجّیتها کمنشأ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أنها عبارة عن قرائن متراکمة توجب الوثوق والإطمئنان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بنینا فی حجّیة خبر الواحد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الخبر الموثوق بصدوره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فدور الشهرة واضح فی أنها توجد تکویناً صغری الموضوع أو تعدمه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بنینا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فدور الشهرة یتضح مع القول بأنّ حجّیة خبر الثقة مشروطة بعدم الظن بالخلاف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لمعارضته ومن باب تدافع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لقصور دلیل اعتبار الحجّیة عن شموله لمثل هذه الحالة نظیر ما یبحث من أنّ حجّیة الظهور هل هی</w:t>
      </w:r>
      <w:bookmarkStart w:id="1157" w:name="pg16983_381237"/>
    </w:p>
    <w:p>
      <w:pPr>
        <w:pStyle w:val="BookText"/>
        <w:rPr/>
      </w:pPr>
      <w:bookmarkEnd w:id="1157"/>
      <w:r>
        <w:rPr>
          <w:rFonts w:ascii="IRNazanin" w:hAnsi="IRNazanin" w:eastAsia="IRNazanin"/>
          <w:color w:val="111111"/>
          <w:sz w:val="28"/>
          <w:sz w:val="28"/>
          <w:szCs w:val="28"/>
          <w:rtl w:val="true"/>
          <w:lang w:bidi="fa-IR"/>
        </w:rPr>
        <w:t xml:space="preserve">مشروطة بعدم الظن بالخلاف أو لا؟ فإنّ الظن وإن لم یکن حجّة مستقلة ولکنّه قد یکون جزء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دلیل اعتبار الظهور حجّة لا إطلاق فیه، وإنما مقیّد بعدم الظن بالخلاف أولاً</w:t>
      </w:r>
      <w:r>
        <w:rPr>
          <w:rFonts w:eastAsia="IRNazanin" w:cs="IRNazanin"/>
          <w:color w:val="111111"/>
          <w:sz w:val="28"/>
          <w:szCs w:val="28"/>
          <w:rtl w:val="true"/>
          <w:lang w:bidi="fa-IR"/>
        </w:rPr>
        <w:t>. ]</w:t>
      </w:r>
    </w:p>
    <w:p>
      <w:pPr>
        <w:pStyle w:val="Heading6"/>
        <w:numPr>
          <w:ilvl w:val="5"/>
          <w:numId w:val="1"/>
        </w:numPr>
        <w:rPr/>
      </w:pPr>
      <w:bookmarkStart w:id="1158" w:name="__RefHeading___Toc3300478_1468164448"/>
      <w:bookmarkStart w:id="1159" w:name="_Toc460"/>
      <w:bookmarkEnd w:id="1158"/>
      <w:r>
        <w:rPr>
          <w:rtl w:val="true"/>
        </w:rPr>
        <w:t>متعلّق الجبر والکسر</w:t>
      </w:r>
      <w:bookmarkEnd w:id="1159"/>
    </w:p>
    <w:p>
      <w:pPr>
        <w:pStyle w:val="BookText"/>
        <w:rPr/>
      </w:pPr>
      <w:r>
        <w:rPr>
          <w:rFonts w:ascii="IRNazanin" w:hAnsi="IRNazanin" w:eastAsia="IRNazanin"/>
          <w:color w:val="111111"/>
          <w:sz w:val="28"/>
          <w:sz w:val="28"/>
          <w:szCs w:val="28"/>
          <w:rtl w:val="true"/>
          <w:lang w:bidi="fa-IR"/>
        </w:rPr>
        <w:t>الشهرة تجبر وتکسر السند والطریق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تجبر وتکسر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فی روایات قاعدة المیسور، بأنّ هناک شهرةً علی وجود تقدیر خفی علینا بحدّ من سعة دلالتها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تبنّاه المحقق الإصفهانی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اعتمد فی فهمها علی فهم فقهاء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جهة صدور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کانت الروایة بحسب الظاهر لیست مختلفة فی جهة صدورها، إلاّ أنّ المشهور بنی علی أنها صدرت تقیة أو العکس، کما إذا کانت هناک قرائن علی التقیة، إلاّ أنّ المشهور لم یبن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الطریق کالشهرة علی وثاقة رجل</w:t>
      </w:r>
      <w:r>
        <w:rPr>
          <w:rFonts w:eastAsia="IRNazanin" w:cs="IRNazanin"/>
          <w:color w:val="111111"/>
          <w:sz w:val="28"/>
          <w:szCs w:val="28"/>
          <w:rtl w:val="true"/>
          <w:lang w:bidi="fa-IR"/>
        </w:rPr>
        <w:t>.</w:t>
      </w:r>
    </w:p>
    <w:p>
      <w:pPr>
        <w:pStyle w:val="Heading6"/>
        <w:numPr>
          <w:ilvl w:val="5"/>
          <w:numId w:val="1"/>
        </w:numPr>
        <w:rPr/>
      </w:pPr>
      <w:bookmarkStart w:id="1160" w:name="__RefHeading___Toc3300480_1468164448"/>
      <w:bookmarkStart w:id="1161" w:name="_Toc461"/>
      <w:bookmarkEnd w:id="1160"/>
      <w:r>
        <w:rPr>
          <w:rtl w:val="true"/>
        </w:rPr>
        <w:t>تصحیح ما قد قیل</w:t>
      </w:r>
      <w:bookmarkEnd w:id="1161"/>
    </w:p>
    <w:p>
      <w:pPr>
        <w:pStyle w:val="BookText"/>
        <w:rPr/>
      </w:pPr>
      <w:r>
        <w:rPr>
          <w:rFonts w:ascii="IRNazanin" w:hAnsi="IRNazanin" w:eastAsia="IRNazanin"/>
          <w:color w:val="111111"/>
          <w:sz w:val="28"/>
          <w:sz w:val="28"/>
          <w:szCs w:val="28"/>
          <w:rtl w:val="true"/>
          <w:lang w:bidi="fa-IR"/>
        </w:rPr>
        <w:t>والصحیح عدم جود علاقة بین هذه الأقسام وبین جبر الشهرة وکسرها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فهم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یعتمد علی شهرة فقهاء العرب من جهة کونها جابرة، وإنما من جهة الإستشهاد بارتکازهم وتبادرهم بما أنّهم من أهل اللغة، حیث لا یعقل تقدیم تبادر الأجنبی عن اللغة علی تبادر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القسم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فیرجع إلی توثیق الرجل لا إلی جبر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المبنی العمدة عند الرجالیین فی الجرح والتعدیل هو تحصیل الإطمئنان، والشهرة توجب الإطمئنان</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جهة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الإعتماد علی الشهرة من جهة أنها حجّة غیر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جابرة وکاسرة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 جهة أنّ</w:t>
      </w:r>
    </w:p>
    <w:p>
      <w:pPr>
        <w:pStyle w:val="BookText"/>
        <w:rPr/>
      </w:pPr>
      <w:r>
        <w:rPr>
          <w:rFonts w:ascii="IRNazanin" w:hAnsi="IRNazanin" w:eastAsia="IRNazanin"/>
          <w:color w:val="111111"/>
          <w:sz w:val="28"/>
          <w:sz w:val="28"/>
          <w:szCs w:val="28"/>
          <w:rtl w:val="true"/>
          <w:lang w:bidi="fa-IR"/>
        </w:rPr>
        <w:t>أصالة الصدور أصل عقلائی، فمع بناء المشهور علی أنّ خبراً مّا للتقیة لا یجری الأصل العقلائی، لأنه إنما یجری مع الشک العادی لا الشک المستند إلی جمهرة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فدور الشهرة هو أنها تزعزع أصالة البیان، وهو أجنبی عن کونها جابرة وکاسرة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فیشکل البناء علیه مطلقاً، کما یشکل ردّه مطلقاً؛ لأنه یحتمل فی الشهرة رجوعها إلی الإخبار عن اللفظ الساقط، أو ترجیح نسخة، أو الإجمال فی الإطلاق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مقام البیان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الإحتمال الاول والثانی فقد ذکروا أنها لیست بحجّة ما لم تتوفّر فیها شرائط الخبر؛ لأنّ حقیقتها ترجع إلی الإخبار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الإحتمال الثالث فهی معتمدة إذا کانت شهرة متقدّمین، حیث یمکن فی حقهم إطّلاعهم علی قرینة حالیة خفیت علینا، فلا تجری حینئذ أصالة الإطلاق وعدم التقیید ولکن اعتمادها لا من باب الجبر والکسر، وإنما من باب أنها قرینة مجملة، أو کاشفة عن قرینة تمنع من الإطلاق</w:t>
      </w:r>
      <w:r>
        <w:rPr>
          <w:rFonts w:eastAsia="IRNazanin" w:cs="IRNazanin"/>
          <w:color w:val="111111"/>
          <w:sz w:val="28"/>
          <w:szCs w:val="28"/>
          <w:rtl w:val="true"/>
          <w:lang w:bidi="fa-IR"/>
        </w:rPr>
        <w:t>.</w:t>
      </w:r>
      <w:r>
        <w:rPr>
          <w:rStyle w:val="FootnoteAnchor"/>
          <w:rtl w:val="true"/>
        </w:rPr>
        <w:footnoteReference w:id="173"/>
      </w:r>
      <w:bookmarkStart w:id="1162" w:name="pg16983_381243"/>
    </w:p>
    <w:p>
      <w:pPr>
        <w:pStyle w:val="Heading3"/>
        <w:numPr>
          <w:ilvl w:val="2"/>
          <w:numId w:val="1"/>
        </w:numPr>
        <w:rPr/>
      </w:pPr>
      <w:bookmarkStart w:id="1163" w:name="__RefHeading___Toc3300482_1468164448"/>
      <w:bookmarkStart w:id="1164" w:name="_Toc462"/>
      <w:bookmarkEnd w:id="1162"/>
      <w:bookmarkEnd w:id="1163"/>
      <w:r>
        <w:rPr/>
        <w:t>6</w:t>
      </w:r>
      <w:r>
        <w:rPr>
          <w:rtl w:val="true"/>
        </w:rPr>
        <w:t xml:space="preserve"> . </w:t>
      </w:r>
      <w:r>
        <w:rPr>
          <w:rtl w:val="true"/>
        </w:rPr>
        <w:t>خبر الواحد</w:t>
      </w:r>
      <w:bookmarkEnd w:id="11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5" w:name="__RefHeading___Toc3300484_1468164448"/>
      <w:bookmarkStart w:id="1166" w:name="_Toc463"/>
      <w:bookmarkEnd w:id="1165"/>
      <w:r>
        <w:rPr>
          <w:rtl w:val="true"/>
        </w:rPr>
        <w:t>اشارة</w:t>
      </w:r>
      <w:bookmarkStart w:id="1167" w:name="pg16983_381247"/>
      <w:bookmarkEnd w:id="1166"/>
    </w:p>
    <w:p>
      <w:pPr>
        <w:pStyle w:val="Heading4"/>
        <w:numPr>
          <w:ilvl w:val="3"/>
          <w:numId w:val="1"/>
        </w:numPr>
        <w:rPr/>
      </w:pPr>
      <w:bookmarkStart w:id="1168" w:name="__RefHeading___Toc3300486_1468164448"/>
      <w:bookmarkStart w:id="1169" w:name="_Toc464"/>
      <w:bookmarkEnd w:id="1167"/>
      <w:bookmarkEnd w:id="1168"/>
      <w:r>
        <w:rPr/>
        <w:t>1</w:t>
      </w:r>
      <w:r>
        <w:rPr>
          <w:rtl w:val="true"/>
        </w:rPr>
        <w:t xml:space="preserve"> . </w:t>
      </w:r>
      <w:r>
        <w:rPr>
          <w:rtl w:val="true"/>
        </w:rPr>
        <w:t>نقاط تمهیدیة</w:t>
      </w:r>
      <w:bookmarkEnd w:id="1169"/>
    </w:p>
    <w:p>
      <w:pPr>
        <w:pStyle w:val="Heading5"/>
        <w:numPr>
          <w:ilvl w:val="4"/>
          <w:numId w:val="1"/>
        </w:numPr>
        <w:rPr/>
      </w:pPr>
      <w:bookmarkStart w:id="1170" w:name="__RefHeading___Toc3300488_1468164448"/>
      <w:bookmarkStart w:id="1171" w:name="_Toc465"/>
      <w:bookmarkEnd w:id="1170"/>
      <w:r>
        <w:rPr>
          <w:rtl w:val="true"/>
        </w:rPr>
        <w:t>النقطة الأولی</w:t>
      </w:r>
      <w:r>
        <w:rPr>
          <w:rtl w:val="true"/>
        </w:rPr>
        <w:t xml:space="preserve">: </w:t>
      </w:r>
      <w:r>
        <w:rPr>
          <w:rtl w:val="true"/>
        </w:rPr>
        <w:t>أقسام الخبر</w:t>
      </w:r>
      <w:bookmarkEnd w:id="1171"/>
    </w:p>
    <w:p>
      <w:pPr>
        <w:pStyle w:val="Heading6"/>
        <w:numPr>
          <w:ilvl w:val="5"/>
          <w:numId w:val="1"/>
        </w:numPr>
        <w:rPr/>
      </w:pPr>
      <w:bookmarkStart w:id="1172" w:name="__RefHeading___Toc3300490_1468164448"/>
      <w:bookmarkStart w:id="1173" w:name="_Toc466"/>
      <w:bookmarkEnd w:id="1172"/>
      <w:r>
        <w:rPr>
          <w:rtl w:val="true"/>
        </w:rPr>
        <w:t>اشارة</w:t>
      </w:r>
      <w:bookmarkEnd w:id="1173"/>
    </w:p>
    <w:p>
      <w:pPr>
        <w:pStyle w:val="BookText"/>
        <w:rPr/>
      </w:pPr>
      <w:r>
        <w:rPr>
          <w:rFonts w:ascii="IRNazanin" w:hAnsi="IRNazanin" w:eastAsia="IRNazanin"/>
          <w:color w:val="111111"/>
          <w:sz w:val="28"/>
          <w:sz w:val="28"/>
          <w:szCs w:val="28"/>
          <w:rtl w:val="true"/>
          <w:lang w:bidi="fa-IR"/>
        </w:rPr>
        <w:t>ینقسم الخبر إلی الخبر المتواتر والمستفیض والواحد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والثانی خارجان عن بحث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سیتمّ الکلام عنه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حیث إنه قد یقع الخلط صغرویاً کان المحبّذ الوقوف عندهما شیئاً مّا</w:t>
      </w:r>
      <w:r>
        <w:rPr>
          <w:rFonts w:eastAsia="IRNazanin" w:cs="IRNazanin"/>
          <w:color w:val="111111"/>
          <w:sz w:val="28"/>
          <w:szCs w:val="28"/>
          <w:rtl w:val="true"/>
          <w:lang w:bidi="fa-IR"/>
        </w:rPr>
        <w:t>.</w:t>
      </w:r>
    </w:p>
    <w:p>
      <w:pPr>
        <w:pStyle w:val="Heading6"/>
        <w:numPr>
          <w:ilvl w:val="5"/>
          <w:numId w:val="1"/>
        </w:numPr>
        <w:rPr/>
      </w:pPr>
      <w:bookmarkStart w:id="1174" w:name="__RefHeading___Toc3300492_1468164448"/>
      <w:bookmarkStart w:id="1175" w:name="_Toc467"/>
      <w:bookmarkEnd w:id="1174"/>
      <w:r>
        <w:rPr>
          <w:rtl w:val="true"/>
        </w:rPr>
        <w:t>الخبر المتواتر</w:t>
      </w:r>
      <w:bookmarkEnd w:id="1175"/>
    </w:p>
    <w:p>
      <w:pPr>
        <w:pStyle w:val="BookText"/>
        <w:rPr/>
      </w:pPr>
      <w:r>
        <w:rPr>
          <w:rFonts w:ascii="IRNazanin" w:hAnsi="IRNazanin" w:eastAsia="IRNazanin"/>
          <w:color w:val="111111"/>
          <w:sz w:val="28"/>
          <w:sz w:val="28"/>
          <w:szCs w:val="28"/>
          <w:rtl w:val="true"/>
          <w:lang w:bidi="fa-IR"/>
        </w:rPr>
        <w:t xml:space="preserve">فالتواتر هو تعدّد الخبر بحدّ یحصل القطع بعدم تواطئهم علی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بتخریجات مختلفة منها ما ذکره السیّد الصدر وهو تخریج ریاضی یسمّی بحساب الإحتمالات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ویلاحظ من التعریف أنه لم یؤخذ الصحة والإعتبار فی عناصر التواتر وأجزائه وآحاده، فهو یتشکل حتی من الاخبار الضعاف؛ لأنّ انتاج الحجّیة التکوینیة بسبب تراکم الإحتمالات والظنون لا بسبب الحجّیة المعتبرة، فلا معنی 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ضمّ ضعیف إلی ضعیف لا تتولد حجّة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مغالطة خطیرة؛ لأنها تنتهی إلی التشطیب علی الاخبار الضعیفة فی تراثنا وعدم الإستفادة منها إطلاقاً، فی حال أنّنا لو التفتنا إلی ما ذکره المحقق الخراسانی صاحب الکفایة واحداً من أقسام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التواتر الإجمالی الذی لا یعنی سوی القطع بصدور</w:t>
      </w:r>
      <w:bookmarkStart w:id="1176" w:name="pg16983_381249"/>
    </w:p>
    <w:p>
      <w:pPr>
        <w:pStyle w:val="BookText"/>
        <w:rPr/>
      </w:pPr>
      <w:bookmarkEnd w:id="1176"/>
      <w:r>
        <w:rPr>
          <w:rFonts w:ascii="IRNazanin" w:hAnsi="IRNazanin" w:eastAsia="IRNazanin"/>
          <w:color w:val="111111"/>
          <w:sz w:val="28"/>
          <w:sz w:val="28"/>
          <w:szCs w:val="28"/>
          <w:rtl w:val="true"/>
          <w:lang w:bidi="fa-IR"/>
        </w:rPr>
        <w:t xml:space="preserve">بعض الأخبار، کالقطع بصدور بعض أخبار الوسائل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مثل هذا القطع منجّز، فتکون النتیجة هی الإعتناء بکلّ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بالإحتیاط بالعمل بمضمونها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نتیجة معاکسة تماماً لما استهدفه البعض من طرح الضعاف وإهمالها تماماً</w:t>
      </w:r>
      <w:r>
        <w:rPr>
          <w:rFonts w:eastAsia="IRNazanin" w:cs="IRNazanin"/>
          <w:color w:val="111111"/>
          <w:sz w:val="28"/>
          <w:szCs w:val="28"/>
          <w:rtl w:val="true"/>
          <w:lang w:bidi="fa-IR"/>
        </w:rPr>
        <w:t>.</w:t>
      </w:r>
    </w:p>
    <w:p>
      <w:pPr>
        <w:pStyle w:val="Heading6"/>
        <w:numPr>
          <w:ilvl w:val="5"/>
          <w:numId w:val="1"/>
        </w:numPr>
        <w:rPr/>
      </w:pPr>
      <w:bookmarkStart w:id="1177" w:name="__RefHeading___Toc3300494_1468164448"/>
      <w:bookmarkStart w:id="1178" w:name="_Toc468"/>
      <w:bookmarkEnd w:id="1177"/>
      <w:r>
        <w:rPr>
          <w:rtl w:val="true"/>
        </w:rPr>
        <w:t>التواتر المعنوی</w:t>
      </w:r>
      <w:bookmarkEnd w:id="1178"/>
    </w:p>
    <w:p>
      <w:pPr>
        <w:pStyle w:val="BookText"/>
        <w:rPr/>
      </w:pPr>
      <w:r>
        <w:rPr>
          <w:rFonts w:ascii="IRNazanin" w:hAnsi="IRNazanin" w:eastAsia="IRNazanin"/>
          <w:color w:val="111111"/>
          <w:sz w:val="28"/>
          <w:sz w:val="28"/>
          <w:szCs w:val="28"/>
          <w:rtl w:val="true"/>
          <w:lang w:bidi="fa-IR"/>
        </w:rPr>
        <w:t>واحدة من أقسام التواتر هو التواتر المعنوی، وهو اتفاق مجموعة من الروایات فی مدلولها الإلتزامی مع اختلافها لفظاً وفی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النوع لیس فی متناول کلّ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المجتهدون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ینضمّ إلی فقاهتهم واجتهادهم إحاطة وتتبع مستوعب فی الأبواب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فالخبیر الرجالی والمحدّث وفقیه الفروع والمعارف من دون تتبع وإحاطة لا یحقّ لهم منهجیاً نفی التواتر المعنوی فی مسألة أو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یعرف الخطأ الذی ارتکبه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خبیر رجالی لیس أکثر وله جهود مشکورة فی هذا المضمار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وصف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نزّهونا عن الربوبیة وقولوا فینا ما شئتم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بالوضع مع أنّه مستفیض بألفاظ متقاربة، ومتواتر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التستری معذور فی عدم اکتشافه إلاّ أنه فی الوقت نفسه لا یحقّ له أن یصف الحدیث بالوضع</w:t>
      </w:r>
      <w:r>
        <w:rPr>
          <w:rFonts w:eastAsia="IRNazanin" w:cs="IRNazanin"/>
          <w:color w:val="111111"/>
          <w:sz w:val="28"/>
          <w:szCs w:val="28"/>
          <w:rtl w:val="true"/>
          <w:lang w:bidi="fa-IR"/>
        </w:rPr>
        <w:t>.</w:t>
      </w:r>
    </w:p>
    <w:p>
      <w:pPr>
        <w:pStyle w:val="Heading6"/>
        <w:numPr>
          <w:ilvl w:val="5"/>
          <w:numId w:val="1"/>
        </w:numPr>
        <w:rPr/>
      </w:pPr>
      <w:bookmarkStart w:id="1179" w:name="__RefHeading___Toc3300496_1468164448"/>
      <w:bookmarkStart w:id="1180" w:name="_Toc469"/>
      <w:bookmarkEnd w:id="1179"/>
      <w:r>
        <w:rPr>
          <w:rtl w:val="true"/>
        </w:rPr>
        <w:t>الخبر المستفیض</w:t>
      </w:r>
      <w:bookmarkEnd w:id="11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والخبر المستفیض یشارک المتواتر فی النکات المذکورة، ویفترق</w:t>
      </w:r>
      <w:bookmarkStart w:id="1181" w:name="pg16983_381251"/>
    </w:p>
    <w:p>
      <w:pPr>
        <w:pStyle w:val="BookText"/>
        <w:rPr/>
      </w:pPr>
      <w:bookmarkEnd w:id="1181"/>
      <w:r>
        <w:rPr>
          <w:rFonts w:ascii="IRNazanin" w:hAnsi="IRNazanin" w:eastAsia="IRNazanin"/>
          <w:color w:val="111111"/>
          <w:sz w:val="28"/>
          <w:sz w:val="28"/>
          <w:szCs w:val="28"/>
          <w:rtl w:val="true"/>
          <w:lang w:bidi="fa-IR"/>
        </w:rPr>
        <w:t>عنه فی أنه عبارة عن تعدّد الخبر بنحو یطمئن بعدم تواطئهم علی الکذب</w:t>
      </w:r>
      <w:r>
        <w:rPr>
          <w:rFonts w:eastAsia="IRNazanin" w:cs="IRNazanin"/>
          <w:color w:val="111111"/>
          <w:sz w:val="28"/>
          <w:szCs w:val="28"/>
          <w:rtl w:val="true"/>
          <w:lang w:bidi="fa-IR"/>
        </w:rPr>
        <w:t>.</w:t>
      </w:r>
    </w:p>
    <w:p>
      <w:pPr>
        <w:pStyle w:val="Heading6"/>
        <w:numPr>
          <w:ilvl w:val="5"/>
          <w:numId w:val="1"/>
        </w:numPr>
        <w:rPr/>
      </w:pPr>
      <w:bookmarkStart w:id="1182" w:name="__RefHeading___Toc3300498_1468164448"/>
      <w:bookmarkStart w:id="1183" w:name="_Toc470"/>
      <w:bookmarkEnd w:id="1182"/>
      <w:r>
        <w:rPr>
          <w:rtl w:val="true"/>
        </w:rPr>
        <w:t>درجات التواتر</w:t>
      </w:r>
      <w:bookmarkEnd w:id="1183"/>
    </w:p>
    <w:p>
      <w:pPr>
        <w:pStyle w:val="BookText"/>
        <w:rPr/>
      </w:pPr>
      <w:r>
        <w:rPr>
          <w:rFonts w:ascii="IRNazanin" w:hAnsi="IRNazanin" w:eastAsia="IRNazanin"/>
          <w:color w:val="111111"/>
          <w:sz w:val="28"/>
          <w:sz w:val="28"/>
          <w:szCs w:val="28"/>
          <w:rtl w:val="true"/>
          <w:lang w:bidi="fa-IR"/>
        </w:rPr>
        <w:t xml:space="preserve">ثمّ إنّ واقع کلّ من المتواتر والمستفیض ذو دوائر تتسع وتضیق، فهناک تواتر عند البشریة، وقد یکون عند أمّة معینة، وقد یکون عند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کالمسائل المرتبطة بتراثها وحضارتها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بین أهل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خصائص اللغة المتواترة عند اللغویین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وخلفیة هذا التنوع هو اختلاف درجات الیقین ومراتبها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یؤثر علی التواتر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کتواتر أهل علم أو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الخارج عن دائرتهم، کما لا یؤثر علی التواتر عدمُ التواتر عند کلّ راو؛ لأنّ غایة ما یتفق هو انتفاء التواتر عند الأمة وعند البشریة دون التواتر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یبدأ التواتر وسیعاً ویتقلص فی الدرجات الدنیا وقد یکون بالعکس، بل قد یتحول من تواتر إلی خبر واحد فی طبقات لاحقة، وبالعکس</w:t>
      </w:r>
      <w:r>
        <w:rPr>
          <w:rFonts w:eastAsia="IRNazanin" w:cs="IRNazanin"/>
          <w:color w:val="111111"/>
          <w:sz w:val="28"/>
          <w:szCs w:val="28"/>
          <w:rtl w:val="true"/>
          <w:lang w:bidi="fa-IR"/>
        </w:rPr>
        <w:t>.</w:t>
      </w:r>
    </w:p>
    <w:p>
      <w:pPr>
        <w:pStyle w:val="Heading6"/>
        <w:numPr>
          <w:ilvl w:val="5"/>
          <w:numId w:val="1"/>
        </w:numPr>
        <w:rPr/>
      </w:pPr>
      <w:bookmarkStart w:id="1184" w:name="__RefHeading___Toc3300500_1468164448"/>
      <w:bookmarkStart w:id="1185" w:name="_Toc471"/>
      <w:bookmarkEnd w:id="1184"/>
      <w:r>
        <w:rPr>
          <w:rtl w:val="true"/>
        </w:rPr>
        <w:t>التواتر متکفل لتأمین الطریق وأجنبی عن المضمون</w:t>
      </w:r>
      <w:bookmarkEnd w:id="1185"/>
    </w:p>
    <w:p>
      <w:pPr>
        <w:pStyle w:val="BookText"/>
        <w:rPr/>
      </w:pPr>
      <w:r>
        <w:rPr>
          <w:rFonts w:ascii="IRNazanin" w:hAnsi="IRNazanin" w:eastAsia="IRNazanin"/>
          <w:color w:val="111111"/>
          <w:sz w:val="28"/>
          <w:sz w:val="28"/>
          <w:szCs w:val="28"/>
          <w:rtl w:val="true"/>
          <w:lang w:bidi="fa-IR"/>
        </w:rPr>
        <w:t xml:space="preserve">وقبل أن ننتهی من الحدیث عن التواتر ننوّه إلی أنّ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مورد فرض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یتکفل أکثر من تأمین الطریق، و أمّا المضمون فقد یکون عن معصوم وقد یکون عن غیره، وقد یکون حسیاً وقد یکون ممزوجاً بالفهم،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 هذه الحالات حکمها الخاص بها، والتواتر أجنبی عنها حیث إنّه لا یعنی سوی عصمة الطریق لا أکثر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86" w:name="__RefHeading___Toc3300502_1468164448"/>
      <w:bookmarkStart w:id="1187" w:name="_Toc472"/>
      <w:bookmarkEnd w:id="1186"/>
      <w:r>
        <w:rPr>
          <w:rtl w:val="true"/>
        </w:rPr>
        <w:t>الخبر الضعیف</w:t>
      </w:r>
      <w:bookmarkStart w:id="1188" w:name="pg16983_381253"/>
      <w:bookmarkEnd w:id="1187"/>
    </w:p>
    <w:p>
      <w:pPr>
        <w:pStyle w:val="BookText"/>
        <w:rPr/>
      </w:pPr>
      <w:bookmarkEnd w:id="1188"/>
      <w:r>
        <w:rPr>
          <w:rFonts w:ascii="IRNazanin" w:hAnsi="IRNazanin" w:eastAsia="IRNazanin"/>
          <w:color w:val="111111"/>
          <w:sz w:val="28"/>
          <w:sz w:val="28"/>
          <w:szCs w:val="28"/>
          <w:rtl w:val="true"/>
          <w:lang w:bidi="fa-IR"/>
        </w:rPr>
        <w:t xml:space="preserve">خبر الواحد ینقسم إلی معتبر وغیر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بین الأعلام فی حدود المعتبر ومساحته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وغیر المعتبر هو الخبر الضعیف، وله إطلاقان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بالمعنی الأعم، الشامل للخبر الموضوع والمدلّس والمدسوس والمکذوب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 بالمعنی 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تتوفّر فیه شرائط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المدسوس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أو قامت أمارة علی الدس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من الضعیف حینما یطلق فی کلمات الأعلام من دون قرینة هو الثانی لا الأوّل</w:t>
      </w:r>
      <w:r>
        <w:rPr>
          <w:rFonts w:eastAsia="IRNazanin" w:cs="IRNazanin"/>
          <w:color w:val="111111"/>
          <w:sz w:val="28"/>
          <w:szCs w:val="28"/>
          <w:rtl w:val="true"/>
          <w:lang w:bidi="fa-IR"/>
        </w:rPr>
        <w:t>.</w:t>
      </w:r>
    </w:p>
    <w:p>
      <w:pPr>
        <w:pStyle w:val="Heading6"/>
        <w:numPr>
          <w:ilvl w:val="5"/>
          <w:numId w:val="1"/>
        </w:numPr>
        <w:rPr/>
      </w:pPr>
      <w:bookmarkStart w:id="1189" w:name="__RefHeading___Toc3300504_1468164448"/>
      <w:bookmarkStart w:id="1190" w:name="_Toc473"/>
      <w:bookmarkEnd w:id="1189"/>
      <w:r>
        <w:rPr>
          <w:rtl w:val="true"/>
        </w:rPr>
        <w:t>أحکام الخبر الضعیف</w:t>
      </w:r>
      <w:bookmarkEnd w:id="1190"/>
    </w:p>
    <w:p>
      <w:pPr>
        <w:pStyle w:val="BookText"/>
        <w:rPr/>
      </w:pPr>
      <w:r>
        <w:rPr>
          <w:rFonts w:ascii="IRNazanin" w:hAnsi="IRNazanin" w:eastAsia="IRNazanin"/>
          <w:color w:val="111111"/>
          <w:sz w:val="28"/>
          <w:sz w:val="28"/>
          <w:szCs w:val="28"/>
          <w:rtl w:val="true"/>
          <w:lang w:bidi="fa-IR"/>
        </w:rPr>
        <w:t>ومن الضروری أن نؤشر إلی جملة من أحکام الخبر الضعیف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التواتر من أنه مادة خصبة لتشکیل التواتر والإستفاضة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یحرم ردّه باتفاق الأصولیین والأخباریین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روایات بهذا الأمر، وفیها تنبیه علی أنّ المخالفة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تؤثر علی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المخالفة المستقرة، علماً أنّ حرمة الرد لا تلازم الحجّیة؛ لأنها لیست أکثر من حرمة الحکم علیه بأنه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الضعیف لا یخرج عن کونه احتمالاً علمیاً، فلا معنی لإهماله وتهمیشه، فکما یعتنی برأی رائد من روّاد العلم لاحتمال إصابته الواقع لابدّ من الاعتناء بما یحتمل کونه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ذکرنا أنه حتی لو بنینا فی العقائد علی عدم حجّیة الظن مطلقاً أو الخبر الضعیف فقط، یمکن الإستفادة منه فی مجال الإستقراء والفحص فی کلّ محتملات المسألة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وبتوضیح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إما تصدیق أو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عبّر عن</w:t>
      </w:r>
      <w:bookmarkStart w:id="1191" w:name="pg16983_381255"/>
    </w:p>
    <w:p>
      <w:pPr>
        <w:pStyle w:val="BookText"/>
        <w:rPr/>
      </w:pPr>
      <w:bookmarkEnd w:id="1191"/>
      <w:r>
        <w:rPr>
          <w:rFonts w:ascii="IRNazanin" w:hAnsi="IRNazanin" w:eastAsia="IRNazanin"/>
          <w:color w:val="111111"/>
          <w:sz w:val="28"/>
          <w:sz w:val="28"/>
          <w:szCs w:val="28"/>
          <w:rtl w:val="true"/>
          <w:lang w:bidi="fa-IR"/>
        </w:rPr>
        <w:t xml:space="preserve">التصور الإحتمالی علماً لأنه یقابل الجهل المرکب، ومن ثمّ کان مرتبة من مراتب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الضعیف یوجب تصوراً، فهو درجة من درجات العلم ینفع علی صعید المبادئ التصوریة للمسألة، حیث یوسّع من أفق الباحث ویکوّن له احتمالات إضافیة لابدّ منها فی استفراغ الوسع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الضعیف ینفع فی العناصر الفقهیة المحضة، کتشخیص مدلول کلمة فی عصر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الضعیف وإن کان مدسوساً إلاّ أنه حیث صدر فی ذلک العصر فهو جار علی استعمالات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ینفع فی معرفة جوّ المسألة وظروفها والمنحی الفکری لتلک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نبذة عن فوائد الخبر الضعیف، وقد عرفت أنها جمیعاً إلزامیة</w:t>
      </w:r>
      <w:r>
        <w:rPr>
          <w:rFonts w:eastAsia="IRNazanin" w:cs="IRNazanin"/>
          <w:color w:val="111111"/>
          <w:sz w:val="28"/>
          <w:szCs w:val="28"/>
          <w:rtl w:val="true"/>
          <w:lang w:bidi="fa-IR"/>
        </w:rPr>
        <w:t>.</w:t>
      </w:r>
    </w:p>
    <w:p>
      <w:pPr>
        <w:pStyle w:val="Heading6"/>
        <w:numPr>
          <w:ilvl w:val="5"/>
          <w:numId w:val="1"/>
        </w:numPr>
        <w:rPr/>
      </w:pPr>
      <w:bookmarkStart w:id="1192" w:name="__RefHeading___Toc3300506_1468164448"/>
      <w:bookmarkStart w:id="1193" w:name="_Toc474"/>
      <w:bookmarkEnd w:id="1192"/>
      <w:r>
        <w:rPr>
          <w:rtl w:val="true"/>
        </w:rPr>
        <w:t>الخبر المدسوس</w:t>
      </w:r>
      <w:bookmarkEnd w:id="1193"/>
    </w:p>
    <w:p>
      <w:pPr>
        <w:pStyle w:val="BookText"/>
        <w:rPr/>
      </w:pPr>
      <w:r>
        <w:rPr>
          <w:rFonts w:ascii="IRNazanin" w:hAnsi="IRNazanin" w:eastAsia="IRNazanin"/>
          <w:color w:val="111111"/>
          <w:sz w:val="28"/>
          <w:sz w:val="28"/>
          <w:szCs w:val="28"/>
          <w:rtl w:val="true"/>
          <w:lang w:bidi="fa-IR"/>
        </w:rPr>
        <w:t xml:space="preserve">هناک دعوی علم إجمالی بوجود دسّ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حدا ببعض الإمامیة التوقف فی الصغری، حیث لا طریق إلی إحرازها، مع بنائه کبرویاً علی حجّیة خبر الواحد، وقد یبدو من کلمات الشیخ تمایله لذلک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قوبلَتْ هذه الدعوی بدعوی انحلال مثل هذا العلم لغربلة الأصحاب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لابدّ من وضع حلّ لهذا المشکل، کما سنفعل فی تنبیهات البحث، وسنعرف هناک المائز الدقیق بین الخبر الصحیح والمدسوس بعد أن کان محتملاً فیه الدس، بل ألصق به من الخبر الضعیف</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والمدسوس صغری خبر ملفقة، فهو لیس خبراً، ومن ثمّ فمن الخطأ جعله مقابل الضعیف فقط، حیث إنّه قسیم المقسم وهو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البدایة المنهجیة التمییز بین الخبر وعدمه، وبیان کیفیة معرفة ذلک</w:t>
      </w:r>
      <w:r>
        <w:rPr>
          <w:rFonts w:eastAsia="IRNazanin" w:cs="IRNazanin"/>
          <w:color w:val="111111"/>
          <w:sz w:val="28"/>
          <w:szCs w:val="28"/>
          <w:rtl w:val="true"/>
          <w:lang w:bidi="fa-IR"/>
        </w:rPr>
        <w:t>.</w:t>
      </w:r>
      <w:bookmarkStart w:id="1194" w:name="pg16983_381258"/>
    </w:p>
    <w:p>
      <w:pPr>
        <w:pStyle w:val="Heading5"/>
        <w:numPr>
          <w:ilvl w:val="4"/>
          <w:numId w:val="1"/>
        </w:numPr>
        <w:rPr/>
      </w:pPr>
      <w:bookmarkStart w:id="1195" w:name="__RefHeading___Toc3300508_1468164448"/>
      <w:bookmarkStart w:id="1196" w:name="_Toc475"/>
      <w:bookmarkEnd w:id="1194"/>
      <w:bookmarkEnd w:id="1195"/>
      <w:r>
        <w:rPr>
          <w:rtl w:val="true"/>
        </w:rPr>
        <w:t>النقطة الثانیة</w:t>
      </w:r>
      <w:r>
        <w:rPr>
          <w:rtl w:val="true"/>
        </w:rPr>
        <w:t xml:space="preserve">: </w:t>
      </w:r>
      <w:r>
        <w:rPr>
          <w:rtl w:val="true"/>
        </w:rPr>
        <w:t>تخریجات العمل بروایات الکتب الأربعة</w:t>
      </w:r>
      <w:bookmarkEnd w:id="1196"/>
    </w:p>
    <w:p>
      <w:pPr>
        <w:pStyle w:val="BookText"/>
        <w:rPr/>
      </w:pPr>
      <w:r>
        <w:rPr>
          <w:rFonts w:ascii="IRNazanin" w:hAnsi="IRNazanin" w:eastAsia="IRNazanin"/>
          <w:color w:val="111111"/>
          <w:sz w:val="28"/>
          <w:sz w:val="28"/>
          <w:szCs w:val="28"/>
          <w:rtl w:val="true"/>
          <w:lang w:bidi="fa-IR"/>
        </w:rPr>
        <w:t>روایات الکتب الأربعة والکتب المشهورة صغری خارجیة لخبر الواحد من 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الصغری قد أجمع الشیعة علی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فی الجملة أو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اختلافهم فی تخریج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فالسیّد المرتضی ومَن نحی منحاه فی إنکار حجّیة خبر الواحد قالوا بأنّ غالب موارد الصغری من خبر الواحد هو المحفوف بالقرینة القطعیة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الأخباریون ذهبوا إلی قطعیة أخبار الکتب الأربعة أو موثوقیتها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وقطعیة ما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للمحدّث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روایات الکافی معتبرة بالجملة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یلوح من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بنی علی حجّیة خبر الواحد الإطمئنانی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 أخبار الکتب الأربعة قد حصل الإطمئنان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بنی علی حجّیة خبر الثقة أو الخبر الموثوق الظنی خرّج العمل بالکتب الأربعة علی هذا الأساس و خرّج العمل بالکتب المشهورة من باب الإنسداد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ذهب إلی الإنسداد لشبهة التدلیس، أو لعدم تمامیة حجّیة خبر الواحد، أو لعدم کفایة ما هو حجّة فی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تخریجات العمل بما فی الکتب الأربعة والکتب المشهورة، و لابدّ من التدقیق فی الواقع الموضوعی للصغری لمعرفة أنها مع أیّ تخریج تلتئم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وسنبیّن ذلک عند الحدیث عن التدلیس وبعد الفراغ عن الکبری، ولکن لابدّ من التنبه إلی أنّ حسم هذا الأمر یحتاج إلی خبرة درائیة حدیثیة رجالیة</w:t>
      </w:r>
      <w:r>
        <w:rPr>
          <w:rFonts w:eastAsia="IRNazanin" w:cs="IRNazanin"/>
          <w:color w:val="111111"/>
          <w:sz w:val="28"/>
          <w:szCs w:val="28"/>
          <w:rtl w:val="true"/>
          <w:lang w:bidi="fa-IR"/>
        </w:rPr>
        <w:t>.</w:t>
      </w:r>
      <w:bookmarkStart w:id="1197" w:name="pg16983_381259"/>
    </w:p>
    <w:p>
      <w:pPr>
        <w:pStyle w:val="Heading5"/>
        <w:numPr>
          <w:ilvl w:val="4"/>
          <w:numId w:val="1"/>
        </w:numPr>
        <w:rPr/>
      </w:pPr>
      <w:bookmarkStart w:id="1198" w:name="__RefHeading___Toc3300510_1468164448"/>
      <w:bookmarkStart w:id="1199" w:name="_Toc476"/>
      <w:bookmarkEnd w:id="1197"/>
      <w:bookmarkEnd w:id="1198"/>
      <w:r>
        <w:rPr>
          <w:rtl w:val="true"/>
        </w:rPr>
        <w:t>النقطة الثالثة</w:t>
      </w:r>
      <w:r>
        <w:rPr>
          <w:rtl w:val="true"/>
        </w:rPr>
        <w:t xml:space="preserve">: </w:t>
      </w:r>
      <w:r>
        <w:rPr>
          <w:rtl w:val="true"/>
        </w:rPr>
        <w:t xml:space="preserve">الفرق بین درجات الحکایة </w:t>
      </w:r>
      <w:r>
        <w:rPr>
          <w:rtl w:val="true"/>
        </w:rPr>
        <w:t xml:space="preserve">( </w:t>
      </w:r>
      <w:r>
        <w:rPr>
          <w:rtl w:val="true"/>
        </w:rPr>
        <w:t xml:space="preserve">الروایة والفتوی والحکم </w:t>
      </w:r>
      <w:r>
        <w:rPr>
          <w:rtl w:val="true"/>
        </w:rPr>
        <w:t>)</w:t>
      </w:r>
      <w:bookmarkEnd w:id="1199"/>
    </w:p>
    <w:p>
      <w:pPr>
        <w:pStyle w:val="Heading6"/>
        <w:numPr>
          <w:ilvl w:val="5"/>
          <w:numId w:val="1"/>
        </w:numPr>
        <w:rPr/>
      </w:pPr>
      <w:bookmarkStart w:id="1200" w:name="__RefHeading___Toc3300512_1468164448"/>
      <w:bookmarkStart w:id="1201" w:name="_Toc477"/>
      <w:bookmarkEnd w:id="1200"/>
      <w:r>
        <w:rPr>
          <w:rtl w:val="true"/>
        </w:rPr>
        <w:t>اشارة</w:t>
      </w:r>
      <w:bookmarkEnd w:id="1201"/>
    </w:p>
    <w:p>
      <w:pPr>
        <w:pStyle w:val="BookText"/>
        <w:rPr/>
      </w:pPr>
      <w:r>
        <w:rPr>
          <w:rFonts w:ascii="IRNazanin" w:hAnsi="IRNazanin" w:eastAsia="IRNazanin"/>
          <w:color w:val="111111"/>
          <w:sz w:val="28"/>
          <w:sz w:val="28"/>
          <w:szCs w:val="28"/>
          <w:rtl w:val="true"/>
          <w:lang w:bidi="fa-IR"/>
        </w:rPr>
        <w:t>أشرنا سابقاً إلی أنّ التقنین یبدأ بکلّیات عالیة وتتنزّل حتی یصل إلی 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ونلفت هنا إلی أنّ الحکایة عن مدارج الإعتبار أیضاً ذات درجات؛ فهناک حکایة حسّیة کالإخبار بالروایة، وهناک حکایة حدسیة کالإخبار بالفتوی، وهناک حکایة حدسیة أکثر کالحکایة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الحاکم والقاضی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وحکایة الحس غالباً مّا تکون حکایة عن الکلّیات الشرعیة الفوقانیة، والتناسب واضح؛ لأنّ الحس أوثق فی النقل من الوسائل الأخری، والکلّیات أهمّ مما هو تحتها فهی تطلب الوثاقة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حکایة وإخبار بواسطة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مّا تتعلّق بالکلّیات المتوسطة؛ حیث لم تنقل بالحس وإنما یتصیدها الفقیه من خلال المعادلات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إخبار بواسطة الفهم أیضاً یتعلّق بالوقائع الجزئیة بالتنزّل إلیها من خلال تطبیق الکلّیات علیها، ومن ثمّ کان أبعد عن الحس من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المقابلة بین أقسام الخبر والإعتبار یتحدّد موقع الخبر الحسی وفرقه الماهوی عن الخبرین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عندما نَدخُل الأدلّة نکون علی بیّنة فلا نخلط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فالأدلّة بعضها فی دائرة حجّیة الفتوی، وآخر فی دائرة حجّیة الحکم القضائی، وثالث فی دائرة حجّیة الخبر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فماهیة الإخبار الحسی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 سمعه من دون اعتماد علی ملکة الإجتهاد، وإنما یقتصر علی الحافظة أو علی الفهم اللغوی عندما یکون النقل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یکون المنقول عادة قوالب شرعیة؛ لأنها هی التی صدرت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قوالب لفظیة أم ذهنیة کما فی النقل بالمعنی</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ماهیة الفتوی هی إخبار المجتهد عن الحکم الکلّی الشرعی بواسطة ما فهمه من الأدلّة</w:t>
      </w:r>
      <w:r>
        <w:rPr>
          <w:rFonts w:eastAsia="IRNazanin" w:cs="IRNazanin"/>
          <w:color w:val="111111"/>
          <w:sz w:val="28"/>
          <w:szCs w:val="28"/>
          <w:rtl w:val="true"/>
          <w:lang w:bidi="fa-IR"/>
        </w:rPr>
        <w:t>.</w:t>
      </w:r>
      <w:bookmarkStart w:id="1202" w:name="pg16983_381262"/>
    </w:p>
    <w:p>
      <w:pPr>
        <w:pStyle w:val="BookText"/>
        <w:rPr/>
      </w:pPr>
      <w:bookmarkEnd w:id="1202"/>
      <w:r>
        <w:rPr>
          <w:rFonts w:ascii="IRNazanin" w:hAnsi="IRNazanin" w:eastAsia="IRNazanin"/>
          <w:color w:val="111111"/>
          <w:sz w:val="28"/>
          <w:sz w:val="28"/>
          <w:szCs w:val="28"/>
          <w:rtl w:val="true"/>
          <w:lang w:bidi="fa-IR"/>
        </w:rPr>
        <w:t>وماهیة الحکم القضائی إنشاء حکم جزئی من باب تطبیق الحکم الکلّی علی الجزئی، ومن ثمّ کان مستبطناً للفتیا لتوقفه علی تحدید الکلّی أولاً وهو فتوی</w:t>
      </w:r>
      <w:r>
        <w:rPr>
          <w:rFonts w:eastAsia="IRNazanin" w:cs="IRNazanin"/>
          <w:color w:val="111111"/>
          <w:sz w:val="28"/>
          <w:szCs w:val="28"/>
          <w:rtl w:val="true"/>
          <w:lang w:bidi="fa-IR"/>
        </w:rPr>
        <w:t>.</w:t>
      </w:r>
    </w:p>
    <w:p>
      <w:pPr>
        <w:pStyle w:val="Heading6"/>
        <w:numPr>
          <w:ilvl w:val="5"/>
          <w:numId w:val="1"/>
        </w:numPr>
        <w:rPr/>
      </w:pPr>
      <w:bookmarkStart w:id="1203" w:name="__RefHeading___Toc3300514_1468164448"/>
      <w:bookmarkStart w:id="1204" w:name="_Toc478"/>
      <w:bookmarkEnd w:id="1203"/>
      <w:r>
        <w:rPr>
          <w:rtl w:val="true"/>
        </w:rPr>
        <w:t>تقریبٌ لحجّیة الخبر الحسی</w:t>
      </w:r>
      <w:bookmarkEnd w:id="1204"/>
    </w:p>
    <w:p>
      <w:pPr>
        <w:pStyle w:val="BookText"/>
        <w:rPr/>
      </w:pPr>
      <w:r>
        <w:rPr>
          <w:rFonts w:ascii="IRNazanin" w:hAnsi="IRNazanin" w:eastAsia="IRNazanin"/>
          <w:color w:val="111111"/>
          <w:sz w:val="28"/>
          <w:sz w:val="28"/>
          <w:szCs w:val="28"/>
          <w:rtl w:val="true"/>
          <w:lang w:bidi="fa-IR"/>
        </w:rPr>
        <w:t>حینئذ یمکن القول بأنّ أدلّة حجّیة الحکم والفتوی دالّة علی حجّیة الخبر الحسی مع وضوح عدم إمکان العکس،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القاضی لا یقضی فی الجزئی إلاّ بعد فهمه، فالدلیل الدالّ علی حجّیة حکمه دالّ علی حجّیة فتواه، وإذا اؤتمن علی التطبیق والإستنباط دلّ بدلالة الإقتضاء علی حجّیة خبره، ومثله الحدیث فی أدلّة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المقولة جیّدة سوی أنها لا تخدم؛ لأنّ غایة ما یثبته حجّیة إخبار القاضی والمفتی بالشرائط المقررة فیهما، فی حین أنّ المتوخی إثبات حجّیة الخبر بنحو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لغیرها من العدول بل الثقات أو الموثوق بصدوره أو کلیهما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بالإضافة إلی أنّنا لا نعلم أنّهما هل استندوا فی الفوقانیات علی الخبر الظنی أو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فالفتوی والحکم لا یکشفان عن إخبار المفتی والقاضی عن الفوقانیات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فالتقریب المذکور جیّد فی حدود إثبات الحجّیة فی الجملة</w:t>
      </w:r>
      <w:r>
        <w:rPr>
          <w:rFonts w:eastAsia="IRNazanin" w:cs="IRNazanin"/>
          <w:color w:val="111111"/>
          <w:sz w:val="28"/>
          <w:szCs w:val="28"/>
          <w:rtl w:val="true"/>
          <w:lang w:bidi="fa-IR"/>
        </w:rPr>
        <w:t>.</w:t>
      </w:r>
    </w:p>
    <w:p>
      <w:pPr>
        <w:pStyle w:val="Heading5"/>
        <w:numPr>
          <w:ilvl w:val="4"/>
          <w:numId w:val="1"/>
        </w:numPr>
        <w:rPr/>
      </w:pPr>
      <w:bookmarkStart w:id="1205" w:name="__RefHeading___Toc3300516_1468164448"/>
      <w:bookmarkStart w:id="1206" w:name="_Toc479"/>
      <w:bookmarkEnd w:id="1205"/>
      <w:r>
        <w:rPr>
          <w:rtl w:val="true"/>
        </w:rPr>
        <w:t>النقطة الرابعة</w:t>
      </w:r>
      <w:r>
        <w:rPr>
          <w:rtl w:val="true"/>
        </w:rPr>
        <w:t xml:space="preserve">: </w:t>
      </w:r>
      <w:r>
        <w:rPr>
          <w:rtl w:val="true"/>
        </w:rPr>
        <w:t>مراحل عملیة الإستنباط‌</w:t>
      </w:r>
      <w:bookmarkEnd w:id="1206"/>
    </w:p>
    <w:p>
      <w:pPr>
        <w:pStyle w:val="BookText"/>
        <w:rPr/>
      </w:pPr>
      <w:r>
        <w:rPr>
          <w:rFonts w:ascii="IRNazanin" w:hAnsi="IRNazanin" w:eastAsia="IRNazanin"/>
          <w:color w:val="111111"/>
          <w:sz w:val="28"/>
          <w:sz w:val="28"/>
          <w:szCs w:val="28"/>
          <w:rtl w:val="true"/>
          <w:lang w:bidi="fa-IR"/>
        </w:rPr>
        <w:t xml:space="preserve">واحدة من الفوارق أیضاً بین الخبر الحسی والفتوی هی أنّ عملیة الإستنباط فی المسألة الواحدة تعتمد علی ثمان مراحل لابدّ من 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الأول منها فقهیة والباقی أصولیة صناعیة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والفقهیة تبدأ أولاً بتحریر الفرض الفقهی بشکل دقیق وبکلّ أبعاده وحیثیاته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الأقوال فی المسألة وتحقیقها، فإنّها تجعل من الفقیه ممسکاً بخیوط المسألة ومدی ارتباطها بالمسائل الأُخری،</w:t>
      </w:r>
    </w:p>
    <w:p>
      <w:pPr>
        <w:pStyle w:val="BookText"/>
        <w:rPr/>
      </w:pPr>
      <w:r>
        <w:rPr>
          <w:rFonts w:ascii="IRNazanin" w:hAnsi="IRNazanin" w:eastAsia="IRNazanin"/>
          <w:color w:val="111111"/>
          <w:sz w:val="28"/>
          <w:sz w:val="28"/>
          <w:szCs w:val="28"/>
          <w:rtl w:val="true"/>
          <w:lang w:bidi="fa-IR"/>
        </w:rPr>
        <w:t>بالإضافة إلی أنّ الأقوال شرح معمّق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والمرحلتان المذکورتان تُوَطِّئان للمرحلة اللاحقة، حیث إنّه بعد الإلتفات إلی مناسبات المسألة قد یحصل الفقیه علی جملة من الأدلّة علی مطلوبه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تجمیع المواد الفقهیة للمسألة، ومنه یتبیّن مفاد الحدیث علی صعید مدلوله التصوری والإستعمالی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 الفقهیة، 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تکییف القواعد الفقهیة مع مواد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فی هذه المرحلة لا یرتبط بالظهور العام والخاص والدلالات، وإنما هو بحث فی الملازمات بین القوانین الفقهیة، فمساحته ودائرة حرکته فی عالم الإعتبار ومتن الأحکام وواقع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تصل النوبة إلی المراحل الأصولیة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الأصل الأولی اللفظی والعملی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النکات الأصولیة فی ما تم تجمیعه من مواد، وهی مرحلة مرتبطة بالمدلول التفهیمی والجدی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مدی انسجام النتائج مع شقوق وفروض المسألة بعد ملاحظة استیعابها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لوازم النتائج ومدی انسجامها مع أبواب أخری، أعم من أن تکون اللوازم فقهیة أو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نطالع فقه الأعلام نلحظ أنّ البعض قد تنمّر فی مرحلة أو أکثر، بل قد یصبح بعضهم صاحب مدرسة مع کونه متوسطاً فی باقی المراحل بل ربما یکون حتی دون المتوسط</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فالشهید الثانی تمیّز فی المرحلة السابعة، والشهید الأول و کاشف الغطاء تمیّزا فی المرحلة الثامنة، والکرکی و الشیخ الأنصاری فی المرحلة السادسة، و صاحب الحدائق أبدع فی المراحل الثلاث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نغالی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خدم مَن بعده خدمة جلیلة، حیث حقّق قفزة فی المسار الفقهی فی هذه المراحل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الخوئی وتلامذته</w:t>
      </w:r>
      <w:bookmarkStart w:id="1207" w:name="pg16983_381266"/>
    </w:p>
    <w:p>
      <w:pPr>
        <w:pStyle w:val="BookText"/>
        <w:rPr/>
      </w:pPr>
      <w:bookmarkEnd w:id="1207"/>
      <w:r>
        <w:rPr>
          <w:rFonts w:ascii="IRNazanin" w:hAnsi="IRNazanin" w:eastAsia="IRNazanin"/>
          <w:color w:val="111111"/>
          <w:sz w:val="28"/>
          <w:sz w:val="28"/>
          <w:szCs w:val="28"/>
          <w:rtl w:val="true"/>
          <w:lang w:bidi="fa-IR"/>
        </w:rPr>
        <w:t>تمیّزوا وبشکل ملفت فی المرحلتین الخامسة والسادسة، و السیّد البروجردی وأتباعه فی المرحلة الأولی والثالثة، والحکیم والگلپایگانی فی المراحل الأربعة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کلّ هذا یتضح أنّ بین الخبر الحسی والنتیجة الفتوائیة مراحل، فالخبر یوصل إلی مشارف المقولة الملفوظة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یرسل إلی متن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التمییز بین عالم الدلالة والقانون، حیث قد تترامی الطرق حتی تصل النوبة إلی القانون، ولا یخفی أنّ علم الأصول مع معونة علم القواعد الفقهیة یخدم البُعدین الدلالی والقانونی</w:t>
      </w:r>
      <w:r>
        <w:rPr>
          <w:rFonts w:eastAsia="IRNazanin" w:cs="IRNazanin"/>
          <w:color w:val="111111"/>
          <w:sz w:val="28"/>
          <w:szCs w:val="28"/>
          <w:rtl w:val="true"/>
          <w:lang w:bidi="fa-IR"/>
        </w:rPr>
        <w:t>.</w:t>
      </w:r>
    </w:p>
    <w:p>
      <w:pPr>
        <w:pStyle w:val="Heading5"/>
        <w:numPr>
          <w:ilvl w:val="4"/>
          <w:numId w:val="1"/>
        </w:numPr>
        <w:rPr/>
      </w:pPr>
      <w:bookmarkStart w:id="1208" w:name="__RefHeading___Toc3300518_1468164448"/>
      <w:bookmarkStart w:id="1209" w:name="_Toc480"/>
      <w:bookmarkEnd w:id="1208"/>
      <w:r>
        <w:rPr>
          <w:rtl w:val="true"/>
        </w:rPr>
        <w:t>النقطة الخامسة</w:t>
      </w:r>
      <w:r>
        <w:rPr>
          <w:rtl w:val="true"/>
        </w:rPr>
        <w:t xml:space="preserve">: </w:t>
      </w:r>
      <w:r>
        <w:rPr>
          <w:rtl w:val="true"/>
        </w:rPr>
        <w:t>جهات البحث عن حجّیة الخبر</w:t>
      </w:r>
      <w:bookmarkEnd w:id="1209"/>
    </w:p>
    <w:p>
      <w:pPr>
        <w:pStyle w:val="BookText"/>
        <w:rPr/>
      </w:pPr>
      <w:r>
        <w:rPr>
          <w:rFonts w:ascii="IRNazanin" w:hAnsi="IRNazanin" w:eastAsia="IRNazanin"/>
          <w:color w:val="111111"/>
          <w:sz w:val="28"/>
          <w:sz w:val="28"/>
          <w:szCs w:val="28"/>
          <w:rtl w:val="true"/>
          <w:lang w:bidi="fa-IR"/>
        </w:rPr>
        <w:t>هناک عدّة جهات فی الحجّیة للخبر الحسی، وأدلّة حجّیة الخبر لا تؤمّن إلاّ حجّیة الطریق والصدور والوصول، بل حتی الصدور له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عدم تعمد الکذب وجهة عدم الاشتباه العلمی، ومن ثمّ یتساءل إنّ الدلیل علی الحجّیة هل یؤمّنهما معاً، أو یتکفل حجّیة الطریق من جهة عدم تعمد الکذب فقط؟</w:t>
      </w:r>
    </w:p>
    <w:p>
      <w:pPr>
        <w:pStyle w:val="Heading5"/>
        <w:numPr>
          <w:ilvl w:val="4"/>
          <w:numId w:val="1"/>
        </w:numPr>
        <w:rPr/>
      </w:pPr>
      <w:bookmarkStart w:id="1210" w:name="__RefHeading___Toc3300520_1468164448"/>
      <w:bookmarkStart w:id="1211" w:name="_Toc481"/>
      <w:bookmarkEnd w:id="1210"/>
      <w:r>
        <w:rPr>
          <w:rtl w:val="true"/>
        </w:rPr>
        <w:t>النقطة السادسة</w:t>
      </w:r>
      <w:r>
        <w:rPr>
          <w:rtl w:val="true"/>
        </w:rPr>
        <w:t xml:space="preserve">: </w:t>
      </w:r>
      <w:r>
        <w:rPr>
          <w:rtl w:val="true"/>
        </w:rPr>
        <w:t>تقسیمات الحدیث الأربعة</w:t>
      </w:r>
      <w:bookmarkEnd w:id="1211"/>
    </w:p>
    <w:p>
      <w:pPr>
        <w:pStyle w:val="Heading6"/>
        <w:numPr>
          <w:ilvl w:val="5"/>
          <w:numId w:val="1"/>
        </w:numPr>
        <w:rPr/>
      </w:pPr>
      <w:bookmarkStart w:id="1212" w:name="__RefHeading___Toc3300522_1468164448"/>
      <w:bookmarkStart w:id="1213" w:name="_Toc482"/>
      <w:bookmarkEnd w:id="1212"/>
      <w:r>
        <w:rPr>
          <w:rtl w:val="true"/>
        </w:rPr>
        <w:t>اشارة</w:t>
      </w:r>
      <w:bookmarkEnd w:id="1213"/>
    </w:p>
    <w:p>
      <w:pPr>
        <w:pStyle w:val="BookText"/>
        <w:rPr/>
      </w:pPr>
      <w:r>
        <w:rPr>
          <w:rFonts w:ascii="IRNazanin" w:hAnsi="IRNazanin" w:eastAsia="IRNazanin"/>
          <w:color w:val="111111"/>
          <w:sz w:val="28"/>
          <w:sz w:val="28"/>
          <w:szCs w:val="28"/>
          <w:rtl w:val="true"/>
          <w:lang w:bidi="fa-IR"/>
        </w:rPr>
        <w:t xml:space="preserve">ذکر البعض أنّ العلاّمة هو أوّل من قسّم الحدیث إلی أقسام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والموثق والحسن والضعیف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الحق أنه کان موجوداً عند القدماء وبشکل مستوعب أکثر، والعلاّمة لم یفعل شیئاً سوی أنه نظّم الأقسام مع اختزالها، حیث جاء فی کلمات القدماء أربعة تقسیمات واقتصر العلاّمة علی تقسیم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التقسیمات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علی أساس الصفات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التقسیم هو الذی ذکره العلاّمة، إلاّ أنه اختزله بالصحیح والحسن والقوی والموثق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نراجع إلی کلمات القدماء نلحظ أقساماً أخری فی هذا التقسیم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الأعلائی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 الإمامی فی</w:t>
      </w:r>
      <w:bookmarkStart w:id="1214" w:name="pg16983_381268"/>
    </w:p>
    <w:p>
      <w:pPr>
        <w:pStyle w:val="BookText"/>
        <w:rPr/>
      </w:pPr>
      <w:bookmarkEnd w:id="1214"/>
      <w:r>
        <w:rPr>
          <w:rFonts w:ascii="IRNazanin" w:hAnsi="IRNazanin" w:eastAsia="IRNazanin"/>
          <w:color w:val="111111"/>
          <w:sz w:val="28"/>
          <w:sz w:val="28"/>
          <w:szCs w:val="28"/>
          <w:rtl w:val="true"/>
          <w:lang w:bidi="fa-IR"/>
        </w:rPr>
        <w:t>لهجته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الصفات العلمیة، کانقسامه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براویة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علی أساس مضمون الخبر،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أخباره کلّها متینة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جهة الصدور، مثل إنّ الراوی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الأمر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هذه التقسیمات جمیعاً بلحاظ حجّیة الصدور، وإن کان أساس بعضها مرتبط بالمضمون أو جهة الصدور، إلاّ أنّ المقسم هو الخبر الحجّة من جهة صدوره وطریقه</w:t>
      </w:r>
      <w:r>
        <w:rPr>
          <w:rFonts w:eastAsia="IRNazanin" w:cs="IRNazanin"/>
          <w:color w:val="111111"/>
          <w:sz w:val="28"/>
          <w:szCs w:val="28"/>
          <w:rtl w:val="true"/>
          <w:lang w:bidi="fa-IR"/>
        </w:rPr>
        <w:t>.</w:t>
      </w:r>
    </w:p>
    <w:p>
      <w:pPr>
        <w:pStyle w:val="Heading6"/>
        <w:numPr>
          <w:ilvl w:val="5"/>
          <w:numId w:val="1"/>
        </w:numPr>
        <w:rPr/>
      </w:pPr>
      <w:bookmarkStart w:id="1215" w:name="__RefHeading___Toc3300524_1468164448"/>
      <w:bookmarkStart w:id="1216" w:name="_Toc483"/>
      <w:bookmarkEnd w:id="1215"/>
      <w:r>
        <w:rPr>
          <w:rtl w:val="true"/>
        </w:rPr>
        <w:t>أهمیة تلک التقسیمات</w:t>
      </w:r>
      <w:bookmarkEnd w:id="1216"/>
    </w:p>
    <w:p>
      <w:pPr>
        <w:pStyle w:val="BookText"/>
        <w:rPr/>
      </w:pPr>
      <w:r>
        <w:rPr>
          <w:rFonts w:ascii="IRNazanin" w:hAnsi="IRNazanin" w:eastAsia="IRNazanin"/>
          <w:color w:val="111111"/>
          <w:sz w:val="28"/>
          <w:sz w:val="28"/>
          <w:szCs w:val="28"/>
          <w:rtl w:val="true"/>
          <w:lang w:bidi="fa-IR"/>
        </w:rPr>
        <w:t>وتظهر أهمیة هذه التقسیمات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الکون علی بیّنة عند الدخول فی الأدلّة المذکورة للتعرّف علی أنها تثبت الحجّیة لکلّ الأقسام أو لواحد أو أکثر دون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الحجّیة علی مراتب ودرجات، فهناک ترتب بین الأخبار بحسب الأقسام، کما ینفع ذلک فی الترجیح عند التعارض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الروایة، فإنّ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فقیهاً أمکن التمسک بإطلاق جواب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مقام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وزیراً،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الفقهاء بتقسیم الخبر الحجّة حتی وجّهوا عنایتهم للخبر الضعیف، فذکروا له أقساماً ودرجات ضمن نفس الأسس المتقدّمة والتقسیمات التی أشرنا إلیها ولم یترکوه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فالضعیف المرسل مثلاً قسّموه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المظنون عدم إرساله</w:t>
      </w:r>
      <w:r>
        <w:rPr>
          <w:rFonts w:eastAsia="IRNazanin" w:cs="IRNazanin"/>
          <w:color w:val="111111"/>
          <w:sz w:val="28"/>
          <w:szCs w:val="28"/>
          <w:rtl w:val="true"/>
          <w:lang w:bidi="fa-IR"/>
        </w:rPr>
        <w:t>».</w:t>
      </w:r>
      <w:bookmarkStart w:id="1217" w:name="pg16983_381270"/>
    </w:p>
    <w:p>
      <w:pPr>
        <w:pStyle w:val="BookText"/>
        <w:rPr/>
      </w:pPr>
      <w:bookmarkEnd w:id="1217"/>
      <w:r>
        <w:rPr>
          <w:rFonts w:ascii="IRNazanin" w:hAnsi="IRNazanin" w:eastAsia="IRNazanin"/>
          <w:color w:val="111111"/>
          <w:sz w:val="28"/>
          <w:sz w:val="28"/>
          <w:szCs w:val="28"/>
          <w:rtl w:val="true"/>
          <w:lang w:bidi="fa-IR"/>
        </w:rPr>
        <w:t xml:space="preserve">ومن جهة أخری قسّموه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یشتبه علیه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6"/>
        <w:numPr>
          <w:ilvl w:val="5"/>
          <w:numId w:val="1"/>
        </w:numPr>
        <w:rPr/>
      </w:pPr>
      <w:bookmarkStart w:id="1218" w:name="__RefHeading___Toc3300526_1468164448"/>
      <w:bookmarkStart w:id="1219" w:name="_Toc484"/>
      <w:bookmarkEnd w:id="1218"/>
      <w:r>
        <w:rPr>
          <w:rtl w:val="true"/>
        </w:rPr>
        <w:t>برکات تلک التقسیمات</w:t>
      </w:r>
      <w:bookmarkEnd w:id="1219"/>
    </w:p>
    <w:p>
      <w:pPr>
        <w:pStyle w:val="BookText"/>
        <w:rPr/>
      </w:pPr>
      <w:r>
        <w:rPr>
          <w:rFonts w:ascii="IRNazanin" w:hAnsi="IRNazanin" w:eastAsia="IRNazanin"/>
          <w:color w:val="111111"/>
          <w:sz w:val="28"/>
          <w:sz w:val="28"/>
          <w:szCs w:val="28"/>
          <w:rtl w:val="true"/>
          <w:lang w:bidi="fa-IR"/>
        </w:rPr>
        <w:t xml:space="preserve">وتظهر برکات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نعرف فائدة هذا 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کیفیة نشوء الوثوق بالصدور والإستفاضة والتواتر؛ لأنّ التقسیم المذکور یحدّد الدرجة الإحتمالیة لکلّ 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خبر الواحد قد یکون ضعیفاً من جهة وصحیحاً من جهة أخری، ومن ثمّ یکون حجّة فی حالة فیعمل به، ولا یکون حجّة فی حالة أخری فلا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یفهم مثل موقف الصدوق من سماعة، حیث یطرح خبره لأنه واقفی إلاّ أنه فی مکان آخر یعمل بروایاته، و هذا الموقف لیس تناقضاً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 سماعة ضعیف فی جانبه العلمی، فإذا شک فی الخبر بحیث یرجع الشک إلی بُعده العلمی المنحرف لا یؤخذ بخبره و إلاّ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فی مثل سهل الذی ضعّف لأنه مخلّط فلا یُعمل بروایته مع الشک الراجح إلی تخلیطه لعدم جریان أصل عدم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 من کلّ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زوایا الشک لما کانت متعدّدة لا معنی لحصر التقسیم بالصفات العملیة للراوی، وأنّ الضعف لما کان نسبیاً لا معنی لإهمال تقسیمه وترکه علی إطلاقه</w:t>
      </w:r>
      <w:r>
        <w:rPr>
          <w:rFonts w:eastAsia="IRNazanin" w:cs="IRNazanin"/>
          <w:color w:val="111111"/>
          <w:sz w:val="28"/>
          <w:szCs w:val="28"/>
          <w:rtl w:val="true"/>
          <w:lang w:bidi="fa-IR"/>
        </w:rPr>
        <w:t>.</w:t>
      </w:r>
    </w:p>
    <w:p>
      <w:pPr>
        <w:pStyle w:val="Heading5"/>
        <w:numPr>
          <w:ilvl w:val="4"/>
          <w:numId w:val="1"/>
        </w:numPr>
        <w:rPr/>
      </w:pPr>
      <w:bookmarkStart w:id="1220" w:name="__RefHeading___Toc3300528_1468164448"/>
      <w:bookmarkStart w:id="1221" w:name="_Toc485"/>
      <w:bookmarkEnd w:id="1220"/>
      <w:r>
        <w:rPr>
          <w:rtl w:val="true"/>
        </w:rPr>
        <w:t>النقطة السابعة</w:t>
      </w:r>
      <w:r>
        <w:rPr>
          <w:rtl w:val="true"/>
        </w:rPr>
        <w:t xml:space="preserve">: </w:t>
      </w:r>
      <w:r>
        <w:rPr>
          <w:rtl w:val="true"/>
        </w:rPr>
        <w:t>وجوب حفظ الدین علی صعید العلم والعمل</w:t>
      </w:r>
      <w:bookmarkEnd w:id="12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مدارسة الدین واجبة بالحدّ الذی یحفظه عن الإندراس أولاً، ویجعل من النظریات ضروریات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نلحظ ذلک فی مسألة بطلان التجسیم، فإنّها کانت مسألة نظریة، وبالمدارسة تحوّلت إلی ضروریة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والمدارسة واجبة بکلّ أشکالها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کالدرس والخطابة والتبلیغ وحفظ الحدیث ونشره إلی غیر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علی صعید الحالة العلمیة، ومثله الحال علی مستوی الجانب العملی، فإنه یجب حفظ الدین فی هذا الجانب، وإن کان الأعلام قد تشدّدوا فی البُعد الأول أکثر، فکانوا حریصین علی حفظ الحالة العلمیة وإبقاء العلم بالدین علی نطاق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أثرنا هذه النقطة تمهیداً لما سیأتی من نظر بعض الأدلّة لهذا الأمر، لا لإثبات حجّیة الخبر، فلأجل البصیرة وتجنب الخلط ذکرنا هذه اللفتة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کلّ هذه التمهیدات نَدخُل صلب البحث فی خبر الواحد وسنبدأ من استعراض الأدلّة</w:t>
      </w:r>
      <w:r>
        <w:rPr>
          <w:rFonts w:eastAsia="IRNazanin" w:cs="IRNazanin"/>
          <w:color w:val="111111"/>
          <w:sz w:val="28"/>
          <w:szCs w:val="28"/>
          <w:rtl w:val="true"/>
          <w:lang w:bidi="fa-IR"/>
        </w:rPr>
        <w:t>.</w:t>
      </w:r>
      <w:bookmarkStart w:id="1222" w:name="pg16983_381274"/>
    </w:p>
    <w:p>
      <w:pPr>
        <w:pStyle w:val="Heading4"/>
        <w:numPr>
          <w:ilvl w:val="3"/>
          <w:numId w:val="1"/>
        </w:numPr>
        <w:rPr/>
      </w:pPr>
      <w:bookmarkStart w:id="1223" w:name="__RefHeading___Toc3300530_1468164448"/>
      <w:bookmarkStart w:id="1224" w:name="_Toc486"/>
      <w:bookmarkEnd w:id="1222"/>
      <w:bookmarkEnd w:id="1223"/>
      <w:r>
        <w:rPr/>
        <w:t>2</w:t>
      </w:r>
      <w:r>
        <w:rPr>
          <w:rtl w:val="true"/>
        </w:rPr>
        <w:t xml:space="preserve"> . </w:t>
      </w:r>
      <w:r>
        <w:rPr>
          <w:rtl w:val="true"/>
        </w:rPr>
        <w:t>أدلّة المانعین</w:t>
      </w:r>
      <w:bookmarkEnd w:id="1224"/>
    </w:p>
    <w:p>
      <w:pPr>
        <w:pStyle w:val="Heading5"/>
        <w:numPr>
          <w:ilvl w:val="4"/>
          <w:numId w:val="1"/>
        </w:numPr>
        <w:rPr/>
      </w:pPr>
      <w:bookmarkStart w:id="1225" w:name="__RefHeading___Toc3300532_1468164448"/>
      <w:bookmarkStart w:id="1226" w:name="_Toc487"/>
      <w:bookmarkEnd w:id="1225"/>
      <w:r>
        <w:rPr>
          <w:rtl w:val="true"/>
        </w:rPr>
        <w:t>اشارة</w:t>
      </w:r>
      <w:bookmarkEnd w:id="1226"/>
    </w:p>
    <w:p>
      <w:pPr>
        <w:pStyle w:val="BookText"/>
        <w:rPr/>
      </w:pPr>
      <w:r>
        <w:rPr>
          <w:rFonts w:ascii="IRNazanin" w:hAnsi="IRNazanin" w:eastAsia="IRNazanin"/>
          <w:color w:val="111111"/>
          <w:sz w:val="28"/>
          <w:sz w:val="28"/>
          <w:szCs w:val="28"/>
          <w:rtl w:val="true"/>
          <w:lang w:bidi="fa-IR"/>
        </w:rPr>
        <w:t xml:space="preserve">ونکتفی بالمرور السریع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وسنقف عندها طویلاً عند الحدیث فی أدلّة الإثبات، حیث کانت بعض تلک الأدلّة متقومة بدفع أدلّة المنع، فبحثها الأعلام هناک بعمق</w:t>
      </w:r>
      <w:r>
        <w:rPr>
          <w:rFonts w:eastAsia="IRNazanin" w:cs="IRNazanin"/>
          <w:color w:val="111111"/>
          <w:sz w:val="28"/>
          <w:szCs w:val="28"/>
          <w:rtl w:val="true"/>
          <w:lang w:bidi="fa-IR"/>
        </w:rPr>
        <w:t>. ]</w:t>
      </w:r>
    </w:p>
    <w:p>
      <w:pPr>
        <w:pStyle w:val="Heading5"/>
        <w:numPr>
          <w:ilvl w:val="4"/>
          <w:numId w:val="1"/>
        </w:numPr>
        <w:rPr/>
      </w:pPr>
      <w:bookmarkStart w:id="1227" w:name="__RefHeading___Toc3300534_1468164448"/>
      <w:bookmarkStart w:id="1228" w:name="_Toc488"/>
      <w:bookmarkEnd w:id="1227"/>
      <w:r>
        <w:rPr>
          <w:rtl w:val="true"/>
        </w:rPr>
        <w:t>الدلیل الأول</w:t>
      </w:r>
      <w:r>
        <w:rPr>
          <w:rtl w:val="true"/>
        </w:rPr>
        <w:t xml:space="preserve">: </w:t>
      </w:r>
      <w:r>
        <w:rPr>
          <w:rtl w:val="true"/>
        </w:rPr>
        <w:t>الکتاب العزیز</w:t>
      </w:r>
      <w:bookmarkEnd w:id="1228"/>
    </w:p>
    <w:p>
      <w:pPr>
        <w:pStyle w:val="BookText"/>
        <w:rPr/>
      </w:pPr>
      <w:r>
        <w:rPr>
          <w:rFonts w:ascii="IRNazanin" w:hAnsi="IRNazanin" w:eastAsia="IRNazanin"/>
          <w:color w:val="111111"/>
          <w:sz w:val="28"/>
          <w:sz w:val="28"/>
          <w:szCs w:val="28"/>
          <w:rtl w:val="true"/>
          <w:lang w:bidi="fa-IR"/>
        </w:rPr>
        <w:t>إنّ الکتاب فی آیاته المبارکة الناهیة عن العمل بالظن یصرّح بعدم الإعتناء بالظن بما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التعرض لها وتحقیق دلالتها فی بحث سابق وهو بحث الشک فی الحجّیة</w:t>
      </w:r>
      <w:r>
        <w:rPr>
          <w:rFonts w:eastAsia="IRNazanin" w:cs="IRNazanin"/>
          <w:color w:val="111111"/>
          <w:sz w:val="28"/>
          <w:szCs w:val="28"/>
          <w:rtl w:val="true"/>
          <w:lang w:bidi="fa-IR"/>
        </w:rPr>
        <w:t>.</w:t>
      </w:r>
    </w:p>
    <w:p>
      <w:pPr>
        <w:pStyle w:val="Heading5"/>
        <w:numPr>
          <w:ilvl w:val="4"/>
          <w:numId w:val="1"/>
        </w:numPr>
        <w:rPr/>
      </w:pPr>
      <w:bookmarkStart w:id="1229" w:name="__RefHeading___Toc3300536_1468164448"/>
      <w:bookmarkStart w:id="1230" w:name="_Toc489"/>
      <w:bookmarkEnd w:id="1229"/>
      <w:r>
        <w:rPr>
          <w:rtl w:val="true"/>
        </w:rPr>
        <w:t>الدلیل الثانی</w:t>
      </w:r>
      <w:r>
        <w:rPr>
          <w:rtl w:val="true"/>
        </w:rPr>
        <w:t xml:space="preserve">: </w:t>
      </w:r>
      <w:r>
        <w:rPr>
          <w:rtl w:val="true"/>
        </w:rPr>
        <w:t>طوائف من الروایات</w:t>
      </w:r>
      <w:bookmarkEnd w:id="1230"/>
    </w:p>
    <w:p>
      <w:pPr>
        <w:pStyle w:val="BookText"/>
        <w:rPr/>
      </w:pPr>
      <w:r>
        <w:rPr>
          <w:rFonts w:ascii="IRNazanin" w:hAnsi="IRNazanin" w:eastAsia="IRNazanin"/>
          <w:color w:val="111111"/>
          <w:sz w:val="28"/>
          <w:sz w:val="28"/>
          <w:szCs w:val="28"/>
          <w:rtl w:val="true"/>
          <w:lang w:bidi="fa-IR"/>
        </w:rPr>
        <w:t xml:space="preserve">هناک طوائف من الروایات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ربّنا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وافق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ضرورة وجود شاهد إلی جانب الخبر وغیر ذلک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وسیأتی أنّ بعضها متعرض لشرائط مضمون الخبر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أشکل الشیخ و الآخوند علی هذا الدلیل بأنها أخبار آحاد لا معنی لاعتمادها فی نفی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متواترة إجمالاً فیؤخذ بالمتیقن منها، وهو أنّ الخبر الحجّة مشروط بعدم مخالفته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طائفة من هذه الطوائف مستفیضة، ولکن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هی فی صدد نفی حجّیة الخبر، کما سیتبلور بعدُ</w:t>
      </w:r>
      <w:r>
        <w:rPr>
          <w:rFonts w:eastAsia="IRNazanin" w:cs="IRNazanin"/>
          <w:color w:val="111111"/>
          <w:sz w:val="28"/>
          <w:szCs w:val="28"/>
          <w:rtl w:val="true"/>
          <w:lang w:bidi="fa-IR"/>
        </w:rPr>
        <w:t>.</w:t>
      </w:r>
      <w:bookmarkStart w:id="1231" w:name="pg16983_381276"/>
    </w:p>
    <w:p>
      <w:pPr>
        <w:pStyle w:val="Heading5"/>
        <w:numPr>
          <w:ilvl w:val="4"/>
          <w:numId w:val="1"/>
        </w:numPr>
        <w:rPr/>
      </w:pPr>
      <w:bookmarkStart w:id="1232" w:name="__RefHeading___Toc3300538_1468164448"/>
      <w:bookmarkStart w:id="1233" w:name="_Toc490"/>
      <w:bookmarkEnd w:id="1231"/>
      <w:bookmarkEnd w:id="1232"/>
      <w:r>
        <w:rPr>
          <w:rtl w:val="true"/>
        </w:rPr>
        <w:t>الدلیل الثالث</w:t>
      </w:r>
      <w:r>
        <w:rPr>
          <w:rtl w:val="true"/>
        </w:rPr>
        <w:t xml:space="preserve">: </w:t>
      </w:r>
      <w:r>
        <w:rPr>
          <w:rtl w:val="true"/>
        </w:rPr>
        <w:t>الإجماع</w:t>
      </w:r>
      <w:bookmarkEnd w:id="1233"/>
    </w:p>
    <w:p>
      <w:pPr>
        <w:pStyle w:val="BookText"/>
        <w:rPr/>
      </w:pPr>
      <w:r>
        <w:rPr>
          <w:rFonts w:ascii="IRNazanin" w:hAnsi="IRNazanin" w:eastAsia="IRNazanin"/>
          <w:color w:val="111111"/>
          <w:sz w:val="28"/>
          <w:sz w:val="28"/>
          <w:szCs w:val="28"/>
          <w:rtl w:val="true"/>
          <w:lang w:bidi="fa-IR"/>
        </w:rPr>
        <w:t xml:space="preserve">وقد أقرّ الشیخ الطوسی وجود دعاوی إجماع من قبل متکلّمی الإمامیة، کما أنه لم یعثر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مصرِّح بالإجماع علی الحجّیة وإنما استند إلی الإجماع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کلا الفریقین علی العمل بالأخبار المودعة فی الکتب المشهورة، مع اختلافهم فی تخریج ذلک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وجد الشیخ الطوسی دعاوی الإجماع علی عدم الحجّیة بأنّهم قالوه فی قبال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استطاعتهم ردّ أخبارهم بحجّة فسق الرواة خاصة وضّاع الحدیث الذین برزوا فی عصر الدولة الأمویة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ویستشهد فی العدّة علی أنّ عملهم قائم علی خبر الواحد، ودعوی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التی تمّ العمل بها، مستفیضة أو لها شواهد قرآنیة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الکلام سیکون عند البحث فی الإجماع علی الحجّیة</w:t>
      </w:r>
      <w:r>
        <w:rPr>
          <w:rFonts w:eastAsia="IRNazanin" w:cs="IRNazanin"/>
          <w:color w:val="111111"/>
          <w:sz w:val="28"/>
          <w:szCs w:val="28"/>
          <w:rtl w:val="true"/>
          <w:lang w:bidi="fa-IR"/>
        </w:rPr>
        <w:t>.</w:t>
      </w:r>
    </w:p>
    <w:p>
      <w:pPr>
        <w:pStyle w:val="Heading5"/>
        <w:numPr>
          <w:ilvl w:val="4"/>
          <w:numId w:val="1"/>
        </w:numPr>
        <w:rPr/>
      </w:pPr>
      <w:bookmarkStart w:id="1234" w:name="__RefHeading___Toc3300540_1468164448"/>
      <w:bookmarkStart w:id="1235" w:name="_Toc491"/>
      <w:bookmarkEnd w:id="1234"/>
      <w:r>
        <w:rPr>
          <w:rtl w:val="true"/>
        </w:rPr>
        <w:t>الدلیل الرابع</w:t>
      </w:r>
      <w:r>
        <w:rPr>
          <w:rtl w:val="true"/>
        </w:rPr>
        <w:t xml:space="preserve">: </w:t>
      </w:r>
      <w:r>
        <w:rPr>
          <w:rtl w:val="true"/>
        </w:rPr>
        <w:t>العقل</w:t>
      </w:r>
      <w:bookmarkEnd w:id="1235"/>
    </w:p>
    <w:p>
      <w:pPr>
        <w:pStyle w:val="BookText"/>
        <w:rPr/>
      </w:pPr>
      <w:r>
        <w:rPr>
          <w:rFonts w:ascii="IRNazanin" w:hAnsi="IRNazanin" w:eastAsia="IRNazanin"/>
          <w:color w:val="111111"/>
          <w:sz w:val="28"/>
          <w:sz w:val="28"/>
          <w:szCs w:val="28"/>
          <w:rtl w:val="true"/>
          <w:lang w:bidi="fa-IR"/>
        </w:rPr>
        <w:t xml:space="preserve">بصیاغات متعدّدة من قبیل صیاغة ابن 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الحدیث عنها فی بحث إمکان التعبد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 إسناد شیء للّه تعالی من دون علم، وأنّ الإشتغال الیقینی یستدعی الفراغ الیقینی والظن لیس فراغاً یقینیاً، وغیر ذلک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 الکلّ واحد، وهو أنه مع ثبوت الحجّیة واعتبار الشارع لها ینعدم موضوع هذه الأدلّة، فهی أدلّة تعلیقیة لا ناجزة</w:t>
      </w:r>
      <w:r>
        <w:rPr>
          <w:rFonts w:eastAsia="IRNazanin" w:cs="IRNazanin"/>
          <w:color w:val="111111"/>
          <w:sz w:val="28"/>
          <w:szCs w:val="28"/>
          <w:rtl w:val="true"/>
          <w:lang w:bidi="fa-IR"/>
        </w:rPr>
        <w:t>.</w:t>
      </w:r>
      <w:bookmarkStart w:id="1236" w:name="pg16983_381279"/>
    </w:p>
    <w:p>
      <w:pPr>
        <w:pStyle w:val="Heading4"/>
        <w:numPr>
          <w:ilvl w:val="3"/>
          <w:numId w:val="1"/>
        </w:numPr>
        <w:rPr/>
      </w:pPr>
      <w:bookmarkStart w:id="1237" w:name="__RefHeading___Toc3300542_1468164448"/>
      <w:bookmarkStart w:id="1238" w:name="_Toc492"/>
      <w:bookmarkEnd w:id="1236"/>
      <w:bookmarkEnd w:id="1237"/>
      <w:r>
        <w:rPr/>
        <w:t>3</w:t>
      </w:r>
      <w:r>
        <w:rPr>
          <w:rtl w:val="true"/>
        </w:rPr>
        <w:t xml:space="preserve"> . </w:t>
      </w:r>
      <w:r>
        <w:rPr>
          <w:rtl w:val="true"/>
        </w:rPr>
        <w:t>أدلّة المثبتین</w:t>
      </w:r>
      <w:bookmarkEnd w:id="1238"/>
    </w:p>
    <w:p>
      <w:pPr>
        <w:pStyle w:val="Heading5"/>
        <w:numPr>
          <w:ilvl w:val="4"/>
          <w:numId w:val="1"/>
        </w:numPr>
        <w:rPr/>
      </w:pPr>
      <w:bookmarkStart w:id="1239" w:name="__RefHeading___Toc3300544_1468164448"/>
      <w:bookmarkStart w:id="1240" w:name="_Toc493"/>
      <w:bookmarkEnd w:id="1239"/>
      <w:r>
        <w:rPr>
          <w:rtl w:val="true"/>
        </w:rPr>
        <w:t>اشارة</w:t>
      </w:r>
      <w:bookmarkEnd w:id="1240"/>
    </w:p>
    <w:p>
      <w:pPr>
        <w:pStyle w:val="BookText"/>
        <w:rPr/>
      </w:pPr>
      <w:r>
        <w:rPr>
          <w:rFonts w:ascii="IRNazanin" w:hAnsi="IRNazanin" w:eastAsia="IRNazanin"/>
          <w:color w:val="111111"/>
          <w:sz w:val="28"/>
          <w:sz w:val="28"/>
          <w:szCs w:val="28"/>
          <w:rtl w:val="true"/>
          <w:lang w:bidi="fa-IR"/>
        </w:rPr>
        <w:t>لابدّ من التنبّه إلی وجود شرائع طولیة فطریة وعقلائیة وشرعیة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الشرعیة مبنیة علی الشریعة العقلائیة فی لغتها التصوریة، وکثیر من بنودها علی مستوی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دأب الأعلام عند وجود حکم فطری عقلی وورود حکم شرعی مطابق له، حمله علی الارشاد مطلقاً، أو فیما إذا کان فی سلسلة معلولات الحکم الشرعی کوجوب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 بالإطلاق لم یکن بسبب قاعدة الملازمة بین حکم العقل والشرع، وإنما من باب کلّ ما حکم به العقل یغنی عن الشرع، فیصبح منجزاً ومعذراً وضمن الشریعة، کیف لا والشریعة شریعة الفطرة</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فوجود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فی الإستظهار من الدلیل الشرعی، حیث ینفع فی رفع الید عن الظهور فی المولویة، بل حتی من یستظهر المولویة فی الجملة ینفع الحکم العقلی فی معرفة دائرة التشریع وحدوده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الحکم العقلائی له أثر فی استظهار الدلیل الوارد فی الحجّیة علماً أنه لابدّ من حمله علی المولویة، ولکنّه مع ذلک یؤثر فی فهم قیوده وموضوعه وغیر ذلک من شؤونه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النقلی یتأرجح بین کونه إمضاءً أو تأسیساً،</w:t>
      </w:r>
    </w:p>
    <w:p>
      <w:pPr>
        <w:pStyle w:val="BookText"/>
        <w:rPr/>
      </w:pPr>
      <w:r>
        <w:rPr>
          <w:rFonts w:ascii="IRNazanin" w:hAnsi="IRNazanin" w:eastAsia="IRNazanin"/>
          <w:color w:val="111111"/>
          <w:sz w:val="28"/>
          <w:sz w:val="28"/>
          <w:szCs w:val="28"/>
          <w:rtl w:val="true"/>
          <w:lang w:bidi="fa-IR"/>
        </w:rPr>
        <w:t>ووجود تقنین من العقلاء له دور فی حسم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النقص فی البحث التجریدی ومن دون مراعاة القرینة المؤثرة فی قراءة الدلیل وکیفیة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تبریر البحث التجریدی، ولکن کمقدمة لا إلی نهایة المطاف؛ لأنّ الدلیل النقلی من سنخ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أولاً من معالجة الدالّ فی نفسه وعلی مستوی دلالته التصوریة والإستعمالیة،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تحدید المراد الجدی وحتی التفهیمی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تلحظ القرائن المنفصلة ومنها الحکم العقلی والعقلائی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کان الأسلم منهجیاً الدخول أولاً ببحث السیرة، ثمّ الإنتقال منه إلی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إمضاء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أنّ لها وجوداً و إلاّ کان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جریاً علی طریقة الأعلام سیتمّ البحث أولاً فی النقل بشقّیه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یتمّ البحث فی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کما عرفت سیکون البحث ناقصاً وتجریدیاً لعدم مراعاته لبناء العقلاء</w:t>
      </w:r>
      <w:r>
        <w:rPr>
          <w:rFonts w:eastAsia="IRNazanin" w:cs="IRNazanin"/>
          <w:color w:val="111111"/>
          <w:sz w:val="28"/>
          <w:szCs w:val="28"/>
          <w:rtl w:val="true"/>
          <w:lang w:bidi="fa-IR"/>
        </w:rPr>
        <w:t>.</w:t>
      </w:r>
      <w:bookmarkStart w:id="1241" w:name="pg16983_381283"/>
    </w:p>
    <w:p>
      <w:pPr>
        <w:pStyle w:val="Heading5"/>
        <w:numPr>
          <w:ilvl w:val="4"/>
          <w:numId w:val="1"/>
        </w:numPr>
        <w:rPr/>
      </w:pPr>
      <w:bookmarkStart w:id="1242" w:name="__RefHeading___Toc3300546_1468164448"/>
      <w:bookmarkStart w:id="1243" w:name="_Toc494"/>
      <w:bookmarkEnd w:id="1241"/>
      <w:bookmarkEnd w:id="1242"/>
      <w:r>
        <w:rPr>
          <w:rtl w:val="true"/>
        </w:rPr>
        <w:t>الدلیل الأول</w:t>
      </w:r>
      <w:r>
        <w:rPr>
          <w:rtl w:val="true"/>
        </w:rPr>
        <w:t xml:space="preserve">: </w:t>
      </w:r>
      <w:r>
        <w:rPr>
          <w:rtl w:val="true"/>
        </w:rPr>
        <w:t>القرآن الکریم</w:t>
      </w:r>
      <w:bookmarkEnd w:id="1243"/>
    </w:p>
    <w:p>
      <w:pPr>
        <w:pStyle w:val="Heading6"/>
        <w:numPr>
          <w:ilvl w:val="5"/>
          <w:numId w:val="1"/>
        </w:numPr>
        <w:rPr/>
      </w:pPr>
      <w:bookmarkStart w:id="1244" w:name="__RefHeading___Toc3300548_1468164448"/>
      <w:bookmarkStart w:id="1245" w:name="_Toc495"/>
      <w:bookmarkEnd w:id="1244"/>
      <w:r>
        <w:rPr>
          <w:rtl w:val="true"/>
        </w:rPr>
        <w:t>اشارة</w:t>
      </w:r>
      <w:bookmarkEnd w:id="1245"/>
    </w:p>
    <w:p>
      <w:pPr>
        <w:pStyle w:val="BookText"/>
        <w:rPr/>
      </w:pPr>
      <w:r>
        <w:rPr>
          <w:rFonts w:ascii="IRNazanin" w:hAnsi="IRNazanin" w:eastAsia="IRNazanin"/>
          <w:color w:val="111111"/>
          <w:sz w:val="28"/>
          <w:sz w:val="28"/>
          <w:szCs w:val="28"/>
          <w:rtl w:val="true"/>
          <w:lang w:bidi="fa-IR"/>
        </w:rPr>
        <w:t>استدلّوا لحجّیة خبر الواحد بآیات من الکتاب الکریم</w:t>
      </w:r>
      <w:r>
        <w:rPr>
          <w:rFonts w:eastAsia="IRNazanin" w:cs="IRNazanin"/>
          <w:color w:val="111111"/>
          <w:sz w:val="28"/>
          <w:szCs w:val="28"/>
          <w:rtl w:val="true"/>
          <w:lang w:bidi="fa-IR"/>
        </w:rPr>
        <w:t>.</w:t>
      </w:r>
    </w:p>
    <w:p>
      <w:pPr>
        <w:pStyle w:val="Heading6"/>
        <w:numPr>
          <w:ilvl w:val="5"/>
          <w:numId w:val="1"/>
        </w:numPr>
        <w:rPr/>
      </w:pPr>
      <w:bookmarkStart w:id="1246" w:name="__RefHeading___Toc3300550_1468164448"/>
      <w:bookmarkStart w:id="1247" w:name="_Toc496"/>
      <w:bookmarkEnd w:id="1246"/>
      <w:r>
        <w:rPr>
          <w:rtl w:val="true"/>
        </w:rPr>
        <w:t>الآیة الأولی</w:t>
      </w:r>
      <w:r>
        <w:rPr>
          <w:rtl w:val="true"/>
        </w:rPr>
        <w:t xml:space="preserve">: </w:t>
      </w:r>
      <w:r>
        <w:rPr>
          <w:rtl w:val="true"/>
        </w:rPr>
        <w:t>آیة النبأ</w:t>
      </w:r>
      <w:bookmarkEnd w:id="1247"/>
    </w:p>
    <w:p>
      <w:pPr>
        <w:pStyle w:val="BookText"/>
        <w:rPr/>
      </w:pPr>
      <w:r>
        <w:rPr>
          <w:rFonts w:ascii="Amiri" w:hAnsi="Amiri" w:eastAsia="Amiri" w:cs="Amiri"/>
          <w:color w:val="111111"/>
          <w:sz w:val="28"/>
          <w:sz w:val="28"/>
          <w:szCs w:val="28"/>
          <w:rtl w:val="true"/>
          <w:lang w:bidi="ar-SA"/>
        </w:rPr>
        <w:t xml:space="preserve">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r>
        <w:rPr>
          <w:rStyle w:val="FootnoteAnchor"/>
          <w:rtl w:val="true"/>
        </w:rPr>
        <w:footnoteReference w:id="177"/>
      </w:r>
    </w:p>
    <w:p>
      <w:pPr>
        <w:pStyle w:val="Heading6"/>
        <w:numPr>
          <w:ilvl w:val="5"/>
          <w:numId w:val="1"/>
        </w:numPr>
        <w:rPr/>
      </w:pPr>
      <w:bookmarkStart w:id="1248" w:name="__RefHeading___Toc3300552_1468164448"/>
      <w:bookmarkStart w:id="1249" w:name="_Toc497"/>
      <w:bookmarkEnd w:id="1248"/>
      <w:r>
        <w:rPr>
          <w:rtl w:val="true"/>
        </w:rPr>
        <w:t>سبب نزول الآیة</w:t>
      </w:r>
      <w:bookmarkEnd w:id="1249"/>
    </w:p>
    <w:p>
      <w:pPr>
        <w:pStyle w:val="BookText"/>
        <w:rPr/>
      </w:pPr>
      <w:r>
        <w:rPr>
          <w:rFonts w:ascii="Amiri" w:hAnsi="Amiri" w:eastAsia="Amiri" w:cs="Amiri"/>
          <w:color w:val="111111"/>
          <w:sz w:val="28"/>
          <w:sz w:val="28"/>
          <w:szCs w:val="28"/>
          <w:rtl w:val="true"/>
          <w:lang w:bidi="ar-SA"/>
        </w:rPr>
        <w:t xml:space="preserve">سبب نزول الآیة کما ذکره المفسّرون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الولید بن عقبة لجمع صدقات قوم کان بینه وبینهم دم، ومع ذلک قد خرج هؤلاء تکریماً له وإعطائه الصدقات إلاّ أنه توهّم أنّهم یریدون الثأر منه، فرجع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بأنّهم ارتدّوا وامتنعوا من دفع الصدقة،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واستقر الرأی علی غزوهم،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تریّث، کما تشیر الآیة إلی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فِیکُمْ رَسُولَ اللّهِ لَوْ یُطِیعُکُمْ فِی کَثِیرٍ مِنَ الْأَمْرِ لَعَنِتُّمْ</w:t>
      </w:r>
      <w:r>
        <w:rPr>
          <w:rFonts w:eastAsia="Amiri" w:cs="Amiri" w:ascii="Amiri" w:hAnsi="Amiri"/>
          <w:color w:val="111111"/>
          <w:sz w:val="28"/>
          <w:szCs w:val="28"/>
          <w:rtl w:val="true"/>
          <w:lang w:bidi="ar-SA"/>
        </w:rPr>
        <w:t>) .</w:t>
      </w:r>
      <w:r>
        <w:rPr>
          <w:rStyle w:val="FootnoteAnchor"/>
          <w:rtl w:val="true"/>
        </w:rPr>
        <w:footnoteReference w:id="17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50" w:name="__RefHeading___Toc3300554_1468164448"/>
      <w:bookmarkStart w:id="1251" w:name="_Toc498"/>
      <w:bookmarkEnd w:id="1250"/>
      <w:r>
        <w:rPr>
          <w:rtl w:val="true"/>
        </w:rPr>
        <w:t>وقفة مع مفردات الآیة</w:t>
      </w:r>
      <w:bookmarkStart w:id="1252" w:name="pg16983_381285"/>
      <w:bookmarkEnd w:id="1251"/>
    </w:p>
    <w:p>
      <w:pPr>
        <w:pStyle w:val="BookText"/>
        <w:rPr/>
      </w:pPr>
      <w:bookmarkEnd w:id="1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شرط ممحضة فی الشرطیة، بل هی من أدلّ أدوات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الفاسق بنبأ، والنبأ لم یقید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والجزاء حیث کان فعل أمر صدّر بالفاء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أمر إرشادی، غیری، نفسی، طریقی؟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مردّدة بین عدم العلم والسفاهة وإن کان الثانی أقرب؛ لأنّ الجهل لغة أخذ مقابل العقل العملی، فهو صفة عملیة ممزوجة بالإدراک، ومن هنا عنون باباً فی الکافی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وعنون کتاب العلم به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الجهالة فإنه أوضح من الجهل فی السفاهة، و ربما یندر وقوعها بمعنی عدم العلم</w:t>
      </w:r>
      <w:r>
        <w:rPr>
          <w:rFonts w:eastAsia="IRNazanin" w:cs="IRNazanin"/>
          <w:color w:val="111111"/>
          <w:sz w:val="28"/>
          <w:szCs w:val="28"/>
          <w:rtl w:val="true"/>
          <w:lang w:bidi="fa-IR"/>
        </w:rPr>
        <w:t>.</w:t>
      </w:r>
    </w:p>
    <w:p>
      <w:pPr>
        <w:pStyle w:val="Heading6"/>
        <w:numPr>
          <w:ilvl w:val="5"/>
          <w:numId w:val="1"/>
        </w:numPr>
        <w:rPr/>
      </w:pPr>
      <w:bookmarkStart w:id="1253" w:name="__RefHeading___Toc3300556_1468164448"/>
      <w:bookmarkStart w:id="1254" w:name="_Toc499"/>
      <w:bookmarkEnd w:id="1253"/>
      <w:r>
        <w:rPr>
          <w:rtl w:val="true"/>
        </w:rPr>
        <w:t>شرط الدلالة علی المفهوم</w:t>
      </w:r>
      <w:bookmarkEnd w:id="1254"/>
    </w:p>
    <w:p>
      <w:pPr>
        <w:pStyle w:val="BookText"/>
        <w:rPr/>
      </w:pPr>
      <w:r>
        <w:rPr>
          <w:rFonts w:ascii="IRNazanin" w:hAnsi="IRNazanin" w:eastAsia="IRNazanin"/>
          <w:color w:val="111111"/>
          <w:sz w:val="28"/>
          <w:sz w:val="28"/>
          <w:szCs w:val="28"/>
          <w:rtl w:val="true"/>
          <w:lang w:bidi="fa-IR"/>
        </w:rPr>
        <w:t>الدلالة علی المفهوم مشروطة بأن یکون الموضوع الأصولی للحکم غیر الشرط، و إلاّ لما کان للجملة مفهوم وإنما انتفی الحکم بانتفاء موضوعه</w:t>
      </w:r>
      <w:r>
        <w:rPr>
          <w:rFonts w:eastAsia="IRNazanin" w:cs="IRNazanin"/>
          <w:color w:val="111111"/>
          <w:sz w:val="28"/>
          <w:szCs w:val="28"/>
          <w:rtl w:val="true"/>
          <w:lang w:bidi="fa-IR"/>
        </w:rPr>
        <w:t>.</w:t>
      </w:r>
    </w:p>
    <w:p>
      <w:pPr>
        <w:pStyle w:val="Heading6"/>
        <w:numPr>
          <w:ilvl w:val="5"/>
          <w:numId w:val="1"/>
        </w:numPr>
        <w:rPr/>
      </w:pPr>
      <w:bookmarkStart w:id="1255" w:name="__RefHeading___Toc3300558_1468164448"/>
      <w:bookmarkStart w:id="1256" w:name="_Toc500"/>
      <w:bookmarkEnd w:id="1255"/>
      <w:r>
        <w:rPr>
          <w:rtl w:val="true"/>
        </w:rPr>
        <w:t>الإستدلال بمفهوم الشرط‌</w:t>
      </w:r>
      <w:bookmarkEnd w:id="1256"/>
    </w:p>
    <w:p>
      <w:pPr>
        <w:pStyle w:val="BookText"/>
        <w:rPr/>
      </w:pPr>
      <w:r>
        <w:rPr>
          <w:rFonts w:ascii="IRNazanin" w:hAnsi="IRNazanin" w:eastAsia="IRNazanin"/>
          <w:color w:val="111111"/>
          <w:sz w:val="28"/>
          <w:sz w:val="28"/>
          <w:szCs w:val="28"/>
          <w:rtl w:val="true"/>
          <w:lang w:bidi="fa-IR"/>
        </w:rPr>
        <w:t>تقریب دلالة الآیة علی الحجّیة بمفهوم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اشترطت التبیّن، وأی شیء فسّرنا به التبیّن فهو یعنی عدم حجّیة خبر الفاسق، و إلاّ لم یکن معنی للتبیّن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وجوب التبیّن هو مجیء الفاسق، فإذا لم یأت به هو وإنما جاء به العادل فهو حجّة لا یتبیّن خبره</w:t>
      </w:r>
      <w:r>
        <w:rPr>
          <w:rFonts w:eastAsia="IRNazanin" w:cs="IRNazanin"/>
          <w:color w:val="111111"/>
          <w:sz w:val="28"/>
          <w:szCs w:val="28"/>
          <w:rtl w:val="true"/>
          <w:lang w:bidi="fa-IR"/>
        </w:rPr>
        <w:t>.</w:t>
      </w:r>
    </w:p>
    <w:p>
      <w:pPr>
        <w:pStyle w:val="Heading6"/>
        <w:numPr>
          <w:ilvl w:val="5"/>
          <w:numId w:val="1"/>
        </w:numPr>
        <w:rPr/>
      </w:pPr>
      <w:bookmarkStart w:id="1257" w:name="__RefHeading___Toc3300560_1468164448"/>
      <w:bookmarkStart w:id="1258" w:name="_Toc501"/>
      <w:bookmarkEnd w:id="1257"/>
      <w:r>
        <w:rPr>
          <w:rtl w:val="true"/>
        </w:rPr>
        <w:t>المناقشة الأولی فی هذا التقریب</w:t>
      </w:r>
      <w:bookmarkEnd w:id="1258"/>
    </w:p>
    <w:p>
      <w:pPr>
        <w:pStyle w:val="BookText"/>
        <w:rPr/>
      </w:pPr>
      <w:r>
        <w:rPr>
          <w:rFonts w:ascii="IRNazanin" w:hAnsi="IRNazanin" w:eastAsia="IRNazanin"/>
          <w:color w:val="111111"/>
          <w:sz w:val="28"/>
          <w:sz w:val="28"/>
          <w:szCs w:val="28"/>
          <w:rtl w:val="true"/>
          <w:lang w:bidi="fa-IR"/>
        </w:rPr>
        <w:t>وقد نوقش فی هذا التقریب بأنّ الآیة لا مفهوم لها؛ لأنها مسوقة لبیان الموضوع نظیر إن رزقت ولداً فاختنه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المناقشة یمکن بیانها بشکلین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هو تمام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إنباء الفاسق بنبأ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هو جزء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النبأ</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الدلالة علی المفهوم بالبیان الأول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البیان</w:t>
      </w:r>
      <w:bookmarkStart w:id="1259" w:name="pg16983_381287"/>
    </w:p>
    <w:p>
      <w:pPr>
        <w:pStyle w:val="BookText"/>
        <w:rPr/>
      </w:pPr>
      <w:bookmarkEnd w:id="1259"/>
      <w:r>
        <w:rPr>
          <w:rFonts w:ascii="IRNazanin" w:hAnsi="IRNazanin" w:eastAsia="IRNazanin"/>
          <w:color w:val="111111"/>
          <w:sz w:val="28"/>
          <w:sz w:val="28"/>
          <w:szCs w:val="28"/>
          <w:rtl w:val="true"/>
          <w:lang w:bidi="fa-IR"/>
        </w:rPr>
        <w:t xml:space="preserve">الثانی فلأنّ الشرط یتصور انعدامه کله بما فی ذلک الموضوع، ویتصور مع انعدام جزءه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عدا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الموضوع ومعه یتعقل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فالمتکلّم إن لم یرد التعلیق فی کلامه لم یثبت المفهوم فی الحالات الثلاث ولا مشکلة، وإن أراد التعلیق بکلامه الحاوی للحالات الثلاث فهو غیر معقول بعد أن کانت الحالتان لا یتعقل فیهما المفهوم</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1260" w:name="__RefHeading___Toc3300562_1468164448"/>
      <w:bookmarkStart w:id="1261" w:name="_Toc502"/>
      <w:bookmarkEnd w:id="1260"/>
      <w:r>
        <w:rPr>
          <w:rtl w:val="true"/>
        </w:rPr>
        <w:t>التفکیک بین الشرط والموضوع</w:t>
      </w:r>
      <w:bookmarkEnd w:id="1261"/>
    </w:p>
    <w:p>
      <w:pPr>
        <w:pStyle w:val="BookText"/>
        <w:rPr/>
      </w:pPr>
      <w:r>
        <w:rPr>
          <w:rFonts w:ascii="IRNazanin" w:hAnsi="IRNazanin" w:eastAsia="IRNazanin"/>
          <w:color w:val="111111"/>
          <w:sz w:val="28"/>
          <w:sz w:val="28"/>
          <w:szCs w:val="28"/>
          <w:rtl w:val="true"/>
          <w:lang w:bidi="fa-IR"/>
        </w:rPr>
        <w:t>وقبل تقییم هذه المناقشة لابدّ من توضیح ما ذکرناه فی النقطة الثالثة من أنّ الدلالة علی المفهوم مقیدة بعدم کون الموضوع هو الشرط</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قد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قید الحکم أیضاً کالموضوع، فهو جزء الموضوع الأصولی للحکم، کما أنّ الموضوع واحد من شروط الحکم وقیوده، فلا معنی للتفکیک بین الشرط والموضوع وتصویر أنّهما شیئان</w:t>
      </w:r>
      <w:r>
        <w:rPr>
          <w:rFonts w:eastAsia="IRNazanin" w:cs="IRNazanin"/>
          <w:color w:val="111111"/>
          <w:sz w:val="28"/>
          <w:szCs w:val="28"/>
          <w:rtl w:val="true"/>
          <w:lang w:bidi="fa-IR"/>
        </w:rPr>
        <w:t>.</w:t>
      </w:r>
      <w:bookmarkStart w:id="1262" w:name="pg16983_381289"/>
    </w:p>
    <w:p>
      <w:pPr>
        <w:pStyle w:val="BookText"/>
        <w:rPr/>
      </w:pPr>
      <w:bookmarkEnd w:id="1262"/>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مرادهم من الموضوع قید الحکم وشرط الإتصاف، کما أنّ الشرط قید للحکم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وبهما معاً یوجد الحکم خارجاً ویتصف متعلّقه بالملاک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وبانتفاء کلّ منهما ینتفی الحکم، سوی أنّ القیود فی صیاغتها القانونیة علی نمطین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یعدّ رکناً رکیناً فی موضوع الحکم وقیوده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یعدّ هامشیاً ومن الذیول، کأن لا یکون قیداً مباشراً للحکم وإنما من قیود قیوده أو یکون قیداً مباشراً إلاّ أنه لیس محور القیود</w:t>
      </w:r>
      <w:r>
        <w:rPr>
          <w:rFonts w:eastAsia="IRNazanin" w:cs="IRNazanin"/>
          <w:color w:val="111111"/>
          <w:sz w:val="28"/>
          <w:szCs w:val="28"/>
          <w:rtl w:val="true"/>
          <w:lang w:bidi="fa-IR"/>
        </w:rPr>
        <w:t>.</w:t>
      </w:r>
    </w:p>
    <w:p>
      <w:pPr>
        <w:pStyle w:val="Heading6"/>
        <w:numPr>
          <w:ilvl w:val="5"/>
          <w:numId w:val="1"/>
        </w:numPr>
        <w:rPr/>
      </w:pPr>
      <w:bookmarkStart w:id="1263" w:name="__RefHeading___Toc3300564_1468164448"/>
      <w:bookmarkStart w:id="1264" w:name="_Toc503"/>
      <w:bookmarkEnd w:id="1263"/>
      <w:r>
        <w:rPr>
          <w:rtl w:val="true"/>
        </w:rPr>
        <w:t>ثمرات تقسیم القیود</w:t>
      </w:r>
      <w:bookmarkEnd w:id="1264"/>
    </w:p>
    <w:p>
      <w:pPr>
        <w:pStyle w:val="BookText"/>
        <w:rPr/>
      </w:pPr>
      <w:r>
        <w:rPr>
          <w:rFonts w:ascii="IRNazanin" w:hAnsi="IRNazanin" w:eastAsia="IRNazanin"/>
          <w:color w:val="111111"/>
          <w:sz w:val="28"/>
          <w:sz w:val="28"/>
          <w:szCs w:val="28"/>
          <w:rtl w:val="true"/>
          <w:lang w:bidi="fa-IR"/>
        </w:rPr>
        <w:t>ولهذا التقسیم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المشهور أفتی بوجوب إتمام الصلاة فیمَن طوی المسافة الشرعیة قاصداً للمعصیة وبعدها نوی الطاعة، کما أفتی بوجوب التمام فی العکس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فیمَن طوی المسافة الشرعیة قاصداً الطاعة ثمّ نوی المعصیة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سجّل الأعلام علی هاتین الفتویین أنّهما متناقضتان؛ لأنّ عدم قصد المعصیة إمّا أن یکون رکناً فی موضوع وجوب القصر کالمسافة الشرعیة، فالفتوی الثانیة صحیحة دون الأولی؛ وإمّا أن یکون من قیود المسافة، فالفتوی الأولی صحیحة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تتضح ثمرة کون القید رکناً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الإستصحاب فی الشبهات الحکمیة، فإنه یجری مع بقاء الموضوع الرکنی للحکم ویمکن أن یعدّ هذا ضابطاً إنّیاً للتمییز بین ما هو رکن عما هو لیس کذلک</w:t>
      </w:r>
      <w:r>
        <w:rPr>
          <w:rFonts w:eastAsia="IRNazanin" w:cs="IRNazanin"/>
          <w:color w:val="111111"/>
          <w:sz w:val="28"/>
          <w:szCs w:val="28"/>
          <w:rtl w:val="true"/>
          <w:lang w:bidi="fa-IR"/>
        </w:rPr>
        <w:t>.</w:t>
      </w:r>
    </w:p>
    <w:p>
      <w:pPr>
        <w:pStyle w:val="Heading6"/>
        <w:numPr>
          <w:ilvl w:val="5"/>
          <w:numId w:val="1"/>
        </w:numPr>
        <w:rPr/>
      </w:pPr>
      <w:bookmarkStart w:id="1265" w:name="__RefHeading___Toc3300566_1468164448"/>
      <w:bookmarkStart w:id="1266" w:name="_Toc504"/>
      <w:bookmarkEnd w:id="1265"/>
      <w:r>
        <w:rPr>
          <w:rtl w:val="true"/>
        </w:rPr>
        <w:t>الفرق بین الشرط والموضوع</w:t>
      </w:r>
      <w:bookmarkEnd w:id="126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فارق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نحو ارتباط الشرط بالمشروط یختلف عن نحو ارتباط الموضوع بالحکم علی مستوی</w:t>
      </w:r>
      <w:bookmarkStart w:id="1267" w:name="pg16983_381291"/>
    </w:p>
    <w:p>
      <w:pPr>
        <w:pStyle w:val="BookText"/>
        <w:rPr/>
      </w:pPr>
      <w:bookmarkEnd w:id="1267"/>
      <w:r>
        <w:rPr>
          <w:rFonts w:ascii="IRNazanin" w:hAnsi="IRNazanin" w:eastAsia="IRNazanin"/>
          <w:color w:val="111111"/>
          <w:sz w:val="28"/>
          <w:sz w:val="28"/>
          <w:szCs w:val="28"/>
          <w:rtl w:val="true"/>
          <w:lang w:bidi="fa-IR"/>
        </w:rPr>
        <w:t>اللفظ والدلالة، فإنّ نحو الأول تعلیقی ونحو الثانی ترتبی، ومن ثمّ نحصّل علی المفهوم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الأعلام علی هذا الفارق علی المستوی المذکور وإن اختلفوا فیه علی مستوی متن القانون،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القیود أخذت بنحو الترتب فی الحکم، فلا یوجد الحکم إلاّ بتوفّرها جمیعاً، وقال آخر کالسیّد بحرالعلوم و المحقّق العراقی ویلوح من کلمات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یؤخذ بنحو التعلیقیة علی صعید الدلالة یؤخذ کذلک علی صعید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تبلور قسم جدید من الحکم عندهم، وهو الحکم التعلیقی الذی أصرّ المحقّق النائینی علی إنکاره بشدة</w:t>
      </w:r>
      <w:r>
        <w:rPr>
          <w:rFonts w:eastAsia="IRNazanin" w:cs="IRNazanin"/>
          <w:color w:val="111111"/>
          <w:sz w:val="28"/>
          <w:szCs w:val="28"/>
          <w:rtl w:val="true"/>
          <w:lang w:bidi="fa-IR"/>
        </w:rPr>
        <w:t>.</w:t>
      </w:r>
    </w:p>
    <w:p>
      <w:pPr>
        <w:pStyle w:val="Heading6"/>
        <w:numPr>
          <w:ilvl w:val="5"/>
          <w:numId w:val="1"/>
        </w:numPr>
        <w:rPr/>
      </w:pPr>
      <w:bookmarkStart w:id="1268" w:name="__RefHeading___Toc3300568_1468164448"/>
      <w:bookmarkStart w:id="1269" w:name="_Toc505"/>
      <w:bookmarkEnd w:id="1268"/>
      <w:r>
        <w:rPr>
          <w:rtl w:val="true"/>
        </w:rPr>
        <w:t>تقریب آخر للإستدلال بالشرط‌</w:t>
      </w:r>
      <w:bookmarkEnd w:id="1269"/>
    </w:p>
    <w:p>
      <w:pPr>
        <w:pStyle w:val="BookText"/>
        <w:rPr/>
      </w:pPr>
      <w:r>
        <w:rPr>
          <w:rFonts w:ascii="IRNazanin" w:hAnsi="IRNazanin" w:eastAsia="IRNazanin"/>
          <w:color w:val="111111"/>
          <w:sz w:val="28"/>
          <w:sz w:val="28"/>
          <w:szCs w:val="28"/>
          <w:rtl w:val="true"/>
          <w:lang w:bidi="fa-IR"/>
        </w:rPr>
        <w:t>وإذا اتضح 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الآیة المبارکة أنّ هناک شرطاً قد علّق الحکم علیه، وموضوعاً قد 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فالشرط هو متلوّ الأداة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مجیء الفاسق وإنباؤه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الرکنی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طبیعی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المحور لوجوب التبیّن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قبل الجزاء لا یعنی أنه شرط أو جزء الشرط، بعد أن کانت هناک قرینة علی کونه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أنه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یجب تبیّنه مطلقاً، وإنما إذا کان محقّقه وموجده إنباء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الجملة نظیر 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إن جاءکم فاسق به فتبیّنوه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فالنبأ متعلّق المتعلّق فهو جزء من الجزاء والجزاء قضیة حملیة ممّا یدلل علی أنّ نحو ارتباطه بالحکم ترتبی، کما یدلل علی أنه لیس جزءاً من الشرط فضلاً عن کونه هو الشرط کله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ما ذکرناه إمکان جریان استصحاب وجوب التبیّن لو أنبأ الفاسق بنبأ وبعده صار عادلاً، فنشک أنّ الفسق حدوثاً شرط الوجوب، فیجب التبیّن فی نبئه حین فسقه إن صار عادلاً، أو أنّ الشرط هو الفسق حدوثاً وبقاءً فلا یجب التبیّن؟ وبما أنّ رکن</w:t>
      </w:r>
      <w:bookmarkStart w:id="1270" w:name="pg16983_381293"/>
    </w:p>
    <w:p>
      <w:pPr>
        <w:pStyle w:val="BookText"/>
        <w:rPr/>
      </w:pPr>
      <w:bookmarkEnd w:id="1270"/>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الموضوع الرکنی، أی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أمکن جریان استصحاب الوجوب مما یدلل علی أنّ الموضوع غیر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دققنا أکثر لوجدنا أنّ الذی أخذ شرطاً هو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موجداً للنبأ لا حدوثاً ولا بقاءً، وإنما الموجد له المنبئ من دون أی مدخلیة لفسقه فی الإیجاد</w:t>
      </w:r>
      <w:r>
        <w:rPr>
          <w:rFonts w:eastAsia="IRNazanin" w:cs="IRNazanin"/>
          <w:color w:val="111111"/>
          <w:sz w:val="28"/>
          <w:szCs w:val="28"/>
          <w:rtl w:val="true"/>
          <w:lang w:bidi="fa-IR"/>
        </w:rPr>
        <w:t>.</w:t>
      </w:r>
    </w:p>
    <w:p>
      <w:pPr>
        <w:pStyle w:val="Heading6"/>
        <w:numPr>
          <w:ilvl w:val="5"/>
          <w:numId w:val="1"/>
        </w:numPr>
        <w:rPr/>
      </w:pPr>
      <w:bookmarkStart w:id="1271" w:name="__RefHeading___Toc3300570_1468164448"/>
      <w:bookmarkStart w:id="1272" w:name="_Toc506"/>
      <w:bookmarkEnd w:id="1271"/>
      <w:r>
        <w:rPr>
          <w:rtl w:val="true"/>
        </w:rPr>
        <w:t>المناقشة فی التقریب</w:t>
      </w:r>
      <w:bookmarkEnd w:id="1272"/>
    </w:p>
    <w:p>
      <w:pPr>
        <w:pStyle w:val="BookText"/>
        <w:rPr/>
      </w:pPr>
      <w:r>
        <w:rPr>
          <w:rFonts w:ascii="IRNazanin" w:hAnsi="IRNazanin" w:eastAsia="IRNazanin"/>
          <w:color w:val="111111"/>
          <w:sz w:val="28"/>
          <w:sz w:val="28"/>
          <w:szCs w:val="28"/>
          <w:rtl w:val="true"/>
          <w:lang w:bidi="fa-IR"/>
        </w:rPr>
        <w:t>فیتبلور أنّ الآیة لیست مسوقة لبیان تحقق الموضوع، 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المشکلة لم تحسم بشکل کامل؛ لأنّ غایة ما انتهینا إلیه أنّ الموضوع الأصولی للحکم أصبح مرکباً من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الموضوع باصطلاح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وإنباء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الشرط باصطلاح الجملة الشرطیة</w:t>
      </w:r>
      <w:r>
        <w:rPr>
          <w:rFonts w:eastAsia="IRNazanin" w:cs="IRNazanin"/>
          <w:color w:val="111111"/>
          <w:sz w:val="28"/>
          <w:szCs w:val="28"/>
          <w:rtl w:val="true"/>
          <w:lang w:bidi="fa-IR"/>
        </w:rPr>
        <w:t>. ]</w:t>
      </w:r>
    </w:p>
    <w:p>
      <w:pPr>
        <w:pStyle w:val="Heading6"/>
        <w:numPr>
          <w:ilvl w:val="5"/>
          <w:numId w:val="1"/>
        </w:numPr>
        <w:rPr/>
      </w:pPr>
      <w:bookmarkStart w:id="1273" w:name="__RefHeading___Toc3300572_1468164448"/>
      <w:bookmarkStart w:id="1274" w:name="_Toc507"/>
      <w:bookmarkEnd w:id="1273"/>
      <w:r>
        <w:rPr>
          <w:rtl w:val="true"/>
        </w:rPr>
        <w:t>أنماط الموضوعات الترکیبیة</w:t>
      </w:r>
      <w:bookmarkEnd w:id="1274"/>
    </w:p>
    <w:p>
      <w:pPr>
        <w:pStyle w:val="BookText"/>
        <w:rPr/>
      </w:pPr>
      <w:r>
        <w:rPr>
          <w:rFonts w:ascii="IRNazanin" w:hAnsi="IRNazanin" w:eastAsia="IRNazanin"/>
          <w:color w:val="111111"/>
          <w:sz w:val="28"/>
          <w:sz w:val="28"/>
          <w:szCs w:val="28"/>
          <w:rtl w:val="true"/>
          <w:lang w:bidi="fa-IR"/>
        </w:rPr>
        <w:t>وقد ذکر المحقّق النائینی أنّ الموضوعات الترکیبیة علی نمطین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ترکیبیة انضمامیة عرضیة، فلیس أحدها وصف الآخر وإنما کلّ من الجزئین قید الحکم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ترکیبیة نعتیة طولیة، أی لیست تمام الأجزاء قیود الحکم مباشرة، وإنما واحد منها قید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الموصوف والمنعوت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والوصف قید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التقسیم یتأتی فی المتعلّقات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عثرنا علی حالات تکون علاقة الجزء الاول مع الثانی نعتیة، کذا علاقة الأول مع الثالث، ولکن علاقة الثانی والثالث انضمامیة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الثالث نعت الثانی، والثانی نعت الأول، أی تترامی النعتیة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75" w:name="__RefHeading___Toc3300574_1468164448"/>
      <w:bookmarkStart w:id="1276" w:name="_Toc508"/>
      <w:bookmarkEnd w:id="1275"/>
      <w:r>
        <w:rPr>
          <w:rtl w:val="true"/>
        </w:rPr>
        <w:t>ثمرة هذا التقسیم</w:t>
      </w:r>
      <w:bookmarkStart w:id="1277" w:name="pg16983_381295"/>
      <w:bookmarkEnd w:id="1276"/>
    </w:p>
    <w:p>
      <w:pPr>
        <w:pStyle w:val="BookText"/>
        <w:rPr/>
      </w:pPr>
      <w:bookmarkEnd w:id="1277"/>
      <w:r>
        <w:rPr>
          <w:rFonts w:ascii="IRNazanin" w:hAnsi="IRNazanin" w:eastAsia="IRNazanin"/>
          <w:color w:val="111111"/>
          <w:sz w:val="28"/>
          <w:sz w:val="28"/>
          <w:szCs w:val="28"/>
          <w:rtl w:val="true"/>
          <w:lang w:bidi="fa-IR"/>
        </w:rPr>
        <w:t xml:space="preserve">وتظهر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التقسیم إلی الإنضمامی والنعتی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الإحراز، حیث یمکن إحراز کلّ من الجزئین علی حدة فی الإنضمامی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یحرز أحدهما بالوجدان والآخر بالتعبد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النعتی</w:t>
      </w:r>
      <w:r>
        <w:rPr>
          <w:rFonts w:eastAsia="IRNazanin" w:cs="IRNazanin"/>
          <w:color w:val="111111"/>
          <w:sz w:val="28"/>
          <w:szCs w:val="28"/>
          <w:rtl w:val="true"/>
          <w:lang w:bidi="fa-IR"/>
        </w:rPr>
        <w:t>.</w:t>
      </w:r>
    </w:p>
    <w:p>
      <w:pPr>
        <w:pStyle w:val="Heading6"/>
        <w:numPr>
          <w:ilvl w:val="5"/>
          <w:numId w:val="1"/>
        </w:numPr>
        <w:rPr/>
      </w:pPr>
      <w:bookmarkStart w:id="1278" w:name="__RefHeading___Toc3300576_1468164448"/>
      <w:bookmarkStart w:id="1279" w:name="_Toc509"/>
      <w:bookmarkEnd w:id="1278"/>
      <w:r>
        <w:rPr>
          <w:rtl w:val="true"/>
        </w:rPr>
        <w:t>تقریب لعدم المفهوم للجملة الشرطیة</w:t>
      </w:r>
      <w:bookmarkEnd w:id="1279"/>
    </w:p>
    <w:p>
      <w:pPr>
        <w:pStyle w:val="BookText"/>
        <w:rPr/>
      </w:pPr>
      <w:r>
        <w:rPr>
          <w:rFonts w:ascii="IRNazanin" w:hAnsi="IRNazanin" w:eastAsia="IRNazanin"/>
          <w:color w:val="111111"/>
          <w:sz w:val="28"/>
          <w:sz w:val="28"/>
          <w:szCs w:val="28"/>
          <w:rtl w:val="true"/>
          <w:lang w:bidi="fa-IR"/>
        </w:rPr>
        <w:t>هذا ولکن المحقق النائینی فی استصحاب العدم الأزلی قد ارتکب خلاف ما ذکره من التقسیم، حیث ذهب إلی أنّ الموضوعات الانضمامیة تؤدی نتیجة التحصیص؛ لأنّ الجزء الأول لا یترتب علیه الحکم مطلقاً، وإنما علی خصوص الحصة المقارنة للجزء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یتلخص الفارق بین النعتیة والانضمامیة أنّ فی الأول قد أخذ عنوان المعیة والتقارن والتقیید فی الموضوع دون الثانی، فإنّ المقنّن أخذ فیه واقع المتقارنین فی ظرف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فالموضوع فی الجملة الشرطیة وإن کان النبأ وکان ارتباطه مع الشرط بنحو الانضمام، إلاّ أنّ الواقع أنّ موضوع الحکم الأصولی سیکون هو الحصة، فلا مفهوم للجملة الشرطیة حینئذ؛ لأنها ستکون مسوقة لبیان تحقق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الحصة</w:t>
      </w:r>
      <w:r>
        <w:rPr>
          <w:rFonts w:eastAsia="IRNazanin" w:cs="IRNazanin"/>
          <w:color w:val="111111"/>
          <w:sz w:val="28"/>
          <w:szCs w:val="28"/>
          <w:rtl w:val="true"/>
          <w:lang w:bidi="fa-IR"/>
        </w:rPr>
        <w:t>. ]</w:t>
      </w:r>
    </w:p>
    <w:p>
      <w:pPr>
        <w:pStyle w:val="Heading6"/>
        <w:numPr>
          <w:ilvl w:val="5"/>
          <w:numId w:val="1"/>
        </w:numPr>
        <w:rPr/>
      </w:pPr>
      <w:bookmarkStart w:id="1280" w:name="__RefHeading___Toc3300578_1468164448"/>
      <w:bookmarkStart w:id="1281" w:name="_Toc510"/>
      <w:bookmarkEnd w:id="1280"/>
      <w:r>
        <w:rPr>
          <w:rtl w:val="true"/>
        </w:rPr>
        <w:t>جواب عن هذا التقریب</w:t>
      </w:r>
      <w:bookmarkEnd w:id="1281"/>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المحقّق النائینی فی بحث استصحاب العدم الأزلی خُلف تقسیمه الموضوعات المرکبة إلی قسمین؛ لأنّ الإنضمامیة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وبالبیان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عین النعتیة، بعد الإلتفات إلی حقیقة النعتیة وأنّ ذات النعت غیر مأخوذ، وإنما المأخوذ هو تقیّد المنعوت به وکمعنی حرفی لا اسمی، فیرجع إلی أخذ واقع الضیق، وهو عین ما ذکره فی الإنضمامیة</w:t>
      </w:r>
      <w:r>
        <w:rPr>
          <w:rFonts w:eastAsia="IRNazanin" w:cs="IRNazanin"/>
          <w:color w:val="111111"/>
          <w:sz w:val="28"/>
          <w:szCs w:val="28"/>
          <w:rtl w:val="true"/>
          <w:lang w:bidi="fa-IR"/>
        </w:rPr>
        <w:t>.</w:t>
      </w:r>
      <w:r>
        <w:rPr>
          <w:rStyle w:val="FootnoteAnchor"/>
          <w:rtl w:val="true"/>
        </w:rPr>
        <w:footnoteReference w:id="180"/>
      </w:r>
      <w:bookmarkStart w:id="1282" w:name="pg16983_381297"/>
    </w:p>
    <w:p>
      <w:pPr>
        <w:pStyle w:val="BookText"/>
        <w:rPr/>
      </w:pPr>
      <w:bookmarkEnd w:id="1282"/>
      <w:r>
        <w:rPr>
          <w:rFonts w:ascii="IRNazanin" w:hAnsi="IRNazanin" w:eastAsia="IRNazanin"/>
          <w:color w:val="111111"/>
          <w:sz w:val="28"/>
          <w:sz w:val="28"/>
          <w:szCs w:val="28"/>
          <w:rtl w:val="true"/>
          <w:lang w:bidi="fa-IR"/>
        </w:rPr>
        <w:t xml:space="preserve">مع أننا بالوجدان نمیّز بین الأعمدة الثلاثة المقوّمة للسقف، وبین العمود الصلب المقوم له، ففی الأول لا ربط لعمود بعمود آخر، وإنما کلّ عمود مؤثر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تأثیره محدود وناقص یتمّ بانضمام العمودین الآخرین له، بخلاف الثانی فإنّ الصلابة دخیلة فی تمامیة فاعلیة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تأثیر العمود فی رفع السقف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وبعبارة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الموضوعات الإنضمامیة بمثابة الفواعل الناقصة، وأمّا الوصف فی الموضوعات النعتیة فهو متمم لفاعلیة الفاعل أو قابلیة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 الموضوع فی الإنضمامی هو المجموع، وفی النعتی هو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المحقّق النائینی من أنّ الجزء فی الإنضمامی لا یوجد الحکم مطلقاً، وإن کان صحیحاً إلاّ أنه لا یعنی أنّ الموجد هو الحصة، وإنما هو مجموع العلل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ما ذکره هو منع المفهوم فی کلّ الجمل الشرطیة، لتحصص الموضوع بالشرط، ففی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الموضوع مطلق حالات زید، وإنما زید فی حالة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اللازم باطل لبداهة ثبوت المفهوم فی الجملة الشرطیة فی الجملة</w:t>
      </w:r>
      <w:r>
        <w:rPr>
          <w:rFonts w:eastAsia="IRNazanin" w:cs="IRNazanin"/>
          <w:color w:val="111111"/>
          <w:sz w:val="28"/>
          <w:szCs w:val="28"/>
          <w:rtl w:val="true"/>
          <w:lang w:bidi="fa-IR"/>
        </w:rPr>
        <w:t>.</w:t>
      </w:r>
    </w:p>
    <w:p>
      <w:pPr>
        <w:pStyle w:val="Heading6"/>
        <w:numPr>
          <w:ilvl w:val="5"/>
          <w:numId w:val="1"/>
        </w:numPr>
        <w:rPr/>
      </w:pPr>
      <w:bookmarkStart w:id="1283" w:name="__RefHeading___Toc3300580_1468164448"/>
      <w:bookmarkStart w:id="1284" w:name="_Toc511"/>
      <w:bookmarkEnd w:id="1283"/>
      <w:r>
        <w:rPr>
          <w:rtl w:val="true"/>
        </w:rPr>
        <w:t>ثبوت المفهوم للجملة الشرطیة فی الجملة</w:t>
      </w:r>
      <w:bookmarkEnd w:id="128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الإنضمامی مطلقاً موضوع لا حصة منه، إلاّ أنه موضوع ناقص، ومعه أمکن ثبوت المفهوم للجملة الشرطیة إذا کانت علاقة الموضوع مع الشرط علاقة الإنضمام</w:t>
      </w:r>
      <w:r>
        <w:rPr>
          <w:rFonts w:eastAsia="IRNazanin" w:cs="IRNazanin"/>
          <w:color w:val="111111"/>
          <w:sz w:val="28"/>
          <w:szCs w:val="28"/>
          <w:rtl w:val="true"/>
          <w:lang w:bidi="fa-IR"/>
        </w:rPr>
        <w:t>.</w:t>
      </w:r>
      <w:bookmarkStart w:id="1285" w:name="pg16983_381299"/>
    </w:p>
    <w:p>
      <w:pPr>
        <w:pStyle w:val="BookText"/>
        <w:rPr/>
      </w:pPr>
      <w:bookmarkEnd w:id="1285"/>
      <w:r>
        <w:rPr>
          <w:rFonts w:ascii="IRNazanin" w:hAnsi="IRNazanin" w:eastAsia="IRNazanin"/>
          <w:color w:val="111111"/>
          <w:sz w:val="28"/>
          <w:sz w:val="28"/>
          <w:szCs w:val="28"/>
          <w:rtl w:val="true"/>
          <w:lang w:bidi="fa-IR"/>
        </w:rPr>
        <w:t>نعم، فی مورد تکون العلاقة فیه نعتیة سیکون الموضوع هو الحصة، فلا مفهوم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صعید الإثبات غالباً مّا تکون الأدوات الحرفیة کالواو والباء تعبّر عن الإنضمام، مع اختلافهم فی بعض الأدوات أنها تعبّر عن النعتیة أو الإنضمامیة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معان اسمیة کانت معبّرة عن العلاقة النعتیة</w:t>
      </w:r>
      <w:r>
        <w:rPr>
          <w:rFonts w:eastAsia="IRNazanin" w:cs="IRNazanin"/>
          <w:color w:val="111111"/>
          <w:sz w:val="28"/>
          <w:szCs w:val="28"/>
          <w:rtl w:val="true"/>
          <w:lang w:bidi="fa-IR"/>
        </w:rPr>
        <w:t>.</w:t>
      </w:r>
    </w:p>
    <w:p>
      <w:pPr>
        <w:pStyle w:val="Heading6"/>
        <w:numPr>
          <w:ilvl w:val="5"/>
          <w:numId w:val="1"/>
        </w:numPr>
        <w:rPr/>
      </w:pPr>
      <w:bookmarkStart w:id="1286" w:name="__RefHeading___Toc3300582_1468164448"/>
      <w:bookmarkStart w:id="1287" w:name="_Toc512"/>
      <w:bookmarkEnd w:id="1286"/>
      <w:r>
        <w:rPr>
          <w:rtl w:val="true"/>
        </w:rPr>
        <w:t>العلاقة بین الموضوع والشرط إنضمامیة فیثبت المفهوم</w:t>
      </w:r>
      <w:bookmarkEnd w:id="1287"/>
    </w:p>
    <w:p>
      <w:pPr>
        <w:pStyle w:val="BookText"/>
        <w:rPr/>
      </w:pPr>
      <w:r>
        <w:rPr>
          <w:rFonts w:ascii="IRNazanin" w:hAnsi="IRNazanin" w:eastAsia="IRNazanin"/>
          <w:color w:val="111111"/>
          <w:sz w:val="28"/>
          <w:sz w:val="28"/>
          <w:szCs w:val="28"/>
          <w:rtl w:val="true"/>
          <w:lang w:bidi="fa-IR"/>
        </w:rPr>
        <w:t>إذا اتضح ما تقدّم نأتی إلی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هناک موضوعاً وشرطاً، فلیس الموضوع تمام الشرط، بل ولا حتی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هی طبیعة العلاقة بینهما بعد أن کانا موضوعاً أُصولیاً مرکباً للحکم، فهل هی الإنضمامیة أو النعتیة، فلا یثبت المفهوم مع الثانی دون الأول؟</w:t>
      </w:r>
    </w:p>
    <w:p>
      <w:pPr>
        <w:pStyle w:val="BookText"/>
        <w:rPr/>
      </w:pPr>
      <w:r>
        <w:rPr>
          <w:rFonts w:ascii="IRNazanin" w:hAnsi="IRNazanin" w:eastAsia="IRNazanin"/>
          <w:color w:val="111111"/>
          <w:sz w:val="28"/>
          <w:sz w:val="28"/>
          <w:szCs w:val="28"/>
          <w:rtl w:val="true"/>
          <w:lang w:bidi="fa-IR"/>
        </w:rPr>
        <w:t>الحقّ أنّ العلاقة انضمامیة بقرینة الباء الداخلة علی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إنباء الفاسق أحد محقّقات وموجدات طبیعی النبأ لا یعنی أنه وهو لیسا جزئین إنضمامیین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أنّ العلاقة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أنهما جزءان من الموضوع الأصولی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إنضمامیة، وأنّ المانع من المفهوم هی العلاقة النعتیة وکذا الإنضمامیة إذا آلت إلی التحصیص، وقد عرفت فساده وبهذا ارتفع أحد الموانع من ثبوت المفهوم، وربما أنّ أحدهما 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فی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ذیل مع کونه قیداً مباشراً للحکم، فقد ارتفع المانع الآخر عن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کلا المانعین یتوقف تصویر ارتفاعهما علی فرض أنّ النبأ لیس جزء الشرط فضلاً عن أن یکون هو، وقد تم تقریب ذلک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ینتهی الحدیث فی المناقشة الأولی ونقدها</w:t>
      </w:r>
      <w:r>
        <w:rPr>
          <w:rFonts w:eastAsia="IRNazanin" w:cs="IRNazanin"/>
          <w:color w:val="111111"/>
          <w:sz w:val="28"/>
          <w:szCs w:val="28"/>
          <w:rtl w:val="true"/>
          <w:lang w:bidi="fa-IR"/>
        </w:rPr>
        <w:t>.</w:t>
      </w:r>
      <w:bookmarkStart w:id="1288" w:name="pg16983_381301"/>
    </w:p>
    <w:p>
      <w:pPr>
        <w:pStyle w:val="Heading6"/>
        <w:numPr>
          <w:ilvl w:val="5"/>
          <w:numId w:val="1"/>
        </w:numPr>
        <w:rPr/>
      </w:pPr>
      <w:bookmarkStart w:id="1289" w:name="__RefHeading___Toc3300584_1468164448"/>
      <w:bookmarkStart w:id="1290" w:name="_Toc513"/>
      <w:bookmarkEnd w:id="1288"/>
      <w:bookmarkEnd w:id="1289"/>
      <w:r>
        <w:rPr>
          <w:rtl w:val="true"/>
        </w:rPr>
        <w:t>المناقشة الثانیة فی الإستدلال بآیة النبأ</w:t>
      </w:r>
      <w:bookmarkEnd w:id="1290"/>
    </w:p>
    <w:p>
      <w:pPr>
        <w:pStyle w:val="BookText"/>
        <w:rPr/>
      </w:pPr>
      <w:r>
        <w:rPr>
          <w:rFonts w:ascii="IRNazanin" w:hAnsi="IRNazanin" w:eastAsia="IRNazanin"/>
          <w:color w:val="111111"/>
          <w:sz w:val="28"/>
          <w:sz w:val="28"/>
          <w:szCs w:val="28"/>
          <w:rtl w:val="true"/>
          <w:lang w:bidi="fa-IR"/>
        </w:rPr>
        <w:t xml:space="preserve">المناقشة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اعتمدها الشیخ الطوسی و الطبرسی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لوجوب التبیّن، والعلّة تعمّم وتخصّص، فبما أنها موجودة حتی فی خبر الثقة والعادل یجب التبیّن فیهما لتغلّب العلّة علی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المفهوم مدلول تبعی للمنطوق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قدیماً کان یصنّف فی المدلول الإلتزامی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التعلیل مدلول 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لابدّ من تکییف هذا القول مع ما اختاره فی العدة من إجماع الطائفة علی العمل بخبر الواحد</w:t>
      </w:r>
      <w:r>
        <w:rPr>
          <w:rFonts w:eastAsia="IRNazanin" w:cs="IRNazanin"/>
          <w:color w:val="111111"/>
          <w:sz w:val="28"/>
          <w:szCs w:val="28"/>
          <w:rtl w:val="true"/>
          <w:lang w:bidi="fa-IR"/>
        </w:rPr>
        <w:t>.</w:t>
      </w:r>
    </w:p>
    <w:p>
      <w:pPr>
        <w:pStyle w:val="Heading6"/>
        <w:numPr>
          <w:ilvl w:val="5"/>
          <w:numId w:val="1"/>
        </w:numPr>
        <w:rPr/>
      </w:pPr>
      <w:bookmarkStart w:id="1291" w:name="__RefHeading___Toc3300586_1468164448"/>
      <w:bookmarkStart w:id="1292" w:name="_Toc514"/>
      <w:bookmarkEnd w:id="1291"/>
      <w:r>
        <w:rPr>
          <w:rtl w:val="true"/>
        </w:rPr>
        <w:t>ملاحظات علی هذه المناقشة</w:t>
      </w:r>
      <w:bookmarkEnd w:id="1292"/>
    </w:p>
    <w:p>
      <w:pPr>
        <w:pStyle w:val="BookText"/>
        <w:rPr/>
      </w:pPr>
      <w:r>
        <w:rPr>
          <w:rFonts w:ascii="IRNazanin" w:hAnsi="IRNazanin" w:eastAsia="IRNazanin"/>
          <w:color w:val="111111"/>
          <w:sz w:val="28"/>
          <w:sz w:val="28"/>
          <w:szCs w:val="28"/>
          <w:rtl w:val="true"/>
          <w:lang w:bidi="fa-IR"/>
        </w:rPr>
        <w:t>وقد ذکرت أجوبة متعدّدة لهذه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تعلیلاً، وإنما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أداؤه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الجهالة لا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نقص فی العقل العملی جنباً إلی جنب نقص العقل النظری، ومن ثمّ لا یشمل التعلیل خبر العادل والثقة لعدم إیجابه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الجواب مصادرة؛ لأنه مبنی علی فرض حجّیة خبر العادل والثقة فی مرحلة سابقة، مع أنه المطلوب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إثباته هو الحجّیة الشرعیة، والثابت فی مرحلة سابقة هو الحجّیة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القول حینئذ إنّ ثبوت الحجّیة العقلائیة فی مرحلة سابقة لا یکفی إلاّ فی إثبات أنه لیس سفاهة عند العقلاء، وإلاّ قد یکون سفاهة عند الشارع فی الوقت الذی لا یری العقلاء العمل به سفاهة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العناوین المأخوذة فی الموضوعات مع</w:t>
      </w:r>
      <w:bookmarkStart w:id="1293" w:name="pg16983_381304"/>
    </w:p>
    <w:p>
      <w:pPr>
        <w:pStyle w:val="BookText"/>
        <w:rPr/>
      </w:pPr>
      <w:bookmarkEnd w:id="1293"/>
      <w:r>
        <w:rPr>
          <w:rFonts w:ascii="IRNazanin" w:hAnsi="IRNazanin" w:eastAsia="IRNazanin"/>
          <w:color w:val="111111"/>
          <w:sz w:val="28"/>
          <w:sz w:val="28"/>
          <w:szCs w:val="28"/>
          <w:rtl w:val="true"/>
          <w:lang w:bidi="fa-IR"/>
        </w:rPr>
        <w:t>عدم القرینة کما تحمل علی معانیها اللغویة، کذا تحمل علی وجوداتها الإعتباریة والتکوینیة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إشکال هو أنّ ظاهر الآیة أنّ الأصحاب أقدموا علی ترتیب الأثر علی خبر الولید بالتهیؤ لغزو القوم، ومثل هذا الإقدام لا ینسجم إلاّ بتفسیر الجهالة بعدم العلم، إذ لا یتعقل إقدامهم علی سفاهة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فِیکُمْ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الجهالة بمعنی السفاهة؛ لأنه توبیخ وهو لا یکون إلاّ علی العمل السفهی لا علی الجهل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الثقة بعد اعتباره من خلال المفهوم یکون علماً تعبدیاً، فالسفاهة منفیة حینئذ لانتفاء احتمال الوقوع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یکون حاکماً علی التعلیل لا أنّهما یتعارضان فیقدّم التعلیل لأنه أقوی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المحقّق العراقی علی هذه الإجابة بأنّ التدافع بین التعلیل والمفهوم فی مرحلة الدلالة، وحیث یمکن العلاج الدلالی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الأقوی دلالة وهو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النوبة إلی معالجة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معالجة قانونیة مرتبطة بحلّ المشکل علی صعید المراد الجدی</w:t>
      </w:r>
      <w:r>
        <w:rPr>
          <w:rFonts w:eastAsia="IRNazanin" w:cs="IRNazanin"/>
          <w:color w:val="111111"/>
          <w:sz w:val="28"/>
          <w:szCs w:val="28"/>
          <w:rtl w:val="true"/>
          <w:lang w:bidi="fa-IR"/>
        </w:rPr>
        <w:t>. ]</w:t>
      </w:r>
    </w:p>
    <w:p>
      <w:pPr>
        <w:pStyle w:val="Heading6"/>
        <w:numPr>
          <w:ilvl w:val="5"/>
          <w:numId w:val="1"/>
        </w:numPr>
        <w:rPr/>
      </w:pPr>
      <w:bookmarkStart w:id="1294" w:name="__RefHeading___Toc3300588_1468164448"/>
      <w:bookmarkStart w:id="1295" w:name="_Toc515"/>
      <w:bookmarkEnd w:id="1294"/>
      <w:r>
        <w:rPr>
          <w:rtl w:val="true"/>
        </w:rPr>
        <w:t>هل المعالجات القانونیة تکفی فی حلّ التعارض فی الأدلّة المتصلة؟</w:t>
      </w:r>
      <w:bookmarkEnd w:id="1295"/>
    </w:p>
    <w:p>
      <w:pPr>
        <w:pStyle w:val="BookText"/>
        <w:rPr/>
      </w:pPr>
      <w:r>
        <w:rPr>
          <w:rFonts w:ascii="IRNazanin" w:hAnsi="IRNazanin" w:eastAsia="IRNazanin"/>
          <w:color w:val="111111"/>
          <w:sz w:val="28"/>
          <w:sz w:val="28"/>
          <w:szCs w:val="28"/>
          <w:rtl w:val="true"/>
          <w:lang w:bidi="fa-IR"/>
        </w:rPr>
        <w:t>وهاهنا نکتة کلیة یجدر الإلتفات إلیها وهی أنّ المعالجات القانونیة تکفی فی حلّ التعارض بین الأدلّة المنفصلة، ولکن هل تکفی فی حلّ التعارض فی الأدلّة المتصلة؟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المحقّق النائینی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ما ذکره فی حلّ تعارض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المحقّق العراقی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الدلالة لا تکتمل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العلاج الدلالی فبها، وإلاّ کان الدلیلان مجملین فلا تصل النوبة إلی العلاج القانونی أبداً؛ لأنه فرع تصادم المرادین الجدیین، وهما فرع</w:t>
      </w:r>
      <w:bookmarkStart w:id="1296" w:name="pg16983_381305"/>
    </w:p>
    <w:p>
      <w:pPr>
        <w:pStyle w:val="BookText"/>
        <w:rPr/>
      </w:pPr>
      <w:bookmarkEnd w:id="1296"/>
      <w:r>
        <w:rPr>
          <w:rFonts w:ascii="IRNazanin" w:hAnsi="IRNazanin" w:eastAsia="IRNazanin"/>
          <w:color w:val="111111"/>
          <w:sz w:val="28"/>
          <w:sz w:val="28"/>
          <w:szCs w:val="28"/>
          <w:rtl w:val="true"/>
          <w:lang w:bidi="fa-IR"/>
        </w:rPr>
        <w:t>تشکل الظهور الإستعمالی والتفهیمی، وهو مفقود بسبب التصادم وعدم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التفصیل بین حالة وضوح کلّ من القضیتین فی الدلیل المتصل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کانتا منفصلتین لکانتا تامتی الدلالة، فإنّ العلاج القانونی یؤثر عند فقد العلاج 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کان التعارض بین بعض مصادیقهما التی انحلّ إلیها القضیتان، فإنّ الإنحلال أساساً مرتبط بالمراحل القانونیة، ولیس شأناً دلالیاً، وهو لاریب فی فائدة العلاج القانونی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وبین ما إذا لم یکن الظهور تاماً، ولا التعارض بلحاظ الإنحلال، وإنما کان بلحاظ أصل المعنی التفهیمی أو الإستعمالی، فیشکل حینئذ العلاج القانونی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حیث کان التعارض بین التعلیل والمفهوم علی صعید المعنی التفهیمی، وأمکن العلاج الدلالی بتقدیم التعلیل علی المفهوم لأقوائیته، کان الحقّ مع المحقّق العراقی، ولا تصل النوبة إلی معالجة المحقّق النائینی أبداً</w:t>
      </w:r>
      <w:r>
        <w:rPr>
          <w:rFonts w:eastAsia="IRNazanin" w:cs="IRNazanin"/>
          <w:color w:val="111111"/>
          <w:sz w:val="28"/>
          <w:szCs w:val="28"/>
          <w:rtl w:val="true"/>
          <w:lang w:bidi="fa-IR"/>
        </w:rPr>
        <w:t>.</w:t>
      </w:r>
    </w:p>
    <w:p>
      <w:pPr>
        <w:pStyle w:val="Heading6"/>
        <w:numPr>
          <w:ilvl w:val="5"/>
          <w:numId w:val="1"/>
        </w:numPr>
        <w:rPr/>
      </w:pPr>
      <w:bookmarkStart w:id="1297" w:name="__RefHeading___Toc3300590_1468164448"/>
      <w:bookmarkStart w:id="1298" w:name="_Toc516"/>
      <w:bookmarkEnd w:id="1297"/>
      <w:r>
        <w:rPr>
          <w:rtl w:val="true"/>
        </w:rPr>
        <w:t>ملاحظة الصدر علی النائینی</w:t>
      </w:r>
      <w:bookmarkEnd w:id="1298"/>
    </w:p>
    <w:p>
      <w:pPr>
        <w:pStyle w:val="BookText"/>
        <w:rPr/>
      </w:pPr>
      <w:r>
        <w:rPr>
          <w:rFonts w:ascii="IRNazanin" w:hAnsi="IRNazanin" w:eastAsia="IRNazanin"/>
          <w:color w:val="111111"/>
          <w:sz w:val="28"/>
          <w:sz w:val="28"/>
          <w:szCs w:val="28"/>
          <w:rtl w:val="true"/>
          <w:lang w:bidi="fa-IR"/>
        </w:rPr>
        <w:t>ولاحظ السیّد الصدر علی إجابة المحقّق النائینی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مفاد کلّ من التعلیل والمفهوم فی رتبة واحدة؛ لأنّ مفاد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العادل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لیس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معنی لفرض حکومة المفهوم علی التعلیل</w:t>
      </w:r>
      <w:r>
        <w:rPr>
          <w:rFonts w:eastAsia="IRNazanin" w:cs="IRNazanin"/>
          <w:color w:val="111111"/>
          <w:sz w:val="28"/>
          <w:szCs w:val="28"/>
          <w:rtl w:val="true"/>
          <w:lang w:bidi="fa-IR"/>
        </w:rPr>
        <w:t>.</w:t>
      </w:r>
    </w:p>
    <w:p>
      <w:pPr>
        <w:pStyle w:val="Heading6"/>
        <w:numPr>
          <w:ilvl w:val="5"/>
          <w:numId w:val="1"/>
        </w:numPr>
        <w:rPr/>
      </w:pPr>
      <w:bookmarkStart w:id="1299" w:name="__RefHeading___Toc3300592_1468164448"/>
      <w:bookmarkStart w:id="1300" w:name="_Toc517"/>
      <w:bookmarkEnd w:id="1299"/>
      <w:r>
        <w:rPr>
          <w:rtl w:val="true"/>
        </w:rPr>
        <w:t>نقد ملاحظة الصدر</w:t>
      </w:r>
      <w:bookmarkEnd w:id="1300"/>
    </w:p>
    <w:p>
      <w:pPr>
        <w:pStyle w:val="BookText"/>
        <w:rPr/>
      </w:pPr>
      <w:r>
        <w:rPr>
          <w:rFonts w:ascii="IRNazanin" w:hAnsi="IRNazanin" w:eastAsia="IRNazanin"/>
          <w:color w:val="111111"/>
          <w:sz w:val="28"/>
          <w:sz w:val="28"/>
          <w:szCs w:val="28"/>
          <w:rtl w:val="true"/>
          <w:lang w:bidi="fa-IR"/>
        </w:rPr>
        <w:t>ویمکن نقد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التعلیل لا یخلو إمّا أن یکون اعتباراً لعدم علمیة خبر الواحد، أو إخباراً عن عدم علمیته، أو ردعاً عن حجّیته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والإحتمال الأول لا معنی له کبرویاً؛ لأنّ عدم الإعتبار کاف فی</w:t>
      </w:r>
    </w:p>
    <w:p>
      <w:pPr>
        <w:pStyle w:val="BookText"/>
        <w:rPr/>
      </w:pPr>
      <w:r>
        <w:rPr>
          <w:rFonts w:ascii="IRNazanin" w:hAnsi="IRNazanin" w:eastAsia="IRNazanin"/>
          <w:color w:val="111111"/>
          <w:sz w:val="28"/>
          <w:sz w:val="28"/>
          <w:szCs w:val="28"/>
          <w:rtl w:val="true"/>
          <w:lang w:bidi="fa-IR"/>
        </w:rPr>
        <w:t>العدم من دون حاجة إلی اعتبار العدم إلاّ فی مثل المانع، فإنه یحتاج إلی اعتبار عدمه، وما نحن فیه لیس من قبیل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لا معنی للإخبار؛ لأنه تحصیل للحاصل فی الفاسق، والتعلیل فیه وفی العادل جاء بصیغة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الردع فحقیقته فی الأفعال التکلیفیة الإنشاء والإعتبار، سیما مع تأکید البیانات، کما إذا کانت هناک سیرة علی فعل محرّم، فالردع یکون بصیغة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وحقیقته فی السیر الوضعیة أیضاً الإنشاء، ولکن للتکلیف؛ لأنّ محض الوضع لا یکفی سیما فی السیر المتفشیة، ومثل هذا الإنشاء کاف فی الردع من دون حاجة إلی اعتبار لحکم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أنّ فیما نحن فیه لا یوجد اعتبار لعدم الحجّیة، وإنما کلّ ما هو موجود هو عدم اعتبار الحجّیة، ویکون التعلیل إرشاد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الإعتبار لا یقاوم الإعتبار للحجّیة، والارشاد لا یکون لغواً بعدما کان عامّاً، وکان اعتبار الحجّیة خاصاً بالعادل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افترضنا تمامیة التعلیل، إلاّ أنه لامحالة منتقض فی کلیته فی مثل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حجّة فی الموضوعات التی هی مورد نزول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ومنتقض بحجّیة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بأدلّة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أنّ الشارع لم یرد عموم التعلیل وإنما أراده عند وجود الشرط لا غیر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ینطلق من نکتة کلّیة وهی أنّ أیّ دلیل إذا أردنا الوصول إلی دلالته النهائیة ومراده الجدی الواقعی لابدّ أن لا یتمّ دراسته بشکل تجریدی ثمّ مقایسة مراده الواقعی مع سائر مرادات الأدلّة الأخری الواقعیة والأقلمة بینها، وإنما المنهجی مراعاة نسبته وملاحظة مفاده بضمیمة مفادات الأدلّة الأخری، حیث قد تکشف عن توائم ذاتی بینها بالعثور علی نکات فی الأدلّة لا یتسنی العثور علیها لو أخذت مجردة، وقد لمسنا أثر المنهج هذا فی فقه المشهور فی</w:t>
      </w:r>
      <w:bookmarkStart w:id="1301" w:name="pg16983_381310"/>
    </w:p>
    <w:p>
      <w:pPr>
        <w:pStyle w:val="BookText"/>
        <w:rPr/>
      </w:pPr>
      <w:bookmarkEnd w:id="1301"/>
      <w:r>
        <w:rPr>
          <w:rFonts w:ascii="Amiri" w:hAnsi="Amiri" w:eastAsia="Amiri" w:cs="Amiri"/>
          <w:color w:val="111111"/>
          <w:sz w:val="28"/>
          <w:sz w:val="28"/>
          <w:szCs w:val="28"/>
          <w:rtl w:val="true"/>
          <w:lang w:bidi="ar-SA"/>
        </w:rPr>
        <w:t>مسائل متعددة ومتنوعة</w:t>
      </w:r>
      <w:r>
        <w:rPr>
          <w:rFonts w:eastAsia="Amiri" w:cs="Amiri" w:ascii="Amiri" w:hAnsi="Amiri"/>
          <w:color w:val="111111"/>
          <w:sz w:val="28"/>
          <w:szCs w:val="28"/>
          <w:rtl w:val="true"/>
          <w:lang w:bidi="ar-SA"/>
        </w:rPr>
        <w:t>.</w:t>
      </w:r>
      <w:r>
        <w:rPr>
          <w:rStyle w:val="FootnoteAnchor"/>
          <w:rtl w:val="true"/>
        </w:rPr>
        <w:footnoteReference w:id="181"/>
      </w:r>
    </w:p>
    <w:p>
      <w:pPr>
        <w:pStyle w:val="Heading6"/>
        <w:numPr>
          <w:ilvl w:val="5"/>
          <w:numId w:val="1"/>
        </w:numPr>
        <w:rPr/>
      </w:pPr>
      <w:bookmarkStart w:id="1302" w:name="__RefHeading___Toc3300594_1468164448"/>
      <w:bookmarkStart w:id="1303" w:name="_Toc518"/>
      <w:bookmarkEnd w:id="1302"/>
      <w:r>
        <w:rPr>
          <w:rtl w:val="true"/>
        </w:rPr>
        <w:t>المناقشة الثالثة فی الإستدلال بآیة النبأ</w:t>
      </w:r>
      <w:bookmarkEnd w:id="130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ثبوت کفر شخص لا یتمّ بخبر الواحد وإنما لابدّ من البیّنة، وفی کفر القوم لا تکفی حتی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مع ملاحظة ما یترتب علیه من جهاد وإراقة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نهج مثل هذه المسائل العامّة لیس فقط قطع العذر، وإنما توخی الواقع بحسب وسع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مثل قضیة ثبوت الهلال، فإنه یکفی للشخص الإعتماد فی ثبوته علی البیّنة القاطعة للعذر، وأمّا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یرید الحکم بثبوته لعموم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تکفیه البیّنة المعذّرة وإنما لابدّ له من الفحص عن المعارضات بعد تجمیع أکبر قدر ممکن من الشهود وفی مناطق مختلفة والتدقیق فی تفاصیل رؤیتهم إلی أن یحصل له الإطمئنان بوجود الهلال، حینها یمکن له الحکم به</w:t>
      </w:r>
      <w:r>
        <w:rPr>
          <w:rFonts w:eastAsia="IRNazanin" w:cs="IRNazanin"/>
          <w:color w:val="111111"/>
          <w:sz w:val="28"/>
          <w:szCs w:val="28"/>
          <w:rtl w:val="true"/>
          <w:lang w:bidi="fa-IR"/>
        </w:rPr>
        <w:t>.</w:t>
      </w:r>
      <w:bookmarkStart w:id="1304" w:name="pg16983_381312"/>
    </w:p>
    <w:p>
      <w:pPr>
        <w:pStyle w:val="BookText"/>
        <w:rPr/>
      </w:pPr>
      <w:bookmarkEnd w:id="1304"/>
      <w:r>
        <w:rPr>
          <w:rFonts w:ascii="IRNazanin" w:hAnsi="IRNazanin" w:eastAsia="IRNazanin"/>
          <w:color w:val="111111"/>
          <w:sz w:val="28"/>
          <w:sz w:val="28"/>
          <w:szCs w:val="28"/>
          <w:rtl w:val="true"/>
          <w:lang w:bidi="fa-IR"/>
        </w:rPr>
        <w:t>والعکس بالعکس، فإنه لا یکفیه فی الحکم بعدم ثبوته الإستصحاب مع عدم تصدّیه لجمع الشهادات، وإنما لابدّ له أن یتصل بالبلدان، ویتصدّی لمعرفة ما یوجد من شهادات، وحینئذ إذا لم یطمئن یحکم بعدم الثبوت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وفیما نحن فیه مورد نزول الآیة کفر قوم، فمع دلالة الآیة علی حجّیة الخبر العادل تعنی ثبوت کفر هؤلاء به مع أنه لا یثبت بالبینة فضلاً عن ثبوته به، وتعنی ثبوت الموضوعات بخبر العادل مع أنها لا تثبت إلاّ بالبینة، ممّا یکشف عن عدم وجود مفهوم للآیة</w:t>
      </w:r>
      <w:r>
        <w:rPr>
          <w:rFonts w:eastAsia="IRNazanin" w:cs="IRNazanin"/>
          <w:color w:val="111111"/>
          <w:sz w:val="28"/>
          <w:szCs w:val="28"/>
          <w:rtl w:val="true"/>
          <w:lang w:bidi="fa-IR"/>
        </w:rPr>
        <w:t>.</w:t>
      </w:r>
    </w:p>
    <w:p>
      <w:pPr>
        <w:pStyle w:val="Heading6"/>
        <w:numPr>
          <w:ilvl w:val="5"/>
          <w:numId w:val="1"/>
        </w:numPr>
        <w:rPr/>
      </w:pPr>
      <w:bookmarkStart w:id="1305" w:name="__RefHeading___Toc3300596_1468164448"/>
      <w:bookmarkStart w:id="1306" w:name="_Toc519"/>
      <w:bookmarkEnd w:id="1305"/>
      <w:r>
        <w:rPr>
          <w:rtl w:val="true"/>
        </w:rPr>
        <w:t>ملاحظات علی هذه المناقشة</w:t>
      </w:r>
      <w:bookmarkEnd w:id="1306"/>
    </w:p>
    <w:p>
      <w:pPr>
        <w:pStyle w:val="BookText"/>
        <w:rPr/>
      </w:pPr>
      <w:r>
        <w:rPr>
          <w:rFonts w:ascii="IRNazanin" w:hAnsi="IRNazanin" w:eastAsia="IRNazanin"/>
          <w:color w:val="111111"/>
          <w:sz w:val="28"/>
          <w:sz w:val="28"/>
          <w:szCs w:val="28"/>
          <w:rtl w:val="true"/>
          <w:lang w:bidi="fa-IR"/>
        </w:rPr>
        <w:t>قد أجیب عن هذه المناقشة بعدّة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الضروری انسجام المنطوق مع مورد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مصداق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الإجابة فی الجملة صحیحة لا بالجملة؛ لما نلمسه من أقوائیة المنطوق من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یدلّ علی حجّیة خبر العادل مطلقاً، إلاّ أنه یقید بالأدلّة الأخری التی اشترطت البیّنة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التنفیذیات لابدّ من العلم ولا تکفی حتی البیّنة، ومعه لا یفرق بین خبر العادل والفاسق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المنطوق فی بعض الأحیان قد لا یشمل المورد فضلاً عن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نزول الآیة فی الموضوعات الهامة التی لابدّ فیها من العلم کما ذکر فی تقریر الإشکال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یعنی هذا عدم حجّیة خبر العادل فیها وفی الموضوعات التی اشترطنا فیها البیّنة، فهو حجّة یؤخذ به ولیس کالفاسق، غایته أنّ حجّیته وافتراقه عن الفاسق فی جهة دون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الجهة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یجب التثبت فیه، وینحصر وجوب التثبت فیه فی</w:t>
      </w:r>
      <w:bookmarkStart w:id="1307" w:name="pg16983_381314"/>
    </w:p>
    <w:p>
      <w:pPr>
        <w:pStyle w:val="BookText"/>
        <w:rPr/>
      </w:pPr>
      <w:bookmarkEnd w:id="1307"/>
      <w:r>
        <w:rPr>
          <w:rFonts w:ascii="IRNazanin" w:hAnsi="IRNazanin" w:eastAsia="IRNazanin"/>
          <w:color w:val="111111"/>
          <w:sz w:val="28"/>
          <w:sz w:val="28"/>
          <w:szCs w:val="28"/>
          <w:rtl w:val="true"/>
          <w:lang w:bidi="fa-IR"/>
        </w:rPr>
        <w:t>الجانب العلمی فقط، حیث لا تجری أصالة عدم الاشتباه العقلائیة لخطورة الموضوع</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1308" w:name="__RefHeading___Toc3300598_1468164448"/>
      <w:bookmarkStart w:id="1309" w:name="_Toc520"/>
      <w:bookmarkEnd w:id="1308"/>
      <w:r>
        <w:rPr>
          <w:rtl w:val="true"/>
        </w:rPr>
        <w:t xml:space="preserve">المناقشة الرابعة فی الإستدلال بآیة النبأ </w:t>
      </w:r>
      <w:r>
        <w:rPr>
          <w:rtl w:val="true"/>
        </w:rPr>
        <w:t xml:space="preserve">( </w:t>
      </w:r>
      <w:r>
        <w:rPr>
          <w:rtl w:val="true"/>
        </w:rPr>
        <w:t xml:space="preserve">الخبر مع الواسطة </w:t>
      </w:r>
      <w:r>
        <w:rPr>
          <w:rtl w:val="true"/>
        </w:rPr>
        <w:t>)</w:t>
      </w:r>
      <w:bookmarkEnd w:id="1309"/>
    </w:p>
    <w:p>
      <w:pPr>
        <w:pStyle w:val="BookText"/>
        <w:rPr/>
      </w:pPr>
      <w:r>
        <w:rPr>
          <w:rFonts w:ascii="IRNazanin" w:hAnsi="IRNazanin" w:eastAsia="IRNazanin"/>
          <w:color w:val="111111"/>
          <w:sz w:val="28"/>
          <w:sz w:val="28"/>
          <w:szCs w:val="28"/>
          <w:rtl w:val="true"/>
          <w:lang w:bidi="fa-IR"/>
        </w:rPr>
        <w:t xml:space="preserve">المناقشة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تخصّ آیة النبأ وإنما تعمّ کلّ أدلّة حجّیة الخبر وتنصبّ هذه المناقشة علی حجّیة الخبر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وتقرّرها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فی وسط الأعلام أنّ القضیة الشرعیة لا تتکفل إیجاد موضوعها وإنما الموضوع یوجد بآلیاته الخاصة فیترتب علیه المحمول الشرعی، فی حین أنّنا نلحظ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أفراد موضوعها وتنطبق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یخبر الکلینی عن 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حتی یصل الإخبار عن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السورة </w:t>
      </w:r>
      <w:r>
        <w:rPr>
          <w:rFonts w:eastAsia="IRNazanin" w:cs="IRNazanin"/>
          <w:color w:val="111111"/>
          <w:sz w:val="28"/>
          <w:szCs w:val="28"/>
          <w:rtl w:val="true"/>
          <w:lang w:bidi="fa-IR"/>
        </w:rPr>
        <w:t>]</w:t>
      </w:r>
      <w:bookmarkStart w:id="1310" w:name="pg16983_381316"/>
    </w:p>
    <w:p>
      <w:pPr>
        <w:pStyle w:val="BookText"/>
        <w:rPr/>
      </w:pPr>
      <w:bookmarkEnd w:id="1310"/>
      <w:r>
        <w:rPr>
          <w:rFonts w:ascii="IRNazanin" w:hAnsi="IRNazanin" w:eastAsia="IRNazanin"/>
          <w:color w:val="111111"/>
          <w:sz w:val="28"/>
          <w:sz w:val="28"/>
          <w:szCs w:val="28"/>
          <w:rtl w:val="true"/>
          <w:lang w:bidi="fa-IR"/>
        </w:rPr>
        <w:t xml:space="preserve">نلاحظ أنّ وجود خبر إبراهیم بن هاشم حصل ببرکة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المنطبق علی خبر الکلینی المعلوم لنا بالتواتر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فحجّیته تثبت لنا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 خبر ابراهیم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فرد من موضوع خبر الواحد أیضاً،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الخبر معلولة للوجود العلمی للأثر، والذی هو بدوره معلول بوجوده الخارجی للحجّیة فی حین أنّا نلحظ أنّ قضیة حجّیة الخبر موجدة لعلّتها؛ لأنّ الأثر من حجّیة خبر الکلینی هو ثبوت ووجود خبر ابراهیم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صیاغة هذا الشق من الإشکال بطریقة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الحجّیة جعل واعتبار، وکلّ اعتبار بملاحظة أثر له یخرج عن اللغویة، وفی الحجّیة رافع لغویتها هو الأثر الشرعی المتوخّی منها، وأمّا إذا لم یکن لها أثر سوی نفسها فجعلها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نحن فیه لا أثر من جعل حجّیة خبر الکلینی سوی ثبوت خبر ابراهیم بن هاشم وحجّیته، وهما من سنخ واحد، فیلزم أن یکون أثر حجّیة خبر الواحد هو حجّیة خبر الواحد وهو لغو</w:t>
      </w:r>
      <w:r>
        <w:rPr>
          <w:rFonts w:eastAsia="IRNazanin" w:cs="IRNazanin"/>
          <w:color w:val="111111"/>
          <w:sz w:val="28"/>
          <w:szCs w:val="28"/>
          <w:rtl w:val="true"/>
          <w:lang w:bidi="fa-IR"/>
        </w:rPr>
        <w:t>.</w:t>
      </w:r>
    </w:p>
    <w:p>
      <w:pPr>
        <w:pStyle w:val="Heading6"/>
        <w:numPr>
          <w:ilvl w:val="5"/>
          <w:numId w:val="1"/>
        </w:numPr>
        <w:rPr/>
      </w:pPr>
      <w:bookmarkStart w:id="1311" w:name="__RefHeading___Toc3300600_1468164448"/>
      <w:bookmarkStart w:id="1312" w:name="_Toc521"/>
      <w:bookmarkEnd w:id="1311"/>
      <w:r>
        <w:rPr>
          <w:rtl w:val="true"/>
        </w:rPr>
        <w:t>حلول لهذه المناقشة</w:t>
      </w:r>
      <w:bookmarkEnd w:id="1312"/>
    </w:p>
    <w:p>
      <w:pPr>
        <w:pStyle w:val="BookText"/>
        <w:rPr/>
      </w:pPr>
      <w:r>
        <w:rPr>
          <w:rFonts w:ascii="IRNazanin" w:hAnsi="IRNazanin" w:eastAsia="IRNazanin"/>
          <w:color w:val="111111"/>
          <w:sz w:val="28"/>
          <w:sz w:val="28"/>
          <w:szCs w:val="28"/>
          <w:rtl w:val="true"/>
          <w:lang w:bidi="fa-IR"/>
        </w:rPr>
        <w:t>وقد تعدّدت تقریرات هذا الإشکال بشقّیه إلاّ أنّ محور الجمیع ما ذکرناه، کما تعدّدت الأجوبة عنه، ونحن بدورنا نعرض جملة منها وبیان المختار</w:t>
      </w:r>
      <w:r>
        <w:rPr>
          <w:rFonts w:eastAsia="IRNazanin" w:cs="IRNazanin"/>
          <w:color w:val="111111"/>
          <w:sz w:val="28"/>
          <w:szCs w:val="28"/>
          <w:rtl w:val="true"/>
          <w:lang w:bidi="fa-IR"/>
        </w:rPr>
        <w:t>:</w:t>
      </w:r>
    </w:p>
    <w:p>
      <w:pPr>
        <w:pStyle w:val="Heading6"/>
        <w:numPr>
          <w:ilvl w:val="5"/>
          <w:numId w:val="1"/>
        </w:numPr>
        <w:rPr/>
      </w:pPr>
      <w:bookmarkStart w:id="1313" w:name="__RefHeading___Toc3300602_1468164448"/>
      <w:bookmarkStart w:id="1314" w:name="_Toc522"/>
      <w:bookmarkEnd w:id="1313"/>
      <w:r>
        <w:rPr>
          <w:rtl w:val="true"/>
        </w:rPr>
        <w:t>حلّ الشیخ الحائری</w:t>
      </w:r>
      <w:bookmarkEnd w:id="1314"/>
    </w:p>
    <w:p>
      <w:pPr>
        <w:pStyle w:val="BookText"/>
        <w:rPr/>
      </w:pPr>
      <w:r>
        <w:rPr>
          <w:rFonts w:ascii="IRNazanin" w:hAnsi="IRNazanin" w:eastAsia="IRNazanin"/>
          <w:color w:val="111111"/>
          <w:sz w:val="28"/>
          <w:sz w:val="28"/>
          <w:szCs w:val="28"/>
          <w:rtl w:val="true"/>
          <w:lang w:bidi="fa-IR"/>
        </w:rPr>
        <w:t>فی الشق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المفاد المطابقی لخبر الکلینی هو خبر ابراهیم ولکن مفاده الإلتزامی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السورة، وخبر الواحد کما هو حجّة فی مفاده المطابقی هو حجّة فی مفاده الإلتزامی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نحتاج فی إثبات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تولد حجج وتکرر انطباق، وإنما یکفینا حجّیة خبر الکلینی لحجّیته فی لوازمه</w:t>
      </w:r>
      <w:r>
        <w:rPr>
          <w:rFonts w:eastAsia="IRNazanin" w:cs="IRNazanin"/>
          <w:color w:val="111111"/>
          <w:sz w:val="28"/>
          <w:szCs w:val="28"/>
          <w:rtl w:val="true"/>
          <w:lang w:bidi="fa-IR"/>
        </w:rPr>
        <w:t>.</w:t>
      </w:r>
      <w:bookmarkStart w:id="1315" w:name="pg16983_381318"/>
    </w:p>
    <w:p>
      <w:pPr>
        <w:pStyle w:val="BookText"/>
        <w:rPr/>
      </w:pPr>
      <w:bookmarkEnd w:id="1315"/>
      <w:r>
        <w:rPr>
          <w:rFonts w:ascii="IRNazanin" w:hAnsi="IRNazanin" w:eastAsia="IRNazanin"/>
          <w:color w:val="111111"/>
          <w:sz w:val="28"/>
          <w:sz w:val="28"/>
          <w:szCs w:val="28"/>
          <w:rtl w:val="true"/>
          <w:lang w:bidi="fa-IR"/>
        </w:rPr>
        <w:t xml:space="preserve">ومنه یتضح حلّ الشق الثانی بأنّ الأثر لیس هو حجّیة الخبر وإنما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السورة</w:t>
      </w:r>
      <w:r>
        <w:rPr>
          <w:rFonts w:eastAsia="IRNazanin" w:cs="IRNazanin"/>
          <w:color w:val="111111"/>
          <w:sz w:val="28"/>
          <w:szCs w:val="28"/>
          <w:rtl w:val="true"/>
          <w:lang w:bidi="fa-IR"/>
        </w:rPr>
        <w:t>.</w:t>
      </w:r>
    </w:p>
    <w:p>
      <w:pPr>
        <w:pStyle w:val="Heading6"/>
        <w:numPr>
          <w:ilvl w:val="5"/>
          <w:numId w:val="1"/>
        </w:numPr>
        <w:rPr/>
      </w:pPr>
      <w:bookmarkStart w:id="1316" w:name="__RefHeading___Toc3300604_1468164448"/>
      <w:bookmarkStart w:id="1317" w:name="_Toc523"/>
      <w:bookmarkEnd w:id="1316"/>
      <w:r>
        <w:rPr>
          <w:rtl w:val="true"/>
        </w:rPr>
        <w:t>ملاحظة علی حلّ الحائری</w:t>
      </w:r>
      <w:bookmarkEnd w:id="1317"/>
    </w:p>
    <w:p>
      <w:pPr>
        <w:pStyle w:val="BookText"/>
        <w:rPr/>
      </w:pPr>
      <w:r>
        <w:rPr>
          <w:rFonts w:ascii="IRNazanin" w:hAnsi="IRNazanin" w:eastAsia="IRNazanin"/>
          <w:color w:val="111111"/>
          <w:sz w:val="28"/>
          <w:sz w:val="28"/>
          <w:szCs w:val="28"/>
          <w:rtl w:val="true"/>
          <w:lang w:bidi="fa-IR"/>
        </w:rPr>
        <w:t>ویلاحظ علی حلّه للشق الأول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الثابت هو حجّیة خبر الواحد فی اللوازم القطعیة الحسیة أو العقلیة، 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لازماً حسیاً لخبر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تحمل الکلینی له کان عن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 لازماً عقلیاً قطعیاً له، وإنما لازم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یرید أنّ خبر علی بن ابراهیم لازم حسی لخبر الکلینی یخبر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الدلالة الإلتزامیة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 ولازم خبر علی بن ابراهیم الحسی خبر هاشم، وهکذا حتی یصل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لازماً حسیاً لخبر الکلینی، ولکن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یلاحظ علیه أیضاً أنّ هذه اللوازم إن لم تثبت حجّیتها لا تثبت الحجّیة للازم الأخیر، وإن کانت اللوازم المتوسطة حجّة فببرکة حجّیة خبر الواحد، فیعود الإشکال جذعاً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حلّه للشق الثانی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أثراً لحجّیة خبر الکلینی إلاّ أنه لیس أثراً مباشراً، وإنما الاثر المباشر هو خبر علی بن ابراهیم، وهو لا یصلح مصححاً لحجّیة نفسه</w:t>
      </w:r>
      <w:r>
        <w:rPr>
          <w:rFonts w:eastAsia="IRNazanin" w:cs="IRNazanin"/>
          <w:color w:val="111111"/>
          <w:sz w:val="28"/>
          <w:szCs w:val="28"/>
          <w:rtl w:val="true"/>
          <w:lang w:bidi="fa-IR"/>
        </w:rPr>
        <w:t>.</w:t>
      </w:r>
    </w:p>
    <w:p>
      <w:pPr>
        <w:pStyle w:val="Heading6"/>
        <w:numPr>
          <w:ilvl w:val="5"/>
          <w:numId w:val="1"/>
        </w:numPr>
        <w:rPr/>
      </w:pPr>
      <w:bookmarkStart w:id="1318" w:name="__RefHeading___Toc3300606_1468164448"/>
      <w:bookmarkStart w:id="1319" w:name="_Toc524"/>
      <w:bookmarkEnd w:id="1318"/>
      <w:r>
        <w:rPr>
          <w:rtl w:val="true"/>
        </w:rPr>
        <w:t>حلّ الآخوند</w:t>
      </w:r>
      <w:bookmarkEnd w:id="1319"/>
    </w:p>
    <w:p>
      <w:pPr>
        <w:pStyle w:val="BookText"/>
        <w:rPr/>
      </w:pPr>
      <w:r>
        <w:rPr>
          <w:rFonts w:ascii="Amiri" w:hAnsi="Amiri" w:eastAsia="Amiri" w:cs="Amiri"/>
          <w:color w:val="111111"/>
          <w:sz w:val="28"/>
          <w:sz w:val="28"/>
          <w:szCs w:val="28"/>
          <w:rtl w:val="true"/>
          <w:lang w:bidi="ar-SA"/>
        </w:rPr>
        <w:t>للشق الأول یُعطی حَلّین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کلّیة استغراقیة منحلّة إلی أفرادها، فحینما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القضیة لا تتکفل إیجاد موضوع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منه فی مثل قضیتنا المنحلّة أنّ کلّ فرد منها لا یوجد موضوع نفسه ویطبّق محموله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حینما نأتی إلی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الکلینی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الحجّیة منطبقة علیه من دون أن یکون موجداً لخبر الکلینی، وإنما موجد لخبر علی بن ابراهیم الذی تنطبق علیه حجّیته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فرد یکون موجداً لفرد آخر ومنطبقاً لمحموله، لا أنّ کلّ فرد یکون موجداً لنفسه کی یلزم المحذور، وإنما الموضوع الفرد بعد وجوده بقضیة أخری تنطبق علیه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فرض وجود مانع تقنینی أو دلیلی من انطباق کلّی حجّیة خبر الواحد علی الوسائط، إلاّ أنّ ملاک الجعل فی خبر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کونه ثقة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الوسائط، فتثبت حجّیة الوسائط بتنقیح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متانة الحلّ الأول وإن کنّا لا نحتاجه کما سیتضح بعد قلیل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الحلّ الثانی فلنا وقفة معه؛ إذ أنّ تنقیح المناط‌</w:t>
      </w:r>
      <w:r>
        <w:rPr>
          <w:rStyle w:val="FootnoteAnchor"/>
          <w:rtl w:val="true"/>
        </w:rPr>
        <w:footnoteReference w:id="183"/>
      </w:r>
      <w:r>
        <w:rPr>
          <w:rFonts w:ascii="IRNazanin" w:hAnsi="IRNazanin" w:eastAsia="IRNazanin"/>
          <w:color w:val="111111"/>
          <w:sz w:val="28"/>
          <w:sz w:val="28"/>
          <w:szCs w:val="28"/>
          <w:rtl w:val="true"/>
          <w:lang w:bidi="fa-IR"/>
        </w:rPr>
        <w:t>کالقرینة</w:t>
      </w:r>
      <w:bookmarkStart w:id="1320" w:name="pg16983_381322"/>
    </w:p>
    <w:p>
      <w:pPr>
        <w:pStyle w:val="BookText"/>
        <w:rPr/>
      </w:pPr>
      <w:bookmarkEnd w:id="1320"/>
      <w:r>
        <w:rPr>
          <w:rFonts w:ascii="IRNazanin" w:hAnsi="IRNazanin" w:eastAsia="IRNazanin"/>
          <w:color w:val="111111"/>
          <w:sz w:val="28"/>
          <w:sz w:val="28"/>
          <w:szCs w:val="28"/>
          <w:rtl w:val="true"/>
          <w:lang w:bidi="fa-IR"/>
        </w:rPr>
        <w:t>الإثباتیة فی توسعة دلالة الدلیل، وأنّ المورد لا یخصص الوارد، فهو یوسّع الجعل لا أنه یکشف عن جعل مماثل، فی حین أنّ الظاهر من الآخوند أنه استفاد من تنقیح المناط فی اکتشاف جعل آخر مماثل</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وأمّا حلّه للشق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وجود الأثر الشرعی المغایر ولو فی نهایة المطاف فلا لغویة، إذ لیس شرطاً فی المصحح أن یکون أثراً مغایراً بالمباشرة</w:t>
      </w:r>
      <w:r>
        <w:rPr>
          <w:rFonts w:eastAsia="IRNazanin" w:cs="IRNazanin"/>
          <w:color w:val="111111"/>
          <w:sz w:val="28"/>
          <w:szCs w:val="28"/>
          <w:rtl w:val="true"/>
          <w:lang w:bidi="fa-IR"/>
        </w:rPr>
        <w:t>.</w:t>
      </w:r>
    </w:p>
    <w:p>
      <w:pPr>
        <w:pStyle w:val="Heading6"/>
        <w:numPr>
          <w:ilvl w:val="5"/>
          <w:numId w:val="1"/>
        </w:numPr>
        <w:rPr/>
      </w:pPr>
      <w:bookmarkStart w:id="1321" w:name="__RefHeading___Toc3300608_1468164448"/>
      <w:bookmarkStart w:id="1322" w:name="_Toc525"/>
      <w:bookmarkEnd w:id="1321"/>
      <w:r>
        <w:rPr>
          <w:rtl w:val="true"/>
        </w:rPr>
        <w:t>الحلّ المختار</w:t>
      </w:r>
      <w:bookmarkEnd w:id="1322"/>
    </w:p>
    <w:p>
      <w:pPr>
        <w:pStyle w:val="BookText"/>
        <w:rPr/>
      </w:pPr>
      <w:r>
        <w:rPr>
          <w:rFonts w:ascii="IRNazanin" w:hAnsi="IRNazanin" w:eastAsia="IRNazanin"/>
          <w:color w:val="111111"/>
          <w:sz w:val="28"/>
          <w:sz w:val="28"/>
          <w:szCs w:val="28"/>
          <w:rtl w:val="true"/>
          <w:lang w:bidi="fa-IR"/>
        </w:rPr>
        <w:t>للشق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من أنّ هناک مغالطة فی الإشکال وهی أنّ حجّیة الخبر لا تولّد تکویناً موضوعات الوسائط، وإنما هی موجودة فی واقعها وبغضّ النظر عن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حجّیة الخبر تحرز تلک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یعبّر عنه بالوجود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تصل النوبة إلی حلّ الآخوند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حلّ الشق الثانی بصیاغته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القضیة الشرعیة توجد أثرها الذی هو متقدّم علیها رتبة؛ لأنه جزء من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 الآخوند وإن کان متیناً إلاّ أنّ الأمتن منه هو أنّ المصحح للحجّیة ضرورة،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بحث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شرطاً أن یکون متقدّماً رتبة وإنما یمکن أن یکون مقارناً أو متأخراً، وهو یکفی فی تصحیح جعل الحجّیة عقلاً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القیود العقلیة للأحکام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الفقهیة</w:t>
      </w:r>
      <w:bookmarkStart w:id="1323" w:name="pg16983_381324"/>
    </w:p>
    <w:p>
      <w:pPr>
        <w:pStyle w:val="BookText"/>
        <w:rPr/>
      </w:pPr>
      <w:bookmarkEnd w:id="1323"/>
      <w:r>
        <w:rPr>
          <w:rFonts w:ascii="IRNazanin" w:hAnsi="IRNazanin" w:eastAsia="IRNazanin"/>
          <w:color w:val="111111"/>
          <w:sz w:val="28"/>
          <w:sz w:val="28"/>
          <w:szCs w:val="28"/>
          <w:rtl w:val="true"/>
          <w:lang w:bidi="fa-IR"/>
        </w:rPr>
        <w:t xml:space="preserve">أو الأصولیة، الوضعیة أو التکلیفیة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القیود الشرعیة، وإنّ القیود الشرعیة لیست جمیعاً لمرحلة واحدة عند الحکم، وإنما 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مرتکز المشهور خلافاً لمدرسة المحقّق النائینی و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سابقاً أنّ تسمیة القیود العقلیة قیوداً للحکم الشرعی تعبیر فیه تسامح کبیر؛ إذ لا معنی لأن یقیّد العقلُ جعلَ الشارع وحکمَه، وإنما هی قیود للاحکام العقلیة المرتبطة بالحکم الشرعی، یأخذها العقل فی موضوعات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ومصحح الحجّیة لیس قیداً شرعیاً، وإنما قید عقلی للحکم الشرعی 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قید عقلی للحکم العقلی المرتبط بالحکم الوضعی الأصولی وهو الحجّیة، المترتب علیه، الذی یعدّ من شؤونه وأطواره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والحکم العقلی دوماً فی مرتبة متأخرة عن الحکم الشرعی کالفاعلیة والتنجیز، أو سابقة کما فی الحکم العقلی المرتبط بمبادئ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اتضح أنّ مصحح الحجّیة متأخر رتبة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حلّ الشق الثانی بصیاغته الثانیة فهو حلّ الآخوند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دلالة الآیة علی الحجّیة بمفهوم الشرط</w:t>
      </w:r>
      <w:r>
        <w:rPr>
          <w:rFonts w:eastAsia="IRNazanin" w:cs="IRNazanin"/>
          <w:color w:val="111111"/>
          <w:sz w:val="28"/>
          <w:szCs w:val="28"/>
          <w:rtl w:val="true"/>
          <w:lang w:bidi="fa-IR"/>
        </w:rPr>
        <w:t>.</w:t>
      </w:r>
    </w:p>
    <w:p>
      <w:pPr>
        <w:pStyle w:val="Heading6"/>
        <w:numPr>
          <w:ilvl w:val="5"/>
          <w:numId w:val="1"/>
        </w:numPr>
        <w:rPr/>
      </w:pPr>
      <w:bookmarkStart w:id="1324" w:name="__RefHeading___Toc3300610_1468164448"/>
      <w:bookmarkStart w:id="1325" w:name="_Toc526"/>
      <w:bookmarkEnd w:id="1324"/>
      <w:r>
        <w:rPr>
          <w:rtl w:val="true"/>
        </w:rPr>
        <w:t>الإستدلال علی الحجّیة بمفهوم الوصف</w:t>
      </w:r>
      <w:bookmarkEnd w:id="1325"/>
    </w:p>
    <w:p>
      <w:pPr>
        <w:pStyle w:val="BookText"/>
        <w:rPr/>
      </w:pPr>
      <w:r>
        <w:rPr>
          <w:rFonts w:ascii="IRNazanin" w:hAnsi="IRNazanin" w:eastAsia="IRNazanin"/>
          <w:color w:val="111111"/>
          <w:sz w:val="28"/>
          <w:sz w:val="28"/>
          <w:szCs w:val="28"/>
          <w:rtl w:val="true"/>
          <w:lang w:bidi="fa-IR"/>
        </w:rPr>
        <w:t xml:space="preserve">کذلک قرّبتْ دلالة الآیة علی الحجّیة بمفهوم الوصف، وهو تقریب سلیم بعدما تقدّم منّا أنّ الوصف یدلّ علی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المفهوم الصغیر، وهو انتفاء الحکم عن طبیعی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تکون الآیة دالّةً علی عدم وجوب التبیّن فی مطلق الخبر</w:t>
      </w:r>
      <w:r>
        <w:rPr>
          <w:rFonts w:eastAsia="IRNazanin" w:cs="IRNazanin"/>
          <w:color w:val="111111"/>
          <w:sz w:val="28"/>
          <w:szCs w:val="28"/>
          <w:rtl w:val="true"/>
          <w:lang w:bidi="fa-IR"/>
        </w:rPr>
        <w:t>.</w:t>
      </w:r>
    </w:p>
    <w:p>
      <w:pPr>
        <w:pStyle w:val="Heading6"/>
        <w:numPr>
          <w:ilvl w:val="5"/>
          <w:numId w:val="1"/>
        </w:numPr>
        <w:rPr/>
      </w:pPr>
      <w:bookmarkStart w:id="1326" w:name="__RefHeading___Toc3300612_1468164448"/>
      <w:bookmarkStart w:id="1327" w:name="_Toc527"/>
      <w:bookmarkEnd w:id="1326"/>
      <w:r>
        <w:rPr>
          <w:rtl w:val="true"/>
        </w:rPr>
        <w:t>الإستدلال علی الحجّیة بمفهوم التحدید</w:t>
      </w:r>
      <w:bookmarkEnd w:id="132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تقریب دلالتها بمفهوم التحدید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أقوی المفاهیم وقریب الأفق من الروایات البیانیة، بحیث یکون کالتصریح</w:t>
      </w:r>
      <w:bookmarkStart w:id="1328" w:name="pg16983_381326"/>
    </w:p>
    <w:p>
      <w:pPr>
        <w:pStyle w:val="BookText"/>
        <w:rPr/>
      </w:pPr>
      <w:bookmarkEnd w:id="1328"/>
      <w:r>
        <w:rPr>
          <w:rFonts w:ascii="IRNazanin" w:hAnsi="IRNazanin" w:eastAsia="IRNazanin"/>
          <w:color w:val="111111"/>
          <w:sz w:val="28"/>
          <w:sz w:val="28"/>
          <w:szCs w:val="28"/>
          <w:rtl w:val="true"/>
          <w:lang w:bidi="fa-IR"/>
        </w:rPr>
        <w:t xml:space="preserve">بأنّ الحدّ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جاءت فی مقام التحدید والتفصیل و سنّ القاعدة، فإنّ المورد لا یخصص الوارد حتی فی الأحکام الجزئیة السیاسیة فتدلّ علی حجّیة خبر غیر الفاسق لتحدیدها وجوب التبیّن بالفسق</w:t>
      </w:r>
      <w:r>
        <w:rPr>
          <w:rFonts w:eastAsia="IRNazanin" w:cs="IRNazanin"/>
          <w:color w:val="111111"/>
          <w:sz w:val="28"/>
          <w:szCs w:val="28"/>
          <w:rtl w:val="true"/>
          <w:lang w:bidi="fa-IR"/>
        </w:rPr>
        <w:t>.</w:t>
      </w:r>
    </w:p>
    <w:p>
      <w:pPr>
        <w:pStyle w:val="Heading6"/>
        <w:numPr>
          <w:ilvl w:val="5"/>
          <w:numId w:val="1"/>
        </w:numPr>
        <w:rPr/>
      </w:pPr>
      <w:bookmarkStart w:id="1329" w:name="__RefHeading___Toc3300614_1468164448"/>
      <w:bookmarkStart w:id="1330" w:name="_Toc528"/>
      <w:bookmarkEnd w:id="1329"/>
      <w:r>
        <w:rPr>
          <w:rtl w:val="true"/>
        </w:rPr>
        <w:t>التقریب الآخر لدلالة الآیة</w:t>
      </w:r>
      <w:bookmarkEnd w:id="1330"/>
    </w:p>
    <w:p>
      <w:pPr>
        <w:pStyle w:val="BookText"/>
        <w:rPr/>
      </w:pPr>
      <w:r>
        <w:rPr>
          <w:rFonts w:ascii="IRNazanin" w:hAnsi="IRNazanin" w:eastAsia="IRNazanin"/>
          <w:color w:val="111111"/>
          <w:sz w:val="28"/>
          <w:sz w:val="28"/>
          <w:szCs w:val="28"/>
          <w:rtl w:val="true"/>
          <w:lang w:bidi="fa-IR"/>
        </w:rPr>
        <w:t xml:space="preserve">إنّ الآیة ناظرة إلی السیرة السائدة من الرجوع إلی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یتضح ذلک بمراجعة المورد وتأهب المسلمین للجهاد إثر خبر الولید، المعبّر عن وجود السیرة علی المتابعة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صدد الردع والإمضاء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عن خبر الفاسق وإمضاء خبر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لا یعنی الردع وجود سیرة عقلائیة علی متابعة خبر الفاسق، وإنما للتأکید علی فصل ما هو قانون عندهم عما هو غیره من الظواهر العادیة والأعراف والعصبیات التی تنشأ ملاصقة للسیرة وتختلط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الردع الجزئی بالشکل المذکور یلزمه إمضاء القانون العقلائی بعدما ذکرنا التداخل الموجود بین السیرتین، وعدم انفصال وأجنبیة کلّ منهما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التقریب یثبت لنا الحجّیة حتی لو لم یکن شرط ووصف، ومن حقّه أنّ یذکر أولاً، ثمّ تذکر الدوال الأخری کالشرط والوصف لما ذکرناه فی بدایة البحث من أنّ الأدلّة لابدّ وأن تکون ناظرة إلی السیرة، فلا معنی لدراستها مجردة، فکما أنّ مورد نزول الآیة یؤثر فی فهم الآیة، کذا السیرة مؤثرة فی فهم الأدلّة</w:t>
      </w:r>
      <w:r>
        <w:rPr>
          <w:rFonts w:eastAsia="IRNazanin" w:cs="IRNazanin"/>
          <w:color w:val="111111"/>
          <w:sz w:val="28"/>
          <w:szCs w:val="28"/>
          <w:rtl w:val="true"/>
          <w:lang w:bidi="fa-IR"/>
        </w:rPr>
        <w:t>.</w:t>
      </w:r>
    </w:p>
    <w:p>
      <w:pPr>
        <w:pStyle w:val="Heading6"/>
        <w:numPr>
          <w:ilvl w:val="5"/>
          <w:numId w:val="1"/>
        </w:numPr>
        <w:rPr/>
      </w:pPr>
      <w:bookmarkStart w:id="1331" w:name="__RefHeading___Toc3300616_1468164448"/>
      <w:bookmarkStart w:id="1332" w:name="_Toc529"/>
      <w:bookmarkEnd w:id="1331"/>
      <w:r>
        <w:rPr>
          <w:rtl w:val="true"/>
        </w:rPr>
        <w:t>دائرة حجّیة خبر العادل؛ لسانه أو أعماله؟</w:t>
      </w:r>
      <w:bookmarkEnd w:id="1332"/>
    </w:p>
    <w:p>
      <w:pPr>
        <w:pStyle w:val="BookText"/>
        <w:rPr/>
      </w:pPr>
      <w:r>
        <w:rPr>
          <w:rFonts w:ascii="IRNazanin" w:hAnsi="IRNazanin" w:eastAsia="IRNazanin"/>
          <w:color w:val="111111"/>
          <w:sz w:val="28"/>
          <w:sz w:val="28"/>
          <w:szCs w:val="28"/>
          <w:rtl w:val="true"/>
          <w:lang w:bidi="fa-IR"/>
        </w:rPr>
        <w:t>بعد أنّ تبلور دلالة الآیة علی الحجّیة فی خبر العادل ینبثق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فی صدد إثبات حجّیة خبر العادل فی أعماله أو حجّیة خبر العادل فی لسانه؟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التبیّن فی خبر الفاسق فی أعماله حتی لو</w:t>
      </w:r>
      <w:bookmarkStart w:id="1333" w:name="pg16983_381328"/>
    </w:p>
    <w:p>
      <w:pPr>
        <w:pStyle w:val="BookText"/>
        <w:rPr/>
      </w:pPr>
      <w:bookmarkEnd w:id="1333"/>
      <w:r>
        <w:rPr>
          <w:rFonts w:ascii="IRNazanin" w:hAnsi="IRNazanin" w:eastAsia="IRNazanin"/>
          <w:color w:val="111111"/>
          <w:sz w:val="28"/>
          <w:sz w:val="28"/>
          <w:szCs w:val="28"/>
          <w:rtl w:val="true"/>
          <w:lang w:bidi="fa-IR"/>
        </w:rPr>
        <w:t>کان صادق اللهجة وبالتالی لا یجب التبیّن فی خبر العادل فی أعماله، أو یجب التبیّن فی خبر الفاسق فی لسانه فلا یجب فی خبر العادل فی لسانه وإن کان فاسقاً فی غیر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فسوف تکون مخصصة لأدلّة حجّیة خبر الثقة، وإلاّ کانت متطابقة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هو الثانی، وذلک لأنّ أکثر الإستعمالات القرآنیة للفسق جاءت فی الفسق اللسانی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قرینة علی أنّ المراد هو الفسق اللسانی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إِلَیْکُمُ الْکُفْرَ وَ الْفُسُوقَ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المراد هو الفسق اللسانی، وإلاّ کان الکفر من الفسوق، وعصیان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فی حین أنّ الظاهر تباین العناوین الثلاث، ولیس من عطف الخاص علی العام، والعام علی الخاص، فإنه إنما یکون فیما إذا کان هناک عنوانان 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الصدوق عن زید الشحام فی ذیل آیة الحجّ، فسّر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 فیها بالکذب والقول علیه بآیه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مناسبة الحکم والموضوع فی آیة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موضوعها الإخبار وهو یتناسب مع الکذب لا مع مطلق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الإستعمالات القرآنیة استعمل الفسوق فی الکذب اللسانی الخاص کالکذب علی اللّه ورسوله والقذف و غیر ذلک</w:t>
      </w:r>
      <w:r>
        <w:rPr>
          <w:rFonts w:eastAsia="IRNazanin" w:cs="IRNazanin"/>
          <w:color w:val="111111"/>
          <w:sz w:val="28"/>
          <w:szCs w:val="28"/>
          <w:rtl w:val="true"/>
          <w:lang w:bidi="fa-IR"/>
        </w:rPr>
        <w:t>.</w:t>
      </w:r>
    </w:p>
    <w:p>
      <w:pPr>
        <w:pStyle w:val="Heading6"/>
        <w:numPr>
          <w:ilvl w:val="5"/>
          <w:numId w:val="1"/>
        </w:numPr>
        <w:rPr/>
      </w:pPr>
      <w:bookmarkStart w:id="1334" w:name="__RefHeading___Toc3300618_1468164448"/>
      <w:bookmarkStart w:id="1335" w:name="_Toc530"/>
      <w:bookmarkEnd w:id="1334"/>
      <w:r>
        <w:rPr>
          <w:rtl w:val="true"/>
        </w:rPr>
        <w:t>الفرق بین التبیّن والطرح</w:t>
      </w:r>
      <w:bookmarkEnd w:id="133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منطوق الآیة وإن کان عدم حجّیة خبر الفاسق، ولکنّه لا بمعنی طرحه ونبذه وعدم الإعتناء به، وإنما عدم الأخذ به من دون تثبت وتبیّن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فإنّا ندرک بالوجدان الفرق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علی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التعبیر الأول یدلّ علی أنه ذو شأن، ومن ثمّ لابدّ من فحص قرائن توافقه تتعاضد جمیعاً بما فی ذلک هو فیحصل اطمئنان لا أنه کالعدم، کما هو مدلول</w:t>
      </w:r>
      <w:bookmarkStart w:id="1336" w:name="pg16983_381330"/>
    </w:p>
    <w:p>
      <w:pPr>
        <w:pStyle w:val="BookText"/>
        <w:rPr/>
      </w:pPr>
      <w:bookmarkEnd w:id="1336"/>
      <w:r>
        <w:rPr>
          <w:rFonts w:ascii="IRNazanin" w:hAnsi="IRNazanin" w:eastAsia="IRNazanin"/>
          <w:color w:val="111111"/>
          <w:sz w:val="28"/>
          <w:sz w:val="28"/>
          <w:szCs w:val="28"/>
          <w:rtl w:val="true"/>
          <w:lang w:bidi="fa-IR"/>
        </w:rPr>
        <w:t>التعبیر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من هنا یتضح الفرق بین الخبر المدسوس المدلّس والخبر الضعیف ببرکة منطوق الآیة، فإنّ الثانی لا یجوز طرحه وتکذیبه ما لم یثبت ذلک، وإلاّ لابدّ من فحص قرائن توافقه</w:t>
      </w:r>
      <w:r>
        <w:rPr>
          <w:rFonts w:eastAsia="IRNazanin" w:cs="IRNazanin"/>
          <w:color w:val="111111"/>
          <w:sz w:val="28"/>
          <w:szCs w:val="28"/>
          <w:rtl w:val="true"/>
          <w:lang w:bidi="fa-IR"/>
        </w:rPr>
        <w:t>.</w:t>
      </w:r>
    </w:p>
    <w:p>
      <w:pPr>
        <w:pStyle w:val="Heading6"/>
        <w:numPr>
          <w:ilvl w:val="5"/>
          <w:numId w:val="1"/>
        </w:numPr>
        <w:rPr/>
      </w:pPr>
      <w:bookmarkStart w:id="1337" w:name="__RefHeading___Toc3300620_1468164448"/>
      <w:bookmarkStart w:id="1338" w:name="_Toc531"/>
      <w:bookmarkEnd w:id="1337"/>
      <w:r>
        <w:rPr>
          <w:rtl w:val="true"/>
        </w:rPr>
        <w:t>معنی وجوب التبیّن</w:t>
      </w:r>
      <w:bookmarkEnd w:id="1338"/>
    </w:p>
    <w:p>
      <w:pPr>
        <w:pStyle w:val="BookText"/>
        <w:rPr/>
      </w:pPr>
      <w:r>
        <w:rPr>
          <w:rFonts w:ascii="IRNazanin" w:hAnsi="IRNazanin" w:eastAsia="IRNazanin"/>
          <w:color w:val="111111"/>
          <w:sz w:val="28"/>
          <w:sz w:val="28"/>
          <w:szCs w:val="28"/>
          <w:rtl w:val="true"/>
          <w:lang w:bidi="fa-IR"/>
        </w:rPr>
        <w:t>ذکرت ستة احتمالات فی حکم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طریقی، وجوب غیری، وجوب نفسی،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مفاد عدم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شرطی، إرشاد إلی حکم العقل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والثلاثة الأولی واضحة الفساد، وأخریات لا تقاطُعَ فیما بینها</w:t>
      </w:r>
      <w:r>
        <w:rPr>
          <w:rFonts w:eastAsia="IRNazanin" w:cs="IRNazanin"/>
          <w:color w:val="111111"/>
          <w:sz w:val="28"/>
          <w:szCs w:val="28"/>
          <w:rtl w:val="true"/>
          <w:lang w:bidi="fa-IR"/>
        </w:rPr>
        <w:t>.</w:t>
      </w:r>
      <w:r>
        <w:rPr>
          <w:rStyle w:val="FootnoteAnchor"/>
          <w:rtl w:val="true"/>
        </w:rPr>
        <w:footnoteReference w:id="185"/>
      </w:r>
    </w:p>
    <w:p>
      <w:pPr>
        <w:pStyle w:val="Heading6"/>
        <w:numPr>
          <w:ilvl w:val="5"/>
          <w:numId w:val="1"/>
        </w:numPr>
        <w:rPr/>
      </w:pPr>
      <w:bookmarkStart w:id="1339" w:name="__RefHeading___Toc3300622_1468164448"/>
      <w:bookmarkStart w:id="1340" w:name="_Toc532"/>
      <w:bookmarkEnd w:id="1339"/>
      <w:r>
        <w:rPr>
          <w:rtl w:val="true"/>
        </w:rPr>
        <w:t>الآیة الثانیة</w:t>
      </w:r>
      <w:r>
        <w:rPr>
          <w:rtl w:val="true"/>
        </w:rPr>
        <w:t xml:space="preserve">: </w:t>
      </w:r>
      <w:r>
        <w:rPr>
          <w:rtl w:val="true"/>
        </w:rPr>
        <w:t>آیة النفر</w:t>
      </w:r>
      <w:bookmarkEnd w:id="1340"/>
    </w:p>
    <w:p>
      <w:pPr>
        <w:pStyle w:val="BookText"/>
        <w:rPr/>
      </w:pPr>
      <w:r>
        <w:rPr>
          <w:rFonts w:ascii="Amiri" w:hAnsi="Amiri" w:eastAsia="Amiri" w:cs="Amiri"/>
          <w:color w:val="111111"/>
          <w:sz w:val="28"/>
          <w:sz w:val="28"/>
          <w:szCs w:val="28"/>
          <w:rtl w:val="true"/>
          <w:lang w:bidi="ar-SA"/>
        </w:rPr>
        <w:t xml:space="preserve">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إنّ الآیة الکریمة تنفع أیضاً فی باب الإجتهاد والتقلید وتبلیغ الأحکام، وتکشف عن أنّ منصب الإفتاء کان من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من المناصب المستحدثة فی عهد الغیبة</w:t>
      </w:r>
      <w:r>
        <w:rPr>
          <w:rFonts w:eastAsia="IRNazanin" w:cs="IRNazanin"/>
          <w:color w:val="111111"/>
          <w:sz w:val="28"/>
          <w:szCs w:val="28"/>
          <w:rtl w:val="true"/>
          <w:lang w:bidi="fa-IR"/>
        </w:rPr>
        <w:t>.</w:t>
      </w:r>
    </w:p>
    <w:p>
      <w:pPr>
        <w:pStyle w:val="Heading6"/>
        <w:numPr>
          <w:ilvl w:val="5"/>
          <w:numId w:val="1"/>
        </w:numPr>
        <w:rPr/>
      </w:pPr>
      <w:bookmarkStart w:id="1341" w:name="__RefHeading___Toc3300624_1468164448"/>
      <w:bookmarkStart w:id="1342" w:name="_Toc533"/>
      <w:bookmarkEnd w:id="1341"/>
      <w:r>
        <w:rPr>
          <w:rtl w:val="true"/>
        </w:rPr>
        <w:t>تقریب الإستدلال</w:t>
      </w:r>
      <w:bookmarkEnd w:id="1342"/>
    </w:p>
    <w:p>
      <w:pPr>
        <w:pStyle w:val="BookText"/>
        <w:rPr/>
      </w:pPr>
      <w:r>
        <w:rPr>
          <w:rFonts w:ascii="IRNazanin" w:hAnsi="IRNazanin" w:eastAsia="IRNazanin"/>
          <w:color w:val="111111"/>
          <w:sz w:val="28"/>
          <w:sz w:val="28"/>
          <w:szCs w:val="28"/>
          <w:rtl w:val="true"/>
          <w:lang w:bidi="fa-IR"/>
        </w:rPr>
        <w:t>التقریب الإجمالی للآیة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دلّت علی وجوب التفقه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w:t>
      </w:r>
      <w:bookmarkStart w:id="1343" w:name="pg16983_381333"/>
    </w:p>
    <w:p>
      <w:pPr>
        <w:pStyle w:val="BookText"/>
        <w:rPr/>
      </w:pPr>
      <w:bookmarkEnd w:id="13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تهدیدیة أم تحضیضیة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مستبطنة للطلب، وهو مع عدم الإذن فی الترخیص ظاهر فی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ودلّت علی وجوب الإنذار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بعدها رتّبت غایة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دلیل حجّیة القول المنذر به، وإلاّ لم یکن معنی لوجوب الحذر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ووجوب الحذر إما 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أنّ غایة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أو من لزوم لغویة الحذر، إذ لا ینسجم إلاّ مع لزومه</w:t>
      </w:r>
      <w:r>
        <w:rPr>
          <w:rFonts w:eastAsia="IRNazanin" w:cs="IRNazanin"/>
          <w:color w:val="111111"/>
          <w:sz w:val="28"/>
          <w:szCs w:val="28"/>
          <w:rtl w:val="true"/>
          <w:lang w:bidi="fa-IR"/>
        </w:rPr>
        <w:t>.</w:t>
      </w:r>
    </w:p>
    <w:p>
      <w:pPr>
        <w:pStyle w:val="Heading6"/>
        <w:numPr>
          <w:ilvl w:val="5"/>
          <w:numId w:val="1"/>
        </w:numPr>
        <w:rPr/>
      </w:pPr>
      <w:bookmarkStart w:id="1344" w:name="__RefHeading___Toc3300626_1468164448"/>
      <w:bookmarkStart w:id="1345" w:name="_Toc534"/>
      <w:bookmarkEnd w:id="1344"/>
      <w:r>
        <w:rPr>
          <w:rtl w:val="true"/>
        </w:rPr>
        <w:t>مجموعة من الإشکالات علی الإستدلال بآیة النفر</w:t>
      </w:r>
      <w:bookmarkEnd w:id="1345"/>
    </w:p>
    <w:p>
      <w:pPr>
        <w:pStyle w:val="BookText"/>
        <w:rPr/>
      </w:pPr>
      <w:r>
        <w:rPr>
          <w:rFonts w:ascii="IRNazanin" w:hAnsi="IRNazanin" w:eastAsia="IRNazanin"/>
          <w:color w:val="111111"/>
          <w:sz w:val="28"/>
          <w:sz w:val="28"/>
          <w:szCs w:val="28"/>
          <w:rtl w:val="true"/>
          <w:lang w:bidi="fa-IR"/>
        </w:rPr>
        <w:t>وقد واجه الإستدلال بالآیة صخباً من الإشکالات وعلی أصعدة متعدّدة</w:t>
      </w:r>
      <w:r>
        <w:rPr>
          <w:rFonts w:eastAsia="IRNazanin" w:cs="IRNazanin"/>
          <w:color w:val="111111"/>
          <w:sz w:val="28"/>
          <w:szCs w:val="28"/>
          <w:rtl w:val="true"/>
          <w:lang w:bidi="fa-IR"/>
        </w:rPr>
        <w:t>:</w:t>
      </w:r>
    </w:p>
    <w:p>
      <w:pPr>
        <w:pStyle w:val="Heading6"/>
        <w:numPr>
          <w:ilvl w:val="5"/>
          <w:numId w:val="1"/>
        </w:numPr>
        <w:rPr/>
      </w:pPr>
      <w:bookmarkStart w:id="1346" w:name="__RefHeading___Toc3300628_1468164448"/>
      <w:bookmarkStart w:id="1347" w:name="_Toc535"/>
      <w:bookmarkEnd w:id="1346"/>
      <w:r>
        <w:rPr>
          <w:rtl w:val="true"/>
        </w:rPr>
        <w:t>الإشکال الأول</w:t>
      </w:r>
      <w:r>
        <w:rPr>
          <w:rtl w:val="true"/>
        </w:rPr>
        <w:t xml:space="preserve">: </w:t>
      </w:r>
      <w:r>
        <w:rPr>
          <w:rtl w:val="true"/>
        </w:rPr>
        <w:t>المناقشة فی معنی لعلّ‌</w:t>
      </w:r>
      <w:bookmarkEnd w:id="1347"/>
    </w:p>
    <w:p>
      <w:pPr>
        <w:pStyle w:val="BookText"/>
        <w:rPr/>
      </w:pPr>
      <w:r>
        <w:rPr>
          <w:rFonts w:ascii="IRNazanin" w:hAnsi="IRNazanin" w:eastAsia="IRNazanin"/>
          <w:color w:val="111111"/>
          <w:sz w:val="28"/>
          <w:sz w:val="28"/>
          <w:szCs w:val="28"/>
          <w:rtl w:val="true"/>
          <w:lang w:bidi="fa-IR"/>
        </w:rPr>
        <w:t xml:space="preserve">ذکره المحقّق العراقی والمحقّق الإصفهانی تبعاً للجوهری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یستهدف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أداة وضعت للترجی بوجوده الإنشائی، سواء کان بداعی وجوده الحقیقی التکوینی أم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 توضع فقط للترجی، وإنما تستعمل أیضاً فی الشک والإحتمال والإمکان، ومع 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تتعین دلالتها علی الترجی بداعی الطلب</w:t>
      </w:r>
      <w:r>
        <w:rPr>
          <w:rFonts w:eastAsia="IRNazanin" w:cs="IRNazanin"/>
          <w:color w:val="111111"/>
          <w:sz w:val="28"/>
          <w:szCs w:val="28"/>
          <w:rtl w:val="true"/>
          <w:lang w:bidi="fa-IR"/>
        </w:rPr>
        <w:t>.</w:t>
      </w:r>
    </w:p>
    <w:p>
      <w:pPr>
        <w:pStyle w:val="Heading6"/>
        <w:numPr>
          <w:ilvl w:val="5"/>
          <w:numId w:val="1"/>
        </w:numPr>
        <w:rPr/>
      </w:pPr>
      <w:bookmarkStart w:id="1348" w:name="__RefHeading___Toc3300630_1468164448"/>
      <w:bookmarkStart w:id="1349" w:name="_Toc536"/>
      <w:bookmarkEnd w:id="1348"/>
      <w:r>
        <w:rPr>
          <w:rtl w:val="true"/>
        </w:rPr>
        <w:t>تقییم الإشکال</w:t>
      </w:r>
      <w:bookmarkEnd w:id="134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ما ذکره المشهور من أنها لا تستعمل فی صرف الإحتمال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الخلل المشهود فی المعنی لو استبدلت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المستعملة فی الإحتمال الذی یتعقبه صفة نفسانیة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مما یرغب حصوله أو یشفق من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bookmarkStart w:id="1350" w:name="pg16983_381335"/>
    </w:p>
    <w:p>
      <w:pPr>
        <w:pStyle w:val="BookText"/>
        <w:rPr/>
      </w:pPr>
      <w:bookmarkEnd w:id="1350"/>
      <w:r>
        <w:rPr>
          <w:rFonts w:ascii="IRNazanin" w:hAnsi="IRNazanin" w:eastAsia="IRNazanin"/>
          <w:color w:val="111111"/>
          <w:sz w:val="28"/>
          <w:sz w:val="28"/>
          <w:szCs w:val="28"/>
          <w:rtl w:val="true"/>
          <w:lang w:bidi="fa-IR"/>
        </w:rPr>
        <w:t>ترقب مع رغبة أو خشیة ومن ثمّ تبقی دلالتها علی الوجوب سلیمة من دون إجمال</w:t>
      </w:r>
      <w:r>
        <w:rPr>
          <w:rFonts w:eastAsia="IRNazanin" w:cs="IRNazanin"/>
          <w:color w:val="111111"/>
          <w:sz w:val="28"/>
          <w:szCs w:val="28"/>
          <w:rtl w:val="true"/>
          <w:lang w:bidi="fa-IR"/>
        </w:rPr>
        <w:t>.</w:t>
      </w:r>
    </w:p>
    <w:p>
      <w:pPr>
        <w:pStyle w:val="Heading6"/>
        <w:numPr>
          <w:ilvl w:val="5"/>
          <w:numId w:val="1"/>
        </w:numPr>
        <w:rPr/>
      </w:pPr>
      <w:bookmarkStart w:id="1351" w:name="__RefHeading___Toc3300632_1468164448"/>
      <w:bookmarkStart w:id="1352" w:name="_Toc537"/>
      <w:bookmarkEnd w:id="1351"/>
      <w:r>
        <w:rPr>
          <w:rtl w:val="true"/>
        </w:rPr>
        <w:t>الإشکال الثانی</w:t>
      </w:r>
      <w:r>
        <w:rPr>
          <w:rtl w:val="true"/>
        </w:rPr>
        <w:t xml:space="preserve">: </w:t>
      </w:r>
      <w:r>
        <w:rPr>
          <w:rtl w:val="true"/>
        </w:rPr>
        <w:t>کیفیة ترتب الحذر علی الإنذار</w:t>
      </w:r>
      <w:bookmarkEnd w:id="1352"/>
    </w:p>
    <w:p>
      <w:pPr>
        <w:pStyle w:val="BookText"/>
        <w:rPr/>
      </w:pPr>
      <w:r>
        <w:rPr>
          <w:rFonts w:ascii="IRNazanin" w:hAnsi="IRNazanin" w:eastAsia="IRNazanin"/>
          <w:color w:val="111111"/>
          <w:sz w:val="28"/>
          <w:sz w:val="28"/>
          <w:szCs w:val="28"/>
          <w:rtl w:val="true"/>
          <w:lang w:bidi="fa-IR"/>
        </w:rPr>
        <w:t xml:space="preserve">بعد التسلیم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الطلب إلاّ أنّ هناک إجمالاً فی الترتب بین الحذر والإنذار فهل هو ترتب استغراقی علی کلّ إنذار 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مقیداً لحجّیة 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ترتب مجموعی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یجب الحذر علی مجموع الإنذارات وتحدیداً حالة حصول العلم منها، بمعنی أنّ الإنذارات وسیلة لتأمین العلم للمکلّفین، لا أنّ کلاًّ منها بدیل شرعی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التردید نشأ من أنّ الإنذار الواجب إن کان هو الفتیا والروایة فالترتب استغراقی، و إن کان الواجب هو نشر الدین وإشاعته وإذاعته وإبقاؤه بدرجة العلم ولو فی وسط محدود فالترتب مجموعی</w:t>
      </w:r>
      <w:r>
        <w:rPr>
          <w:rFonts w:eastAsia="IRNazanin" w:cs="IRNazanin"/>
          <w:color w:val="111111"/>
          <w:sz w:val="28"/>
          <w:szCs w:val="28"/>
          <w:rtl w:val="true"/>
          <w:lang w:bidi="fa-IR"/>
        </w:rPr>
        <w:t>.</w:t>
      </w:r>
    </w:p>
    <w:p>
      <w:pPr>
        <w:pStyle w:val="Heading6"/>
        <w:numPr>
          <w:ilvl w:val="5"/>
          <w:numId w:val="1"/>
        </w:numPr>
        <w:rPr/>
      </w:pPr>
      <w:bookmarkStart w:id="1353" w:name="__RefHeading___Toc3300634_1468164448"/>
      <w:bookmarkStart w:id="1354" w:name="_Toc538"/>
      <w:bookmarkEnd w:id="1353"/>
      <w:r>
        <w:rPr>
          <w:rtl w:val="true"/>
        </w:rPr>
        <w:t>تقییم الإشکال</w:t>
      </w:r>
      <w:bookmarkEnd w:id="1354"/>
    </w:p>
    <w:p>
      <w:pPr>
        <w:pStyle w:val="BookText"/>
        <w:rPr/>
      </w:pPr>
      <w:r>
        <w:rPr>
          <w:rFonts w:ascii="IRNazanin" w:hAnsi="IRNazanin" w:eastAsia="IRNazanin"/>
          <w:color w:val="111111"/>
          <w:sz w:val="28"/>
          <w:sz w:val="28"/>
          <w:szCs w:val="28"/>
          <w:rtl w:val="true"/>
          <w:lang w:bidi="fa-IR"/>
        </w:rPr>
        <w:t>وهذا الإشکال وجیه کتساؤل لابدّ من إثارته فی کلّ دلیل لتحدید مفاده، وأنّه لأیّ الواجبات 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الآیة لا إجمال لما جاء فی ثنایا کلمات الأعلام من أنّ الإنذار یصدق فی مورد جهل المنذر فیکون من باب الایقاظ، وأمّا مع علم المنذر فلا یسمی إنذاراً وإنما هو تذکیر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ویلاحظ ذلک بوضوح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w:t>
      </w:r>
      <w:r>
        <w:rPr>
          <w:rStyle w:val="FootnoteAnchor"/>
          <w:rtl w:val="true"/>
        </w:rPr>
        <w:footnoteReference w:id="18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لا ینسجم إلاّ مع کون الإنذار الواجب هو الفتوی أو الروایة، و حینئذ سیکون الترتب استغراقیاً، فدالاً علی الحجّیة، أمّا مع فرض أنّ الواجب هو نشر الدین وإبقاء الحالة العلمیة له فی وسط الأمة، فلا ینسجم مع الانذار، وإنما مع التذکیر کی لا یندرس</w:t>
      </w:r>
      <w:bookmarkStart w:id="1355" w:name="pg16983_381337"/>
    </w:p>
    <w:p>
      <w:pPr>
        <w:pStyle w:val="BookText"/>
        <w:rPr/>
      </w:pPr>
      <w:bookmarkEnd w:id="1355"/>
      <w:r>
        <w:rPr>
          <w:rFonts w:ascii="IRNazanin" w:hAnsi="IRNazanin" w:eastAsia="IRNazanin"/>
          <w:color w:val="111111"/>
          <w:sz w:val="28"/>
          <w:sz w:val="28"/>
          <w:szCs w:val="28"/>
          <w:rtl w:val="true"/>
          <w:lang w:bidi="fa-IR"/>
        </w:rPr>
        <w:t>ولا ینسی</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6" w:name="__RefHeading___Toc3300636_1468164448"/>
      <w:bookmarkStart w:id="1357" w:name="_Toc539"/>
      <w:bookmarkEnd w:id="1356"/>
      <w:r>
        <w:rPr>
          <w:rtl w:val="true"/>
        </w:rPr>
        <w:t>الإشکال الثالث</w:t>
      </w:r>
      <w:r>
        <w:rPr>
          <w:rtl w:val="true"/>
        </w:rPr>
        <w:t xml:space="preserve">: </w:t>
      </w:r>
      <w:r>
        <w:rPr>
          <w:rtl w:val="true"/>
        </w:rPr>
        <w:t>لابدّ من علم المنذر</w:t>
      </w:r>
      <w:bookmarkEnd w:id="1357"/>
    </w:p>
    <w:p>
      <w:pPr>
        <w:pStyle w:val="BookText"/>
        <w:rPr/>
      </w:pPr>
      <w:r>
        <w:rPr>
          <w:rFonts w:ascii="IRNazanin" w:hAnsi="IRNazanin" w:eastAsia="IRNazanin"/>
          <w:color w:val="111111"/>
          <w:sz w:val="28"/>
          <w:sz w:val="28"/>
          <w:szCs w:val="28"/>
          <w:rtl w:val="true"/>
          <w:lang w:bidi="fa-IR"/>
        </w:rPr>
        <w:t>إنّ المنذر به لابدّ أن یکون واقعاً وحقیقة کی یکون للإنذار معنی، ومن ثمّ لابدّ من علم المنذر کی یحرز الواقع، فیکون الإنذار إنذاراً فیحذر، فلا تدلّ علی الحجّیة</w:t>
      </w:r>
      <w:r>
        <w:rPr>
          <w:rFonts w:eastAsia="IRNazanin" w:cs="IRNazanin"/>
          <w:color w:val="111111"/>
          <w:sz w:val="28"/>
          <w:szCs w:val="28"/>
          <w:rtl w:val="true"/>
          <w:lang w:bidi="fa-IR"/>
        </w:rPr>
        <w:t>.</w:t>
      </w:r>
    </w:p>
    <w:p>
      <w:pPr>
        <w:pStyle w:val="Heading6"/>
        <w:numPr>
          <w:ilvl w:val="5"/>
          <w:numId w:val="1"/>
        </w:numPr>
        <w:rPr/>
      </w:pPr>
      <w:bookmarkStart w:id="1358" w:name="__RefHeading___Toc3300638_1468164448"/>
      <w:bookmarkStart w:id="1359" w:name="_Toc540"/>
      <w:bookmarkEnd w:id="1358"/>
      <w:r>
        <w:rPr>
          <w:rtl w:val="true"/>
        </w:rPr>
        <w:t>تقییم الإشکال</w:t>
      </w:r>
      <w:bookmarkEnd w:id="1359"/>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تحقّق الإنذار کون القائل ممن یعتدّ به، وإن لم یعلَم المنذَر بالواقع وإنما احتمله احتمالاً معتداً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أنّ الجواب هذا تقریب آخر لدلالة الآیة علی الحجّیة، لأنها أطلقت الإنذار علی قول المتفقه، ممّا یدلّ علی أنه ممّن یعتدّ بهم، فقوله حجّة وإلاّ لم یکن إنذاراً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الإنذار وصف الأنبیاء، فجعْلُه وصفاً للفقهاء تشریف لهم وتعبیر عن علوّ مکانتهم</w:t>
      </w:r>
      <w:r>
        <w:rPr>
          <w:rFonts w:eastAsia="IRNazanin" w:cs="IRNazanin"/>
          <w:color w:val="111111"/>
          <w:sz w:val="28"/>
          <w:szCs w:val="28"/>
          <w:rtl w:val="true"/>
          <w:lang w:bidi="fa-IR"/>
        </w:rPr>
        <w:t>.</w:t>
      </w:r>
    </w:p>
    <w:p>
      <w:pPr>
        <w:pStyle w:val="Heading6"/>
        <w:numPr>
          <w:ilvl w:val="5"/>
          <w:numId w:val="1"/>
        </w:numPr>
        <w:rPr/>
      </w:pPr>
      <w:bookmarkStart w:id="1360" w:name="__RefHeading___Toc3300640_1468164448"/>
      <w:bookmarkStart w:id="1361" w:name="_Toc541"/>
      <w:bookmarkEnd w:id="1360"/>
      <w:r>
        <w:rPr>
          <w:rtl w:val="true"/>
        </w:rPr>
        <w:t>الإشکال الرابع</w:t>
      </w:r>
      <w:r>
        <w:rPr>
          <w:rtl w:val="true"/>
        </w:rPr>
        <w:t xml:space="preserve">: </w:t>
      </w:r>
      <w:r>
        <w:rPr>
          <w:rtl w:val="true"/>
        </w:rPr>
        <w:t>عدم صدق الإنذار علی الروایة</w:t>
      </w:r>
      <w:bookmarkEnd w:id="136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الإنذار لا یصدق علی روایة الراوی، لما ذکرناه فی بحث</w:t>
      </w:r>
      <w:bookmarkStart w:id="1362" w:name="pg16983_381339"/>
    </w:p>
    <w:p>
      <w:pPr>
        <w:pStyle w:val="BookText"/>
        <w:rPr/>
      </w:pPr>
      <w:bookmarkEnd w:id="1362"/>
      <w:r>
        <w:rPr>
          <w:rFonts w:ascii="IRNazanin" w:hAnsi="IRNazanin" w:eastAsia="IRNazanin"/>
          <w:color w:val="111111"/>
          <w:sz w:val="28"/>
          <w:sz w:val="28"/>
          <w:szCs w:val="28"/>
          <w:rtl w:val="true"/>
          <w:lang w:bidi="fa-IR"/>
        </w:rPr>
        <w:t>القطع من عدم حجّیة الروایة علی العامی، أو حجّیتها فی حقّه ولکن لعجزه ینوب الفقیه منابه، فی حین أنّ الإنذار عام ممّا یدلّ أنه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الآخوند عن هذا الإشکال بجواب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للخلط الموجود فیه بین التذکیر والتنجیز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مهمة الواعظ والراوی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سنؤجل الإجابة الحقة لحین، فانتظر</w:t>
      </w:r>
      <w:r>
        <w:rPr>
          <w:rFonts w:eastAsia="IRNazanin" w:cs="IRNazanin"/>
          <w:color w:val="111111"/>
          <w:sz w:val="28"/>
          <w:szCs w:val="28"/>
          <w:rtl w:val="true"/>
          <w:lang w:bidi="fa-IR"/>
        </w:rPr>
        <w:t>.</w:t>
      </w:r>
    </w:p>
    <w:p>
      <w:pPr>
        <w:pStyle w:val="Heading6"/>
        <w:numPr>
          <w:ilvl w:val="5"/>
          <w:numId w:val="1"/>
        </w:numPr>
        <w:rPr/>
      </w:pPr>
      <w:bookmarkStart w:id="1363" w:name="__RefHeading___Toc3300642_1468164448"/>
      <w:bookmarkStart w:id="1364" w:name="_Toc542"/>
      <w:bookmarkEnd w:id="1363"/>
      <w:r>
        <w:rPr>
          <w:rtl w:val="true"/>
        </w:rPr>
        <w:t>الإشکال الخامس</w:t>
      </w:r>
      <w:r>
        <w:rPr>
          <w:rtl w:val="true"/>
        </w:rPr>
        <w:t xml:space="preserve">: </w:t>
      </w:r>
      <w:r>
        <w:rPr>
          <w:rtl w:val="true"/>
        </w:rPr>
        <w:t>الآیة تثبت حجّیة الفتوی لا الروایة</w:t>
      </w:r>
      <w:bookmarkEnd w:id="1364"/>
    </w:p>
    <w:p>
      <w:pPr>
        <w:pStyle w:val="BookText"/>
        <w:rPr/>
      </w:pPr>
      <w:r>
        <w:rPr>
          <w:rFonts w:ascii="IRNazanin" w:hAnsi="IRNazanin" w:eastAsia="IRNazanin"/>
          <w:color w:val="111111"/>
          <w:sz w:val="28"/>
          <w:sz w:val="28"/>
          <w:szCs w:val="28"/>
          <w:rtl w:val="true"/>
          <w:lang w:bidi="fa-IR"/>
        </w:rPr>
        <w:t>قد ورد فی الآیة التفقه، والفقه بمعنی الفهم، فالإنذار یکون بما فُهِم لا بما سمع وحفظ، فالآیة تثبت حجّیة الفتوی لا الروایة</w:t>
      </w:r>
      <w:r>
        <w:rPr>
          <w:rFonts w:eastAsia="IRNazanin" w:cs="IRNazanin"/>
          <w:color w:val="111111"/>
          <w:sz w:val="28"/>
          <w:szCs w:val="28"/>
          <w:rtl w:val="true"/>
          <w:lang w:bidi="fa-IR"/>
        </w:rPr>
        <w:t>.</w:t>
      </w:r>
    </w:p>
    <w:p>
      <w:pPr>
        <w:pStyle w:val="Heading6"/>
        <w:numPr>
          <w:ilvl w:val="5"/>
          <w:numId w:val="1"/>
        </w:numPr>
        <w:rPr/>
      </w:pPr>
      <w:bookmarkStart w:id="1365" w:name="__RefHeading___Toc3300644_1468164448"/>
      <w:bookmarkStart w:id="1366" w:name="_Toc543"/>
      <w:bookmarkEnd w:id="1365"/>
      <w:r>
        <w:rPr>
          <w:rtl w:val="true"/>
        </w:rPr>
        <w:t>لا فرق بین الفتوی والروایة فی زمن النص</w:t>
      </w:r>
      <w:bookmarkEnd w:id="1366"/>
    </w:p>
    <w:p>
      <w:pPr>
        <w:pStyle w:val="BookText"/>
        <w:rPr/>
      </w:pPr>
      <w:r>
        <w:rPr>
          <w:rFonts w:ascii="IRNazanin" w:hAnsi="IRNazanin" w:eastAsia="IRNazanin"/>
          <w:color w:val="111111"/>
          <w:sz w:val="28"/>
          <w:sz w:val="28"/>
          <w:szCs w:val="28"/>
          <w:rtl w:val="true"/>
          <w:lang w:bidi="fa-IR"/>
        </w:rPr>
        <w:t>وقد أجاب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التفقه فی زمن النص لم یکن بالإتساع والتعقید الموجود الیوم، فلم یکن الإفتاء یحتاج إلاّ لفهمٍ مسوّغ للنقل بالمعنی، ومن ثمّ کانت أجوبة الإستفتاءات بنصوص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وإن ذکرت التفقه إلاّ أنه مع الروایة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فحجّیته تعنی حجّیة الروایة، ومن ثمّ یفهم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مَنْ کان منکم قد روی حدیثَنا ونَظَرَ فی حلالِنا وحرامِنا وعَرَفَ أحکامَنا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عندما نطالع التأریخ وسیرة الرواة ونمارس الروایات نجد عشرات الشواهد تؤکد أنّ الأمر لیس کما ذکر فی الجواب،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تدریه خیر من ألف حدیث</w:t>
      </w:r>
      <w:bookmarkStart w:id="1367" w:name="pg16983_381341"/>
    </w:p>
    <w:p>
      <w:pPr>
        <w:pStyle w:val="BookText"/>
        <w:rPr/>
      </w:pPr>
      <w:bookmarkEnd w:id="1367"/>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النَّاسِ علی قَدْرِ رِوَایَتِهِمْ عَنَّا</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إلی مَن هو أفقه منه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وغیرها الدالّة علی أنّ الروایة لیست عین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من خلال النظر فی أسئلة الرواة وتشقیقاتهم نلحظ التفاوت بینهم، ولیس هو إلاّ فی الفهم والفقه لا فی الروایة، وظاهر الإحتجاجات ظاهرة فقهیة لا روائیة، وانتقاء المحدّث لحدیث دون غیره فی مقام الإجابة علی سؤال نوع من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وسؤال البعض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یفهم هذا من کتاب اللّه؟ دلیل أنّ الفقه آنذاک غیر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یعرف خطأ ما اشتهر بین المتأخرین من عدم وجود سیرة علی الرجوع إلی المجتهد فی زمن النص لتطابق الإجتهاد والروایة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الحق ما سنذکره بعد إن شاء اللّه</w:t>
      </w:r>
      <w:r>
        <w:rPr>
          <w:rFonts w:eastAsia="IRNazanin" w:cs="IRNazanin"/>
          <w:color w:val="111111"/>
          <w:sz w:val="28"/>
          <w:szCs w:val="28"/>
          <w:rtl w:val="true"/>
          <w:lang w:bidi="fa-IR"/>
        </w:rPr>
        <w:t>.</w:t>
      </w:r>
    </w:p>
    <w:p>
      <w:pPr>
        <w:pStyle w:val="Heading6"/>
        <w:numPr>
          <w:ilvl w:val="5"/>
          <w:numId w:val="1"/>
        </w:numPr>
        <w:rPr/>
      </w:pPr>
      <w:bookmarkStart w:id="1368" w:name="__RefHeading___Toc3300646_1468164448"/>
      <w:bookmarkStart w:id="1369" w:name="_Toc544"/>
      <w:bookmarkEnd w:id="1368"/>
      <w:r>
        <w:rPr>
          <w:rtl w:val="true"/>
        </w:rPr>
        <w:t>الإشکال السادس</w:t>
      </w:r>
      <w:r>
        <w:rPr>
          <w:rtl w:val="true"/>
        </w:rPr>
        <w:t xml:space="preserve">: </w:t>
      </w:r>
      <w:r>
        <w:rPr>
          <w:rtl w:val="true"/>
        </w:rPr>
        <w:t>عدم حجّیة الظن فی الأصول</w:t>
      </w:r>
      <w:bookmarkEnd w:id="1369"/>
    </w:p>
    <w:p>
      <w:pPr>
        <w:pStyle w:val="BookText"/>
        <w:rPr/>
      </w:pPr>
      <w:r>
        <w:rPr>
          <w:rFonts w:ascii="IRNazanin" w:hAnsi="IRNazanin" w:eastAsia="IRNazanin"/>
          <w:color w:val="111111"/>
          <w:sz w:val="28"/>
          <w:sz w:val="28"/>
          <w:szCs w:val="28"/>
          <w:rtl w:val="true"/>
          <w:lang w:bidi="fa-IR"/>
        </w:rPr>
        <w:t>إنّ التفقه تعلّق بالدین، والدین أصول وفروع، وفی الأصول لا یتحمل الفقیه روایة، وإنما جزم ویقین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فإبلاغه وإعلامه الآخرین لابدّ أن یکون کذلک، ممّا یکشف أنّ الآیة لیست بصدد جعل الحجّیة الظنیة</w:t>
      </w:r>
      <w:r>
        <w:rPr>
          <w:rFonts w:eastAsia="IRNazanin" w:cs="IRNazanin"/>
          <w:color w:val="111111"/>
          <w:sz w:val="28"/>
          <w:szCs w:val="28"/>
          <w:rtl w:val="true"/>
          <w:lang w:bidi="fa-IR"/>
        </w:rPr>
        <w:t>.</w:t>
      </w:r>
      <w:r>
        <w:rPr>
          <w:rStyle w:val="FootnoteAnchor"/>
          <w:rtl w:val="true"/>
        </w:rPr>
        <w:footnoteReference w:id="19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ذلک ما ورد فی الحدیث فی ذیل الآیة أنّ من مواردها</w:t>
      </w:r>
      <w:bookmarkStart w:id="1370" w:name="pg16983_381344"/>
    </w:p>
    <w:p>
      <w:pPr>
        <w:pStyle w:val="BookText"/>
        <w:rPr/>
      </w:pPr>
      <w:bookmarkEnd w:id="1370"/>
      <w:r>
        <w:rPr>
          <w:rFonts w:ascii="IRNazanin" w:hAnsi="IRNazanin" w:eastAsia="IRNazanin"/>
          <w:color w:val="111111"/>
          <w:sz w:val="28"/>
          <w:sz w:val="28"/>
          <w:szCs w:val="28"/>
          <w:rtl w:val="true"/>
          <w:lang w:bidi="fa-IR"/>
        </w:rPr>
        <w:t>أصول الدین، حیث ذکرت أنّ حکمة التفقه هی معرفة الإمام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وهذا الإشکال لا یخص آیة النفر وإنما یتأتی فی آیات وروایات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مجمل الإشکالات التی تواجه دلالة الآیة علی حجّیة خبر الواحد، وقد لاحظنا أنّ بعضها لا یخص الآیة، وقد تمت الإجابة عن بعضها، وترکنا جواب الباقی إلی عرض المختار</w:t>
      </w:r>
      <w:r>
        <w:rPr>
          <w:rFonts w:eastAsia="IRNazanin" w:cs="IRNazanin"/>
          <w:color w:val="111111"/>
          <w:sz w:val="28"/>
          <w:szCs w:val="28"/>
          <w:rtl w:val="true"/>
          <w:lang w:bidi="fa-IR"/>
        </w:rPr>
        <w:t>.</w:t>
      </w:r>
    </w:p>
    <w:p>
      <w:pPr>
        <w:pStyle w:val="Heading6"/>
        <w:numPr>
          <w:ilvl w:val="5"/>
          <w:numId w:val="1"/>
        </w:numPr>
        <w:rPr/>
      </w:pPr>
      <w:bookmarkStart w:id="1371" w:name="__RefHeading___Toc3300648_1468164448"/>
      <w:bookmarkStart w:id="1372" w:name="_Toc545"/>
      <w:bookmarkEnd w:id="1371"/>
      <w:r>
        <w:rPr>
          <w:rtl w:val="true"/>
        </w:rPr>
        <w:t>المختار فی تقریب الإستدلال وحلّ المناقشات</w:t>
      </w:r>
      <w:bookmarkEnd w:id="1372"/>
    </w:p>
    <w:p>
      <w:pPr>
        <w:pStyle w:val="BookText"/>
        <w:rPr/>
      </w:pPr>
      <w:r>
        <w:rPr>
          <w:rFonts w:ascii="IRNazanin" w:hAnsi="IRNazanin" w:eastAsia="IRNazanin"/>
          <w:color w:val="111111"/>
          <w:sz w:val="28"/>
          <w:sz w:val="28"/>
          <w:szCs w:val="28"/>
          <w:rtl w:val="true"/>
          <w:lang w:bidi="fa-IR"/>
        </w:rPr>
        <w:t xml:space="preserve">لابدّ من الإجابة عن هذا السؤال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کمقدّمة لحلّ الإشکالات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تحدید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الفتوی والروایة والوعظ والنشر وغیرها، هل یمکن أن تجتمع فی جعل واحد ولسان واحد أو لا؟</w:t>
      </w:r>
    </w:p>
    <w:p>
      <w:pPr>
        <w:pStyle w:val="BookText"/>
        <w:rPr/>
      </w:pPr>
      <w:r>
        <w:rPr>
          <w:rFonts w:ascii="IRNazanin" w:hAnsi="IRNazanin" w:eastAsia="IRNazanin"/>
          <w:color w:val="111111"/>
          <w:sz w:val="28"/>
          <w:sz w:val="28"/>
          <w:szCs w:val="28"/>
          <w:rtl w:val="true"/>
          <w:lang w:bidi="fa-IR"/>
        </w:rPr>
        <w:t>وهذا السؤال یواجهنا فی حالات کثیرة ومتنوعة ولا یخص ما نحن فیه، فضلاً عن اختصاصه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الحکمیة مسألة أصولیة وفی الشبهة الموضوعیة قاعدة فقهیة، وسنخ الحکم الأصولی مختلف عن سنخ الحکم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ذکره النراقی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قواعد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الواقعیة والظاهریة والإستصحاب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ذکره الآخوند فإنّ مفاد الحدیث حکم ظاهری، بالإضافة إلی توسعة موضوع الحکم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أنّ هناک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هناک جعل عام تنضوی تحته الجعول المتعددة، ومثل هذا مشروط بإثبات مثل هذا الجعل العام مع عدم تباین الجعول الخاصة کی یمکن أن تلتقی فی القاسم المشترک وهو الجعل العام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الجعول متعددة فی کلام واحد، وهذا أیسر من</w:t>
      </w:r>
      <w:bookmarkStart w:id="1373" w:name="pg16983_381345"/>
    </w:p>
    <w:p>
      <w:pPr>
        <w:pStyle w:val="BookText"/>
        <w:rPr/>
      </w:pPr>
      <w:bookmarkEnd w:id="1373"/>
      <w:r>
        <w:rPr>
          <w:rFonts w:ascii="IRNazanin" w:hAnsi="IRNazanin" w:eastAsia="IRNazanin"/>
          <w:color w:val="111111"/>
          <w:sz w:val="28"/>
          <w:sz w:val="28"/>
          <w:szCs w:val="28"/>
          <w:rtl w:val="true"/>
          <w:lang w:bidi="fa-IR"/>
        </w:rPr>
        <w:t>سابقه لإمکان توفّر الکلام الواحد علی إنشاءات متعددة باستعمالات متعددة، کأن یکون صدر الجملة إنشاءً وذیلها کذلک، أو یکون مطابقها إنشاء والتزامها إنشاءً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کلّه یتمحور فی الطریق الأول، خاصة أنه لم یبلور فی کلمات الأعلام، فنقول</w:t>
      </w:r>
      <w:r>
        <w:rPr>
          <w:rFonts w:eastAsia="IRNazanin" w:cs="IRNazanin"/>
          <w:color w:val="111111"/>
          <w:sz w:val="28"/>
          <w:szCs w:val="28"/>
          <w:rtl w:val="true"/>
          <w:lang w:bidi="fa-IR"/>
        </w:rPr>
        <w:t>:</w:t>
      </w:r>
    </w:p>
    <w:p>
      <w:pPr>
        <w:pStyle w:val="Heading6"/>
        <w:numPr>
          <w:ilvl w:val="5"/>
          <w:numId w:val="1"/>
        </w:numPr>
        <w:rPr/>
      </w:pPr>
      <w:bookmarkStart w:id="1374" w:name="__RefHeading___Toc3300650_1468164448"/>
      <w:bookmarkStart w:id="1375" w:name="_Toc546"/>
      <w:bookmarkEnd w:id="1374"/>
      <w:r>
        <w:rPr>
          <w:rtl w:val="true"/>
        </w:rPr>
        <w:t>استفادة الإمضاء من الکلّی الفوقانی</w:t>
      </w:r>
      <w:bookmarkEnd w:id="1375"/>
    </w:p>
    <w:p>
      <w:pPr>
        <w:pStyle w:val="BookText"/>
        <w:rPr/>
      </w:pPr>
      <w:r>
        <w:rPr>
          <w:rFonts w:ascii="IRNazanin" w:hAnsi="IRNazanin" w:eastAsia="IRNazanin"/>
          <w:color w:val="111111"/>
          <w:sz w:val="28"/>
          <w:sz w:val="28"/>
          <w:szCs w:val="28"/>
          <w:rtl w:val="true"/>
          <w:lang w:bidi="fa-IR"/>
        </w:rPr>
        <w:t xml:space="preserve">ذکرنا سابقاً أنه قد یکون هناک جعل عقلائی فوقانی ممضی یحتاج فی تنزّله إلی جعول حیث لا ینحلّ قهراً، فإذا وجدت جعول عقلائیة فی الکلّیات النازلة أمکن الإستفادة من إمضاء کلّیها فی إمضائها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کانت سیراً متجددة غیر معاصرة للمعصوم، فضلاً عما لو کانت السیر السائدة فی عهد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فاستفادة إمضائها من العموم الفوقانی أولی من دون حاجة إلی أن ینزّل الشارع جعله الفوقانی بجعول متعددة خاصة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لتفشی السیر المذکورة فروعها یحتاج إلی تکثیف، فکیف وهناک عموم شرعی شامل لها فإنه یفید الإمضاء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سیرة علی متابعة خبر الثقة، فمع جعل الشارع عموماً فوقانیاً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نشر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إمضاءً للسیرة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آیة النفر فی صدد هذا الجعل الکلّی الفوقانی فستکون إمضاءً لسیرة العقلاء فی متابعة الخبر</w:t>
      </w:r>
      <w:r>
        <w:rPr>
          <w:rFonts w:eastAsia="IRNazanin" w:cs="IRNazanin"/>
          <w:color w:val="111111"/>
          <w:sz w:val="28"/>
          <w:szCs w:val="28"/>
          <w:rtl w:val="true"/>
          <w:lang w:bidi="fa-IR"/>
        </w:rPr>
        <w:t>.</w:t>
      </w:r>
    </w:p>
    <w:p>
      <w:pPr>
        <w:pStyle w:val="Heading6"/>
        <w:numPr>
          <w:ilvl w:val="5"/>
          <w:numId w:val="1"/>
        </w:numPr>
        <w:rPr/>
      </w:pPr>
      <w:bookmarkStart w:id="1376" w:name="__RefHeading___Toc3300652_1468164448"/>
      <w:bookmarkStart w:id="1377" w:name="_Toc547"/>
      <w:bookmarkEnd w:id="1376"/>
      <w:r>
        <w:rPr>
          <w:rtl w:val="true"/>
        </w:rPr>
        <w:t>الإستدلال بالأولویة فی آیة النفر</w:t>
      </w:r>
      <w:bookmarkEnd w:id="137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تقریب آخر ینفع فی استفادة الحجّیة لخبر الواحد من الآیة وهی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سابقاً أنّ مشهور الفقهاء قد استفاد للترجیح فی باب الروایة والفتوی، بالمرجحات المذکورة من روایة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بیان مرجّحات الحکم القضائی عند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لهذه الخطوة تقریب سوی أنّ حجّیة الفتوی متقدّمة رتبة</w:t>
      </w:r>
      <w:bookmarkStart w:id="1378" w:name="pg16983_381347"/>
    </w:p>
    <w:p>
      <w:pPr>
        <w:pStyle w:val="BookText"/>
        <w:rPr/>
      </w:pPr>
      <w:bookmarkEnd w:id="1378"/>
      <w:r>
        <w:rPr>
          <w:rFonts w:ascii="IRNazanin" w:hAnsi="IRNazanin" w:eastAsia="IRNazanin"/>
          <w:color w:val="111111"/>
          <w:sz w:val="28"/>
          <w:sz w:val="28"/>
          <w:szCs w:val="28"/>
          <w:rtl w:val="true"/>
          <w:lang w:bidi="fa-IR"/>
        </w:rPr>
        <w:t>علی حجّیة الحکم، فما یأتی من إمضاء أو دلیل علی حجّیة حکم القاضی یدلّ بدلالة الإقتضاء علی حجّیة فتواه، کذلک ما یرد فی مقام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کالفتوی فی تقدّمها رتبة علی الحکم، بل هی متقدّمة رتبة حتی علی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حتی لو کانت آیة النفر فی صدد جعل الحجّیة للفتوی، فهی تدلّ بدلالة الإقتضاء علی حجّیة الروایة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نرجع إلی معالجة الإشکالات المتقدّمة</w:t>
      </w:r>
      <w:r>
        <w:rPr>
          <w:rFonts w:eastAsia="IRNazanin" w:cs="IRNazanin"/>
          <w:color w:val="111111"/>
          <w:sz w:val="28"/>
          <w:szCs w:val="28"/>
          <w:rtl w:val="true"/>
          <w:lang w:bidi="fa-IR"/>
        </w:rPr>
        <w:t>.</w:t>
      </w:r>
    </w:p>
    <w:p>
      <w:pPr>
        <w:pStyle w:val="Heading6"/>
        <w:numPr>
          <w:ilvl w:val="5"/>
          <w:numId w:val="1"/>
        </w:numPr>
        <w:rPr/>
      </w:pPr>
      <w:bookmarkStart w:id="1379" w:name="__RefHeading___Toc3300654_1468164448"/>
      <w:bookmarkStart w:id="1380" w:name="_Toc548"/>
      <w:bookmarkEnd w:id="1379"/>
      <w:r>
        <w:rPr>
          <w:rtl w:val="true"/>
        </w:rPr>
        <w:t>جواب الإشکال الرابع</w:t>
      </w:r>
      <w:bookmarkEnd w:id="1380"/>
    </w:p>
    <w:p>
      <w:pPr>
        <w:pStyle w:val="BookText"/>
        <w:rPr/>
      </w:pPr>
      <w:r>
        <w:rPr>
          <w:rFonts w:ascii="IRNazanin" w:hAnsi="IRNazanin" w:eastAsia="IRNazanin"/>
          <w:color w:val="111111"/>
          <w:sz w:val="28"/>
          <w:sz w:val="28"/>
          <w:szCs w:val="28"/>
          <w:rtl w:val="true"/>
          <w:lang w:bidi="fa-IR"/>
        </w:rPr>
        <w:t>إنّ مضمون الروایات یستبطن الإنذار، سواء کان بیان العقوبة الأخرویة أم الحکم الإلزامی، فإنّ الإلزامیة تدلّ علی ترتب العقوبة علی المخالفة وهو 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بشکل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فیها إنذار للمجتهد؛ لأنها حجّة من الحجج وإن لم تکن نهائیة، إلاّ أنّ فیها تنجیزاً وتعذیراً</w:t>
      </w:r>
      <w:r>
        <w:rPr>
          <w:rFonts w:eastAsia="IRNazanin" w:cs="IRNazanin"/>
          <w:color w:val="111111"/>
          <w:sz w:val="28"/>
          <w:szCs w:val="28"/>
          <w:rtl w:val="true"/>
          <w:lang w:bidi="fa-IR"/>
        </w:rPr>
        <w:t>.</w:t>
      </w:r>
    </w:p>
    <w:p>
      <w:pPr>
        <w:pStyle w:val="Heading6"/>
        <w:numPr>
          <w:ilvl w:val="5"/>
          <w:numId w:val="1"/>
        </w:numPr>
        <w:rPr/>
      </w:pPr>
      <w:bookmarkStart w:id="1381" w:name="__RefHeading___Toc3300656_1468164448"/>
      <w:bookmarkStart w:id="1382" w:name="_Toc549"/>
      <w:bookmarkEnd w:id="1381"/>
      <w:r>
        <w:rPr>
          <w:rtl w:val="true"/>
        </w:rPr>
        <w:t>جواب الإشکال الخامس</w:t>
      </w:r>
      <w:bookmarkEnd w:id="13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الإشکال متأثر من الإصطلاح السائد فی الفقه مع أنّ حقیقته لیست إلاّ الفهم، غایته أنه ذو عرض 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الروایة وتحملها نوع من حفظ الدین وفهمه، وجهة الفهم وإن کانت غیر جهة السمع ولکن الراوی لیس ببغاء وإنما یحفظ مع إدراک، ومن هنا رُوِیَ أَنَّ رَجُلاً جَاءَ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لِیُعَلِّمَهُ الْقُرْآنَ فَانْتَهَی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یَکْفِینِی هَذَا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الرَّجُلُ وَهُوَ فَقِیهٌ</w:t>
      </w:r>
      <w:r>
        <w:rPr>
          <w:rFonts w:eastAsia="Amiri" w:cs="Amiri" w:ascii="Amiri" w:hAnsi="Amiri"/>
          <w:color w:val="111111"/>
          <w:sz w:val="28"/>
          <w:szCs w:val="28"/>
          <w:rtl w:val="true"/>
          <w:lang w:bidi="ar-SA"/>
        </w:rPr>
        <w:t>.</w:t>
      </w:r>
      <w:r>
        <w:rPr>
          <w:rStyle w:val="FootnoteAnchor"/>
          <w:rtl w:val="true"/>
        </w:rPr>
        <w:footnoteReference w:id="197"/>
      </w:r>
      <w:bookmarkStart w:id="1383" w:name="pg16983_381349"/>
    </w:p>
    <w:p>
      <w:pPr>
        <w:pStyle w:val="BookText"/>
        <w:rPr/>
      </w:pPr>
      <w:bookmarkEnd w:id="1383"/>
      <w:r>
        <w:rPr>
          <w:rFonts w:ascii="IRNazanin" w:hAnsi="IRNazanin" w:eastAsia="IRNazanin"/>
          <w:color w:val="111111"/>
          <w:sz w:val="28"/>
          <w:sz w:val="28"/>
          <w:szCs w:val="28"/>
          <w:rtl w:val="true"/>
          <w:lang w:bidi="fa-IR"/>
        </w:rPr>
        <w:t>فالتفقه شامل لروایة الحدیث علی حدّ شموله للفتوی علی اختلاف المرتبة بینهما</w:t>
      </w:r>
      <w:r>
        <w:rPr>
          <w:rFonts w:eastAsia="IRNazanin" w:cs="IRNazanin"/>
          <w:color w:val="111111"/>
          <w:sz w:val="28"/>
          <w:szCs w:val="28"/>
          <w:rtl w:val="true"/>
          <w:lang w:bidi="fa-IR"/>
        </w:rPr>
        <w:t>.</w:t>
      </w:r>
    </w:p>
    <w:p>
      <w:pPr>
        <w:pStyle w:val="Heading6"/>
        <w:numPr>
          <w:ilvl w:val="5"/>
          <w:numId w:val="1"/>
        </w:numPr>
        <w:rPr/>
      </w:pPr>
      <w:bookmarkStart w:id="1384" w:name="__RefHeading___Toc3300658_1468164448"/>
      <w:bookmarkStart w:id="1385" w:name="_Toc550"/>
      <w:bookmarkEnd w:id="1384"/>
      <w:r>
        <w:rPr>
          <w:rtl w:val="true"/>
        </w:rPr>
        <w:t>جواب الإشکال السادس</w:t>
      </w:r>
      <w:bookmarkEnd w:id="1385"/>
    </w:p>
    <w:p>
      <w:pPr>
        <w:pStyle w:val="BookText"/>
        <w:rPr/>
      </w:pPr>
      <w:r>
        <w:rPr>
          <w:rFonts w:ascii="IRNazanin" w:hAnsi="IRNazanin" w:eastAsia="IRNazanin"/>
          <w:color w:val="111111"/>
          <w:sz w:val="28"/>
          <w:sz w:val="28"/>
          <w:szCs w:val="28"/>
          <w:rtl w:val="true"/>
          <w:lang w:bidi="fa-IR"/>
        </w:rPr>
        <w:t xml:space="preserve">إنّ الآیة المبارکة طبّقت فی الروایات علی موارد ظنیة، وهی نشر الأحکام التی تتعلّم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الفضل بن شاذان فی علّة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مورد نزولها لیس فی أصول الدین فلا معنی لتخصیصها به، بل أصل أصول الدین قطعی لا یحتاج إلی بثّ المتفقه له، حیث لا یکون الإسلام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سنبیّن أنّ الدرجة الإحتمالیة فی الأصول أیضاً منجیة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تفاصیل أصول الدین فما اشتهر من لابدیة کونها قطعیة غیر صحیح کما سنبیّن</w:t>
      </w:r>
      <w:r>
        <w:rPr>
          <w:rFonts w:eastAsia="IRNazanin" w:cs="IRNazanin"/>
          <w:color w:val="111111"/>
          <w:sz w:val="28"/>
          <w:szCs w:val="28"/>
          <w:rtl w:val="true"/>
          <w:lang w:bidi="fa-IR"/>
        </w:rPr>
        <w:t>.</w:t>
      </w:r>
    </w:p>
    <w:p>
      <w:pPr>
        <w:pStyle w:val="Heading6"/>
        <w:numPr>
          <w:ilvl w:val="5"/>
          <w:numId w:val="1"/>
        </w:numPr>
        <w:rPr/>
      </w:pPr>
      <w:bookmarkStart w:id="1386" w:name="__RefHeading___Toc3300660_1468164448"/>
      <w:bookmarkStart w:id="1387" w:name="_Toc551"/>
      <w:bookmarkEnd w:id="1386"/>
      <w:r>
        <w:rPr>
          <w:rtl w:val="true"/>
        </w:rPr>
        <w:t>الجواب عن الجهة المشترکة فی الإشکالات</w:t>
      </w:r>
      <w:bookmarkEnd w:id="13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صعید الأجوبة الخاصة عن کلّ إشکال بمفرده، وأمّا الجهة المشترکة فی بعض الإشکالات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کیف یمکن أن یکون الجعل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أجبنا عنه فی المقدّمة وبینّاه صغرویاً فی ثنایا الإجابات الخاصة حیث عرفت أنّ الفقه مطلق فهم الدین، ابتداءً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فهم مبسّط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وانتهاءً بالفهم المعمّق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بینهما متوسطات، وأنّ هذا الفقه بکلّ درجاته مطلوب، وأنّه بهذا الحجم یجب الإنذار به، وهو لیس إلاّ عبارة عن وجوب نشر الدین</w:t>
      </w:r>
      <w:r>
        <w:rPr>
          <w:rFonts w:eastAsia="IRNazanin" w:cs="IRNazanin"/>
          <w:color w:val="111111"/>
          <w:sz w:val="28"/>
          <w:szCs w:val="28"/>
          <w:rtl w:val="true"/>
          <w:lang w:bidi="fa-IR"/>
        </w:rPr>
        <w:t>.</w:t>
      </w:r>
      <w:r>
        <w:rPr>
          <w:rStyle w:val="FootnoteAnchor"/>
          <w:rtl w:val="true"/>
        </w:rPr>
        <w:footnoteReference w:id="198"/>
      </w:r>
      <w:bookmarkStart w:id="1388" w:name="pg16983_381351"/>
    </w:p>
    <w:p>
      <w:pPr>
        <w:pStyle w:val="BookText"/>
        <w:rPr/>
      </w:pPr>
      <w:bookmarkEnd w:id="1388"/>
      <w:r>
        <w:rPr>
          <w:rFonts w:ascii="IRNazanin" w:hAnsi="IRNazanin" w:eastAsia="IRNazanin"/>
          <w:color w:val="111111"/>
          <w:sz w:val="28"/>
          <w:sz w:val="28"/>
          <w:szCs w:val="28"/>
          <w:rtl w:val="true"/>
          <w:lang w:bidi="fa-IR"/>
        </w:rPr>
        <w:t>وممّا تقدّم اتضح دلالة الآیة وبوضوح علی حجّیة الخبر، وقد کانت تقریبات الحجّیة أربعة، ذکر القوم ثلاثاً منها</w:t>
      </w:r>
      <w:r>
        <w:rPr>
          <w:rFonts w:eastAsia="IRNazanin" w:cs="IRNazanin"/>
          <w:color w:val="111111"/>
          <w:sz w:val="28"/>
          <w:szCs w:val="28"/>
          <w:rtl w:val="true"/>
          <w:lang w:bidi="fa-IR"/>
        </w:rPr>
        <w:t>.</w:t>
      </w:r>
    </w:p>
    <w:p>
      <w:pPr>
        <w:pStyle w:val="Heading6"/>
        <w:numPr>
          <w:ilvl w:val="5"/>
          <w:numId w:val="1"/>
        </w:numPr>
        <w:rPr/>
      </w:pPr>
      <w:bookmarkStart w:id="1389" w:name="__RefHeading___Toc3300662_1468164448"/>
      <w:bookmarkStart w:id="1390" w:name="_Toc552"/>
      <w:bookmarkEnd w:id="1389"/>
      <w:r>
        <w:rPr>
          <w:rtl w:val="true"/>
        </w:rPr>
        <w:t>موضوع الحجّة هو الفهم العام للدین</w:t>
      </w:r>
      <w:bookmarkEnd w:id="1390"/>
    </w:p>
    <w:p>
      <w:pPr>
        <w:pStyle w:val="BookText"/>
        <w:rPr/>
      </w:pPr>
      <w:r>
        <w:rPr>
          <w:rFonts w:ascii="IRNazanin" w:hAnsi="IRNazanin" w:eastAsia="IRNazanin"/>
          <w:color w:val="111111"/>
          <w:sz w:val="28"/>
          <w:sz w:val="28"/>
          <w:szCs w:val="28"/>
          <w:rtl w:val="true"/>
          <w:lang w:bidi="fa-IR"/>
        </w:rPr>
        <w:t xml:space="preserve">وأمّا موضوع الحجّة ومتعلّقها، فإمّا أن یکون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یستلزم حجّیة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یکون الفهم العام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بمفرداته التی منها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وتقریب کون الموضوع هو الثانی أنّ هناک جعلاً فوقانیاً عاماً یکون إمضاء لسیرة عقلائیة وتقنیناتٍ لصغریاته معاصرةٍ للمعصوم، وأنّ هناک جعلاً فوقانیاً عاماً مستفاداً من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وجوب نشر الدین بعد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خوطب به العقلاء من دون تحدید لوسائله وطرقه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أنه بالطرق المألوفة عندهم والتی أشهرها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إمضاءً صریحاً لتلک الطرق ولیس مجرد 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العرض یتبلور أهمیة مفاد الآیة المبارکة وأنها مادة دستوریة أوجبت نشر الدین الذی تندرج تحته مفردات وطرق متعدّدة کالروایة والإفتاء، کما تدلّ علی أنّ الإفتاء منصب من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فیه وقد قنّنه ولیس مستحدثاً فی عصر الغیبة</w:t>
      </w:r>
      <w:r>
        <w:rPr>
          <w:rFonts w:eastAsia="IRNazanin" w:cs="IRNazanin"/>
          <w:color w:val="111111"/>
          <w:sz w:val="28"/>
          <w:szCs w:val="28"/>
          <w:rtl w:val="true"/>
          <w:lang w:bidi="fa-IR"/>
        </w:rPr>
        <w:t>.</w:t>
      </w:r>
      <w:r>
        <w:rPr>
          <w:rStyle w:val="FootnoteAnchor"/>
          <w:rtl w:val="true"/>
        </w:rPr>
        <w:footnoteReference w:id="19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91" w:name="__RefHeading___Toc3300664_1468164448"/>
      <w:bookmarkStart w:id="1392" w:name="_Toc553"/>
      <w:bookmarkEnd w:id="1391"/>
      <w:r>
        <w:rPr>
          <w:rtl w:val="true"/>
        </w:rPr>
        <w:t>الآیة الثالثة</w:t>
      </w:r>
      <w:r>
        <w:rPr>
          <w:rtl w:val="true"/>
        </w:rPr>
        <w:t xml:space="preserve">: </w:t>
      </w:r>
      <w:r>
        <w:rPr>
          <w:rtl w:val="true"/>
        </w:rPr>
        <w:t>آیة الکتمان</w:t>
      </w:r>
      <w:bookmarkStart w:id="1393" w:name="pg16983_381353"/>
      <w:bookmarkEnd w:id="1392"/>
    </w:p>
    <w:p>
      <w:pPr>
        <w:pStyle w:val="BookText"/>
        <w:rPr/>
      </w:pPr>
      <w:bookmarkEnd w:id="1393"/>
      <w:r>
        <w:rPr>
          <w:rFonts w:ascii="Amiri" w:hAnsi="Amiri" w:eastAsia="Amiri" w:cs="Amiri"/>
          <w:color w:val="111111"/>
          <w:sz w:val="28"/>
          <w:sz w:val="28"/>
          <w:szCs w:val="28"/>
          <w:rtl w:val="true"/>
          <w:lang w:bidi="ar-SA"/>
        </w:rPr>
        <w:t xml:space="preserve">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w:t>
      </w:r>
      <w:r>
        <w:rPr>
          <w:rStyle w:val="FootnoteAnchor"/>
          <w:rtl w:val="true"/>
        </w:rPr>
        <w:footnoteReference w:id="200"/>
      </w:r>
    </w:p>
    <w:p>
      <w:pPr>
        <w:pStyle w:val="Heading6"/>
        <w:numPr>
          <w:ilvl w:val="5"/>
          <w:numId w:val="1"/>
        </w:numPr>
        <w:rPr/>
      </w:pPr>
      <w:bookmarkStart w:id="1394" w:name="__RefHeading___Toc3300666_1468164448"/>
      <w:bookmarkStart w:id="1395" w:name="_Toc554"/>
      <w:bookmarkEnd w:id="1394"/>
      <w:r>
        <w:rPr>
          <w:rtl w:val="true"/>
        </w:rPr>
        <w:t>تقریب الإستدلال</w:t>
      </w:r>
      <w:bookmarkEnd w:id="1395"/>
    </w:p>
    <w:p>
      <w:pPr>
        <w:pStyle w:val="BookText"/>
        <w:rPr/>
      </w:pPr>
      <w:r>
        <w:rPr>
          <w:rFonts w:ascii="IRNazanin" w:hAnsi="IRNazanin" w:eastAsia="IRNazanin"/>
          <w:color w:val="111111"/>
          <w:sz w:val="28"/>
          <w:sz w:val="28"/>
          <w:szCs w:val="28"/>
          <w:rtl w:val="true"/>
          <w:lang w:bidi="fa-IR"/>
        </w:rPr>
        <w:t xml:space="preserve">إنّ مفاد الآیة الکریمة کمفاد آیة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حرمة الکتمان تساوق وجوب 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فهی دالّة علی وجوب نشر الدین بنفس التقریبات المذکورة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فالدین بعدما بیّن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أبلغ رسمیاً بحیث أصبح جاهزاً للعمل والتنفیذ والتطبیق لمَن یتوفّر فی حقه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نشره وإذاعته حیث یحرم کتمانه</w:t>
      </w:r>
      <w:r>
        <w:rPr>
          <w:rFonts w:eastAsia="IRNazanin" w:cs="IRNazanin"/>
          <w:color w:val="111111"/>
          <w:sz w:val="28"/>
          <w:szCs w:val="28"/>
          <w:rtl w:val="true"/>
          <w:lang w:bidi="fa-IR"/>
        </w:rPr>
        <w:t>.</w:t>
      </w:r>
    </w:p>
    <w:p>
      <w:pPr>
        <w:pStyle w:val="Heading6"/>
        <w:numPr>
          <w:ilvl w:val="5"/>
          <w:numId w:val="1"/>
        </w:numPr>
        <w:rPr/>
      </w:pPr>
      <w:bookmarkStart w:id="1396" w:name="__RefHeading___Toc3300668_1468164448"/>
      <w:bookmarkStart w:id="1397" w:name="_Toc555"/>
      <w:bookmarkEnd w:id="1396"/>
      <w:r>
        <w:rPr>
          <w:rtl w:val="true"/>
        </w:rPr>
        <w:t xml:space="preserve">المراد من </w:t>
      </w:r>
      <w:r>
        <w:rPr>
          <w:rtl w:val="true"/>
        </w:rPr>
        <w:t>(</w:t>
      </w:r>
      <w:r>
        <w:rPr>
          <w:rtl w:val="true"/>
        </w:rPr>
        <w:t>ما بیّناه للناس</w:t>
      </w:r>
      <w:r>
        <w:rPr>
          <w:rtl w:val="true"/>
        </w:rPr>
        <w:t>)</w:t>
      </w:r>
      <w:bookmarkEnd w:id="1397"/>
    </w:p>
    <w:p>
      <w:pPr>
        <w:pStyle w:val="BookText"/>
        <w:rPr/>
      </w:pPr>
      <w:r>
        <w:rPr>
          <w:rFonts w:ascii="IRNazanin" w:hAnsi="IRNazanin" w:eastAsia="IRNazanin"/>
          <w:color w:val="111111"/>
          <w:sz w:val="28"/>
          <w:sz w:val="28"/>
          <w:szCs w:val="28"/>
          <w:rtl w:val="true"/>
          <w:lang w:bidi="fa-IR"/>
        </w:rPr>
        <w:t xml:space="preserve">ولا یقصد من بیانه للناس وصولُه إلیهم، وإلاّ لم یکن موضوع للکتمان وإنما ما ذکرناه هو علی حدّ صدور القانون فی الجریدة الرسمیة فی یومنا هذا، وهی مرحلة متوسطة بین الإنشاء والفعلیة، فإنّ صرف إنشاء الحکم من دون إبراز وإعلان رسمی وإبلاغ الجهات المعنیة کالرسول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تفصیل القانون وجعله فی صراط التنفیذ</w:t>
      </w:r>
      <w:r>
        <w:rPr>
          <w:rFonts w:eastAsia="IRNazanin" w:cs="IRNazanin"/>
          <w:color w:val="111111"/>
          <w:sz w:val="28"/>
          <w:szCs w:val="28"/>
          <w:rtl w:val="true"/>
          <w:lang w:bidi="fa-IR"/>
        </w:rPr>
        <w:t>.</w:t>
      </w:r>
    </w:p>
    <w:p>
      <w:pPr>
        <w:pStyle w:val="Heading6"/>
        <w:numPr>
          <w:ilvl w:val="5"/>
          <w:numId w:val="1"/>
        </w:numPr>
        <w:rPr/>
      </w:pPr>
      <w:bookmarkStart w:id="1398" w:name="__RefHeading___Toc3300670_1468164448"/>
      <w:bookmarkStart w:id="1399" w:name="_Toc556"/>
      <w:bookmarkEnd w:id="1398"/>
      <w:r>
        <w:rPr>
          <w:rtl w:val="true"/>
        </w:rPr>
        <w:t>عرض الإشکالات علی تقریب الإستدلال</w:t>
      </w:r>
      <w:bookmarkEnd w:id="1399"/>
    </w:p>
    <w:p>
      <w:pPr>
        <w:pStyle w:val="BookText"/>
        <w:rPr/>
      </w:pPr>
      <w:r>
        <w:rPr>
          <w:rFonts w:ascii="IRNazanin" w:hAnsi="IRNazanin" w:eastAsia="IRNazanin"/>
          <w:color w:val="111111"/>
          <w:sz w:val="28"/>
          <w:sz w:val="28"/>
          <w:szCs w:val="28"/>
          <w:rtl w:val="true"/>
          <w:lang w:bidi="fa-IR"/>
        </w:rPr>
        <w:t>ولکن دلالة الآیة إنما تتمّ بعد تجاوز ما ذکر من إشکالات حول دلالتها والإجابة عنها</w:t>
      </w:r>
      <w:r>
        <w:rPr>
          <w:rFonts w:eastAsia="IRNazanin" w:cs="IRNazanin"/>
          <w:color w:val="111111"/>
          <w:sz w:val="28"/>
          <w:szCs w:val="28"/>
          <w:rtl w:val="true"/>
          <w:lang w:bidi="fa-IR"/>
        </w:rPr>
        <w:t>.</w:t>
      </w:r>
    </w:p>
    <w:p>
      <w:pPr>
        <w:pStyle w:val="Heading6"/>
        <w:numPr>
          <w:ilvl w:val="5"/>
          <w:numId w:val="1"/>
        </w:numPr>
        <w:rPr/>
      </w:pPr>
      <w:bookmarkStart w:id="1400" w:name="__RefHeading___Toc3300672_1468164448"/>
      <w:bookmarkStart w:id="1401" w:name="_Toc557"/>
      <w:bookmarkEnd w:id="1400"/>
      <w:r>
        <w:rPr>
          <w:rtl w:val="true"/>
        </w:rPr>
        <w:t>الإشکال الأول</w:t>
      </w:r>
      <w:r>
        <w:rPr>
          <w:rtl w:val="true"/>
        </w:rPr>
        <w:t xml:space="preserve">: </w:t>
      </w:r>
      <w:r>
        <w:rPr>
          <w:rtl w:val="true"/>
        </w:rPr>
        <w:t>الکتمان لا یتحقق فی مضمون خبر الواحد</w:t>
      </w:r>
      <w:bookmarkEnd w:id="140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الکتمان یتعقّل فی ما کان من طبعه الإنتشار فیقف أمامه سدّاً ویخفیه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علماء الیهود والنصاری حیث أخفوا التوراة</w:t>
      </w:r>
      <w:bookmarkStart w:id="1402" w:name="pg16983_381356"/>
    </w:p>
    <w:p>
      <w:pPr>
        <w:pStyle w:val="BookText"/>
        <w:rPr/>
      </w:pPr>
      <w:bookmarkEnd w:id="1402"/>
      <w:r>
        <w:rPr>
          <w:rFonts w:ascii="IRNazanin" w:hAnsi="IRNazanin" w:eastAsia="IRNazanin"/>
          <w:color w:val="111111"/>
          <w:sz w:val="28"/>
          <w:sz w:val="28"/>
          <w:szCs w:val="28"/>
          <w:rtl w:val="true"/>
          <w:lang w:bidi="fa-IR"/>
        </w:rPr>
        <w:t xml:space="preserve">والإنجیل بل حرّفوها بمحو ما دلّ علی نبوة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ثمّ لا تدلّ علی حجّیة خبر الواحد؛ إذ مضامینه لیس من طبعها الإنتشار والظهور حتی یصدق معه الخفاء</w:t>
      </w:r>
      <w:r>
        <w:rPr>
          <w:rFonts w:eastAsia="IRNazanin" w:cs="IRNazanin"/>
          <w:color w:val="111111"/>
          <w:sz w:val="28"/>
          <w:szCs w:val="28"/>
          <w:rtl w:val="true"/>
          <w:lang w:bidi="fa-IR"/>
        </w:rPr>
        <w:t>.</w:t>
      </w:r>
    </w:p>
    <w:p>
      <w:pPr>
        <w:pStyle w:val="Heading6"/>
        <w:numPr>
          <w:ilvl w:val="5"/>
          <w:numId w:val="1"/>
        </w:numPr>
        <w:rPr/>
      </w:pPr>
      <w:bookmarkStart w:id="1403" w:name="__RefHeading___Toc3300674_1468164448"/>
      <w:bookmarkStart w:id="1404" w:name="_Toc558"/>
      <w:bookmarkEnd w:id="1403"/>
      <w:r>
        <w:rPr>
          <w:rtl w:val="true"/>
        </w:rPr>
        <w:t>تقییم الإشکال</w:t>
      </w:r>
      <w:bookmarkEnd w:id="1404"/>
    </w:p>
    <w:p>
      <w:pPr>
        <w:pStyle w:val="BookText"/>
        <w:rPr/>
      </w:pPr>
      <w:r>
        <w:rPr>
          <w:rFonts w:ascii="Amiri" w:hAnsi="Amiri" w:eastAsia="Amiri" w:cs="Amiri"/>
          <w:color w:val="111111"/>
          <w:sz w:val="28"/>
          <w:sz w:val="28"/>
          <w:szCs w:val="28"/>
          <w:rtl w:val="true"/>
          <w:lang w:bidi="ar-SA"/>
        </w:rPr>
        <w:t xml:space="preserve">إنّ ما ذکر هو مورد من موارد الکتمان، والمورد الآخر هو ما لم یکن من طبعه الإنتشار، ولکنّه یکتمه أی لا یساهم فی 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نلاحظ ذلک فی آیة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فإنّ الشهادة لیست من طبعها الإنتشار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الکتمان مستعمل فی ما مِن حقّه أن ینشر، سواء کان بطبعه الإنتشار أم لم یکن</w:t>
      </w:r>
      <w:r>
        <w:rPr>
          <w:rFonts w:eastAsia="IRNazanin" w:cs="IRNazanin"/>
          <w:color w:val="111111"/>
          <w:sz w:val="28"/>
          <w:szCs w:val="28"/>
          <w:rtl w:val="true"/>
          <w:lang w:bidi="fa-IR"/>
        </w:rPr>
        <w:t>.</w:t>
      </w:r>
    </w:p>
    <w:p>
      <w:pPr>
        <w:pStyle w:val="Heading6"/>
        <w:numPr>
          <w:ilvl w:val="5"/>
          <w:numId w:val="1"/>
        </w:numPr>
        <w:rPr/>
      </w:pPr>
      <w:bookmarkStart w:id="1405" w:name="__RefHeading___Toc3300676_1468164448"/>
      <w:bookmarkStart w:id="1406" w:name="_Toc559"/>
      <w:bookmarkEnd w:id="1405"/>
      <w:r>
        <w:rPr>
          <w:rtl w:val="true"/>
        </w:rPr>
        <w:t>الإشکال الثانی</w:t>
      </w:r>
      <w:r>
        <w:rPr>
          <w:rtl w:val="true"/>
        </w:rPr>
        <w:t xml:space="preserve">: </w:t>
      </w:r>
      <w:r>
        <w:rPr>
          <w:rtl w:val="true"/>
        </w:rPr>
        <w:t xml:space="preserve">عنوان </w:t>
      </w:r>
      <w:r>
        <w:rPr>
          <w:rtl w:val="true"/>
        </w:rPr>
        <w:t>(</w:t>
      </w:r>
      <w:r>
        <w:rPr>
          <w:rtl w:val="true"/>
        </w:rPr>
        <w:t>فی الکتاب</w:t>
      </w:r>
      <w:r>
        <w:rPr>
          <w:rtl w:val="true"/>
        </w:rPr>
        <w:t xml:space="preserve">) </w:t>
      </w:r>
      <w:r>
        <w:rPr>
          <w:rtl w:val="true"/>
        </w:rPr>
        <w:t>لا یشمل الروایات</w:t>
      </w:r>
      <w:bookmarkEnd w:id="1406"/>
    </w:p>
    <w:p>
      <w:pPr>
        <w:pStyle w:val="BookText"/>
        <w:rPr/>
      </w:pP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أنها مرتبطة بتکلیف أهل الکتاب، وعلی فرض تعمیمه فیکون المراد منه جنس الکتاب فلا یشمل الروایات، فالآیة خاصة بما نزل من السماء من خلال الوحی</w:t>
      </w:r>
      <w:r>
        <w:rPr>
          <w:rFonts w:eastAsia="IRNazanin" w:cs="IRNazanin"/>
          <w:color w:val="111111"/>
          <w:sz w:val="28"/>
          <w:szCs w:val="28"/>
          <w:rtl w:val="true"/>
          <w:lang w:bidi="fa-IR"/>
        </w:rPr>
        <w:t>.</w:t>
      </w:r>
    </w:p>
    <w:p>
      <w:pPr>
        <w:pStyle w:val="Heading6"/>
        <w:numPr>
          <w:ilvl w:val="5"/>
          <w:numId w:val="1"/>
        </w:numPr>
        <w:rPr/>
      </w:pPr>
      <w:bookmarkStart w:id="1407" w:name="__RefHeading___Toc3300678_1468164448"/>
      <w:bookmarkStart w:id="1408" w:name="_Toc560"/>
      <w:bookmarkEnd w:id="1407"/>
      <w:r>
        <w:rPr>
          <w:rtl w:val="true"/>
        </w:rPr>
        <w:t>تقییم الإشکال</w:t>
      </w:r>
      <w:bookmarkEnd w:id="1408"/>
    </w:p>
    <w:p>
      <w:pPr>
        <w:pStyle w:val="BookText"/>
        <w:rPr/>
      </w:pPr>
      <w:r>
        <w:rPr>
          <w:rFonts w:ascii="IRNazanin" w:hAnsi="IRNazanin" w:eastAsia="IRNazanin"/>
          <w:color w:val="111111"/>
          <w:sz w:val="28"/>
          <w:sz w:val="28"/>
          <w:szCs w:val="28"/>
          <w:rtl w:val="true"/>
          <w:lang w:bidi="fa-IR"/>
        </w:rPr>
        <w:t xml:space="preserve">إنّ موردها وإن کان علماء الکتاب إلاّ أنه لا یخصص الوارد خاصة مع ما یلحظ من استدلالهم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بالآیة فی حالات عدیدة فی غیر موردها بل وحتی فی غیر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دلالة الآیة الشریفة علی الجعل الکلّی، فتشمل خبرَ الواحد علی حدّ دلالة آیة النفر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09" w:name="__RefHeading___Toc3300680_1468164448"/>
      <w:bookmarkStart w:id="1410" w:name="_Toc561"/>
      <w:bookmarkEnd w:id="1409"/>
      <w:r>
        <w:rPr>
          <w:rtl w:val="true"/>
        </w:rPr>
        <w:t>الآیة الرابعة</w:t>
      </w:r>
      <w:r>
        <w:rPr>
          <w:rtl w:val="true"/>
        </w:rPr>
        <w:t xml:space="preserve">: </w:t>
      </w:r>
      <w:r>
        <w:rPr>
          <w:rtl w:val="true"/>
        </w:rPr>
        <w:t>آیة الذکر</w:t>
      </w:r>
      <w:bookmarkStart w:id="1411" w:name="pg16983_381358"/>
      <w:bookmarkEnd w:id="1410"/>
    </w:p>
    <w:p>
      <w:pPr>
        <w:pStyle w:val="BookText"/>
        <w:rPr/>
      </w:pPr>
      <w:bookmarkEnd w:id="1411"/>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 .</w:t>
      </w:r>
      <w:r>
        <w:rPr>
          <w:rStyle w:val="FootnoteAnchor"/>
          <w:rtl w:val="true"/>
        </w:rPr>
        <w:footnoteReference w:id="203"/>
      </w:r>
    </w:p>
    <w:p>
      <w:pPr>
        <w:pStyle w:val="Heading6"/>
        <w:numPr>
          <w:ilvl w:val="5"/>
          <w:numId w:val="1"/>
        </w:numPr>
        <w:rPr/>
      </w:pPr>
      <w:bookmarkStart w:id="1412" w:name="__RefHeading___Toc3300682_1468164448"/>
      <w:bookmarkStart w:id="1413" w:name="_Toc562"/>
      <w:bookmarkEnd w:id="1412"/>
      <w:r>
        <w:rPr>
          <w:rtl w:val="true"/>
        </w:rPr>
        <w:t>التقریب الإجمالی</w:t>
      </w:r>
      <w:bookmarkEnd w:id="1413"/>
    </w:p>
    <w:p>
      <w:pPr>
        <w:pStyle w:val="BookText"/>
        <w:rPr/>
      </w:pPr>
      <w:r>
        <w:rPr>
          <w:rFonts w:ascii="IRNazanin" w:hAnsi="IRNazanin" w:eastAsia="IRNazanin"/>
          <w:color w:val="111111"/>
          <w:sz w:val="28"/>
          <w:sz w:val="28"/>
          <w:szCs w:val="28"/>
          <w:rtl w:val="true"/>
          <w:lang w:bidi="fa-IR"/>
        </w:rPr>
        <w:t xml:space="preserve">إیجاب سؤال أهل الذکر دلیل حجّیة قولهم فی مقام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کان الإلزام بالسؤال لغواً، فمقتضی الإلزام بالسؤال حجّیة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الفتوی أبرز مصداق لأهل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رواة وزیادة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وبالدرجة الثانیة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مصداق أهل الذکر أیضاً</w:t>
      </w:r>
      <w:r>
        <w:rPr>
          <w:rFonts w:eastAsia="IRNazanin" w:cs="IRNazanin"/>
          <w:color w:val="111111"/>
          <w:sz w:val="28"/>
          <w:szCs w:val="28"/>
          <w:rtl w:val="true"/>
          <w:lang w:bidi="fa-IR"/>
        </w:rPr>
        <w:t>. ]</w:t>
      </w:r>
    </w:p>
    <w:p>
      <w:pPr>
        <w:pStyle w:val="Heading6"/>
        <w:numPr>
          <w:ilvl w:val="5"/>
          <w:numId w:val="1"/>
        </w:numPr>
        <w:rPr/>
      </w:pPr>
      <w:bookmarkStart w:id="1414" w:name="__RefHeading___Toc3300684_1468164448"/>
      <w:bookmarkStart w:id="1415" w:name="_Toc563"/>
      <w:bookmarkEnd w:id="1414"/>
      <w:r>
        <w:rPr>
          <w:rtl w:val="true"/>
        </w:rPr>
        <w:t>عرض الإشکالات</w:t>
      </w:r>
      <w:bookmarkEnd w:id="1415"/>
    </w:p>
    <w:p>
      <w:pPr>
        <w:pStyle w:val="BookText"/>
        <w:rPr/>
      </w:pPr>
      <w:r>
        <w:rPr>
          <w:rFonts w:ascii="IRNazanin" w:hAnsi="IRNazanin" w:eastAsia="IRNazanin"/>
          <w:color w:val="111111"/>
          <w:sz w:val="28"/>
          <w:sz w:val="28"/>
          <w:szCs w:val="28"/>
          <w:rtl w:val="true"/>
          <w:lang w:bidi="fa-IR"/>
        </w:rPr>
        <w:t>ذکرت خمسة إشکالات استهدفت دلالة الآیة علی الحجّیة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مورد نزول الآیة علماء أهل الکتاب، فَهُم أهل الذکر لا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الذکر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بقرینة آیة أخری تدلّ علی أنّ الذکر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یَتْلُوا عَلَیْکُمْ آیاتِ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فأهله هم الأئمة</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غایة السؤال تحصیل العلم بقرینة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لا تَعْلَمُونَ</w:t>
      </w:r>
      <w:r>
        <w:rPr>
          <w:rFonts w:eastAsia="Amiri" w:cs="Amiri" w:ascii="Amiri" w:hAnsi="Amiri"/>
          <w:color w:val="111111"/>
          <w:sz w:val="28"/>
          <w:szCs w:val="28"/>
          <w:rtl w:val="true"/>
          <w:lang w:bidi="ar-SA"/>
        </w:rPr>
        <w:t>) .</w:t>
      </w:r>
      <w:bookmarkStart w:id="1416" w:name="pg16983_381360"/>
    </w:p>
    <w:p>
      <w:pPr>
        <w:pStyle w:val="BookText"/>
        <w:rPr/>
      </w:pPr>
      <w:bookmarkEnd w:id="1416"/>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فی صدد إیجاب السؤال عن أصول الدین ولابدّ فیه من تحصیل العلم مع أنّ الخبر ظنی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الذکر هم أهل العلم، والراوی لا یعدّ من أهل العلم بالحکم الإلهی، و إنما الفقیه المجتهد هو العالم بالحکم الإلهی</w:t>
      </w:r>
      <w:r>
        <w:rPr>
          <w:rFonts w:eastAsia="IRNazanin" w:cs="IRNazanin"/>
          <w:color w:val="111111"/>
          <w:sz w:val="28"/>
          <w:szCs w:val="28"/>
          <w:rtl w:val="true"/>
          <w:lang w:bidi="fa-IR"/>
        </w:rPr>
        <w:t>.</w:t>
      </w:r>
    </w:p>
    <w:p>
      <w:pPr>
        <w:pStyle w:val="Heading6"/>
        <w:numPr>
          <w:ilvl w:val="5"/>
          <w:numId w:val="1"/>
        </w:numPr>
        <w:rPr/>
      </w:pPr>
      <w:bookmarkStart w:id="1417" w:name="__RefHeading___Toc3300686_1468164448"/>
      <w:bookmarkStart w:id="1418" w:name="_Toc564"/>
      <w:bookmarkEnd w:id="1417"/>
      <w:r>
        <w:rPr>
          <w:rtl w:val="true"/>
        </w:rPr>
        <w:t>الجواب عن الإشکالات</w:t>
      </w:r>
      <w:bookmarkEnd w:id="1418"/>
    </w:p>
    <w:p>
      <w:pPr>
        <w:pStyle w:val="BookText"/>
        <w:rPr/>
      </w:pPr>
      <w:r>
        <w:rPr>
          <w:rFonts w:ascii="IRNazanin" w:hAnsi="IRNazanin" w:eastAsia="IRNazanin"/>
          <w:color w:val="111111"/>
          <w:sz w:val="28"/>
          <w:sz w:val="28"/>
          <w:szCs w:val="28"/>
          <w:rtl w:val="true"/>
          <w:lang w:bidi="fa-IR"/>
        </w:rPr>
        <w:t>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المورد لا یخصص الوارد بل حتی لو ذکر أهل الکتاب فی الآیة بدلاً من أهل الذکر لما خصص الوارد، کما نلاحظ ذلک فی آیة أخری، فکیف قد صرّح بعنوان عام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المصادیق لا أنّ المعنی منحصر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فالحصر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أنّهم المرتبة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الحکم المذکور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أنّ الذکر لم یخصص فی الروایات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یشکّل قرینة علی 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التقید حرفیاً بترکیب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وجوب السؤال لا غایته، فلیس مفاد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إسألوا کی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تعلموا فاسألوا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وتعالی أمرهم فی مجال معرفة نبوة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إلی الحجّة المفروغ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سؤال أهل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حجّة فطریة مسلّمة عامة لا تخصص وإن صرّح المورد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الذکر کالتفقه، فما أجبنا به هناک نجب به هنا</w:t>
      </w:r>
      <w:r>
        <w:rPr>
          <w:rFonts w:eastAsia="IRNazanin" w:cs="IRNazanin"/>
          <w:color w:val="111111"/>
          <w:sz w:val="28"/>
          <w:szCs w:val="28"/>
          <w:rtl w:val="true"/>
          <w:lang w:bidi="fa-IR"/>
        </w:rPr>
        <w:t>.</w:t>
      </w:r>
    </w:p>
    <w:p>
      <w:pPr>
        <w:pStyle w:val="Heading6"/>
        <w:numPr>
          <w:ilvl w:val="5"/>
          <w:numId w:val="1"/>
        </w:numPr>
        <w:rPr/>
      </w:pPr>
      <w:bookmarkStart w:id="1419" w:name="__RefHeading___Toc3300688_1468164448"/>
      <w:bookmarkStart w:id="1420" w:name="_Toc565"/>
      <w:bookmarkEnd w:id="1419"/>
      <w:r>
        <w:rPr>
          <w:rtl w:val="true"/>
        </w:rPr>
        <w:t>فرق آیة الذکر مع آیتی النفر والکتمان</w:t>
      </w:r>
      <w:bookmarkEnd w:id="142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کلّ هذا أمکن القول بأنّ الآیة متعرضة لحکم جامع کآیة النفر والکتمان، ولکن مع فرقٍ هو أنّ الوجوب فی آیتنا ملقی علی عاتق عموم المکلّفین، حیث یجب علیهم التعلّم بالسؤال وأمّا فی آیة الکتمان فالوجوب ملقی علی عاتق الحوزات العلمیة، وفی آیة النفر تعرضت</w:t>
      </w:r>
      <w:bookmarkStart w:id="1421" w:name="pg16983_381362"/>
    </w:p>
    <w:p>
      <w:pPr>
        <w:pStyle w:val="BookText"/>
        <w:rPr/>
      </w:pPr>
      <w:bookmarkEnd w:id="1421"/>
      <w:r>
        <w:rPr>
          <w:rFonts w:ascii="IRNazanin" w:hAnsi="IRNazanin" w:eastAsia="IRNazanin"/>
          <w:color w:val="111111"/>
          <w:sz w:val="28"/>
          <w:sz w:val="28"/>
          <w:szCs w:val="28"/>
          <w:rtl w:val="true"/>
          <w:lang w:bidi="fa-IR"/>
        </w:rPr>
        <w:t>للواجبین وجوب التعلیم والتعلم</w:t>
      </w:r>
      <w:r>
        <w:rPr>
          <w:rFonts w:eastAsia="IRNazanin" w:cs="IRNazanin"/>
          <w:color w:val="111111"/>
          <w:sz w:val="28"/>
          <w:szCs w:val="28"/>
          <w:rtl w:val="true"/>
          <w:lang w:bidi="fa-IR"/>
        </w:rPr>
        <w:t>.</w:t>
      </w:r>
    </w:p>
    <w:p>
      <w:pPr>
        <w:pStyle w:val="Heading6"/>
        <w:numPr>
          <w:ilvl w:val="5"/>
          <w:numId w:val="1"/>
        </w:numPr>
        <w:rPr/>
      </w:pPr>
      <w:bookmarkStart w:id="1422" w:name="__RefHeading___Toc3300690_1468164448"/>
      <w:bookmarkStart w:id="1423" w:name="_Toc566"/>
      <w:bookmarkEnd w:id="1422"/>
      <w:r>
        <w:rPr>
          <w:rtl w:val="true"/>
        </w:rPr>
        <w:t>الشارع تکلّم بلغة العقلاء</w:t>
      </w:r>
      <w:bookmarkEnd w:id="1423"/>
    </w:p>
    <w:p>
      <w:pPr>
        <w:pStyle w:val="BookText"/>
        <w:rPr/>
      </w:pPr>
      <w:r>
        <w:rPr>
          <w:rFonts w:ascii="IRNazanin" w:hAnsi="IRNazanin" w:eastAsia="IRNazanin"/>
          <w:color w:val="111111"/>
          <w:sz w:val="28"/>
          <w:sz w:val="28"/>
          <w:szCs w:val="28"/>
          <w:rtl w:val="true"/>
          <w:lang w:bidi="fa-IR"/>
        </w:rPr>
        <w:t>وما قد یدور فی بعض الأذهان من أنّ ما فهمناه من الآیات المبارکة لیس ظاهراً منها، وعلی الأقل لِمَ لم تکن الآیات أکثر صراحة فی المضمون الذی فهمناه مع أهمیته البالغة بحیث یکون فهمه أیسر وفی متناول العموم؟</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الخفاء الذی یحیط بالآیات المذکورة جاء نتیجة دراسة کلّ منها مجردة عن القانون العقلائی السائد، أمّا بعد دراستها فی جوّ لغة العقلاء تصوراً وتصدیقاً فتکون ظاهرة بوضوح فی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لابدّ أن لا ننسی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فی صدد تحدید مفاد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تکلّم بلغة العقلاء کما تکلّم بلغة العرب، فکما أنّ دراسة کلامه بعیداً عن قوانین اللغة والأدب خطأ، کذا دراسته بمعزل عن قوانین لغة العقلاء خطأ</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ذکرناه نظیر ما نبّه علیه علماء الأصول من أنّ الشریعة الإسلامیة وإن نَسخَتْ رسمیاً الشرائع السابقة إلاّ أنها لم تبدّل کلّ ما کان فی تلک الشرائع، ومن ثمّ احتاج التغییر فی حکم من الأحکام السابقة إلی تنبیه وإلاّ کشف عن إقراره فی شریعتنا</w:t>
      </w:r>
      <w:r>
        <w:rPr>
          <w:rFonts w:eastAsia="IRNazanin" w:cs="IRNazanin"/>
          <w:color w:val="111111"/>
          <w:sz w:val="28"/>
          <w:szCs w:val="28"/>
          <w:rtl w:val="true"/>
          <w:lang w:bidi="fa-IR"/>
        </w:rPr>
        <w:t>.</w:t>
      </w:r>
      <w:r>
        <w:rPr>
          <w:rStyle w:val="FootnoteAnchor"/>
          <w:rtl w:val="true"/>
        </w:rPr>
        <w:footnoteReference w:id="205"/>
      </w:r>
      <w:bookmarkStart w:id="1424" w:name="pg16983_381365"/>
    </w:p>
    <w:p>
      <w:pPr>
        <w:pStyle w:val="Heading6"/>
        <w:numPr>
          <w:ilvl w:val="5"/>
          <w:numId w:val="1"/>
        </w:numPr>
        <w:rPr/>
      </w:pPr>
      <w:bookmarkStart w:id="1425" w:name="__RefHeading___Toc3300692_1468164448"/>
      <w:bookmarkStart w:id="1426" w:name="_Toc567"/>
      <w:bookmarkEnd w:id="1424"/>
      <w:bookmarkEnd w:id="1425"/>
      <w:r>
        <w:rPr>
          <w:rtl w:val="true"/>
        </w:rPr>
        <w:t>الآیة الخامسة</w:t>
      </w:r>
      <w:r>
        <w:rPr>
          <w:rtl w:val="true"/>
        </w:rPr>
        <w:t xml:space="preserve">: </w:t>
      </w:r>
      <w:r>
        <w:rPr>
          <w:rtl w:val="true"/>
        </w:rPr>
        <w:t>آیة الأذن</w:t>
      </w:r>
      <w:bookmarkEnd w:id="1426"/>
    </w:p>
    <w:p>
      <w:pPr>
        <w:pStyle w:val="BookText"/>
        <w:rPr/>
      </w:pP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 .</w:t>
      </w:r>
      <w:r>
        <w:rPr>
          <w:rStyle w:val="FootnoteAnchor"/>
          <w:rtl w:val="true"/>
        </w:rPr>
        <w:footnoteReference w:id="206"/>
      </w:r>
    </w:p>
    <w:p>
      <w:pPr>
        <w:pStyle w:val="Heading6"/>
        <w:numPr>
          <w:ilvl w:val="5"/>
          <w:numId w:val="1"/>
        </w:numPr>
        <w:rPr/>
      </w:pPr>
      <w:bookmarkStart w:id="1427" w:name="__RefHeading___Toc3300694_1468164448"/>
      <w:bookmarkStart w:id="1428" w:name="_Toc568"/>
      <w:bookmarkEnd w:id="1427"/>
      <w:r>
        <w:rPr>
          <w:rtl w:val="true"/>
        </w:rPr>
        <w:t>التقریب الإجمالی لدلالة الآیة</w:t>
      </w:r>
      <w:bookmarkEnd w:id="1428"/>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إذا تعلّقت بمادة الایمان تعنی الطریق فتعنی الإطمئنان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یطمئن للمؤمنین وبنحو الإستغراق سیما مع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تعنی حسن الإستماع للآخرین، أو أنه یحدث کثیراً عما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حجّیة قول المؤمن</w:t>
      </w:r>
      <w:r>
        <w:rPr>
          <w:rFonts w:eastAsia="IRNazanin" w:cs="IRNazanin"/>
          <w:color w:val="111111"/>
          <w:sz w:val="28"/>
          <w:szCs w:val="28"/>
          <w:rtl w:val="true"/>
          <w:lang w:bidi="fa-IR"/>
        </w:rPr>
        <w:t>.</w:t>
      </w:r>
    </w:p>
    <w:p>
      <w:pPr>
        <w:pStyle w:val="Heading6"/>
        <w:numPr>
          <w:ilvl w:val="5"/>
          <w:numId w:val="1"/>
        </w:numPr>
        <w:rPr/>
      </w:pPr>
      <w:bookmarkStart w:id="1429" w:name="__RefHeading___Toc3300696_1468164448"/>
      <w:bookmarkStart w:id="1430" w:name="_Toc569"/>
      <w:bookmarkEnd w:id="1429"/>
      <w:r>
        <w:rPr>
          <w:rtl w:val="true"/>
        </w:rPr>
        <w:t>المناقشة فی دلالة الآیة</w:t>
      </w:r>
      <w:bookmarkEnd w:id="1430"/>
    </w:p>
    <w:p>
      <w:pPr>
        <w:pStyle w:val="BookText"/>
        <w:rPr/>
      </w:pPr>
      <w:r>
        <w:rPr>
          <w:rFonts w:ascii="IRNazanin" w:hAnsi="IRNazanin" w:eastAsia="IRNazanin"/>
          <w:color w:val="111111"/>
          <w:sz w:val="28"/>
          <w:sz w:val="28"/>
          <w:szCs w:val="28"/>
          <w:rtl w:val="true"/>
          <w:lang w:bidi="fa-IR"/>
        </w:rPr>
        <w:t>ولکن ناقش عموم الأعلام فی دلالتها لوجود قرائن علی أنّ اللام لیست للإستطراق، وإنما لنفع المؤمن بنحو لا یضرّ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القرائن أنّ مورد نزول الآیة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لأطراف متناقضة متباغضة، فلاینسجم مع حجّیة أقوالهم، وإنما مع کونه یرتّب الأثر الذی ینفع کلّ واحد منهم من دون أن یتضرر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القرائن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المتابعة کانت للشفقة ومن باب الحمل علی الصحة وحسن الظن لا لحجّیة أقوالهم، مع الإلتفات إلی أنّ حسن الظن لا یعنی السذاجة وعدم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فالآیة تدلّ علی أنّ واحدة من وظائف المعصوم التعامل بالظاهر وإن کان یعلم الواقع من طرق أخری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31" w:name="__RefHeading___Toc3300698_1468164448"/>
      <w:bookmarkStart w:id="1432" w:name="_Toc570"/>
      <w:bookmarkEnd w:id="1431"/>
      <w:r>
        <w:rPr>
          <w:rtl w:val="true"/>
        </w:rPr>
        <w:t>تقویة دلالة الآیة بروایتین</w:t>
      </w:r>
      <w:bookmarkStart w:id="1433" w:name="pg16983_381367"/>
      <w:bookmarkEnd w:id="1432"/>
    </w:p>
    <w:p>
      <w:pPr>
        <w:pStyle w:val="BookText"/>
        <w:rPr/>
      </w:pPr>
      <w:bookmarkEnd w:id="1433"/>
      <w:r>
        <w:rPr>
          <w:rFonts w:ascii="IRNazanin" w:hAnsi="IRNazanin" w:eastAsia="IRNazanin"/>
          <w:color w:val="111111"/>
          <w:sz w:val="28"/>
          <w:sz w:val="28"/>
          <w:szCs w:val="28"/>
          <w:rtl w:val="true"/>
          <w:lang w:bidi="fa-IR"/>
        </w:rPr>
        <w:t>إلاّ أنّ جملة من الأعلام أصرّوا علی دلالتها علی الحجّیة لروایتین صحیحتین استدلّ فیهما الإمام بالآیة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هما صحیحة حریز فی الکافی</w:t>
      </w:r>
      <w:r>
        <w:rPr>
          <w:rStyle w:val="FootnoteAnchor"/>
          <w:rtl w:val="true"/>
        </w:rPr>
        <w:footnoteReference w:id="207"/>
      </w:r>
      <w:r>
        <w:rPr>
          <w:rFonts w:ascii="IRNazanin" w:hAnsi="IRNazanin" w:eastAsia="IRNazanin"/>
          <w:color w:val="111111"/>
          <w:sz w:val="28"/>
          <w:sz w:val="28"/>
          <w:szCs w:val="28"/>
          <w:rtl w:val="true"/>
          <w:lang w:bidi="fa-IR"/>
        </w:rPr>
        <w:t>، وعمر بن یزید فی الوسائل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4" w:name="__RefHeading___Toc3300700_1468164448"/>
      <w:bookmarkStart w:id="1435" w:name="_Toc571"/>
      <w:bookmarkEnd w:id="1434"/>
      <w:r>
        <w:rPr>
          <w:rtl w:val="true"/>
        </w:rPr>
        <w:t>عدم دلالة الروایتین علی المدّعی</w:t>
      </w:r>
      <w:bookmarkEnd w:id="143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الحق عدم دلالة الروایتین علی الحجّیة لنکتة وهی أنّ</w:t>
      </w:r>
    </w:p>
    <w:p>
      <w:pPr>
        <w:pStyle w:val="BookText"/>
        <w:rPr/>
      </w:pPr>
      <w:r>
        <w:rPr>
          <w:rFonts w:ascii="IRNazanin" w:hAnsi="IRNazanin" w:eastAsia="IRNazanin"/>
          <w:color w:val="111111"/>
          <w:sz w:val="28"/>
          <w:sz w:val="28"/>
          <w:szCs w:val="28"/>
          <w:rtl w:val="true"/>
          <w:lang w:bidi="fa-IR"/>
        </w:rPr>
        <w:t xml:space="preserve">أصالة الصحة الأخلاقیة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فعل أخیک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یترتب علیها أثر شرعی إلاّ أنه فی الجملة لا بالجملة، حیث نری فی بعض الحالات ترتّب الأثر کما فی الشاهد أو المخبر العادل قبل الشهادة والإخبار إلاّ أنه شک فی حصول الفسق بالشهادة والإخبار بأن کانتا زوراً أو کذباً، أو شک فی کون شهادة العادل عن عداوة وبغضاء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فتدفع هذه الإحتمالات الموجبة للشک فی مصداقیة الخارج للعموم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المفاد المطابقی للآیة هو أصالة الصحة بحمل فعل المؤمن علیها، ومورد نزولها الأقوال التی حدّثوا النبی بها، فما کان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حملهم علی الصحة، من دون أن یعنی ذلک حجّیة قولهم، کما شاهدناه فی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التزم بالأصالة من دون ترتیب لآثار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فالأصالة أخلاقیة وتبقی أخلاقیة لا یترتب علیها أی أثر شرعی، فلا تکون أصالة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قد تؤخذ فی موضوع حکم شرعی بمعنی أنها تحرز صغراه، کالعدالة التی هی صفة نفسانیة، فإنّها شرط فی حجّیة قول الشاهد، ولکن بما هی حاکیة عن استقامته فی أفعاله، بل الإستقامة هی العدالة حسب فهم البعض، ولابدّ لهذه الإستقامة الفعلیة أن تمتدّ حتی إلی فعله الأخیر وهو الشهادة، فمع الشک فی فعله هذا نتمسک بأصالة العموم للبناء علی أنّ شهادته لا عن کذب ولا عن عداوة لا أکثر، من دون أن تقول رتّب الأثر، حیث یقوله دلیل الحجّیة، نظیر استصحاب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غایة ما یثبت لنا صغری الموضوع، من دون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یتکفل ذلک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مجموع ما تقدّم دلالة جمیع الآیات المذکورة علی الحجّیة</w:t>
      </w:r>
      <w:r>
        <w:rPr>
          <w:rFonts w:eastAsia="IRNazanin" w:cs="IRNazanin"/>
          <w:color w:val="111111"/>
          <w:sz w:val="28"/>
          <w:szCs w:val="28"/>
          <w:rtl w:val="true"/>
          <w:lang w:bidi="fa-IR"/>
        </w:rPr>
        <w:t>.</w:t>
      </w:r>
      <w:bookmarkStart w:id="1436" w:name="pg16983_381371"/>
    </w:p>
    <w:p>
      <w:pPr>
        <w:pStyle w:val="Heading5"/>
        <w:numPr>
          <w:ilvl w:val="4"/>
          <w:numId w:val="1"/>
        </w:numPr>
        <w:rPr/>
      </w:pPr>
      <w:bookmarkStart w:id="1437" w:name="__RefHeading___Toc3300702_1468164448"/>
      <w:bookmarkStart w:id="1438" w:name="_Toc572"/>
      <w:bookmarkEnd w:id="1436"/>
      <w:bookmarkEnd w:id="1437"/>
      <w:r>
        <w:rPr>
          <w:rtl w:val="true"/>
        </w:rPr>
        <w:t>الدلیل الثانی</w:t>
      </w:r>
      <w:r>
        <w:rPr>
          <w:rtl w:val="true"/>
        </w:rPr>
        <w:t xml:space="preserve">: </w:t>
      </w:r>
      <w:r>
        <w:rPr>
          <w:rtl w:val="true"/>
        </w:rPr>
        <w:t>السنّة</w:t>
      </w:r>
      <w:bookmarkEnd w:id="1438"/>
    </w:p>
    <w:p>
      <w:pPr>
        <w:pStyle w:val="Heading6"/>
        <w:numPr>
          <w:ilvl w:val="5"/>
          <w:numId w:val="1"/>
        </w:numPr>
        <w:rPr/>
      </w:pPr>
      <w:bookmarkStart w:id="1439" w:name="__RefHeading___Toc3300704_1468164448"/>
      <w:bookmarkStart w:id="1440" w:name="_Toc573"/>
      <w:bookmarkEnd w:id="1439"/>
      <w:r>
        <w:rPr>
          <w:rtl w:val="true"/>
        </w:rPr>
        <w:t>إجمال ما ذکره الأعلام</w:t>
      </w:r>
      <w:bookmarkEnd w:id="1440"/>
    </w:p>
    <w:p>
      <w:pPr>
        <w:pStyle w:val="BookText"/>
        <w:rPr/>
      </w:pPr>
      <w:r>
        <w:rPr>
          <w:rFonts w:ascii="IRNazanin" w:hAnsi="IRNazanin" w:eastAsia="IRNazanin"/>
          <w:color w:val="111111"/>
          <w:sz w:val="28"/>
          <w:sz w:val="28"/>
          <w:szCs w:val="28"/>
          <w:rtl w:val="true"/>
          <w:lang w:bidi="fa-IR"/>
        </w:rPr>
        <w:t>إنّ الشیخ استعرض طوائف من الروایات علی حجّیة خبر الواحد مع مثال لکلّ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الخراسانی اکتفی بالإشارة إلی أنّ هناک تواتراً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الإجمالی منه، الذی هو العلم بصدور بعضها من دون وجود اشتراک معنوی بینها، نظیر العلم الإجمالی بصدور بعض التکالیف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منها خبر العادل، ومن ثمّ یتوسع إلی غیره بروایات عدول مفادها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المتأخرون عنه بذکر صغریات تلک الروایات</w:t>
      </w:r>
      <w:r>
        <w:rPr>
          <w:rFonts w:eastAsia="IRNazanin" w:cs="IRNazanin"/>
          <w:color w:val="111111"/>
          <w:sz w:val="28"/>
          <w:szCs w:val="28"/>
          <w:rtl w:val="true"/>
          <w:lang w:bidi="fa-IR"/>
        </w:rPr>
        <w:t>.</w:t>
      </w:r>
    </w:p>
    <w:p>
      <w:pPr>
        <w:pStyle w:val="Heading6"/>
        <w:numPr>
          <w:ilvl w:val="5"/>
          <w:numId w:val="1"/>
        </w:numPr>
        <w:rPr/>
      </w:pPr>
      <w:bookmarkStart w:id="1441" w:name="__RefHeading___Toc3300706_1468164448"/>
      <w:bookmarkStart w:id="1442" w:name="_Toc574"/>
      <w:bookmarkEnd w:id="1441"/>
      <w:r>
        <w:rPr>
          <w:rtl w:val="true"/>
        </w:rPr>
        <w:t>ملاحظات عامّة علی ما ذکره الأعلام</w:t>
      </w:r>
      <w:bookmarkEnd w:id="1442"/>
    </w:p>
    <w:p>
      <w:pPr>
        <w:pStyle w:val="BookText"/>
        <w:rPr/>
      </w:pPr>
      <w:r>
        <w:rPr>
          <w:rFonts w:ascii="IRNazanin" w:hAnsi="IRNazanin" w:eastAsia="IRNazanin"/>
          <w:color w:val="111111"/>
          <w:sz w:val="28"/>
          <w:sz w:val="28"/>
          <w:szCs w:val="28"/>
          <w:rtl w:val="true"/>
          <w:lang w:bidi="fa-IR"/>
        </w:rPr>
        <w:t>یلاحظ علی الأعلام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الطوائف غیر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بمضمونها وأبوابها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ذکره الشیخ؛ حیث یلاحظ مثل هذه الروایات فی کتاب الکشی و خاتمة المستدرک و أصول الکافی، والأخبار الواردة فی حجّیة الخبر فی الموضوعات الدالّة علی حجّیته فی الشبهة الحکمیة بما ذکره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التقسیم المذکور من اصطلاح الأعلام، وأنّ مفاد الخبر ثبوت کلام الإمام وصدوره منه وهو موضوع خارجی سواء کان مفاده الحکم أو الموضوع</w:t>
      </w:r>
      <w:r>
        <w:rPr>
          <w:rFonts w:eastAsia="IRNazanin" w:cs="IRNazanin"/>
          <w:color w:val="111111"/>
          <w:sz w:val="28"/>
          <w:szCs w:val="28"/>
          <w:rtl w:val="true"/>
          <w:lang w:bidi="fa-IR"/>
        </w:rPr>
        <w:t>. ]</w:t>
      </w:r>
      <w:bookmarkStart w:id="1443" w:name="pg16983_381373"/>
    </w:p>
    <w:p>
      <w:pPr>
        <w:pStyle w:val="BookText"/>
        <w:rPr/>
      </w:pPr>
      <w:bookmarkEnd w:id="1443"/>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لا نحتاج إلی التوسعة بالکیفیة التی جاءت فی کلام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قد بنینا علیها سابقاً بعد أن ذکرنا أنّ القدر المتیقن هو الصحیح الأعلائی، وبواسطته نثبت حجّیة الصحیح المتوسط، وهو یثبت لنا حجّیة الصحیح العادی، وهو یثبت لنا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وجدنا بعدئذ أنّ هناک تواتراً علی خبر الثقة، واستفدنا ذلک من الإلتفات إلی نظر الروایات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السیرة، وأنها لیست فی صدد تأسیس الحجّیة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فی التوسعة المذکورة تأمل، وذلک لما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لأستاذنا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ضرورة تناسب الدلیل مع أهمیة المفاد والقانون، ومثل حجّیة خبر الثقة الذی تثبت به أحکام کثیرة من أول الفقه إلی آخره هو من الأهمیة بمکان لا یمکن أن یکتفی فی دلیلها بخبر أو خبرین</w:t>
      </w:r>
      <w:r>
        <w:rPr>
          <w:rFonts w:eastAsia="IRNazanin" w:cs="IRNazanin"/>
          <w:color w:val="111111"/>
          <w:sz w:val="28"/>
          <w:szCs w:val="28"/>
          <w:rtl w:val="true"/>
          <w:lang w:bidi="fa-IR"/>
        </w:rPr>
        <w:t>.</w:t>
      </w:r>
    </w:p>
    <w:p>
      <w:pPr>
        <w:pStyle w:val="Heading6"/>
        <w:numPr>
          <w:ilvl w:val="5"/>
          <w:numId w:val="1"/>
        </w:numPr>
        <w:rPr/>
      </w:pPr>
      <w:bookmarkStart w:id="1444" w:name="__RefHeading___Toc3300708_1468164448"/>
      <w:bookmarkStart w:id="1445" w:name="_Toc575"/>
      <w:bookmarkEnd w:id="1444"/>
      <w:r>
        <w:rPr>
          <w:rtl w:val="true"/>
        </w:rPr>
        <w:t>تقییم الملاحظة</w:t>
      </w:r>
      <w:bookmarkEnd w:id="1445"/>
    </w:p>
    <w:p>
      <w:pPr>
        <w:pStyle w:val="BookText"/>
        <w:rPr/>
      </w:pPr>
      <w:r>
        <w:rPr>
          <w:rFonts w:ascii="IRNazanin" w:hAnsi="IRNazanin" w:eastAsia="IRNazanin"/>
          <w:color w:val="111111"/>
          <w:sz w:val="28"/>
          <w:sz w:val="28"/>
          <w:szCs w:val="28"/>
          <w:rtl w:val="true"/>
          <w:lang w:bidi="fa-IR"/>
        </w:rPr>
        <w:t>ولکن یمکن الملاحظة علی هذا التأمل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الخبر أو الخبرین إمضاء لسیرة العقلاء، والمجموع صالح لإثبات حجّیة الخبر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والأعلام اکتفوا بعدم الردع فی اکتشاف الإمضاء، فکیف مع وجود التصریح ولو من خبر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الآخوند وأمثاله لم یقتصروا فی الدلیل علی حجّیة خبر الثقة بالخبر الصحیح الواحد أو الإثنین، وإنما استدلّوا بالآیات والإجماع أیضاً، والمجموع صالح لإثبات حجّیة خبر الثقة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یمکن العثور علی أخبار صحیحة تثبت حجّیة خبر الثقة أکثر ممّا ذکره الأعلام، وأضفناه نحن إلی حدّ الإستفاضة، ومن ثمّ لا مشکلة فی إثباتها حجّیة خبر الثقة لتناسبها معها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46" w:name="__RefHeading___Toc3300710_1468164448"/>
      <w:bookmarkStart w:id="1447" w:name="_Toc576"/>
      <w:bookmarkEnd w:id="1446"/>
      <w:r>
        <w:rPr>
          <w:rtl w:val="true"/>
        </w:rPr>
        <w:t>عرض طوائف الروایات</w:t>
      </w:r>
      <w:bookmarkEnd w:id="1447"/>
    </w:p>
    <w:p>
      <w:pPr>
        <w:pStyle w:val="BookText"/>
        <w:rPr/>
      </w:pPr>
      <w:r>
        <w:rPr>
          <w:rFonts w:ascii="IRNazanin" w:hAnsi="IRNazanin" w:eastAsia="IRNazanin"/>
          <w:color w:val="111111"/>
          <w:sz w:val="28"/>
          <w:sz w:val="28"/>
          <w:szCs w:val="28"/>
          <w:rtl w:val="true"/>
          <w:lang w:bidi="fa-IR"/>
        </w:rPr>
        <w:t xml:space="preserve">عرض طوائف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الشیخ وأکثرها فی أبواب صفات القاضی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العلاجیة وتسمّی بأخبار التخییر والترجیح أیضاً وهی ما دلّ علی علاج المتعارضین، بتقریب أنّ ذلک دلیل علی کون کلّ واحد من الخبرین یؤخذ به لولا التعارض</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الإرجاع إلی آحاد الرواة کمحمّد بن مسلم وزرارة والحارث بن النضر وأبان ویونس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صحیحة السند وبعضها صحیح أعلائی، والمجموع 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یظهر من هذه الطائفة أنّ العمل بخبر الثقة کان مفروغاً عنه وإنما المقصود من السؤال والجواب هو تعیین الصغری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الإرجاع إلی عموم رواة الأحادیث أو ثقات الإمام، الدالّة بالأولویة علی الإرجاع إلی الراوی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تَحُثّ علی تحمّل الحدیث وکتابته وحفظه ونقله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وبثّه بین الناس</w:t>
      </w:r>
      <w:r>
        <w:rPr>
          <w:rStyle w:val="FootnoteAnchor"/>
          <w:rtl w:val="true"/>
        </w:rPr>
        <w:footnoteReference w:id="212"/>
      </w:r>
      <w:r>
        <w:rPr>
          <w:rFonts w:ascii="IRNazanin" w:hAnsi="IRNazanin" w:eastAsia="IRNazanin"/>
          <w:color w:val="111111"/>
          <w:sz w:val="28"/>
          <w:sz w:val="28"/>
          <w:szCs w:val="28"/>
          <w:rtl w:val="true"/>
          <w:lang w:bidi="fa-IR"/>
        </w:rPr>
        <w:t>، بتقریب أنه لو لم یکن الخبر حجّة لکان مثل هذه الروایات لغواً؛ لبداهة أنّ کثیراً من الأحکام لم تصل إلینا إلاّ عبر خبر أو خبرین، بالإضافة إلی ناظریة مثل هذه الروایات إلی السیرة مما یعنی أنها إمضاء تصریحی لها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عرض بعض کتب الأصحاب الحدیثیة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وتأییدهم لجمیع ما فیه أو بعضه</w:t>
      </w:r>
      <w:r>
        <w:rPr>
          <w:rStyle w:val="FootnoteAnchor"/>
          <w:rtl w:val="true"/>
        </w:rPr>
        <w:footnoteReference w:id="213"/>
      </w:r>
      <w:r>
        <w:rPr>
          <w:rFonts w:ascii="Amiri" w:hAnsi="Amiri" w:eastAsia="Amiri" w:cs="Amiri"/>
          <w:color w:val="111111"/>
          <w:sz w:val="28"/>
          <w:sz w:val="28"/>
          <w:szCs w:val="28"/>
          <w:rtl w:val="true"/>
          <w:lang w:bidi="ar-SA"/>
        </w:rPr>
        <w:t>ممّا یحکی عن حجّیة</w:t>
      </w:r>
      <w:bookmarkStart w:id="1448" w:name="pg16983_381378"/>
    </w:p>
    <w:p>
      <w:pPr>
        <w:pStyle w:val="BookText"/>
        <w:rPr/>
      </w:pPr>
      <w:bookmarkEnd w:id="1448"/>
      <w:r>
        <w:rPr>
          <w:rFonts w:ascii="IRNazanin" w:hAnsi="IRNazanin" w:eastAsia="IRNazanin"/>
          <w:color w:val="111111"/>
          <w:sz w:val="28"/>
          <w:sz w:val="28"/>
          <w:szCs w:val="28"/>
          <w:rtl w:val="true"/>
          <w:lang w:bidi="fa-IR"/>
        </w:rPr>
        <w:t>خبر الواحد؛ لأنّ الأخبار المودعة فی تلک الکتب لم تکن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 هناک مَن یکذب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فلو لم یکن خبر الواحد طریقاً متبعاً لما توسّل الکذّاب بالخبر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الآمرة بالرجوع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الشرعیة فإنهم مَصدرها وتدلّ بالإلتزام علی صحة الروایة والتحدیث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9" w:name="__RefHeading___Toc3300712_1468164448"/>
      <w:bookmarkStart w:id="1450" w:name="_Toc577"/>
      <w:bookmarkEnd w:id="1449"/>
      <w:r>
        <w:rPr>
          <w:rtl w:val="true"/>
        </w:rPr>
        <w:t>خلاصة الإستدلال بهذه الطوائف</w:t>
      </w:r>
      <w:bookmarkEnd w:id="1450"/>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البیّن وجود قانون عقلائی سائد علی العمل بخبر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البدیهی أنّ وسائل النقل والإنتقال والتفاهم لا یمکن أن تکون بدرجة العلم بشتی المجالات، نعم یمکن ذلک فی ساحات محدودة 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ما ذکرنا أنّا حینما نطالع ما بأیدینا من الأحکام نجد أنّ أکثرها ظنی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بالمطابقة علی وجود آثار سابقة ومتفرعة تحوم حول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الآثار لا معنی لها إلاّ مع حجّیة الخبر</w:t>
      </w:r>
      <w:r>
        <w:rPr>
          <w:rFonts w:eastAsia="IRNazanin" w:cs="IRNazanin"/>
          <w:color w:val="111111"/>
          <w:sz w:val="28"/>
          <w:szCs w:val="28"/>
          <w:rtl w:val="true"/>
          <w:lang w:bidi="fa-IR"/>
        </w:rPr>
        <w:t>.</w:t>
      </w:r>
      <w:r>
        <w:rPr>
          <w:rStyle w:val="FootnoteAnchor"/>
          <w:rtl w:val="true"/>
        </w:rPr>
        <w:footnoteReference w:id="216"/>
      </w:r>
      <w:bookmarkStart w:id="1451" w:name="pg16983_381380"/>
    </w:p>
    <w:p>
      <w:pPr>
        <w:pStyle w:val="BookText"/>
        <w:rPr/>
      </w:pPr>
      <w:bookmarkEnd w:id="1451"/>
      <w:r>
        <w:rPr>
          <w:rFonts w:ascii="IRNazanin" w:hAnsi="IRNazanin" w:eastAsia="IRNazanin"/>
          <w:color w:val="111111"/>
          <w:sz w:val="28"/>
          <w:sz w:val="28"/>
          <w:szCs w:val="28"/>
          <w:rtl w:val="true"/>
          <w:lang w:bidi="fa-IR"/>
        </w:rPr>
        <w:t>ولکن هذا التقریب لا یتمّ إلاّ مع فرض ناظریة الأخبار للقانون العقلائی وهو کذلک؛ إذ لا یمکن أن تکون ناظرة إلی الأخبار القلیلة المتواترة</w:t>
      </w:r>
      <w:r>
        <w:rPr>
          <w:rFonts w:eastAsia="IRNazanin" w:cs="IRNazanin"/>
          <w:color w:val="111111"/>
          <w:sz w:val="28"/>
          <w:szCs w:val="28"/>
          <w:rtl w:val="true"/>
          <w:lang w:bidi="fa-IR"/>
        </w:rPr>
        <w:t>.</w:t>
      </w:r>
    </w:p>
    <w:p>
      <w:pPr>
        <w:pStyle w:val="Heading6"/>
        <w:numPr>
          <w:ilvl w:val="5"/>
          <w:numId w:val="1"/>
        </w:numPr>
        <w:rPr/>
      </w:pPr>
      <w:bookmarkStart w:id="1452" w:name="__RefHeading___Toc3300714_1468164448"/>
      <w:bookmarkStart w:id="1453" w:name="_Toc578"/>
      <w:bookmarkEnd w:id="1452"/>
      <w:r>
        <w:rPr>
          <w:rtl w:val="true"/>
        </w:rPr>
        <w:t>حدود حجّیة الخبر بحسب الأخبار</w:t>
      </w:r>
      <w:bookmarkEnd w:id="1453"/>
    </w:p>
    <w:p>
      <w:pPr>
        <w:pStyle w:val="BookText"/>
        <w:rPr/>
      </w:pPr>
      <w:r>
        <w:rPr>
          <w:rFonts w:ascii="IRNazanin" w:hAnsi="IRNazanin" w:eastAsia="IRNazanin"/>
          <w:color w:val="111111"/>
          <w:sz w:val="28"/>
          <w:sz w:val="28"/>
          <w:szCs w:val="28"/>
          <w:rtl w:val="true"/>
          <w:lang w:bidi="fa-IR"/>
        </w:rPr>
        <w:t xml:space="preserve">بعد أن اتضح دلالة الأخبار علی الحجّیة، یقع الحدیث فی حدود الحجّیة بحسب هذه الأخبار، علماً أنّنا فی راحة بعد أن فرضنا ناظریة الأخبار إلی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جاریة علی حجّیة خبر الثقة والموثوق بصدوره کما سنبیّن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علی مبانی الآخرین یمکن القول أنّ التواتر قام علی حجّیة خبر الثقة وأنّه هو المتیقن من الأخبار المتواترة بطوائفها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غضّ النظر عن هذا التقریب والقول بأنّ المتیقن منها حجّیة الخبر الصحیح بل الصحیح الأعلائی، یقع السؤال عن وجود خبر صحیح یدلّ علی حجّیة ما دونه؟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أخباراً أدّعی أنها صحیحة وتامة 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حریز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عمر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إسماعیل الهاشمی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مفاد صحیحة حریز فهی حجّیة خبر الثقة، ومفاد صحیحة</w:t>
      </w:r>
      <w:bookmarkStart w:id="1454" w:name="pg16983_381382"/>
    </w:p>
    <w:p>
      <w:pPr>
        <w:pStyle w:val="BookText"/>
        <w:rPr/>
      </w:pPr>
      <w:bookmarkEnd w:id="1454"/>
      <w:r>
        <w:rPr>
          <w:rFonts w:ascii="IRNazanin" w:hAnsi="IRNazanin" w:eastAsia="IRNazanin"/>
          <w:color w:val="111111"/>
          <w:sz w:val="28"/>
          <w:sz w:val="28"/>
          <w:szCs w:val="28"/>
          <w:rtl w:val="true"/>
          <w:lang w:bidi="fa-IR"/>
        </w:rPr>
        <w:t>عمر بن یزید هی حجّیة خبر الثقة الإمامی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وهنا نکتة یجدر الإلتفات إلیها وهی أنّ الفرق بین الخبر الصحیح والموثق ثبوتی، فالاول ما تمحّض رواته فی الإمامی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الفرق بین الصحیح والحسن وبین الموثق والقوی لیس ثبوتیاً، وإنما إثباتی فی درجة الإحراز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تحرز عدالة الإمامی أو صدق لهجته یقیناً أو اطمئناناً فهو الصحیح، وأخری یحرز أحدها بالإعتبار الشرعی 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غیر الإمامی تارة یحرز صدق لهجته وجداناً فهو الثقة، وأخری تعبداً فهو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علیه مشهور الرجالیین وهو الحق، خلافاً لمَن جعل الفرق ثبوتیاً</w:t>
      </w:r>
      <w:r>
        <w:rPr>
          <w:rFonts w:eastAsia="IRNazanin" w:cs="IRNazanin"/>
          <w:color w:val="111111"/>
          <w:sz w:val="28"/>
          <w:szCs w:val="28"/>
          <w:rtl w:val="true"/>
          <w:lang w:bidi="fa-IR"/>
        </w:rPr>
        <w:t>.</w:t>
      </w:r>
    </w:p>
    <w:p>
      <w:pPr>
        <w:pStyle w:val="Heading6"/>
        <w:numPr>
          <w:ilvl w:val="5"/>
          <w:numId w:val="1"/>
        </w:numPr>
        <w:rPr/>
      </w:pPr>
      <w:bookmarkStart w:id="1455" w:name="__RefHeading___Toc3300716_1468164448"/>
      <w:bookmarkStart w:id="1456" w:name="_Toc579"/>
      <w:bookmarkEnd w:id="1455"/>
      <w:r>
        <w:rPr>
          <w:rtl w:val="true"/>
        </w:rPr>
        <w:t>مفاد الصحیحتین</w:t>
      </w:r>
      <w:bookmarkEnd w:id="1456"/>
    </w:p>
    <w:p>
      <w:pPr>
        <w:pStyle w:val="BookText"/>
        <w:rPr/>
      </w:pPr>
      <w:r>
        <w:rPr>
          <w:rFonts w:ascii="IRNazanin" w:hAnsi="IRNazanin" w:eastAsia="IRNazanin"/>
          <w:color w:val="111111"/>
          <w:sz w:val="28"/>
          <w:sz w:val="28"/>
          <w:szCs w:val="28"/>
          <w:rtl w:val="true"/>
          <w:lang w:bidi="fa-IR"/>
        </w:rPr>
        <w:t>إذا اتضح 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صحیحة عمر بن یزید تدلّ علی حجّیة 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کان رواته إمامیین، عدولاً أو ثقات بالوجدان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قامت علیه الحجّة ممن یثق به فی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حجّیة الخبر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الشمول حتی لغیر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حریز من جهة المورد أصرح فی شمولها لخبر الثقة دون الحسن والقوی</w:t>
      </w:r>
      <w:r>
        <w:rPr>
          <w:rFonts w:eastAsia="IRNazanin" w:cs="IRNazanin"/>
          <w:color w:val="111111"/>
          <w:sz w:val="28"/>
          <w:szCs w:val="28"/>
          <w:rtl w:val="true"/>
          <w:lang w:bidi="fa-IR"/>
        </w:rPr>
        <w:t>.</w:t>
      </w:r>
    </w:p>
    <w:p>
      <w:pPr>
        <w:pStyle w:val="Heading6"/>
        <w:numPr>
          <w:ilvl w:val="5"/>
          <w:numId w:val="1"/>
        </w:numPr>
        <w:rPr/>
      </w:pPr>
      <w:bookmarkStart w:id="1457" w:name="__RefHeading___Toc3300718_1468164448"/>
      <w:bookmarkStart w:id="1458" w:name="_Toc580"/>
      <w:bookmarkEnd w:id="1457"/>
      <w:r>
        <w:rPr>
          <w:rtl w:val="true"/>
        </w:rPr>
        <w:t>روایة عبد العزیز بن المهتدی</w:t>
      </w:r>
      <w:bookmarkEnd w:id="1458"/>
    </w:p>
    <w:p>
      <w:pPr>
        <w:pStyle w:val="BookText"/>
        <w:rPr/>
      </w:pPr>
      <w:r>
        <w:rPr>
          <w:rFonts w:ascii="IRNazanin" w:hAnsi="IRNazanin" w:eastAsia="IRNazanin"/>
          <w:color w:val="111111"/>
          <w:sz w:val="28"/>
          <w:sz w:val="28"/>
          <w:szCs w:val="28"/>
          <w:rtl w:val="true"/>
          <w:lang w:bidi="fa-IR"/>
        </w:rPr>
        <w:t>ومثل هاتین الصحیحتین أخبار عبد العزیز بن المهتدی القمی الواردة فی حقّ یونس بن عبد الرحمن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الکشی عن محمّد بن نصیر، عن محمد بن عیسی، عن عبد العزیز بن المهتدی والحسن بن علی بن یقطین جمیعاً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أکادُ أَصِلُ إِلَیْکَ أَسْأَلُکَ عَنْ کُلِّ مَا أَحْتَاجُ إِلَیْهِ مِنْ مَعَالِمِ دِینِی أَفَیُونُسُ بْنُ عَبْدِ الرَّحْمَنِ ثِقَةٌ آخُذُ عَنْهُ مَا أَحْتَاجُ إِلَیْهِ</w:t>
      </w:r>
      <w:bookmarkStart w:id="1459" w:name="pg16983_381384"/>
    </w:p>
    <w:p>
      <w:pPr>
        <w:pStyle w:val="BookText"/>
        <w:rPr/>
      </w:pPr>
      <w:bookmarkEnd w:id="1459"/>
      <w:r>
        <w:rPr>
          <w:rFonts w:ascii="Amiri" w:hAnsi="Amiri" w:eastAsia="Amiri" w:cs="Amiri"/>
          <w:color w:val="111111"/>
          <w:sz w:val="28"/>
          <w:sz w:val="28"/>
          <w:szCs w:val="28"/>
          <w:rtl w:val="true"/>
          <w:lang w:bidi="ar-SA"/>
        </w:rPr>
        <w:t>مِنْ مَعَالِمِ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الکشی عن علی بن محمّد القتیبی عَنِ الْفَضْلِ بْنِ شَاذَانَ عَنْ عَبْدِ الْعَزِیزِ بْنِ الْمُهْتَدِی وَ کَانَ خَیْرَ قُمِّیٍّ رَأَیْتُهُ وَکَانَ وَکِیلَ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أَلْقَاکَ فِی کُلِّ وَقْتٍ فَعَمَّنْ آخُذُ مَعَالِمَ دِینِی؟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یُونُسَ بْنِ عَبْدِ الرَّحْمَنِ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رواه الکشی عن جبرئیل بن أحمد عَنْ مُحَمَّدِ بْنِ عِیسَی عَنْ عَبْدِ الْعَزِیزِ بْنِ الْمُهْتَدِی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شُقَّتِی بَعِیدَةٌ فَلَسْتُ أَصِلُ إِلَیْکَ فِی کُلِّ وَقْتٍ فَآخُذُ مَعَالِمَ دِینِی عَنْ یُونُسَ مَوْلَی آلِ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فإنّ الظاهر منها المفروغیة عن کبری حجّیة خبر الثقة عند السائل، وأنّ السؤال عن صغرویة یونس ومصداقیته لتلک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موقف القمیین من یونس وتکفیرهم له بالغلو لتبنّیه بعض الأفکار الکلامیة کانوا یرون أنها غلو</w:t>
      </w:r>
      <w:r>
        <w:rPr>
          <w:rFonts w:eastAsia="IRNazanin" w:cs="IRNazanin"/>
          <w:color w:val="111111"/>
          <w:sz w:val="28"/>
          <w:szCs w:val="28"/>
          <w:rtl w:val="true"/>
          <w:lang w:bidi="fa-IR"/>
        </w:rPr>
        <w:t>. ]</w:t>
      </w:r>
    </w:p>
    <w:p>
      <w:pPr>
        <w:pStyle w:val="Heading6"/>
        <w:numPr>
          <w:ilvl w:val="5"/>
          <w:numId w:val="1"/>
        </w:numPr>
        <w:rPr/>
      </w:pPr>
      <w:bookmarkStart w:id="1460" w:name="__RefHeading___Toc3300720_1468164448"/>
      <w:bookmarkStart w:id="1461" w:name="_Toc581"/>
      <w:bookmarkEnd w:id="1460"/>
      <w:r>
        <w:rPr>
          <w:rtl w:val="true"/>
        </w:rPr>
        <w:t>المناقشة فی روایة عبد العزیز</w:t>
      </w:r>
      <w:bookmarkEnd w:id="1461"/>
    </w:p>
    <w:p>
      <w:pPr>
        <w:pStyle w:val="BookText"/>
        <w:rPr/>
      </w:pPr>
      <w:r>
        <w:rPr>
          <w:rFonts w:ascii="IRNazanin" w:hAnsi="IRNazanin" w:eastAsia="IRNazanin"/>
          <w:color w:val="111111"/>
          <w:sz w:val="28"/>
          <w:sz w:val="28"/>
          <w:szCs w:val="28"/>
          <w:rtl w:val="true"/>
          <w:lang w:bidi="fa-IR"/>
        </w:rPr>
        <w:t>ولکن لم تسلم هذه الصحیحة من الإشکالات علی صعید السند</w:t>
      </w:r>
    </w:p>
    <w:p>
      <w:pPr>
        <w:pStyle w:val="BookText"/>
        <w:rPr/>
      </w:pPr>
      <w:r>
        <w:rPr>
          <w:rFonts w:ascii="Amiri" w:hAnsi="Amiri" w:eastAsia="Amiri" w:cs="Amiri"/>
          <w:color w:val="111111"/>
          <w:sz w:val="28"/>
          <w:sz w:val="28"/>
          <w:szCs w:val="28"/>
          <w:rtl w:val="true"/>
          <w:lang w:bidi="ar-SA"/>
        </w:rPr>
        <w:t>والدلالة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الإشکال السندی فهو فی محمّد بن عیسی بن عبید الیقطینی</w:t>
      </w:r>
    </w:p>
    <w:p>
      <w:pPr>
        <w:pStyle w:val="BookText"/>
        <w:rPr/>
      </w:pPr>
      <w:r>
        <w:rPr>
          <w:rFonts w:ascii="IRNazanin" w:hAnsi="IRNazanin" w:eastAsia="IRNazanin"/>
          <w:color w:val="111111"/>
          <w:sz w:val="28"/>
          <w:sz w:val="28"/>
          <w:szCs w:val="28"/>
          <w:rtl w:val="true"/>
          <w:lang w:bidi="fa-IR"/>
        </w:rPr>
        <w:t>حیث ضعّفه الشیخ فی فهرسته</w:t>
      </w:r>
      <w:r>
        <w:rPr>
          <w:rStyle w:val="FootnoteAnchor"/>
          <w:rtl w:val="true"/>
        </w:rPr>
        <w:footnoteReference w:id="222"/>
      </w:r>
      <w:r>
        <w:rPr>
          <w:rFonts w:ascii="IRNazanin" w:hAnsi="IRNazanin" w:eastAsia="IRNazanin"/>
          <w:color w:val="111111"/>
          <w:sz w:val="28"/>
          <w:sz w:val="28"/>
          <w:szCs w:val="28"/>
          <w:rtl w:val="true"/>
          <w:lang w:bidi="fa-IR"/>
        </w:rPr>
        <w:t>ورجاله ووصفه فی رجاله بأنه یونسی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عن عبد العزیز لا تنحصر بمحمّد بن عیسی بن عبید، بل الفضل بن شاذان، الثقة المعروف، یروی أیضاً هذا المضمون عن عبد العزیز بن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أنّ محمّد بن عیسی بن عبید ثقة، بعد مراجعة کلمات الأعلام وتجمیع القرائن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خاصة وأنّ یونس 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روایته هذه لیست عن یونس، والصدوق توقّف فی روایته مع انفراده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فی الدلالة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مراد الراوی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بقرینة توثیق الإمام لیونس، فلا تدلّ إلاّ علی حجّیة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کتقریب لدلالة الروایة، وهو أنّ السؤال إنما هو عن یونس کصغری لکبری مفروغ عنها لا عن یونسیة یونس کی یکون للإشکال موقع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أصول الدین، ومن المقطوع عدم حجّیة الظن فیها، مما یشکّل قرینة علی أنّ السؤال عن یونس أنه یفید العلم أو لا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فی التنبیهات من أنّ خبر الواحد حجّة فی شطرواسع من تفاصیل أصول الدین، وسؤال الراوی لیس عن أصل التوحید والنبوة والإمامة والمعاد، وإنما عن تلک التفاصیل التی یعتمد</w:t>
      </w:r>
      <w:bookmarkStart w:id="1462" w:name="pg16983_381389"/>
    </w:p>
    <w:p>
      <w:pPr>
        <w:pStyle w:val="BookText"/>
        <w:rPr/>
      </w:pPr>
      <w:bookmarkEnd w:id="1462"/>
      <w:r>
        <w:rPr>
          <w:rFonts w:ascii="IRNazanin" w:hAnsi="IRNazanin" w:eastAsia="IRNazanin"/>
          <w:color w:val="111111"/>
          <w:sz w:val="28"/>
          <w:sz w:val="28"/>
          <w:szCs w:val="28"/>
          <w:rtl w:val="true"/>
          <w:lang w:bidi="fa-IR"/>
        </w:rPr>
        <w:t>فیها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إطلاق الروایة یرفع الید عن حجّیة الخبر بمقدار أصول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الروایة فی صدد حجّیة الفتیا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عنه ما 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سیاق الحدیث عن الآیات، حیث أشرنا إلی کیفیة تکفل الدلیل الواحد جعل حجّتین أو أکثر معاً</w:t>
      </w:r>
      <w:r>
        <w:rPr>
          <w:rFonts w:eastAsia="IRNazanin" w:cs="IRNazanin"/>
          <w:color w:val="111111"/>
          <w:sz w:val="28"/>
          <w:szCs w:val="28"/>
          <w:rtl w:val="true"/>
          <w:lang w:bidi="fa-IR"/>
        </w:rPr>
        <w:t>.</w:t>
      </w:r>
    </w:p>
    <w:p>
      <w:pPr>
        <w:pStyle w:val="Heading6"/>
        <w:numPr>
          <w:ilvl w:val="5"/>
          <w:numId w:val="1"/>
        </w:numPr>
        <w:rPr/>
      </w:pPr>
      <w:bookmarkStart w:id="1463" w:name="__RefHeading___Toc3300722_1468164448"/>
      <w:bookmarkStart w:id="1464" w:name="_Toc582"/>
      <w:bookmarkEnd w:id="1463"/>
      <w:r>
        <w:rPr>
          <w:rtl w:val="true"/>
        </w:rPr>
        <w:t>صحیحة الحمیری</w:t>
      </w:r>
      <w:bookmarkEnd w:id="1464"/>
    </w:p>
    <w:p>
      <w:pPr>
        <w:pStyle w:val="BookText"/>
        <w:rPr/>
      </w:pPr>
      <w:r>
        <w:rPr>
          <w:rFonts w:ascii="Amiri" w:hAnsi="Amiri" w:eastAsia="Amiri" w:cs="Amiri"/>
          <w:color w:val="111111"/>
          <w:sz w:val="28"/>
          <w:sz w:val="28"/>
          <w:szCs w:val="28"/>
          <w:rtl w:val="true"/>
          <w:lang w:bidi="ar-SA"/>
        </w:rPr>
        <w:t>والصحیحة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الکلینی عن محمّد بن عبد الله الحمیری و محمّد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الحمیری، عن أحمد بن إسحاق،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وَقُلْتُ مَنْ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وَقَوْلَ مَنْ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فَمَا أَدَّی إِلَیْکَ عَنِّی فَعَنِّی یُؤَدِّی وَمَا قَالَ لَکَ عَنِّی فَعَنِّی یَقُولُ، فَاسْمَعْ لَهُ وَأَطِعْ فَإِنَّهُ الثِّقَةُ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وَ ابْنُهُ ثِقَتَانِ فَمَا أَدَّیَا إِلَیْکَ عَنِّی فَعَنِّی یُؤَدِّیَانِ وَمَا قَالا لَکَ فَعَنِّی یَقُولانِ فَاسْمَعْ لَهُمَا وَ 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وقد أشکل علی دلالة الراویة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توثیق المعصوم فوق العدالة، ویؤیده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النیابة الخاصة التی تحتاج إلی مرتبة عالیة من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 بیانه لعمریة العمری بإضافته إلی نفسه الشریفة إلاّ أنه ذیّل الحدیث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تعلیله حجّیة قوله بکبری مفروغ عنها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فی صدد حجّیة الفتوی أو الولایة الخاصة،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أدّیا إلیک فعنی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له وأطع</w:t>
      </w:r>
      <w:r>
        <w:rPr>
          <w:rFonts w:eastAsia="IRNazanin" w:cs="IRNazanin"/>
          <w:color w:val="111111"/>
          <w:sz w:val="28"/>
          <w:szCs w:val="28"/>
          <w:rtl w:val="true"/>
          <w:lang w:bidi="fa-IR"/>
        </w:rPr>
        <w:t>».</w:t>
      </w:r>
      <w:bookmarkStart w:id="1465" w:name="pg16983_381391"/>
    </w:p>
    <w:p>
      <w:pPr>
        <w:pStyle w:val="BookText"/>
        <w:rPr/>
      </w:pPr>
      <w:bookmarkEnd w:id="1465"/>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ننفی ما ذکر من أنّ الروایة فی صدد الوکالة الخاصة فی عهد العسکریین، توطئة للنیابة الخاصة فی عهد الغیبة الصغری، إلاّ أنها فی الوقت ذاته متعرضة لحجّیة القول أیضاً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لک عنی فعنی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یتناسب مع الوثاقة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 له وأطع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یتنافی مع حجّیة الروایة، حیث إنّ فیها سماعاً وطاعة بالأخذ بها</w:t>
      </w:r>
      <w:r>
        <w:rPr>
          <w:rFonts w:eastAsia="IRNazanin" w:cs="IRNazanin"/>
          <w:color w:val="111111"/>
          <w:sz w:val="28"/>
          <w:szCs w:val="28"/>
          <w:rtl w:val="true"/>
          <w:lang w:bidi="fa-IR"/>
        </w:rPr>
        <w:t>.</w:t>
      </w:r>
    </w:p>
    <w:p>
      <w:pPr>
        <w:pStyle w:val="Heading6"/>
        <w:numPr>
          <w:ilvl w:val="5"/>
          <w:numId w:val="1"/>
        </w:numPr>
        <w:rPr/>
      </w:pPr>
      <w:bookmarkStart w:id="1466" w:name="__RefHeading___Toc3300724_1468164448"/>
      <w:bookmarkStart w:id="1467" w:name="_Toc583"/>
      <w:bookmarkEnd w:id="1466"/>
      <w:r>
        <w:rPr>
          <w:rtl w:val="true"/>
        </w:rPr>
        <w:t>روایة إسماعیل بن الفضل الهاشمی</w:t>
      </w:r>
      <w:bookmarkEnd w:id="1467"/>
    </w:p>
    <w:p>
      <w:pPr>
        <w:pStyle w:val="BookText"/>
        <w:rPr/>
      </w:pPr>
      <w:r>
        <w:rPr>
          <w:rFonts w:ascii="Amiri" w:hAnsi="Amiri" w:eastAsia="Amiri" w:cs="Amiri"/>
          <w:color w:val="111111"/>
          <w:sz w:val="28"/>
          <w:sz w:val="28"/>
          <w:szCs w:val="28"/>
          <w:rtl w:val="true"/>
          <w:lang w:bidi="ar-SA"/>
        </w:rPr>
        <w:t>رواه الکلینی عن علی بن إبراهیم، عن أبیه،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عَبْدَ الْمَلِکِ بْنَ جُرَیْجٍ فَسَلْهُ عَنْهَا فَإِنَّ عِنْدَهُ مِنْهَا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فَلَقِیتُهُ فَأَمْلَی عَلَیَّ شَیْئاً کَثِیراً فِی اسْتِحْلالِهَا وَکَانَ فِیمَا رَوَی فِیهَا ابْنُ جُرَیْجٍ أَنَّهُ لَیْسَ لَهَا وَقْتٌ وَ لا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بِالْکِتَابِ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أَقَرَّ بِهِ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وفی تلک الحسنة أحال الإمامُ إسماعیلَ بن الفضل علی فقیه من فقهاء العامة کان یمیل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عبد الملک بن عبد العزیز بن جریح الرومی الأموی، فإنّ ذلک یدلّ علی حجّیة خبر الثقة، إلی حدّ أنّ إسماعیل روی عنه بمقدار کتاب کامل عن المتعة من دون أن یقیده الإمام بعرضه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یستشکل فی هذا التقریب أنّ الإمام کان یعلم أنّ عبدالملک صادق، فالراوی سیعلم بصدقه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إسماعیل لم یحصل له علم بروایات عبد الملک جراء إحالة الإمام علیه، بدلیل عرضه ما أخذه من عبد الملک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جواب الإمام أنه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یستنکر علیه عرضه بدعوی أنّ الإحالة معناها أنّ کلام عبد الملک یفید العلم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ویصیب الواقع</w:t>
      </w:r>
      <w:r>
        <w:rPr>
          <w:rFonts w:eastAsia="IRNazanin" w:cs="IRNazanin"/>
          <w:color w:val="111111"/>
          <w:sz w:val="28"/>
          <w:szCs w:val="28"/>
          <w:rtl w:val="true"/>
          <w:lang w:bidi="fa-IR"/>
        </w:rPr>
        <w:t>.</w:t>
      </w:r>
      <w:bookmarkStart w:id="1468" w:name="pg16983_381395"/>
    </w:p>
    <w:p>
      <w:pPr>
        <w:pStyle w:val="Heading5"/>
        <w:numPr>
          <w:ilvl w:val="4"/>
          <w:numId w:val="1"/>
        </w:numPr>
        <w:rPr/>
      </w:pPr>
      <w:bookmarkStart w:id="1469" w:name="__RefHeading___Toc3300726_1468164448"/>
      <w:bookmarkStart w:id="1470" w:name="_Toc584"/>
      <w:bookmarkEnd w:id="1468"/>
      <w:bookmarkEnd w:id="1469"/>
      <w:r>
        <w:rPr>
          <w:rtl w:val="true"/>
        </w:rPr>
        <w:t>الدلیل الثالث</w:t>
      </w:r>
      <w:r>
        <w:rPr>
          <w:rtl w:val="true"/>
        </w:rPr>
        <w:t xml:space="preserve">: </w:t>
      </w:r>
      <w:r>
        <w:rPr>
          <w:rtl w:val="true"/>
        </w:rPr>
        <w:t>الإجماع</w:t>
      </w:r>
      <w:bookmarkEnd w:id="1470"/>
    </w:p>
    <w:p>
      <w:pPr>
        <w:pStyle w:val="Heading6"/>
        <w:numPr>
          <w:ilvl w:val="5"/>
          <w:numId w:val="1"/>
        </w:numPr>
        <w:rPr/>
      </w:pPr>
      <w:bookmarkStart w:id="1471" w:name="__RefHeading___Toc3300728_1468164448"/>
      <w:bookmarkStart w:id="1472" w:name="_Toc585"/>
      <w:bookmarkEnd w:id="1471"/>
      <w:r>
        <w:rPr>
          <w:rtl w:val="true"/>
        </w:rPr>
        <w:t>اشارة</w:t>
      </w:r>
      <w:bookmarkEnd w:id="1472"/>
    </w:p>
    <w:p>
      <w:pPr>
        <w:pStyle w:val="BookText"/>
        <w:rPr/>
      </w:pPr>
      <w:r>
        <w:rPr>
          <w:rFonts w:ascii="IRNazanin" w:hAnsi="IRNazanin" w:eastAsia="IRNazanin"/>
          <w:color w:val="111111"/>
          <w:sz w:val="28"/>
          <w:sz w:val="28"/>
          <w:szCs w:val="28"/>
          <w:rtl w:val="true"/>
          <w:lang w:bidi="fa-IR"/>
        </w:rPr>
        <w:t>ادّعی انعقاد الإجماع علی حجّیة خبر الواحد بأربعة أشکال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المحصّل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العملی عند المتشرعة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العملی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والأخیران خارجان عن بحث الإجماع کما سنبیّن، حیث یدخلان فی باب جدید مع دلیل العقل و دلیل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العلاقة بین الشریعة السماویة والعقلائیة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بحث کبروی طبّق علی صغری هو خبر الواحد</w:t>
      </w:r>
      <w:r>
        <w:rPr>
          <w:rFonts w:eastAsia="IRNazanin" w:cs="IRNazanin"/>
          <w:color w:val="111111"/>
          <w:sz w:val="28"/>
          <w:szCs w:val="28"/>
          <w:rtl w:val="true"/>
          <w:lang w:bidi="fa-IR"/>
        </w:rPr>
        <w:t>.</w:t>
      </w:r>
    </w:p>
    <w:p>
      <w:pPr>
        <w:pStyle w:val="Heading6"/>
        <w:numPr>
          <w:ilvl w:val="5"/>
          <w:numId w:val="1"/>
        </w:numPr>
        <w:rPr/>
      </w:pPr>
      <w:bookmarkStart w:id="1473" w:name="__RefHeading___Toc3300730_1468164448"/>
      <w:bookmarkStart w:id="1474" w:name="_Toc586"/>
      <w:bookmarkEnd w:id="1473"/>
      <w:r>
        <w:rPr>
          <w:rtl w:val="true"/>
        </w:rPr>
        <w:t>تدافع دعوی الشیخ والسیّد فی هذا الإجماع</w:t>
      </w:r>
      <w:bookmarkEnd w:id="1474"/>
    </w:p>
    <w:p>
      <w:pPr>
        <w:pStyle w:val="BookText"/>
        <w:rPr/>
      </w:pPr>
      <w:r>
        <w:rPr>
          <w:rFonts w:ascii="IRNazanin" w:hAnsi="IRNazanin" w:eastAsia="IRNazanin"/>
          <w:color w:val="111111"/>
          <w:sz w:val="28"/>
          <w:sz w:val="28"/>
          <w:szCs w:val="28"/>
          <w:rtl w:val="true"/>
          <w:lang w:bidi="fa-IR"/>
        </w:rPr>
        <w:t>أبرز ما فی الإجماع المنقول علی حجّیة خبر الواحد هو تدافع دعوی الشیخ والسیّد؛ حیث إنّ الشیخ الطوسی وأتباعه ادّعوا الإجماع علی حجّیة الخبر، مع دعوی السیّد المرتضی وأتباعه الإجماع علی العکس، مع تقارب عصرهما، بل شدّة العلاقة بینهما والتفات الشیخ الطوسی إلی دعوی أستاذه، فی الوقت الذی نلحظ الشیخ الطوسی کالطبرسی ینتهی إلی عدم الحجّیة فی ذیل آیة النبأ</w:t>
      </w:r>
      <w:r>
        <w:rPr>
          <w:rFonts w:eastAsia="IRNazanin" w:cs="IRNazanin"/>
          <w:color w:val="111111"/>
          <w:sz w:val="28"/>
          <w:szCs w:val="28"/>
          <w:rtl w:val="true"/>
          <w:lang w:bidi="fa-IR"/>
        </w:rPr>
        <w:t>.</w:t>
      </w:r>
    </w:p>
    <w:p>
      <w:pPr>
        <w:pStyle w:val="Heading6"/>
        <w:numPr>
          <w:ilvl w:val="5"/>
          <w:numId w:val="1"/>
        </w:numPr>
        <w:rPr/>
      </w:pPr>
      <w:bookmarkStart w:id="1475" w:name="__RefHeading___Toc3300732_1468164448"/>
      <w:bookmarkStart w:id="1476" w:name="_Toc587"/>
      <w:bookmarkEnd w:id="1475"/>
      <w:r>
        <w:rPr>
          <w:rtl w:val="true"/>
        </w:rPr>
        <w:t>ما ذُکر فی حلّ هذا التدافع</w:t>
      </w:r>
      <w:bookmarkEnd w:id="147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تصدّی الأعلام لتوجیه هذا الإختلاف ببیانات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الإلتفات إلی فائدة الإطالة فی هذا البحث، وأنها تکمن فی تشخیص</w:t>
      </w:r>
    </w:p>
    <w:p>
      <w:pPr>
        <w:pStyle w:val="BookText"/>
        <w:rPr/>
      </w:pPr>
      <w:r>
        <w:rPr>
          <w:rFonts w:ascii="IRNazanin" w:hAnsi="IRNazanin" w:eastAsia="IRNazanin"/>
          <w:color w:val="111111"/>
          <w:sz w:val="28"/>
          <w:sz w:val="28"/>
          <w:szCs w:val="28"/>
          <w:rtl w:val="true"/>
          <w:lang w:bidi="fa-IR"/>
        </w:rPr>
        <w:t xml:space="preserve">نظرات الأعلام فی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إذا کانت محفوفة بقرائن، فما هی هویة تلک القرائن؟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بینهما فی تخریج العمل بالروایات الموجودة فی الکتب المعتبرة، بعد اتفاقهما علی أنّ ضرورة الطائفة علی العمل بما فی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الشیخ الطوسی العمل بها علی أساس کبری حجّیة الخبر ووَجَّهه السیّد المرتضی علی أساس أنها أخبار آحاد حُفّت بالقرینة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قبول هذا التوجیه للخلاف فهو یعنی أنّ الخلاف بین العلمین تجریدی نظری لا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متفقان کبری وصغری؛ لأنّ مراد السیّد عدم حجّیة الخبر المروی من طرق العامة لا الخاصة، فإنّ الثانی خضع للجهود الجبارة التی بذلت فی غربلته وتصفیته، ومن ثمّ صار مأموناً عن الدس والتدلیس، ومحفوفاً بقرائن کفیلة بدفع مثل هذه الإحتمالات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مراد الشیخ الطوسی من حجّیته إلاّ هذا لا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متفقان علی حجّیة الخبر الموثوق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الطوسی أنّ السیّد یرید نفی الحجّیة فی مقام الحجاج مع العامة، حیث لم یتمکن من التفوه بعدم حجّیة روایاتهم، خاصة وأنّ أکثر أرباب الجرح والتعدیل کانوا من النواصب، بالإضافة إلی عدم حجّیة الخبر الواحد فی المسائل الإعتقادیة بل الشیخ المفید کان لا یعمل بالخبر المستفیض فی مسائل اعتقادیة عدیدة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یکتفی بالخبر من دون حاجة إلی قرائن تعضد المضمون، أمّا الصدور فلابدّ من قرینة تعضده، والسیّد لم ینف حجّیة الخبر بمفرده إلاّ من جهة الصدور، کما یظهر من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الواحد والخبر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هذین التعبیرین مرتبطان بجهة</w:t>
      </w:r>
      <w:bookmarkStart w:id="1477" w:name="pg16983_381399"/>
    </w:p>
    <w:p>
      <w:pPr>
        <w:pStyle w:val="BookText"/>
        <w:rPr/>
      </w:pPr>
      <w:bookmarkEnd w:id="1477"/>
      <w:r>
        <w:rPr>
          <w:rFonts w:ascii="IRNazanin" w:hAnsi="IRNazanin" w:eastAsia="IRNazanin"/>
          <w:color w:val="111111"/>
          <w:sz w:val="28"/>
          <w:sz w:val="28"/>
          <w:szCs w:val="28"/>
          <w:rtl w:val="true"/>
          <w:lang w:bidi="fa-IR"/>
        </w:rPr>
        <w:t>الصدور لا بالمضمون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أنّهما متفقان فی حجّیة الخبر الموثوق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التوجیه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إنما أنکر حجّیة الخبر لعدم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عبارة ابن زهرة الموافق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الذی ادّعاه علی عدم العمل إجماع 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هناک إجماعاً علی کبری، وهی عدم جواز العمل من دون دلیل، وقد طبّقه علی خبر الواحد عند عدم وصوله إلی دلیل علی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یعزّز هذا التوجیه کثرة الإجماعات التقدیریة فی کلمات السیّد و ابن زهرة</w:t>
      </w:r>
      <w:r>
        <w:rPr>
          <w:rFonts w:eastAsia="IRNazanin" w:cs="IRNazanin"/>
          <w:color w:val="111111"/>
          <w:sz w:val="28"/>
          <w:szCs w:val="28"/>
          <w:rtl w:val="true"/>
          <w:lang w:bidi="fa-IR"/>
        </w:rPr>
        <w:t>.</w:t>
      </w:r>
    </w:p>
    <w:p>
      <w:pPr>
        <w:pStyle w:val="Heading6"/>
        <w:numPr>
          <w:ilvl w:val="5"/>
          <w:numId w:val="1"/>
        </w:numPr>
        <w:rPr/>
      </w:pPr>
      <w:bookmarkStart w:id="1478" w:name="__RefHeading___Toc3300734_1468164448"/>
      <w:bookmarkStart w:id="1479" w:name="_Toc588"/>
      <w:bookmarkEnd w:id="1478"/>
      <w:r>
        <w:rPr>
          <w:rtl w:val="true"/>
        </w:rPr>
        <w:t>الإلفات إلی نکتة مهمة</w:t>
      </w:r>
      <w:bookmarkEnd w:id="1479"/>
    </w:p>
    <w:p>
      <w:pPr>
        <w:pStyle w:val="BookText"/>
        <w:rPr/>
      </w:pPr>
      <w:r>
        <w:rPr>
          <w:rFonts w:ascii="IRNazanin" w:hAnsi="IRNazanin" w:eastAsia="IRNazanin"/>
          <w:color w:val="111111"/>
          <w:sz w:val="28"/>
          <w:sz w:val="28"/>
          <w:szCs w:val="28"/>
          <w:rtl w:val="true"/>
          <w:lang w:bidi="fa-IR"/>
        </w:rPr>
        <w:t>هاهنا نلفت إلی نکتة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الأخباری والإنسدادی یستفیدان من اتفاق المثبِت لحجّیة خبر الواحد والنافی لها، علی لزوم العمل بما فی الکتب الروائیة المعتبرة، ومثل هذا الإتفاق حقیقته سیرة متشرعیة عند الطائفة ممضاة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والإختلاف منحصر فی تخریج هذا الوجوب واللزوم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حتی لو لم یصل الباحث إلی نتیجة واضحة فی مسألة الحجّیة أو وصل إلی عدم الحجّیة لابدّ أن یعمل بما فی هذه الکتب، وإن لم یستطع تحلیل وجه لزوم العمل بهذه الطرق؛ إذ یکفی وجود الإتفاق الممضی من قبل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الإتفاق لیس مدرکیاً کی یخدش فی حجّیته؛ وذلک لأنه سیرة عملیة ودلیل لبّی وتسالم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التخریجات هی من قبیل الدلیل بعد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لو اکتشف المستدلّ خطأ التخریج لا یرفع یده عن التسالم هذا، فیعمل به وإن لم یعرف وجهه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کلاً من النافی والمثبِت متفقان علی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السیّد ادّعی الإجماع علی قضیة صغرویة یتفق معه الشیخ الطوسی فیها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حجّیة خبر الثقة تدفع احتمال الکذب ، وأصالة عدم الإشتباه تدفع احتمال الخطأ العلمی</w:t>
      </w:r>
      <w:r>
        <w:rPr>
          <w:rFonts w:eastAsia="IRNazanin" w:cs="IRNazanin"/>
          <w:color w:val="111111"/>
          <w:sz w:val="28"/>
          <w:szCs w:val="28"/>
          <w:rtl w:val="true"/>
          <w:lang w:bidi="fa-IR"/>
        </w:rPr>
        <w:t>. ]</w:t>
      </w:r>
      <w:bookmarkStart w:id="1480" w:name="pg16983_381401"/>
    </w:p>
    <w:p>
      <w:pPr>
        <w:pStyle w:val="Heading6"/>
        <w:numPr>
          <w:ilvl w:val="5"/>
          <w:numId w:val="1"/>
        </w:numPr>
        <w:rPr/>
      </w:pPr>
      <w:bookmarkStart w:id="1481" w:name="__RefHeading___Toc3300736_1468164448"/>
      <w:bookmarkStart w:id="1482" w:name="_Toc589"/>
      <w:bookmarkEnd w:id="1480"/>
      <w:bookmarkEnd w:id="1481"/>
      <w:r>
        <w:rPr>
          <w:rtl w:val="true"/>
        </w:rPr>
        <w:t>الشک فی التدلیس علی الثقة</w:t>
      </w:r>
      <w:bookmarkEnd w:id="1482"/>
    </w:p>
    <w:p>
      <w:pPr>
        <w:pStyle w:val="BookText"/>
        <w:rPr/>
      </w:pPr>
      <w:r>
        <w:rPr>
          <w:rFonts w:ascii="IRNazanin" w:hAnsi="IRNazanin" w:eastAsia="IRNazanin"/>
          <w:color w:val="111111"/>
          <w:sz w:val="28"/>
          <w:sz w:val="28"/>
          <w:szCs w:val="28"/>
          <w:rtl w:val="true"/>
          <w:lang w:bidi="fa-IR"/>
        </w:rPr>
        <w:t xml:space="preserve">وهناک شک ثالث لا یعالج إلاّ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لم یؤمّنه حجّیة الخبر ولا أصالة عدم الإشتباه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فی التدلیس علی الثقة، فإنّ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فی روایةٍ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أن یکون سنداً حقیقیاً لا منتحلاً ومجعولاً، وهو ما لا نعلمه؛ إذ قد یکون هناک مَن جعل هذا السند بهذه الأسماء تمامها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الشک لا سبیل إلی نفیه تعبّداً، وإنما ینتفی بالعلم بعدم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خبر لا یمکن العمل به ما لم نعلم مسبقاً أنه خبر ثقة؛ إذ یمکن أن یکون مجعولاً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یظهر من کلمات السیّد، لا أنّ الخبر لا یمکن العمل به ما لم نعلم بصدوره، بل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لا یمکن العمل به ما لم نعلم أنه خبر ثقة وصغری لکبری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مراجعة کلمات الشیخ الطوسی فی العدّة نجد أنه یقبل هذه الإلفاتة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اعتمادنا علی العمل الصادر من جهتهم وارتفاع النزاع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العبارة تعنی أنّ الخبر حتی لو کان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صحیحاً أعلائیاً صورةً، لا یمکن العمل به لوحده ما لم نعلم أنه حقاً صحیح، أی ما لم ننقح الصغری أولاً بالوجدان کی نطبّق الکبری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واحدةً من موجبات العلم بعدم التدلیس العلمُ بوثاقة صاحب الکتاب الروائی الذی یبدأ منه السند وضبطه علی درجة عالیة ولیس هذا لأجل إحراز وثاقته وعدم کذبه، إذ یمکن أن یثبت ذلک بالظن المعتبر، وإنما لأنّ مقتضی العلم ثبوت هذه الأوصاف العالیة له تحرزه فی کتابه عن التدلیس</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بالإلتفات إنّ هذه الشبهة غیر شبهة العلم الإجمالی بالدس فی بعض الروایات؛ لأنّ المطروح هنا هو الشک المجرد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وسنعالج کلتا الشبهتین فی التنبیهات، وسنری أنّ بعض ما ذکره من علاج لشبهة العلم الإجمالی یصلح علاجاً لشبهة الشک المجرد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وإنّ شبهة التدلیس جرّت البعض إلی القول بقطعیة ما فی الکتب الأربعة، وجرّت آخرین إلی القول بالإنسداد مع قبولهم کبری حجّیة الخبر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یومنا هذا تأثر البعض بشبهة التدلیس إلی حدّ الإعراض عن الروایات والتشکیک فی صحتها وعدم الإعتماد علیها بالمرّة، مع أنّ المفروض لمن استحکمت عنده الشبهة ولم یجد فیها مخرجاً هو القول بالإنسداد فتطبیق قوانینه</w:t>
      </w:r>
      <w:r>
        <w:rPr>
          <w:rFonts w:eastAsia="IRNazanin" w:cs="IRNazanin"/>
          <w:color w:val="111111"/>
          <w:sz w:val="28"/>
          <w:szCs w:val="28"/>
          <w:rtl w:val="true"/>
          <w:lang w:bidi="fa-IR"/>
        </w:rPr>
        <w:t>.</w:t>
      </w:r>
      <w:bookmarkStart w:id="1483" w:name="pg16983_381405"/>
    </w:p>
    <w:p>
      <w:pPr>
        <w:pStyle w:val="Heading5"/>
        <w:numPr>
          <w:ilvl w:val="4"/>
          <w:numId w:val="1"/>
        </w:numPr>
        <w:rPr/>
      </w:pPr>
      <w:bookmarkStart w:id="1484" w:name="__RefHeading___Toc3300738_1468164448"/>
      <w:bookmarkStart w:id="1485" w:name="_Toc590"/>
      <w:bookmarkEnd w:id="1483"/>
      <w:bookmarkEnd w:id="1484"/>
      <w:r>
        <w:rPr>
          <w:rtl w:val="true"/>
        </w:rPr>
        <w:t>الدلیل الرابع</w:t>
      </w:r>
      <w:r>
        <w:rPr>
          <w:rtl w:val="true"/>
        </w:rPr>
        <w:t xml:space="preserve">: </w:t>
      </w:r>
      <w:r>
        <w:rPr>
          <w:rtl w:val="true"/>
        </w:rPr>
        <w:t>السیرة</w:t>
      </w:r>
      <w:bookmarkEnd w:id="1485"/>
    </w:p>
    <w:p>
      <w:pPr>
        <w:pStyle w:val="Heading6"/>
        <w:numPr>
          <w:ilvl w:val="5"/>
          <w:numId w:val="1"/>
        </w:numPr>
        <w:rPr/>
      </w:pPr>
      <w:bookmarkStart w:id="1486" w:name="__RefHeading___Toc3300740_1468164448"/>
      <w:bookmarkStart w:id="1487" w:name="_Toc591"/>
      <w:bookmarkEnd w:id="1486"/>
      <w:r>
        <w:rPr>
          <w:rtl w:val="true"/>
        </w:rPr>
        <w:t>العلاقة بین التقنین الشرعی والبشری</w:t>
      </w:r>
      <w:bookmarkEnd w:id="1487"/>
    </w:p>
    <w:p>
      <w:pPr>
        <w:pStyle w:val="BookText"/>
        <w:rPr/>
      </w:pPr>
      <w:r>
        <w:rPr>
          <w:rFonts w:ascii="IRNazanin" w:hAnsi="IRNazanin" w:eastAsia="IRNazanin"/>
          <w:color w:val="111111"/>
          <w:sz w:val="28"/>
          <w:sz w:val="28"/>
          <w:szCs w:val="28"/>
          <w:rtl w:val="true"/>
          <w:lang w:bidi="fa-IR"/>
        </w:rPr>
        <w:t>سیکون حدیثنا عن السیرة المتشرعیة وکذا العقلائیة کدلیل علی حجّیة خبر الواحد کما صنع الأعلام، ثمّ فی ذیل کلّ منهما نجرّدهما عن خصوصیاتهما الصغرویة ونبحث فیهما بحثاً کبرویاً، وهو بحث هام جداً؛ حیث یعالج لنا إشکالیة العلاقة بین التقنین الشرعی والتقنین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هو الحال فی الدلیل العقلی علی الحجّیة ودلیل الإنسداد، ومن ثمّ یمکن القول بأنّ صمیم البحث من هنا إلی آخر الإنسداد لیس عن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أهمیته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عن کبری العلاقة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ترکیزنا علی النقاط المرتبطة بها، وأمّا ما یرتبط بالصغری فنکتفی بالمرور السریع بعد أن تمّ إثبات الحجّیة بالأدلّة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العکس من الأعلام حیث لم یبلوروا الکبری و رکّزوا حدیثهم علی زاویة خبر الواحد</w:t>
      </w:r>
      <w:r>
        <w:rPr>
          <w:rFonts w:eastAsia="IRNazanin" w:cs="IRNazanin"/>
          <w:color w:val="111111"/>
          <w:sz w:val="28"/>
          <w:szCs w:val="28"/>
          <w:rtl w:val="true"/>
          <w:lang w:bidi="fa-IR"/>
        </w:rPr>
        <w:t>.</w:t>
      </w:r>
    </w:p>
    <w:p>
      <w:pPr>
        <w:pStyle w:val="Heading6"/>
        <w:numPr>
          <w:ilvl w:val="5"/>
          <w:numId w:val="1"/>
        </w:numPr>
        <w:rPr/>
      </w:pPr>
      <w:bookmarkStart w:id="1488" w:name="__RefHeading___Toc3300742_1468164448"/>
      <w:bookmarkStart w:id="1489" w:name="_Toc592"/>
      <w:bookmarkEnd w:id="1488"/>
      <w:r>
        <w:rPr>
          <w:rtl w:val="true"/>
        </w:rPr>
        <w:t>تمییز سیرة المتشرعة عن سیرة العقلاء</w:t>
      </w:r>
      <w:bookmarkEnd w:id="1489"/>
    </w:p>
    <w:p>
      <w:pPr>
        <w:pStyle w:val="BookText"/>
        <w:rPr/>
      </w:pPr>
      <w:r>
        <w:rPr>
          <w:rFonts w:ascii="IRNazanin" w:hAnsi="IRNazanin" w:eastAsia="IRNazanin"/>
          <w:color w:val="111111"/>
          <w:sz w:val="28"/>
          <w:sz w:val="28"/>
          <w:szCs w:val="28"/>
          <w:rtl w:val="true"/>
          <w:lang w:bidi="fa-IR"/>
        </w:rPr>
        <w:t>ذکروا فی تمییز السیرة المتشرعیة عن العقلاء عدّة أمور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المتشرعة هی سیرة المتدینین بما هم متدینون، بمعنی أنها السیرة المتلقّاة من المعصوم، فهو الذی اعتبر القانون وتفشّی فی</w:t>
      </w:r>
      <w:bookmarkStart w:id="1490" w:name="pg16983_381407"/>
    </w:p>
    <w:p>
      <w:pPr>
        <w:pStyle w:val="BookText"/>
        <w:rPr/>
      </w:pPr>
      <w:bookmarkEnd w:id="1490"/>
      <w:r>
        <w:rPr>
          <w:rFonts w:ascii="IRNazanin" w:hAnsi="IRNazanin" w:eastAsia="IRNazanin"/>
          <w:color w:val="111111"/>
          <w:sz w:val="28"/>
          <w:sz w:val="28"/>
          <w:szCs w:val="28"/>
          <w:rtl w:val="true"/>
          <w:lang w:bidi="fa-IR"/>
        </w:rPr>
        <w:t>أوساط أتباعه، بینما سیرة العقلاء فإنّها بما هم عقلاء، أی إنّ واضع القانون وجاعله هو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المتشرعة قد تکون علی حکم فقهی ومتفشیة فی أوساط عامّة المتدینین، وقد تکون سیرة علی حکم فقهی ومخصوصة بدائرة الفقهاء فقط، وقد تکون سیرة علی حکم أصولی وحجّةٍ من الحجج الإستنباطیة، ومن الطبیعی اختصاص مثل هذه السیرة بأجواء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الأخیر هو المعبّر عنه فی کلام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 الأصحاب وطریقتهم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العقلائیة قد تکون مستجدة، و قد تکون معاصرة للمعصوم، أمّا المتشرعیة فهی معاصرة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المتشرعیة لا تحتاج إلی إمضاء بل هی عین التشریع، بخلاف العقلائیة فإنّها تحتاج إلی إمضاء، وهذا هو الفارق الحکمی وسینعکس هذا الفارق علی تصویر السیرة علی خبر الواحد</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1491" w:name="__RefHeading___Toc3300744_1468164448"/>
      <w:bookmarkStart w:id="1492" w:name="_Toc593"/>
      <w:bookmarkEnd w:id="1491"/>
      <w:r>
        <w:rPr>
          <w:rtl w:val="true"/>
        </w:rPr>
        <w:t>تصادُقُ السیرتین فی مورد</w:t>
      </w:r>
      <w:bookmarkEnd w:id="14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سیرة المتشرعة والعقلاء قد یتصادقان فی مورد، لکن لما</w:t>
      </w:r>
      <w:bookmarkStart w:id="1493" w:name="pg16983_381409"/>
    </w:p>
    <w:p>
      <w:pPr>
        <w:pStyle w:val="BookText"/>
        <w:rPr/>
      </w:pPr>
      <w:bookmarkEnd w:id="1493"/>
      <w:r>
        <w:rPr>
          <w:rFonts w:ascii="IRNazanin" w:hAnsi="IRNazanin" w:eastAsia="IRNazanin"/>
          <w:color w:val="111111"/>
          <w:sz w:val="28"/>
          <w:sz w:val="28"/>
          <w:szCs w:val="28"/>
          <w:rtl w:val="true"/>
          <w:lang w:bidi="fa-IR"/>
        </w:rPr>
        <w:t>کانت العقلائیة أقدم وأکثر تجذراً من المتشرعیة، فالسیرة المذکورة تسمّی عقلائیة وتکون محکومة لقانون السیرة العقلائیة، والمتشرعیة إمضاء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تکون هناک عنایة خاصة فی المورد کما فی خبر الثقة فتأخذ السیرة خصوصیات سیرة المتشرعة أیضاً</w:t>
      </w:r>
      <w:r>
        <w:rPr>
          <w:rFonts w:eastAsia="IRNazanin" w:cs="IRNazanin"/>
          <w:color w:val="111111"/>
          <w:sz w:val="28"/>
          <w:szCs w:val="28"/>
          <w:rtl w:val="true"/>
          <w:lang w:bidi="fa-IR"/>
        </w:rPr>
        <w:t>.</w:t>
      </w:r>
    </w:p>
    <w:p>
      <w:pPr>
        <w:pStyle w:val="Heading6"/>
        <w:numPr>
          <w:ilvl w:val="5"/>
          <w:numId w:val="1"/>
        </w:numPr>
        <w:rPr/>
      </w:pPr>
      <w:bookmarkStart w:id="1494" w:name="__RefHeading___Toc3300746_1468164448"/>
      <w:bookmarkStart w:id="1495" w:name="_Toc594"/>
      <w:bookmarkEnd w:id="1494"/>
      <w:r>
        <w:rPr>
          <w:rtl w:val="true"/>
        </w:rPr>
        <w:t>تقریر دلیل سیرة المتشرعة لإثبات حجّیة الخبر</w:t>
      </w:r>
      <w:bookmarkEnd w:id="1495"/>
    </w:p>
    <w:p>
      <w:pPr>
        <w:pStyle w:val="BookText"/>
        <w:rPr/>
      </w:pPr>
      <w:r>
        <w:rPr>
          <w:rFonts w:ascii="IRNazanin" w:hAnsi="IRNazanin" w:eastAsia="IRNazanin"/>
          <w:color w:val="111111"/>
          <w:sz w:val="28"/>
          <w:sz w:val="28"/>
          <w:szCs w:val="28"/>
          <w:rtl w:val="true"/>
          <w:lang w:bidi="fa-IR"/>
        </w:rPr>
        <w:t xml:space="preserve">أفضل تقریر لدلیل السیرة هو التمسک بالممارسة العملیة للمسلمین بروایة الروایات التی لا یحتمل أنه کان لأجل تأمین التواتر و الإستفاضة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الکثیر الکثیر منها الذی لم یبلغ الدرجة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کانت متشرعیة لأنّهم کانوا یتعاطون روایة الحدیث علی أساس أنه شأن دینی وشرعی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موارد السیرتین ومصادیقها لا محالة تعود العقلائیة إلی متشرعیة؛ إذ سیرة المتدینین إنما کانت لإمضاء إمامهم لها وإلاّ لما وجدت السیرة العقلائیة طریقاً فی أوساط المتدینین، إلاّ أن تکون علی أمر لا علاقة له بشرعیاتهم</w:t>
      </w:r>
      <w:r>
        <w:rPr>
          <w:rFonts w:eastAsia="IRNazanin" w:cs="IRNazanin"/>
          <w:color w:val="111111"/>
          <w:sz w:val="28"/>
          <w:szCs w:val="28"/>
          <w:rtl w:val="true"/>
          <w:lang w:bidi="fa-IR"/>
        </w:rPr>
        <w:t>.</w:t>
      </w:r>
    </w:p>
    <w:p>
      <w:pPr>
        <w:pStyle w:val="Heading6"/>
        <w:numPr>
          <w:ilvl w:val="5"/>
          <w:numId w:val="1"/>
        </w:numPr>
        <w:rPr/>
      </w:pPr>
      <w:bookmarkStart w:id="1496" w:name="__RefHeading___Toc3300748_1468164448"/>
      <w:bookmarkStart w:id="1497" w:name="_Toc595"/>
      <w:bookmarkEnd w:id="1496"/>
      <w:r>
        <w:rPr>
          <w:rtl w:val="true"/>
        </w:rPr>
        <w:t>أقسام السیرة العقلائیة</w:t>
      </w:r>
      <w:bookmarkEnd w:id="1497"/>
    </w:p>
    <w:p>
      <w:pPr>
        <w:pStyle w:val="BookText"/>
        <w:rPr/>
      </w:pPr>
      <w:r>
        <w:rPr>
          <w:rFonts w:ascii="IRNazanin" w:hAnsi="IRNazanin" w:eastAsia="IRNazanin"/>
          <w:color w:val="111111"/>
          <w:sz w:val="28"/>
          <w:sz w:val="28"/>
          <w:szCs w:val="28"/>
          <w:rtl w:val="true"/>
          <w:lang w:bidi="fa-IR"/>
        </w:rPr>
        <w:t>ومن ثمّ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مورد السیرة العقلائیة إذن؟ فهل تختص بالسیرة غیر المعاصرة أو ماذا؟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نتحفظ علی تعریف کلّ منهما المتقدم موضوعاً ومحمولاً، أقصاه أنّنا لابدّ من تقسیم السیرة العقلائیة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العقلائیة المعاصرة للشارع التی جرت علیها المتشرعة ولکن بما هم عقلاء، ولکن لم یوسّعوها إلی شرعیاتهم مع کونها فی معرض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 المحقّق الإصفهانی والسیّد الصدر بالأحکام العقلائیة المرکوزة فی بناءات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لخفائها وقلّتها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یعملوا بها فی دائرة الشرعیات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العقلائیة المعاصرة التی جرت علیها المتشرعة فی</w:t>
      </w:r>
      <w:bookmarkStart w:id="1498" w:name="pg16983_381411"/>
    </w:p>
    <w:p>
      <w:pPr>
        <w:pStyle w:val="BookText"/>
        <w:rPr/>
      </w:pPr>
      <w:bookmarkEnd w:id="1498"/>
      <w:r>
        <w:rPr>
          <w:rFonts w:ascii="IRNazanin" w:hAnsi="IRNazanin" w:eastAsia="IRNazanin"/>
          <w:color w:val="111111"/>
          <w:sz w:val="28"/>
          <w:sz w:val="28"/>
          <w:szCs w:val="28"/>
          <w:rtl w:val="true"/>
          <w:lang w:bidi="fa-IR"/>
        </w:rPr>
        <w:t>شرعیاتهم، ولکنهم بنوا علیها بما هم عقلاء وبنوا علی حجّیتها بما هم متشرعة، أی أنهم مارسوها موضوعاً بما هم عقلاء ومحمولاً بما هم متشرعة</w:t>
      </w:r>
      <w:r>
        <w:rPr>
          <w:rFonts w:eastAsia="IRNazanin" w:cs="IRNazanin"/>
          <w:color w:val="111111"/>
          <w:sz w:val="28"/>
          <w:szCs w:val="28"/>
          <w:rtl w:val="true"/>
          <w:lang w:bidi="fa-IR"/>
        </w:rPr>
        <w:t>.</w:t>
      </w:r>
    </w:p>
    <w:p>
      <w:pPr>
        <w:pStyle w:val="Heading6"/>
        <w:numPr>
          <w:ilvl w:val="5"/>
          <w:numId w:val="1"/>
        </w:numPr>
        <w:rPr/>
      </w:pPr>
      <w:bookmarkStart w:id="1499" w:name="__RefHeading___Toc3300750_1468164448"/>
      <w:bookmarkStart w:id="1500" w:name="_Toc596"/>
      <w:bookmarkEnd w:id="1499"/>
      <w:r>
        <w:rPr>
          <w:rtl w:val="true"/>
        </w:rPr>
        <w:t>فائدة التقسیم</w:t>
      </w:r>
      <w:bookmarkEnd w:id="1500"/>
    </w:p>
    <w:p>
      <w:pPr>
        <w:pStyle w:val="BookText"/>
        <w:rPr/>
      </w:pPr>
      <w:r>
        <w:rPr>
          <w:rFonts w:ascii="IRNazanin" w:hAnsi="IRNazanin" w:eastAsia="IRNazanin"/>
          <w:color w:val="111111"/>
          <w:sz w:val="28"/>
          <w:sz w:val="28"/>
          <w:szCs w:val="28"/>
          <w:rtl w:val="true"/>
          <w:lang w:bidi="fa-IR"/>
        </w:rPr>
        <w:t>وتظهر ثمرة هذا التقسیم فی أنّ القسم الثانی کالسیرة المتشرعیة لا یحتاج إلی إمضاء فنکتشف حجّیتها علی حدّ الکیفیة فی السیرة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القسم من السیرة العقلائیة سیرة متشرعیة حکماً، وسیرة عقلائیة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فحدیث الإمضاء والردع وأنه یکفی فی الإمضاء عدمُ الردع أو لابدّ من التصریح، خاص بالقسم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بنینا علی أنّ عدم الردع یکفی فتکون الفائدة جمّة؛ لأنّ الإمضاء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للقانون العقلائی الکلّی یشمل کلّ أفراده حتی المستجدة، وغالب هذه السیر توجد فی قوانین کلّیة دستوریة لم تتنزل بعد، وإلاّ لکان قد عمل بها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فالإمضاء یتعلّق بالکبری المرکوزة ویمکن سرایة هذه العملیة إلی القسم الثانی من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ألفت المحقّق الإصفهانی و السیّد الصدر ومارسه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السیرة وإن کانت علی خبر الواحد إلاّ أنّ الإمضاء لها إمضاء للکبری التی یندرج تحتها بالاولویة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العرض المتقدّم نری أنّ دعوی وجود السیرة العقلائیة والمتشرعیة علی خبر الواحد مسامحة، بعد أن کانا موضوعاً متباینین، وإنما الحق أنها سیرة عقلائیة موضوعاً ومتشرعیة حکماً</w:t>
      </w:r>
      <w:r>
        <w:rPr>
          <w:rFonts w:eastAsia="IRNazanin" w:cs="IRNazanin"/>
          <w:color w:val="111111"/>
          <w:sz w:val="28"/>
          <w:szCs w:val="28"/>
          <w:rtl w:val="true"/>
          <w:lang w:bidi="fa-IR"/>
        </w:rPr>
        <w:t>.</w:t>
      </w:r>
    </w:p>
    <w:p>
      <w:pPr>
        <w:pStyle w:val="Heading6"/>
        <w:numPr>
          <w:ilvl w:val="5"/>
          <w:numId w:val="1"/>
        </w:numPr>
        <w:rPr/>
      </w:pPr>
      <w:bookmarkStart w:id="1501" w:name="__RefHeading___Toc3300752_1468164448"/>
      <w:bookmarkStart w:id="1502" w:name="_Toc597"/>
      <w:bookmarkEnd w:id="1501"/>
      <w:r>
        <w:rPr>
          <w:rtl w:val="true"/>
        </w:rPr>
        <w:t>وجود السیرة علی العمل بخبر الثقة</w:t>
      </w:r>
      <w:bookmarkEnd w:id="150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نرجع إلی ما کنّا فی صدده من أنّ هناک سیرة علی العمل بخبر الثقة متلقّاة من المعصوم، ومن ثمّ تفشّت فی أوساط المتدینین</w:t>
      </w:r>
      <w:bookmarkStart w:id="1503" w:name="pg16983_381414"/>
    </w:p>
    <w:p>
      <w:pPr>
        <w:pStyle w:val="BookText"/>
        <w:rPr/>
      </w:pPr>
      <w:bookmarkEnd w:id="1503"/>
      <w:r>
        <w:rPr>
          <w:rFonts w:ascii="IRNazanin" w:hAnsi="IRNazanin" w:eastAsia="IRNazanin"/>
          <w:color w:val="111111"/>
          <w:sz w:val="28"/>
          <w:sz w:val="28"/>
          <w:szCs w:val="28"/>
          <w:rtl w:val="true"/>
          <w:lang w:bidi="fa-IR"/>
        </w:rPr>
        <w:t>علی أساس أنه شیء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والسیرة هذه تکون علی العمل بخبر الثقة فضلاً عن الموثوق لصدوره، کما یشهد لذلک أنّ الأعلام اکتفوا فی کثیر من الفروع بخبر الثقة من دون شاهد یجعل منه موثوقاً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أیضاً روایة أهل السنّة بما هم مسلمون عن نجوم رواة الشیعة لأنهم ثقات وکذا العکس حیث روت الشیعة عن غیرهم معلّلین ذلک بأنهم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یتضح تقریر السیرة العقلائیة أیضاً، غایته أنّنا بحاجة إلی تصویر السیرة علی خبر الثقة والموثوق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ویتضح ذلک بما ذکرناه فی بحث القطع من أنّ الحجّیة لیست للقطع وإنما للمقدّمات والمدرک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الصغری والکبری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خبر الثقة وسائر الظنون الخاصة فإنّ الحجّیة لم یجعلها العقلاء إلاّ لها باعتبارها مناشئ لاحظوا أنّ إصابتها غالبیة سواء حصل وثوق عند مَن حصل له المنشأ أم لم یحصل، فکما أنّ الحجّیة فی القطع للمقدّمات سواء حصل قطع منها أم لا، کذلک الحجّیة فی الظن للمنشأ الذی إصابته غالبة بتقدیر العقلاء سواء حصل منه ظن أم لا</w:t>
      </w:r>
      <w:r>
        <w:rPr>
          <w:rFonts w:eastAsia="IRNazanin" w:cs="IRNazanin"/>
          <w:color w:val="111111"/>
          <w:sz w:val="28"/>
          <w:szCs w:val="28"/>
          <w:rtl w:val="true"/>
          <w:lang w:bidi="fa-IR"/>
        </w:rPr>
        <w:t>.</w:t>
      </w:r>
    </w:p>
    <w:p>
      <w:pPr>
        <w:pStyle w:val="Heading6"/>
        <w:numPr>
          <w:ilvl w:val="5"/>
          <w:numId w:val="1"/>
        </w:numPr>
        <w:rPr/>
      </w:pPr>
      <w:bookmarkStart w:id="1504" w:name="__RefHeading___Toc3300754_1468164448"/>
      <w:bookmarkStart w:id="1505" w:name="_Toc598"/>
      <w:bookmarkEnd w:id="1504"/>
      <w:r>
        <w:rPr>
          <w:rtl w:val="true"/>
        </w:rPr>
        <w:t>عدم حجّیة الخبر الموثوق بصدوره بالوثوق الشخصی</w:t>
      </w:r>
      <w:bookmarkEnd w:id="150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سیرة علی حجّیة الخبر الموثوق بصدوره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یعنی الوثوق الشخصی بالصدور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أنّ العقلاء لم یجعلوا الحجّیة وصفاً للحالات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کلّه فیما کان المنشأ منضبطاً، وأمّا ما لم یکن منضبطاً فالعقلاء اعتدّوا بتلک المناشئ بالنحو المجموعی بعد وضع قالب وضابط عام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 یعتدّوا بتلک المناشئ کلاًّ علی انفراد لما وجدوا أنّ إصابتها لیست غالبة إلاّ أنّهم لم یهملوها بالمرّة وإنما استفادوا منها منضماً بعضها</w:t>
      </w:r>
      <w:bookmarkStart w:id="1506" w:name="pg16983_381416"/>
    </w:p>
    <w:p>
      <w:pPr>
        <w:pStyle w:val="BookText"/>
        <w:rPr/>
      </w:pPr>
      <w:bookmarkEnd w:id="1506"/>
      <w:r>
        <w:rPr>
          <w:rFonts w:ascii="IRNazanin" w:hAnsi="IRNazanin" w:eastAsia="IRNazanin"/>
          <w:color w:val="111111"/>
          <w:sz w:val="28"/>
          <w:sz w:val="28"/>
          <w:szCs w:val="28"/>
          <w:rtl w:val="true"/>
          <w:lang w:bidi="fa-IR"/>
        </w:rPr>
        <w:t>إلی البعض بحدّ یشکّل مجموعها الإصابة الغالبة کالمناشئ الخاصة، ولمّا لم یکن ذلک منضبطاً ضبطوه بالإطمئنان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کانت واحدة من فوائد بحث الإنسداد هو هذا البحث لا من جهة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تتکفّله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ینفع بابُ الإنسداد هذا القسمَ من جهة تفصیل الظنون غیر المعتبرة بتحدید درجة کلّ منها</w:t>
      </w:r>
      <w:r>
        <w:rPr>
          <w:rFonts w:eastAsia="IRNazanin" w:cs="IRNazanin"/>
          <w:color w:val="111111"/>
          <w:sz w:val="28"/>
          <w:szCs w:val="28"/>
          <w:rtl w:val="true"/>
          <w:lang w:bidi="fa-IR"/>
        </w:rPr>
        <w:t>.</w:t>
      </w:r>
    </w:p>
    <w:p>
      <w:pPr>
        <w:pStyle w:val="Heading6"/>
        <w:numPr>
          <w:ilvl w:val="5"/>
          <w:numId w:val="1"/>
        </w:numPr>
        <w:rPr/>
      </w:pPr>
      <w:bookmarkStart w:id="1507" w:name="__RefHeading___Toc3300756_1468164448"/>
      <w:bookmarkStart w:id="1508" w:name="_Toc599"/>
      <w:bookmarkEnd w:id="1507"/>
      <w:r>
        <w:rPr>
          <w:rtl w:val="true"/>
        </w:rPr>
        <w:t xml:space="preserve">دعوی رادعیة الآیات </w:t>
      </w:r>
      <w:r>
        <w:rPr>
          <w:rtl w:val="true"/>
        </w:rPr>
        <w:t>(</w:t>
      </w:r>
      <w:r>
        <w:rPr>
          <w:rtl w:val="true"/>
        </w:rPr>
        <w:t>الناهیة عن الظن</w:t>
      </w:r>
      <w:r>
        <w:rPr>
          <w:rtl w:val="true"/>
        </w:rPr>
        <w:t xml:space="preserve">) </w:t>
      </w:r>
      <w:r>
        <w:rPr>
          <w:rtl w:val="true"/>
        </w:rPr>
        <w:t>عن السیرة</w:t>
      </w:r>
      <w:bookmarkEnd w:id="1508"/>
    </w:p>
    <w:p>
      <w:pPr>
        <w:pStyle w:val="BookText"/>
        <w:rPr/>
      </w:pPr>
      <w:r>
        <w:rPr>
          <w:rFonts w:ascii="IRNazanin" w:hAnsi="IRNazanin" w:eastAsia="IRNazanin"/>
          <w:color w:val="111111"/>
          <w:sz w:val="28"/>
          <w:sz w:val="28"/>
          <w:szCs w:val="28"/>
          <w:rtl w:val="true"/>
          <w:lang w:bidi="fa-IR"/>
        </w:rPr>
        <w:t xml:space="preserve">ذکر الأعلام إشکالاً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یختص بخبر الواحد وإنما هو موجّه إلی کلّ سیرة عقلائیة علی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رادعیة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عن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السیرة، بتقریب أنّ النهی عن الظن هو باعتبار أنّ الظن ذاتاً لا یقبل الإعتبار، فکانت عموماتُ الآیات الناهیة آبیةً عن التخصیص وتشکّل رادعاً عن السیرة</w:t>
      </w:r>
      <w:r>
        <w:rPr>
          <w:rFonts w:eastAsia="IRNazanin" w:cs="IRNazanin"/>
          <w:color w:val="111111"/>
          <w:sz w:val="28"/>
          <w:szCs w:val="28"/>
          <w:rtl w:val="true"/>
          <w:lang w:bidi="fa-IR"/>
        </w:rPr>
        <w:t>.</w:t>
      </w:r>
    </w:p>
    <w:p>
      <w:pPr>
        <w:pStyle w:val="Heading6"/>
        <w:numPr>
          <w:ilvl w:val="5"/>
          <w:numId w:val="1"/>
        </w:numPr>
        <w:rPr/>
      </w:pPr>
      <w:bookmarkStart w:id="1509" w:name="__RefHeading___Toc3300758_1468164448"/>
      <w:bookmarkStart w:id="1510" w:name="_Toc600"/>
      <w:bookmarkEnd w:id="1509"/>
      <w:r>
        <w:rPr>
          <w:rtl w:val="true"/>
        </w:rPr>
        <w:t>ردّ الدعوی</w:t>
      </w:r>
      <w:bookmarkEnd w:id="1510"/>
    </w:p>
    <w:p>
      <w:pPr>
        <w:pStyle w:val="BookText"/>
        <w:rPr/>
      </w:pPr>
      <w:r>
        <w:rPr>
          <w:rFonts w:ascii="IRNazanin" w:hAnsi="IRNazanin" w:eastAsia="IRNazanin"/>
          <w:color w:val="111111"/>
          <w:sz w:val="28"/>
          <w:sz w:val="28"/>
          <w:szCs w:val="28"/>
          <w:rtl w:val="true"/>
          <w:lang w:bidi="fa-IR"/>
        </w:rPr>
        <w:t>وأجیب بعدّة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علی خبر الواحد لیست عقلائیة فقط بل متشرعیة أیضاً وهی بنفسها دلیل فتخصِّص إطلاقَ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هو العمدة فی کلمات القوم، ونضیف أنه سیرة عقلائیة موضوعاً ومتشرعیة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جواب متین صغرویاً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یعالج جذر الإشکال وکبراه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رادعیة الآیات عن 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الحاجة إلی الأجوبة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مختصة بالظنون المتعلّقة بالإعتقادات فلا یصلح التعویل علی الظن فی المسائل الإعتقادیة، وهو حق فی بعض الآیات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أنّ هاهنا نقطةً وهی أنّ الیقین والعلم والظن وکذلک الشک والوهم فی القرآن لیس یعنی درجة الکشف والإذعان وإنما هی</w:t>
      </w:r>
    </w:p>
    <w:p>
      <w:pPr>
        <w:pStyle w:val="BookText"/>
        <w:rPr/>
      </w:pPr>
      <w:r>
        <w:rPr>
          <w:rFonts w:ascii="IRNazanin" w:hAnsi="IRNazanin" w:eastAsia="IRNazanin"/>
          <w:color w:val="111111"/>
          <w:sz w:val="28"/>
          <w:sz w:val="28"/>
          <w:szCs w:val="28"/>
          <w:rtl w:val="true"/>
          <w:lang w:bidi="fa-IR"/>
        </w:rPr>
        <w:t xml:space="preserve">أسماء للمناشئ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الأدلّة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فالظن هو المنشأ الذی لیس تاماً وإنما هو صورة دلیل، والشک منشأ لا یشبه الدلیل، والوهم من دون منشأ وإنما هو تخیل وهوس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تنهی عن الإعتماد علی الظن المنفرد و أمّا إذا کان الإعتماد علیه بما وراءه من الدلیل القطعی فغیر مشمول بالآیات ویکون خارجاً عنها تخصصاً؛ لأنّ الإعتداد حینئذ لیس بالظن وإنما بالدلیل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شرّع مجموعة من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الشبهة الموضوعیة أم الحکمیة کما فی باب الشهادة وآیة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یدلل علی أنّ عدم الإعتداد بالظن لیس بملاحظة ذات الظن بما هو هو وإنما بما هو فاقد الإعتبار، فإذا وجد دلیل علی الإعتبار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بمثابة بیان الأصل العملی، وهو أنه مع عدم الدلیل لا یبنی علی الحجّیة لا أنّ الظن فی نفسه لا یصلح للإعتماد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الآیات یدور بین احتمالات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الظن فی نفسه وبذاته لا یقبل الإعتبار کالوهم، ومع هذا الإحتمال یکون الجواب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کمادّة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یحق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عین مفاد الأصل العملی إلاّ أنه خاص بمسألة معینة ونقیض للمفاد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یکون الجواب الثالث والأول متیناً، وأمّا الجواب الرابع فلا یتکفل التدلیل علی حجّیة السیرة علی الظن الخاص</w:t>
      </w:r>
      <w:r>
        <w:rPr>
          <w:rFonts w:eastAsia="IRNazanin" w:cs="IRNazanin"/>
          <w:color w:val="111111"/>
          <w:sz w:val="28"/>
          <w:szCs w:val="28"/>
          <w:rtl w:val="true"/>
          <w:lang w:bidi="fa-IR"/>
        </w:rPr>
        <w:t>.</w:t>
      </w:r>
      <w:r>
        <w:rPr>
          <w:rStyle w:val="FootnoteAnchor"/>
          <w:rtl w:val="true"/>
        </w:rPr>
        <w:footnoteReference w:id="22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مفاد الآیات نفی حجّیة الظن لا بنحو عدم القابلیة وإنما بنحو العموم القابل للتخصیص</w:t>
      </w:r>
      <w:r>
        <w:rPr>
          <w:rFonts w:eastAsia="IRNazanin" w:cs="IRNazanin"/>
          <w:color w:val="111111"/>
          <w:sz w:val="28"/>
          <w:szCs w:val="28"/>
          <w:rtl w:val="true"/>
          <w:lang w:bidi="fa-IR"/>
        </w:rPr>
        <w:t>.</w:t>
      </w:r>
      <w:bookmarkStart w:id="1511" w:name="pg16983_381420"/>
    </w:p>
    <w:p>
      <w:pPr>
        <w:pStyle w:val="BookText"/>
        <w:rPr/>
      </w:pPr>
      <w:bookmarkEnd w:id="1511"/>
      <w:r>
        <w:rPr>
          <w:rFonts w:ascii="IRNazanin" w:hAnsi="IRNazanin" w:eastAsia="IRNazanin"/>
          <w:color w:val="111111"/>
          <w:sz w:val="28"/>
          <w:sz w:val="28"/>
          <w:szCs w:val="28"/>
          <w:rtl w:val="true"/>
          <w:lang w:bidi="fa-IR"/>
        </w:rPr>
        <w:t>ومن هنا یتضح أنّ الأجوبة متعدّدة المبانی فی فهم الآیات، فلابدّ من الإلتفات وفرز المحتملات وعلی ضوئها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المفاد الأول فمن الواضح أنّ السیرة مردوعة، وعلی المفاد الثانی لا تصلح الآیات للردع؛ لأنّ مفادها لیس الردع وإنما نفی الحجّیة عن الظن المشکوک الحجّیة، وفی الظن المقنَّن من قبل العقلاء لا شک فی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الکشف فی السیرة متوفّراً بنحو الإقتضاء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کاف فی الکشف عن الإمضاء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المفاد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علیه غالب مفادات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رادعیة الآیات عن السیرة ومخصصیة السیرة</w:t>
      </w:r>
      <w:r>
        <w:rPr>
          <w:rFonts w:eastAsia="IRNazanin" w:cs="IRNazanin"/>
          <w:color w:val="111111"/>
          <w:sz w:val="28"/>
          <w:szCs w:val="28"/>
          <w:rtl w:val="true"/>
          <w:lang w:bidi="fa-IR"/>
        </w:rPr>
        <w:t>.</w:t>
      </w:r>
    </w:p>
    <w:p>
      <w:pPr>
        <w:pStyle w:val="Heading6"/>
        <w:numPr>
          <w:ilvl w:val="5"/>
          <w:numId w:val="1"/>
        </w:numPr>
        <w:rPr/>
      </w:pPr>
      <w:bookmarkStart w:id="1512" w:name="__RefHeading___Toc3300760_1468164448"/>
      <w:bookmarkStart w:id="1513" w:name="_Toc601"/>
      <w:bookmarkEnd w:id="1512"/>
      <w:r>
        <w:rPr>
          <w:rtl w:val="true"/>
        </w:rPr>
        <w:t>حکومة السیرة علی الآیات الناهیة</w:t>
      </w:r>
      <w:bookmarkEnd w:id="151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المحقّق النائینی بناءً علی ما تبنّاه فی حقیقة الحجّیة من أنها علم 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حاکمة علی الآیات الناهیة؛ لأنّ السیرة تجعل الخبر کالعلم، ومن ثمّ لایری العقلاء أنفسهم مشمولین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کلامه هذا أنّ التقنین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لم یکن ممضی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المتصرف فی الموضوع الشرعی، وفی بعض عباراته أنّ التقنین العقلائی کاشف عن أنه علم تعبدی عند الشارع، وهذا هو الحاکم علی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مدی تمامیة هذا الجواب لابدّ من معرفة مبانیه فی طبیعة العلاقة بین التقنین الشرعی والعقلائی، سیما مع ما ذکرناه سابقاً من أنّ لغة التقنین الشرعی هی لغة العقلاء، فإنه یوضح الکبری المطویة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الحکیم و السیّد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إذا کانت بنحو القرینة المتصلة حین صدور الآیات فإنّها تکون مخصصة، وأمّا إذا لم تکن متصلة فلا تکون حجّة ومخصصة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وترجع هذه اللفتة إلی أنّ التقنین العقلائی إذا کان محتفاً بالقانون</w:t>
      </w:r>
      <w:bookmarkStart w:id="1514" w:name="pg16983_381422"/>
    </w:p>
    <w:p>
      <w:pPr>
        <w:pStyle w:val="BookText"/>
        <w:rPr/>
      </w:pPr>
      <w:bookmarkEnd w:id="1514"/>
      <w:r>
        <w:rPr>
          <w:rFonts w:ascii="IRNazanin" w:hAnsi="IRNazanin" w:eastAsia="IRNazanin"/>
          <w:color w:val="111111"/>
          <w:sz w:val="28"/>
          <w:sz w:val="28"/>
          <w:szCs w:val="28"/>
          <w:rtl w:val="true"/>
          <w:lang w:bidi="fa-IR"/>
        </w:rPr>
        <w:t>الشرعی یکون قیداً، من ثمّ یأتی السؤال أنه کیف یؤثر التقنین العقلائی فی الشرعی؟ وما هو وجه الفرق بین المتصل والمنفصل إذا کان کلّ واحد منهما ممضی، وکیف یمکن للمتصل التصرف فی الشرعی إذا لم یکن ممضی؟</w:t>
      </w:r>
    </w:p>
    <w:p>
      <w:pPr>
        <w:pStyle w:val="Heading6"/>
        <w:numPr>
          <w:ilvl w:val="5"/>
          <w:numId w:val="1"/>
        </w:numPr>
        <w:rPr/>
      </w:pPr>
      <w:bookmarkStart w:id="1515" w:name="__RefHeading___Toc3300762_1468164448"/>
      <w:bookmarkStart w:id="1516" w:name="_Toc602"/>
      <w:bookmarkEnd w:id="1515"/>
      <w:r>
        <w:rPr>
          <w:rtl w:val="true"/>
        </w:rPr>
        <w:t>تناسب الردع مع المردوع</w:t>
      </w:r>
      <w:bookmarkEnd w:id="151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واعتمده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الردع لابدّ أن یکون متناسباً مع حجم ما یکون بصدد الردع عنه، فإذا ورد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کالإطلاق والعموم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فی قوته إلی درجة کافیة، لا یصلح للردع عما یکون متجذراً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کانت السیرة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عمیقة الممارسة متجذرة واسعة الإنتشار فی قبال التی تمارس هامشیاً أو فی أبواب قلیلة أو فی أحکام جزئیة فالردع لابدّ أن یکون متناسباً مع حجمها، بخلافه فی السیرة الهامشیة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من التفصیل قد اکتفی البعض فی الردع عن السیرة الإستصحابیة بعموم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فیما ذکر أنّ وظیفة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کونه شارعاً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التربیة بالإضافة إلی کونه بلیغاً وحکیماً، فلابدّ فی التقنین المتجذر الذی لم یقبله الشارع أن یردع عنه بشکل یتناسب طرداً مع حجم السیرة کی یتنبه إلی ذلک کما نشهد ذلک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الواحد أکثر تجذراً وتفشیاً من القیاس مع أنّا لم نلحظ ما یصلح للردع عنه بقدر ما ورد فی الردع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النائینی یفصّل فی الکبری بأنّ السیرة إن کانت فی غیر المعاملات فالتفصیل فی محلّه، وأمّا إن کانت فی المعاملات فلا یکفی عدم الردع بل لابدّ من إمضاء لفظی ومن ثمّ یکفی فی الردع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المتجذرة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الرادعُ البسیط وإن لم یتناسب معها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طردیاً</w:t>
      </w:r>
      <w:r>
        <w:rPr>
          <w:rFonts w:eastAsia="Amiri" w:cs="Amiri" w:ascii="Amiri" w:hAnsi="Amiri"/>
          <w:color w:val="111111"/>
          <w:sz w:val="28"/>
          <w:szCs w:val="28"/>
          <w:rtl w:val="true"/>
          <w:lang w:bidi="ar-SA"/>
        </w:rPr>
        <w:t>.</w:t>
      </w:r>
      <w:bookmarkStart w:id="1517" w:name="pg16983_381424"/>
    </w:p>
    <w:p>
      <w:pPr>
        <w:pStyle w:val="BookText"/>
        <w:rPr/>
      </w:pPr>
      <w:bookmarkEnd w:id="1517"/>
      <w:r>
        <w:rPr>
          <w:rFonts w:ascii="IRNazanin" w:hAnsi="IRNazanin" w:eastAsia="IRNazanin"/>
          <w:color w:val="111111"/>
          <w:sz w:val="28"/>
          <w:sz w:val="28"/>
          <w:szCs w:val="28"/>
          <w:rtl w:val="true"/>
          <w:lang w:bidi="fa-IR"/>
        </w:rPr>
        <w:t>وقد یستوحی من بعض کلماته الحاجة إلی إمضاء لفظی فی السیرة علی الأحکام الوضعیة مطلقاً حتی ما کان منها مرتبطاً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کلمات أخری الحاجة إلی الإمضاء الواصل فی التقنین الوجودی ولا یکفی فیه عدم الردع، بخلاف التقنینات العدمیة حیث یکفی فی الإمضاء عدم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المحقّق الخراسانی عدمُ الإلتزام بالتفصیل المزبور فی موارد متعدّدة کما فی بحث الإستصحاب؛ حیث أقرّ بوجود السیرة علیه وأنها متجذرة إلاّ أنها مردوعة بالآیات الناهیة عن الظن أو مردوعة بعمومات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الفقهاء لم یلتزموا بالتفصیل المذکور فی أبواب فقهیة عدیدة؛ حیث اکتفوا فی تقیید السیرة العقلائیة وتخصیصها بالخبر الواحد الصحیح، مع أنّ المساحة الملغاة أیضاً متجذرة بل اکتفوا بذلک حتی فی السیرة العقلائیة موضوعاً المتشرعیة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ینبثق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العلاقة بین التقنین العقلائی والشرعی هل هی فی مرحلة الدلالة والإثبات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التقنین العقلائی الممضی کاشف عن الشرعی، وکیف نحرز أنه ممضی أو مردوع؟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مرحلة 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نبحث العلاقة بین متنی القانونین؟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التقنین العقلائی تارة لا قیمة له سوی الکاشفیة عن التقنین الشرعی فالعلاقة بینهما إثباتیة لا أکثر، و أخری إنّ التقنین العقلائی داخل فی متن التقنین الشرعی علی حدّ موضوع الحکم ممّا یعنی أنّ الصلة بینهما ثبوتیة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کلتا العلاقتین موجودة کما سنبیّن</w:t>
      </w:r>
      <w:r>
        <w:rPr>
          <w:rFonts w:eastAsia="IRNazanin" w:cs="IRNazanin"/>
          <w:color w:val="111111"/>
          <w:sz w:val="28"/>
          <w:szCs w:val="28"/>
          <w:rtl w:val="true"/>
          <w:lang w:bidi="fa-IR"/>
        </w:rPr>
        <w:t>.</w:t>
      </w:r>
    </w:p>
    <w:p>
      <w:pPr>
        <w:pStyle w:val="Heading6"/>
        <w:numPr>
          <w:ilvl w:val="5"/>
          <w:numId w:val="1"/>
        </w:numPr>
        <w:rPr/>
      </w:pPr>
      <w:bookmarkStart w:id="1518" w:name="__RefHeading___Toc3300764_1468164448"/>
      <w:bookmarkStart w:id="1519" w:name="_Toc603"/>
      <w:bookmarkEnd w:id="1518"/>
      <w:r>
        <w:rPr>
          <w:rtl w:val="true"/>
        </w:rPr>
        <w:t>کون الشارع رئیس العقلاء</w:t>
      </w:r>
      <w:bookmarkEnd w:id="151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المحقّق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کشف السیرة عن القانون الشرعی هو کون الشارع رئیس العقلاء، فدیدنه دیدنهم ومن ثمّ</w:t>
      </w:r>
    </w:p>
    <w:p>
      <w:pPr>
        <w:pStyle w:val="BookText"/>
        <w:rPr/>
      </w:pPr>
      <w:r>
        <w:rPr>
          <w:rFonts w:ascii="IRNazanin" w:hAnsi="IRNazanin" w:eastAsia="IRNazanin"/>
          <w:color w:val="111111"/>
          <w:sz w:val="28"/>
          <w:sz w:val="28"/>
          <w:szCs w:val="28"/>
          <w:rtl w:val="true"/>
          <w:lang w:bidi="fa-IR"/>
        </w:rPr>
        <w:t>لا یحتاج إمضاؤها إلی مؤونة لفظیة بل یکفی فی استکشافه عدمُ الردع، وأما إذا أراد الشارع أن یخالف العقلاء فی شیء احتاج إلی قرینة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فکاشفیة السیرة العقلائیة لسیت تعلیقیة وإنما هی ناجزة فتکون مخصصة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نوقش بأنّ هذا الجواب یذکره الأصولیون فی حجّیة الأحکام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بدیهیة أو نظریة قریبة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جعولات مقترحة منهم لتقنین عادیاتهم ومسلّماتهم لتنظیم حیاتهم وسدّ حاجاتهم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یسدّ العقلاء فی أحکامهم العقلیة لا العقلائیة، فلا ضرورة فی مشارکة الشارع للعقلاء ووحدة مسلکه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ولتحلیل ما ذکره المحقّق الإصفهانی والتساؤل المثار حوله لابدّ من الإلتفات إلی أنّ أحکام العقل العملی لها تمام الصلة بالعمل، وأحکام العقلاء أیضاً مرتبطة بالعمل فهما متشابهان من هذه الجهة، بل إنّ المحقّق الإصفهانی یبنی علی أنّ أحکام العقل اعتباریة مشهورة، فلا فرق بینها وبین الأحکام العقلائیة من هذه الجهة، وإن کانت العقلائیة تعمّ کلّ المشهورات والعقل العملی یخص قسماً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نقبل ما ذکره المحقّق الإصفهانی، إلاّ أنه لابدّ من الإلتفات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من العلاقة الثبوتیة بینهما واستفاد منها فی العلاقة الإثباتیة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حقّ فیما ذکره من العلاقة الثبوتیة، وهی أنّ الشریعة العقلیة تشکّل البنیة التحتیة للتشریعات القانونیة برمّتها، فهی الغطاء الدستوری لکلّ التشریعات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فیترتب علی ذلک أنّ الأحکام العقلائیة قریبة الأفق من الأحکام العقلیة بأن کانت مستلّة منها مباشرة أو بواسطة قریبة لم یردع عنها الشارع، بل قد یمتنع لأنّ مدرکها نفس الحکم العقلی بل نری فی ممارسات الفقهاء أنّهم یعرضون عن النهی والردع عن مثل هذه الأحکام، ولیس ذاک إلاّ لأنّهم یرونها آبیة عن التخصیص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اتضح صواب ما ذکره المحقّق الإصفهانی فی الجملة بحدود المساحة التی ذکرناها لا مطلقاً کما رام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1520" w:name="pg16983_381428"/>
    </w:p>
    <w:p>
      <w:pPr>
        <w:pStyle w:val="BookText"/>
        <w:rPr/>
      </w:pPr>
      <w:bookmarkEnd w:id="1520"/>
      <w:r>
        <w:rPr>
          <w:rFonts w:ascii="IRNazanin" w:hAnsi="IRNazanin" w:eastAsia="IRNazanin"/>
          <w:color w:val="111111"/>
          <w:sz w:val="28"/>
          <w:sz w:val="28"/>
          <w:szCs w:val="28"/>
          <w:rtl w:val="true"/>
          <w:lang w:bidi="fa-IR"/>
        </w:rPr>
        <w:t xml:space="preserve">هذا ونحن لا نرتضی استدلال الأعلام بما ذکره المحقّق الإصفهانی علی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ممن یری تکوینیة الحکم العقلی، فهو أنسب بالأحکام الجعلیة التواضعیة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المحقّق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أنه لا ینفع مطلقاً وإنما فی خصوص السیرة العقلائیة المتوسطة فإنّها کالسیرة المتشرعیة، فکما أنها لا تحتاج إلی 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حجّیتها 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متلقّاة من الشارع یداً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العقلائیة من هذا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المتشرعة وإن لم یمارسوها فی شرعیاتهم وبما أنّهم متشرعة إلاّ أنّهم مارسوها بما هم عقلاء وکانت معاصرة للمعصوم وفی معرض التعدّی إلی الشرعیات، فبما أنّ الشارع سیّدهم فهی متلقّاة یداً بید منه بما أنه سیّد العقلاء لا بما أنه شارع</w:t>
      </w:r>
      <w:r>
        <w:rPr>
          <w:rFonts w:eastAsia="IRNazanin" w:cs="IRNazanin"/>
          <w:color w:val="111111"/>
          <w:sz w:val="28"/>
          <w:szCs w:val="28"/>
          <w:rtl w:val="true"/>
          <w:lang w:bidi="fa-IR"/>
        </w:rPr>
        <w:t>.</w:t>
      </w:r>
    </w:p>
    <w:p>
      <w:pPr>
        <w:pStyle w:val="Heading6"/>
        <w:numPr>
          <w:ilvl w:val="5"/>
          <w:numId w:val="1"/>
        </w:numPr>
        <w:rPr/>
      </w:pPr>
      <w:bookmarkStart w:id="1521" w:name="__RefHeading___Toc3300766_1468164448"/>
      <w:bookmarkStart w:id="1522" w:name="_Toc604"/>
      <w:bookmarkEnd w:id="1521"/>
      <w:r>
        <w:rPr>
          <w:rtl w:val="true"/>
        </w:rPr>
        <w:t>قضیة الدور فی الرادعیة</w:t>
      </w:r>
      <w:bookmarkEnd w:id="1522"/>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لا یمکن أن تکون رادعة فإنّ فی رادعیتها دوراً واضحاً فتبقی السیرة بلا رادع ولکن یبقی السؤال بأنّ السیرة هل هی مخصِّصة بما أنها شرعیة ممضاة أو بما أنها تقنین عقلائی؟ وعلی الثانی یعود السؤال المثار فی الجوابین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کیف یمکن للتقنین العقلائی التصرف فی التقنین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یراد أنّ الکاشف عن الإمضاء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عدم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حقیقة تعلیقیة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المحقّق الخراسانی صاحب الکفایة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حجّیة خبر الثقة بالسیرة أیضاً لا یکون إلاّ علی 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بأنّ سیرة العقلاء علی العمل بخبر الواحد قبل نزول الآیات المذکورة کانت بلا رادع، وبعد نزول الآیات یدور الأمر بین تخصیص الآیات بها أو کون الآیات رادعة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الخاص المتقدّم علی العام، إذ یدور الأمر بین کونه مخصصاً للعام</w:t>
      </w:r>
    </w:p>
    <w:p>
      <w:pPr>
        <w:pStyle w:val="BookText"/>
        <w:rPr/>
      </w:pPr>
      <w:r>
        <w:rPr>
          <w:rFonts w:ascii="IRNazanin" w:hAnsi="IRNazanin" w:eastAsia="IRNazanin"/>
          <w:color w:val="111111"/>
          <w:sz w:val="28"/>
          <w:sz w:val="28"/>
          <w:szCs w:val="28"/>
          <w:rtl w:val="true"/>
          <w:lang w:bidi="fa-IR"/>
        </w:rPr>
        <w:t>أو منسوخاً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سبق منه أنّ الأولی وهو التخصیص، وعلی فرض التوقف فالمرجع إلی استصحاب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ولیلتفت إلی أنّ هذا الجواب یفترق عن جوابه بأنّ رادعیة الآیات دوری فإنه فی 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دوریة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متن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التنقین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المخصص، لا محمولها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الإمضاء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 الدور من الجانبین، وحیث خصّه فی جانب الرادعیة دون التخصیص کان قرینة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جواب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صلاحیة للعقلاء أن یتصرفوا فی التقنین الشرعی، کیف وحقیقة ردع الشارع عن سیرة العقلاء لا تعنی سوی نفی حجّیتها، وردع اتّباعه عن اتّباعها واستبدالها بحکم آخر بینما فی هذا الجواب جعل اعتبار الشارع للسیرة القبلی هو المخصص للإعتبار الشرعی العام المتأخر، وبه تخلص من إشکالیة الدور من الجانبین؛ لأنه لا یلزم إلاّ فی فرض التعاصر</w:t>
      </w:r>
      <w:r>
        <w:rPr>
          <w:rFonts w:eastAsia="IRNazanin" w:cs="IRNazanin"/>
          <w:color w:val="111111"/>
          <w:sz w:val="28"/>
          <w:szCs w:val="28"/>
          <w:rtl w:val="true"/>
          <w:lang w:bidi="fa-IR"/>
        </w:rPr>
        <w:t>.</w:t>
      </w:r>
      <w:r>
        <w:rPr>
          <w:rStyle w:val="FootnoteAnchor"/>
          <w:rtl w:val="true"/>
        </w:rPr>
        <w:footnoteReference w:id="22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یتضح أنّ فی جواب صاحب الکفایة هذا إلفاتاً إلی نکتة اصولیة مهمة وهی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أنّ حجّیة الأمارات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شطر کبیر من الأحکام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ثبوتاً للحکم الشرعی، فی</w:t>
      </w:r>
    </w:p>
    <w:p>
      <w:pPr>
        <w:pStyle w:val="BookText"/>
        <w:rPr/>
      </w:pPr>
      <w:r>
        <w:rPr>
          <w:rFonts w:ascii="IRNazanin" w:hAnsi="IRNazanin" w:eastAsia="IRNazanin"/>
          <w:color w:val="111111"/>
          <w:sz w:val="28"/>
          <w:sz w:val="28"/>
          <w:szCs w:val="28"/>
          <w:rtl w:val="true"/>
          <w:lang w:bidi="fa-IR"/>
        </w:rPr>
        <w:t>الوقت التی هی علل إثباتیة إنّیة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کنّا نعتبره أنه حکم شرعی هو فی الواقع معلول له أو تصرف شرعی فی الأحکام العقلیة المعلولة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بنی جملة من الأعلام علی هذه النکتة إرتکازاً، فإنّ الظن فی الإنسداد علی مبنی الحکومة هو من معالیل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مبنی الکشف ذکروا أنه یکشف عن تکلیف شرعی، ولکن نلحظ أنّ المقدّمات التی استخدمت لإثباته هی نفس مقدّمات الظن علی الحکومة، وسرّه أنّ هذا التعبد الشرعی مرتبط بمعلولات الحکم وتعبّد الشارع بالظن ومقام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عندما ننظر إلی کلماتهم فی الجمع بین الحکم الظاهری والواقعی نلحظ بوضوح تصنیف الحکم الظاهری فی سلسلة المعالیل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لابن قبة حیث افترض أنه حکم فی عرض الحکم الواقعی فی حین أنّ الواقع أنّ الأمارات قریبة السنخ من قاعدة الفراغ، فهی إحرازات للفراغ سوی أنها عقلائیة لا شرعیة، فما ورد من أدلّة شرعیة لا یعدو الارشاد، فهی لیست تأسیساً للحجّیة ولا إمضاء لما بنی علیه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للشارع أن یتصرف فیها ضیقاً وتوسعة، بعین التقریب المذکور فی قاعدة الفراغ وأمثالها من التصرفات فی منطقة الإمتثال</w:t>
      </w:r>
      <w:r>
        <w:rPr>
          <w:rFonts w:eastAsia="IRNazanin" w:cs="IRNazanin"/>
          <w:color w:val="111111"/>
          <w:sz w:val="28"/>
          <w:szCs w:val="28"/>
          <w:rtl w:val="true"/>
          <w:lang w:bidi="fa-IR"/>
        </w:rPr>
        <w:t>.</w:t>
      </w:r>
      <w:r>
        <w:rPr>
          <w:rStyle w:val="FootnoteAnchor"/>
          <w:rtl w:val="true"/>
        </w:rPr>
        <w:footnoteReference w:id="22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تعلیلاً لجواز الإعتماد علی السیرة إذا لم یثبت الردع،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أنّ ما جرت علیه السیرة المستمرة فی مقام الإطاعة والمعصیة وفی استحقاق العقوبة بالمخالفة وعدم استحقاقها مع الموافقة ولو فی صورة المخالفة عن الواقع، یکون</w:t>
      </w:r>
      <w:bookmarkStart w:id="1523" w:name="pg16983_381435"/>
    </w:p>
    <w:p>
      <w:pPr>
        <w:pStyle w:val="BookText"/>
        <w:rPr/>
      </w:pPr>
      <w:bookmarkEnd w:id="1523"/>
      <w:r>
        <w:rPr>
          <w:rFonts w:ascii="IRNazanin" w:hAnsi="IRNazanin" w:eastAsia="IRNazanin"/>
          <w:color w:val="111111"/>
          <w:sz w:val="28"/>
          <w:sz w:val="28"/>
          <w:szCs w:val="28"/>
          <w:rtl w:val="true"/>
          <w:lang w:bidi="fa-IR"/>
        </w:rPr>
        <w:t>عقلاً فی الشرع متبعاً مما لم ینهض دلیلاً علی المنع عن اتّباعه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هذا الکلام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إحراز الحکم فی معالیل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الإمتثال ووجوب الطاعة والتنجیز مما ذکره المحقّق النائینی فی تقسیمه للاحکام العقلیة إلی ما یقع منها فی سلسلة علل الحکم وما یقع منها فی سلسلة المعالیل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مخالف لتصنیف المحقّق النائینی فی الأحکام العقلائیة المحرزة؛ حیث صنّفها المحقّق الخراسانی فی سلسلة المعالیل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ولیدة وجوب الطاعة ومعلولة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صنّف المحقّق النائینی الحکم العقلی الإحرازی فی سلسلة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جواباً آخر من إشکالیة الدور فی هذا الشطر من الأحکام ا 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الأحکام الأصولیة بعد الإلتفات إلی أنه من خلال جوابیه یقبل إشکال الدور فی الطرفین فی أنفسهما لولا وجود المرجّح من خارج للسیرة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النمط من السیر حجّة من دون حاجة إلی الإمضاء؛ لأنّ جذرها حکم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الطاعة، الواقع فی سلسلة معلولات الحکم التی هی مساحة عقلیة لا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مساحة لیس یلزم أن یتصرف الشارع فیها ومن ثمّ لا یحتاج الحکم العقلی والعقلائی المتنزّل منه إلی إمضاء واعتبار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ألفتنا إلی أنّ خوضنا فی هذا البحث من بُعدین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صغروی وهو ما یرتبط بخبر الواحد، وهو مهم لأنه إذا ثبت رادعیة الآیات عن الظن فی الإعتقادات فهو یعنی عدم إمکان الإعتماد علی الخبر وغیره من الظنون فی مطلق الإعتقادات حتی تفاصیلها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کبروی وهو البحث عن العلاقة بین التقنین العقلی والشرعی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24" w:name="__RefHeading___Toc3300768_1468164448"/>
      <w:bookmarkStart w:id="1525" w:name="_Toc605"/>
      <w:bookmarkEnd w:id="1524"/>
      <w:r>
        <w:rPr>
          <w:rtl w:val="true"/>
        </w:rPr>
        <w:t>تصنیف الآیات الناهیة عن الظن</w:t>
      </w:r>
      <w:bookmarkEnd w:id="1525"/>
    </w:p>
    <w:p>
      <w:pPr>
        <w:pStyle w:val="BookText"/>
        <w:rPr/>
      </w:pPr>
      <w:r>
        <w:rPr>
          <w:rFonts w:ascii="IRNazanin" w:hAnsi="IRNazanin" w:eastAsia="IRNazanin"/>
          <w:color w:val="111111"/>
          <w:sz w:val="28"/>
          <w:sz w:val="28"/>
          <w:szCs w:val="28"/>
          <w:rtl w:val="true"/>
          <w:lang w:bidi="fa-IR"/>
        </w:rPr>
        <w:t>والظاهر أنّ الآیات الناهیة عن الظن لا تنهی عن الظن بما هو ظن وإنما تنهی عنه من حیث أنه لا یتکئ علی دلیل قطعی أو من حیث توفّر الدلیل القطعی أو لأنّ المورد لا یکتفی به فی الظن وإنما لابدّ من تحرّی القطع کما فی أساسیات الإعتقادات، فیترکه ویذهب إلی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قِسماً من الآیات تُقسّم الظنَ مما یعنی أنّ الظن فی نفسه لیس حجّة؛ 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 وَ کُنْتُمْ قَوْماً بُوراً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الظّانِّینَ بِاللّهِ ظَنَّ السَّوْءِ عَلَیْهِمْ دائِرَةُ السَّوْءِ</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بل فی قِسم آخر منها مدح نوعاً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یَرْجُونَ رَحْمَتَ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یَرْجُوا اللّهَ وَ الْیَوْمَ الْآخِرَ</w:t>
      </w:r>
      <w:r>
        <w:rPr>
          <w:rFonts w:eastAsia="Amiri" w:cs="Amiri" w:ascii="Amiri" w:hAnsi="Amiri"/>
          <w:color w:val="111111"/>
          <w:sz w:val="28"/>
          <w:szCs w:val="28"/>
          <w:rtl w:val="true"/>
          <w:lang w:bidi="ar-SA"/>
        </w:rPr>
        <w:t>) .</w:t>
      </w:r>
      <w:r>
        <w:rPr>
          <w:rStyle w:val="FootnoteAnchor"/>
          <w:rtl w:val="true"/>
        </w:rPr>
        <w:footnoteReference w:id="23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وآیات أخری ظاهرة فی أنّ النهی عن الظن فی العقائد لتوفّر الدلیل القطعی أو لأنّ القضیة لا یمکن إثباتها بالظن کما فی أساسیات العقائد کالتوحید</w:t>
      </w:r>
      <w:r>
        <w:rPr>
          <w:rFonts w:eastAsia="IRNazanin" w:cs="IRNazanin"/>
          <w:color w:val="111111"/>
          <w:sz w:val="28"/>
          <w:szCs w:val="28"/>
          <w:rtl w:val="true"/>
          <w:lang w:bidi="fa-IR"/>
        </w:rPr>
        <w:t>.</w:t>
      </w:r>
      <w:r>
        <w:rPr>
          <w:rStyle w:val="FootnoteAnchor"/>
          <w:rtl w:val="true"/>
        </w:rPr>
        <w:footnoteReference w:id="238"/>
      </w:r>
      <w:bookmarkStart w:id="1526" w:name="pg16983_381439"/>
    </w:p>
    <w:p>
      <w:pPr>
        <w:pStyle w:val="BookText"/>
        <w:rPr/>
      </w:pPr>
      <w:bookmarkEnd w:id="1526"/>
      <w:r>
        <w:rPr>
          <w:rFonts w:ascii="IRNazanin" w:hAnsi="IRNazanin" w:eastAsia="IRNazanin"/>
          <w:color w:val="111111"/>
          <w:sz w:val="28"/>
          <w:sz w:val="28"/>
          <w:szCs w:val="28"/>
          <w:rtl w:val="true"/>
          <w:lang w:bidi="fa-IR"/>
        </w:rPr>
        <w:t xml:space="preserve">فالنتیجة فی الصغری عدم رادعیة الآیات عن السیرة العقلائیة علی العمل بخبر الثقة، بل الحق أنّ السیرة علی خبر الواحد سیرة عقلائیة موضوعاً، متشرعیة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بنفسها دلیل فتکون مخصصة لإطلاق الآیات</w:t>
      </w:r>
      <w:r>
        <w:rPr>
          <w:rFonts w:eastAsia="IRNazanin" w:cs="IRNazanin"/>
          <w:color w:val="111111"/>
          <w:sz w:val="28"/>
          <w:szCs w:val="28"/>
          <w:rtl w:val="true"/>
          <w:lang w:bidi="fa-IR"/>
        </w:rPr>
        <w:t>.</w:t>
      </w:r>
    </w:p>
    <w:p>
      <w:pPr>
        <w:pStyle w:val="Heading6"/>
        <w:numPr>
          <w:ilvl w:val="5"/>
          <w:numId w:val="1"/>
        </w:numPr>
        <w:rPr/>
      </w:pPr>
      <w:bookmarkStart w:id="1527" w:name="__RefHeading___Toc3300770_1468164448"/>
      <w:bookmarkStart w:id="1528" w:name="_Toc606"/>
      <w:bookmarkEnd w:id="1527"/>
      <w:r>
        <w:rPr>
          <w:rtl w:val="true"/>
        </w:rPr>
        <w:t>العلاقة الثبوتیة بین التقنین الشرعی والعقلائی</w:t>
      </w:r>
      <w:bookmarkEnd w:id="1528"/>
    </w:p>
    <w:p>
      <w:pPr>
        <w:pStyle w:val="BookText"/>
        <w:rPr/>
      </w:pPr>
      <w:r>
        <w:rPr>
          <w:rFonts w:ascii="IRNazanin" w:hAnsi="IRNazanin" w:eastAsia="IRNazanin"/>
          <w:color w:val="111111"/>
          <w:sz w:val="28"/>
          <w:sz w:val="28"/>
          <w:szCs w:val="28"/>
          <w:rtl w:val="true"/>
          <w:lang w:bidi="fa-IR"/>
        </w:rPr>
        <w:t>وأما البحث الکبروی فتارة یکون عن العلاقة الثبوتیة وأخری عن العلاقة بینهما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ویعنی من العلاقة الثبوتیة أنّ التقنین العقلائی إما عین التقنین الشرعی أو یکتفی به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مسلک الآخوند فی التقنینات الأصولیة وکلّ من یظهر منه أنّ التقنین العقلائی الأصولی لا یحتاج إلی الإمضاء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والعینیة بمعنی أنّ المبادئ التصوریة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یعتمدها العقلاء فی تقنیناتهم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یعتمدها الشارع فی تقنیناته وهو الذی یعبّر عنه بأنّ الشارع استعمل لغة العقلاء فی تقنیناته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العلاقة الثبوتیة التصدیقیة فقد ذکرنا فی بحث الإعتبار أنّ بدء الأحکام وکلّیاتها العالیة هی شریعة العقل العملی وهی الشریعة الفطریة البدیهیة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الأحکام تتنزّل إلی اعتبارات عقلائیة وبدیلها الشرعیة، فشریعة العقل هی الدستور، وشریعة العقلاء والشارع</w:t>
      </w:r>
      <w:bookmarkStart w:id="1529" w:name="pg16983_381441"/>
    </w:p>
    <w:p>
      <w:pPr>
        <w:pStyle w:val="BookText"/>
        <w:rPr/>
      </w:pPr>
      <w:bookmarkEnd w:id="1529"/>
      <w:r>
        <w:rPr>
          <w:rFonts w:ascii="IRNazanin" w:hAnsi="IRNazanin" w:eastAsia="IRNazanin"/>
          <w:color w:val="111111"/>
          <w:sz w:val="28"/>
          <w:sz w:val="28"/>
          <w:szCs w:val="28"/>
          <w:rtl w:val="true"/>
          <w:lang w:bidi="fa-IR"/>
        </w:rPr>
        <w:t>تفصیل لذلک الدستور وتنزیل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یأتی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هل یمکن فرض أنّ التقنین الشرعی یکون تنزیلاً للتقنین العقلائی؟</w:t>
      </w:r>
    </w:p>
    <w:p>
      <w:pPr>
        <w:pStyle w:val="BookText"/>
        <w:rPr/>
      </w:pPr>
      <w:r>
        <w:rPr>
          <w:rFonts w:ascii="IRNazanin" w:hAnsi="IRNazanin" w:eastAsia="IRNazanin"/>
          <w:color w:val="111111"/>
          <w:sz w:val="28"/>
          <w:sz w:val="28"/>
          <w:szCs w:val="28"/>
          <w:rtl w:val="true"/>
          <w:lang w:bidi="fa-IR"/>
        </w:rPr>
        <w:t>وهل یمکن فرض أنّ التقنین العقلائی یکون تنزیلاً للتقنین الشرعی الکلّی المتوسط؟</w:t>
      </w:r>
    </w:p>
    <w:p>
      <w:pPr>
        <w:pStyle w:val="BookText"/>
        <w:rPr/>
      </w:pPr>
      <w:r>
        <w:rPr>
          <w:rFonts w:ascii="IRNazanin" w:hAnsi="IRNazanin" w:eastAsia="IRNazanin"/>
          <w:color w:val="111111"/>
          <w:sz w:val="28"/>
          <w:sz w:val="28"/>
          <w:szCs w:val="28"/>
          <w:rtl w:val="true"/>
          <w:lang w:bidi="fa-IR"/>
        </w:rPr>
        <w:t>ویبقی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 یمکن مع فرض عدم ورود دلیل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أن التقنین العقلائی یکون تنزیلاً للتقنین العقلی الفوقانی إذ لتقنین شرعی فوقانی جداً لم یتنزل بتقنین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هناک فرق بین التقنین العقلائی الوجودی والعدمی فی العلاقة مع التقنین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الإلتفات إلی أنّ الحدیث فی العلاقة سیکون فی خصوص التشریع الثابت دون الحکم الولوی والقضائی</w:t>
      </w:r>
      <w:r>
        <w:rPr>
          <w:rFonts w:eastAsia="IRNazanin" w:cs="IRNazanin"/>
          <w:color w:val="111111"/>
          <w:sz w:val="28"/>
          <w:szCs w:val="28"/>
          <w:rtl w:val="true"/>
          <w:lang w:bidi="fa-IR"/>
        </w:rPr>
        <w:t>. ]</w:t>
      </w:r>
    </w:p>
    <w:p>
      <w:pPr>
        <w:pStyle w:val="Heading6"/>
        <w:numPr>
          <w:ilvl w:val="5"/>
          <w:numId w:val="1"/>
        </w:numPr>
        <w:rPr/>
      </w:pPr>
      <w:bookmarkStart w:id="1530" w:name="__RefHeading___Toc3300772_1468164448"/>
      <w:bookmarkStart w:id="1531" w:name="_Toc607"/>
      <w:bookmarkEnd w:id="1530"/>
      <w:r>
        <w:rPr>
          <w:rtl w:val="true"/>
        </w:rPr>
        <w:t>الفوارق بین العموم الفوقانی وما دونه من العمومات</w:t>
      </w:r>
      <w:bookmarkEnd w:id="1531"/>
    </w:p>
    <w:p>
      <w:pPr>
        <w:pStyle w:val="BookText"/>
        <w:rPr/>
      </w:pPr>
      <w:r>
        <w:rPr>
          <w:rFonts w:ascii="IRNazanin" w:hAnsi="IRNazanin" w:eastAsia="IRNazanin"/>
          <w:color w:val="111111"/>
          <w:sz w:val="28"/>
          <w:sz w:val="28"/>
          <w:szCs w:val="28"/>
          <w:rtl w:val="true"/>
          <w:lang w:bidi="fa-IR"/>
        </w:rPr>
        <w:t>وقبل الدخول فی صمیم البحث نشیر إلی جملة من الفوارق بین العموم الفوقانی الذی لا یتنزّل إلاّ من خلال جعل وتقنین وبین العموم الفوقانی المذکور فی باب العام والخاص الذی یتنزّل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الفرد فی باب العام یکون تکوینیاً بیّناً وبالتالی یکون انطباق العموم علیه قهریاً وبیّناً، فی حین أنّ الفرد فی العموم الفوقانی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یحتاج إلی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بیّن فکان بحاجة إلی جعل لیکون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باب العام غالباً یکون إثباتیاً وبلحاظ عالم الدلالة، بخلاف العموم الآخر فإنّ عمومه ثبوتی وبلحاظ سعة القانون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الفرد فی العام عین ملاک العام لا یختلف عنه بشی، بینما ملاک الفرد المتنزّل بالجعل قد یختلف عن ملاک العام المتوفر فیه بزیادة بعض الخصوصیات، فجعل الفرد متمیّز عن</w:t>
      </w:r>
      <w:bookmarkStart w:id="1532" w:name="pg16983_381443"/>
    </w:p>
    <w:p>
      <w:pPr>
        <w:pStyle w:val="BookText"/>
        <w:rPr/>
      </w:pPr>
      <w:bookmarkEnd w:id="1532"/>
      <w:r>
        <w:rPr>
          <w:rFonts w:ascii="IRNazanin" w:hAnsi="IRNazanin" w:eastAsia="IRNazanin"/>
          <w:color w:val="111111"/>
          <w:sz w:val="28"/>
          <w:sz w:val="28"/>
          <w:szCs w:val="28"/>
          <w:rtl w:val="true"/>
          <w:lang w:bidi="fa-IR"/>
        </w:rPr>
        <w:t>جعل کلّیه ومتمیّز عن جعل الفرد الآخر بخصوصیات یختص بها وبدرجة الملاک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الجعل فی العام القانونی الفوقانی ینصبّ علی الماهیة النوعیة المتنزّلة، بینما انحلال العام تکویناً یکون إلی الطبیعی الموجود فی الخارج لا إلی فردیة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یعرف سرّ الحاجة إلی الجعل فی الأول دون الثانی، فإنّ دخالة الخصوصیة المنوعة لا یمکن أن یتعرف علیها من دون جعل ومن ثمّ ینحلّ العام الفوقانی إلی کلّیات أدنی منه بالجعل ولکن العام ینحلّ إلی الجزئیات تکویناً</w:t>
      </w:r>
      <w:r>
        <w:rPr>
          <w:rFonts w:eastAsia="IRNazanin" w:cs="IRNazanin"/>
          <w:color w:val="111111"/>
          <w:sz w:val="28"/>
          <w:szCs w:val="28"/>
          <w:rtl w:val="true"/>
          <w:lang w:bidi="fa-IR"/>
        </w:rPr>
        <w:t>.</w:t>
      </w:r>
    </w:p>
    <w:p>
      <w:pPr>
        <w:pStyle w:val="Heading6"/>
        <w:numPr>
          <w:ilvl w:val="5"/>
          <w:numId w:val="1"/>
        </w:numPr>
        <w:rPr/>
      </w:pPr>
      <w:bookmarkStart w:id="1533" w:name="__RefHeading___Toc3300774_1468164448"/>
      <w:bookmarkStart w:id="1534" w:name="_Toc608"/>
      <w:bookmarkEnd w:id="1533"/>
      <w:r>
        <w:rPr>
          <w:rtl w:val="true"/>
        </w:rPr>
        <w:t>الوجوه فی تفسیر العلاقة الثبوتیة بین التقنینین</w:t>
      </w:r>
      <w:bookmarkEnd w:id="1534"/>
    </w:p>
    <w:p>
      <w:pPr>
        <w:pStyle w:val="BookText"/>
        <w:rPr/>
      </w:pPr>
      <w:r>
        <w:rPr>
          <w:rFonts w:ascii="IRNazanin" w:hAnsi="IRNazanin" w:eastAsia="IRNazanin"/>
          <w:color w:val="111111"/>
          <w:sz w:val="28"/>
          <w:sz w:val="28"/>
          <w:szCs w:val="28"/>
          <w:rtl w:val="true"/>
          <w:lang w:bidi="fa-IR"/>
        </w:rPr>
        <w:t xml:space="preserve">بعد هذا ندخل فی صلب البحث ونبتدئ بعرض الوجوه فی تفسیر العلاقة الثبوتیة بین التقنینین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استثناء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القوانین العقلائیة الأصولیة فإنها لا تحتاج إلی إمضاء الشارع؛ لأنها ترتبط ثبوتاً بحکم العقل، المعلول للحکم الشرعی وبعد استثناء القانون العقلائی المتنزّل من حکم العقل مباشرة أو بواسطة قریبة؛ حیث لا یمکن الردع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الإنسداد ولا یخفی علیک إنه لیس دلیلاً لخصوص اعتبار الظن بل هو أحد تطبیقاته بل هو کبری عقلیة مرتبطة بالإعتبار العقلائی فی کیفیة کونه بدیلاً عن الإعتبار الشرعی علی الحکومة أو عینه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تجدهم طبّقوا دلیل الإنسداد فی الرجال بل صرّح البعض بإمکان تطبیقه حتی فی بعض الأبواب الفقهیة بل سنری أنه المدرک الوحید لاعتبار بعض التقنینات العقلائیة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هو الفذلکة فی العبارة التی تنسب إلی السیّد أبی الحسن 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وقع فی أیدینا زمام الحکم فما وجد من تقنین للشارع أخذنا به وإلاّ نعمل بالتقنین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کان الحری ذکره فی ذیل دلیل العقل أو الإعتبار لا فی ذیل بحث الظن، کما أنّ بحثنا فی ذلک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المهجور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استمراراً لکشف العلاقة بین التقنین العقلائی والشرعی لا من جهة تطبیقه علی الظن؛ حیث لا نحتاج إلی ذلک بعد أن انتهینا إلی حجّیة الخبر کبرویاً وعالجنا المشکلات المرتبطة بالصغری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العمومات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المعاقدة والمشارطة لا تخص المعاملات وإنما تعمّ کلّ العقود حتی السیاسیة والدولیة والقضائیة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عنها فی یومنا بالإتفاقیات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فهی تدلّ علی شرعیة کلّ القوانین ما دامت مصداقاً للمشارطة والمعاقدة شرطیة أن لا تخالف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عقد المدنیة والمواطنة یرجع إلی التعاقد والمشارطة علی الإلتزام بالقوانین العقلائیة المرتطبة بهذا الجانب ولکن شریطة أن لا یخالف الکتاب والسنّة وهو شرط ثابت وسار فی کلّ الوجوه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النظری والعملی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والشرع علی ضرورة النظم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نظم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النظم لأجل الوصول إلی الأغراض التکوینیة والشرعیة معاً مع الإلتفات إلی أنّ الغرض التشریعی منبسط یصبّ فی الغرض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والنظم کما یتحقق بالصناعات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وجبت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یتحقق بالتقنین والإلتزام به ومن ثمّ یجب ویکون منجّزاً ومعذّراً حیث کان شرعیاً من جهة کونه یحقق النظام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وقد أشرنا فی بحث الإعتبار إلی وجه دلالتها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یقع التقنین العقلائی موضوعاً للمحمول الشرعی مما یعنی أنّ الشارع لم یستحدث شیئاً علی صعید الموضوع وإنما بالتقنین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جزئی کما لا یخفی ولکن هناک أدلّة جزئیة أخری بضمّ بعضها إلی الآخر تکون الحصیلة وافرة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بعد أن تحدّدت العلاقة الثبوتیة بین أنماط من القوانین العقلائیة والحکم الشرعی، لا نحتاج بعدُ إلی البحث الإثباتی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ممضاة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اتضح شرعیة هذه الأنماط من خلال کونها مصداقاً لکلّی شرعی، أو موضوعاً لحکم شرعی، أو مقدّمة لوجود واجب شرعی، أو بدیلاً أو عین الحکم الشرعی، أو أنها موضوعاً عقلائیة إلاّ أنها حکماً ومحمولاً متشرعیة،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سلسة معلولات الحکم الشرعی کالقوانین الأصولیة فی الجملة، قریبة الأفق من الحکم العقلی</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عن الإمضاء والردع إنما نحتاجه مع خفاء العلاقة الثبوتیة وکون القانون فی معرض الإبتلاء، عندها یتمّ التفتیش عن اعتبار شرعی مطابق لقانون العقلاء وعدمه</w:t>
      </w:r>
      <w:r>
        <w:rPr>
          <w:rFonts w:eastAsia="IRNazanin" w:cs="IRNazanin"/>
          <w:color w:val="111111"/>
          <w:sz w:val="28"/>
          <w:szCs w:val="28"/>
          <w:rtl w:val="true"/>
          <w:lang w:bidi="fa-IR"/>
        </w:rPr>
        <w:t>.</w:t>
      </w:r>
      <w:bookmarkStart w:id="1535" w:name="pg16983_381450"/>
    </w:p>
    <w:p>
      <w:pPr>
        <w:pStyle w:val="Heading5"/>
        <w:numPr>
          <w:ilvl w:val="4"/>
          <w:numId w:val="1"/>
        </w:numPr>
        <w:rPr/>
      </w:pPr>
      <w:bookmarkStart w:id="1536" w:name="__RefHeading___Toc3300776_1468164448"/>
      <w:bookmarkStart w:id="1537" w:name="_Toc609"/>
      <w:bookmarkEnd w:id="1535"/>
      <w:bookmarkEnd w:id="1536"/>
      <w:r>
        <w:rPr>
          <w:rtl w:val="true"/>
        </w:rPr>
        <w:t>الدلیل الخامس</w:t>
      </w:r>
      <w:r>
        <w:rPr>
          <w:rtl w:val="true"/>
        </w:rPr>
        <w:t xml:space="preserve">: </w:t>
      </w:r>
      <w:r>
        <w:rPr>
          <w:rtl w:val="true"/>
        </w:rPr>
        <w:t>العقل</w:t>
      </w:r>
      <w:bookmarkEnd w:id="1537"/>
    </w:p>
    <w:p>
      <w:pPr>
        <w:pStyle w:val="Heading6"/>
        <w:numPr>
          <w:ilvl w:val="5"/>
          <w:numId w:val="1"/>
        </w:numPr>
        <w:rPr/>
      </w:pPr>
      <w:bookmarkStart w:id="1538" w:name="__RefHeading___Toc3300778_1468164448"/>
      <w:bookmarkStart w:id="1539" w:name="_Toc610"/>
      <w:bookmarkEnd w:id="1538"/>
      <w:r>
        <w:rPr>
          <w:rtl w:val="true"/>
        </w:rPr>
        <w:t>اشارة</w:t>
      </w:r>
      <w:bookmarkEnd w:id="1539"/>
    </w:p>
    <w:p>
      <w:pPr>
        <w:pStyle w:val="BookText"/>
        <w:rPr/>
      </w:pPr>
      <w:r>
        <w:rPr>
          <w:rFonts w:ascii="IRNazanin" w:hAnsi="IRNazanin" w:eastAsia="IRNazanin"/>
          <w:color w:val="111111"/>
          <w:sz w:val="28"/>
          <w:sz w:val="28"/>
          <w:szCs w:val="28"/>
          <w:rtl w:val="true"/>
          <w:lang w:bidi="fa-IR"/>
        </w:rPr>
        <w:t>وقد ذکرت أدلّة ثلاثة ونحن نتعرض لها للإستفادة من فذلکتها لا للترکیز علی إنتاجها وعدمه؛ حیث ذهب الکثیر إلی عدم إنتاجها مع عدم الإستعانة بدلیل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العلم بصدور کثیر من الأخبار المتضمنة للتکالیف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العلم ینبّهنا إلی حجّیة الأقرب للعلم فالأقرب إلی حدّ انحلال العلم الإجمالی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کون الخبر مثبتاً أو نافیاً ما لم یکن المورد مورداً لقاعدة الإشتغال أو استصحاب التکلیف، فإنه لا یعمل بالخبر حینئذ</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ناقش الشیخ فی هذا الدلیل بأنّ العلم الإجمالی الکبیر لا ینحلّ بالعلم الإجمالی المذکور، وذلک لأننا لو انتزعنا بعض الأخبار وجعلنا مکانها الأمارات الأخری لوجدنا أنّ العلم الکبیر لم ینحل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یخطر بالبال أنّ مناقشة الشیخ مصادرة؛ حیث إنّ التبدیل هو سرّ عدم الإنحلال لا أنه یکشف عن عدم الإنحلال بالعلم الإجمالی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والملفت أنّ الأعلام کثیراً مّا یستخدمون التبدیل للتدلیل علی عدم انحلال الکبیر بالصغیر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أنه لا مصادرة؛ لأنّ الأعلام لا یریدون من التبدیل الإتیان ببدائل تخالف فی المفاد للمنتزع وإنما بدائل توافق ما ینتزع من العلم فی المفاد تختلف معه فی الدرجة الإحتمالیة بأن یکون البدیل أضعف إراءة، فیدلّ علی أنّ عدد المحتملات الموجودة فی العلم الصغیر لا تفی بالمحتملات الموجودة فی العلم الصغیر ومن ثمّ لابدّ من اتّساع دائرة الحجّیة إلی الأوسع من خبر الثقة بل لابدّ من الاحتیاط فی</w:t>
      </w:r>
      <w:bookmarkStart w:id="1540" w:name="pg16983_381453"/>
    </w:p>
    <w:p>
      <w:pPr>
        <w:pStyle w:val="BookText"/>
        <w:rPr/>
      </w:pPr>
      <w:bookmarkEnd w:id="1540"/>
      <w:r>
        <w:rPr>
          <w:rFonts w:ascii="IRNazanin" w:hAnsi="IRNazanin" w:eastAsia="IRNazanin"/>
          <w:color w:val="111111"/>
          <w:sz w:val="28"/>
          <w:sz w:val="28"/>
          <w:szCs w:val="28"/>
          <w:rtl w:val="true"/>
          <w:lang w:bidi="fa-IR"/>
        </w:rPr>
        <w:t>دائرة الضعاف أیضاً کی یضمن انحلال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یرید أن یقول إنّ الإنحلال کما یتقوّم بالکیف یتقوّم بالکمّ أیضاً فلابدّ أولاً من وفاء عدد المحتملات فی العلم الصغیر للمحتملات فی العلم الکبیر کی یؤثر الکیف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الکفایة أصرّ علی الإنحلال وانتصر له البعض ببناء صاحب المعالم علی هذا الوجه ومثله الأردبیلی، وبالتالی بناؤهما علی حجّیة الخبر الصحیح والأعلائی وأمثاله باعتباره القدر المتیقن ومع ذلک تمکّنوا من بناء فقه کامل من دون أیّ خلل وفراغ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نقف إلی جانب الشیخ بعد أن وجدنا شذوذ مثل صاحب المعالم والأردبیلی فی کثیر من المسائل خلافاً لما أفتی به المشهور وما ذاک إلاّ بسبب مسلکهم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نجدهم بنوا فی موارد بنی علیها المشهور من دون وجود صحیح أعلائی بل غایة ما یوجد هو الخبر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یصلح مؤاخذة علی مبنی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جابریة الشهرة وکاسریتها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وجدنا فی کثیر من الحالات اعتماده علی الشهرة فقط وإن استبدله بتعبیر التسالم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تفسیراً آخر لکلمات الشیخ فی مناقشته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هو الأقرب لعبارته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إننا نستبدل مجموعة من الاخبار بجمیع الأمارات الأخری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وافَقَتْها فی المفاد أم خالَفَتْها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یبقی العلم الإجمالی الصغیر مما یکشف عن أنّ دائرة العلوم أوسع مما ذکر ویعنی أنّ دائرة العلوم فی العلم الصغیر أضیق من دائرة العلم الکبیر فلا یحلّه</w:t>
      </w:r>
      <w:r>
        <w:rPr>
          <w:rFonts w:eastAsia="IRNazanin" w:cs="IRNazanin"/>
          <w:color w:val="111111"/>
          <w:sz w:val="28"/>
          <w:szCs w:val="28"/>
          <w:rtl w:val="true"/>
          <w:lang w:bidi="fa-IR"/>
        </w:rPr>
        <w:t>.</w:t>
      </w:r>
    </w:p>
    <w:p>
      <w:pPr>
        <w:pStyle w:val="Heading6"/>
        <w:numPr>
          <w:ilvl w:val="5"/>
          <w:numId w:val="1"/>
        </w:numPr>
        <w:rPr/>
      </w:pPr>
      <w:bookmarkStart w:id="1541" w:name="__RefHeading___Toc3300780_1468164448"/>
      <w:bookmarkStart w:id="1542" w:name="_Toc611"/>
      <w:bookmarkEnd w:id="1541"/>
      <w:r>
        <w:rPr>
          <w:rtl w:val="true"/>
        </w:rPr>
        <w:t>الکشف والحکومة</w:t>
      </w:r>
      <w:bookmarkEnd w:id="1542"/>
    </w:p>
    <w:p>
      <w:pPr>
        <w:pStyle w:val="BookText"/>
        <w:rPr/>
      </w:pPr>
      <w:r>
        <w:rPr>
          <w:rFonts w:ascii="IRNazanin" w:hAnsi="IRNazanin" w:eastAsia="IRNazanin"/>
          <w:color w:val="111111"/>
          <w:sz w:val="28"/>
          <w:sz w:val="28"/>
          <w:szCs w:val="28"/>
          <w:rtl w:val="true"/>
          <w:lang w:bidi="fa-IR"/>
        </w:rPr>
        <w:t>وقد ناقش الآخوند فی الوجه الأول أنّ مؤدّی العلم هو الإحتیاط فی الأخبار المظنونة لا حجّیتها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وتوضیحه أنّ عمدة دلیل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ننتهی به إلی تنجیز</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الإجمالی بوجود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قبیله العلم الإجمالی بوجود تکالیف صادرة فی الأخبار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وهناک مبنیان فی الإنسداد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الظن علی الحکومة، وهو لا یعنی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اکتفاء العقل بالإمتثال الظنی فی هذا المقام بدلاً من الإحتیاط 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الظن علی الکشف، وهو یعنی إحراز التکلیف وحجّیة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لا مجال للتخصیص والتقیید والحکومة، فإنها من شؤون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الفارق العملی الجوهری بین المبنیین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صاحب الکفایة اعتماده علی مبنی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یمکن المقاربة بین الحکومة والکشف بما ذکره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إحراز الحکم یقع فی سلسلة معلولات الحکم الواقعی لباً وإن کان بصورة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ذلک یکون الکشف کالحکومة فی کونه واقعاً فی سلسلة معلولات الحکم، وثمرة الکشف والإحراز لیس إلاّ التنجیز والتعذیر فی مقام الإمتثال مما یعنی الحجّیة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یکن التخصیص والتقیید تصرفاتٍ فی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یشکّل فارقاً بین الکشف والحکومة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تصرفات فی المحرزات للإمتثال لم یکن فارق بین المبنیین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کذا ألفت المحقّق العراقی إلی إمکان المقاربة بین الحکومة والکشف بالبیان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التقیید والتخصیص یتصور أیضاً علی مبنی الحکومة ولکن علی شکل نتیجة التقیید والتخصیص لا بالتقیید والتخصیص اصطلاحاً؛ فإنّ الخبر المثبِت للتکلیف یرفع به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ببرکة 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العمومات القرآنیة النافیة من دون فرق بین الکشف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کون الخبر نافیاً فحیث إنّا نعلم بصدور الأخبار فهو ینتج علماً بالتخصیص والتقیید وهو ینتج علماً باختلال العمومات المثبتة وهو ینتج انتفاء حجّیتها الخاصة للتعارض الذی حصل بینها بالعرض فیتقدّم الخبر ویعمل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بالکشف أو الحکومة فالنتائج واحدة ولکن الفذلکة مختلفة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وتقییم هذه المقاربة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هی إنیة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نترکه إلی بحث الإنسداد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نعلم وجوب إتیان الماهیات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العبادیة أم المعاملیة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نعلم ضرورة ذلک، والطریق الوحید لمعرفة ذلک هو خبر الواحد الموجود فی الکتب المعتبرة، فهو حجّة علی شرط عمل الأصحاب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وجوب الأخذ بالسنّة، وهو یولّد لنا علماً بوجوب العمل بالأخبار فی الجملة، المنتج لوجوب العمل بالأخبار المظنونة الصدور لأنها القدر المتیقن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والفارق بین الأدلّة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تشترک فی العلم الإجمالی مع اختلافه فیها عن العلم الإجمالی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المعلوم فی الأول هو الحکم الظاهری، والمعلوم فی الثانی هو الضرورة الفقهیة الخاصة بالمرکبات، والمعلوم فی الثالث حکم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التمسک بالسنّة</w:t>
      </w:r>
    </w:p>
    <w:p>
      <w:pPr>
        <w:pStyle w:val="BookText"/>
        <w:rPr/>
      </w:pPr>
      <w:r>
        <w:rPr>
          <w:rFonts w:ascii="IRNazanin" w:hAnsi="IRNazanin" w:eastAsia="IRNazanin"/>
          <w:color w:val="111111"/>
          <w:sz w:val="28"/>
          <w:sz w:val="28"/>
          <w:szCs w:val="28"/>
          <w:rtl w:val="true"/>
          <w:lang w:bidi="fa-IR"/>
        </w:rPr>
        <w:t xml:space="preserve">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أرفع شأناً من الوجوب المعلوم بالعلم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التکالیف الواقعیة التی یترتب علیها مثوبة وعقوبة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ثمّ یتضح أنّ إشکال الشیخ علی الدلیل الثالث بأنه إما أن یرجع إلی الإنسداد أو إلی الوجه الأول فی غیر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مختلف سنخاً عنهما کما عرفت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کلّ علم من هذه الثلاثة قد لا ینتج لنا حجّیة خبر الواحد إلاّ أنه تبقی قیمة لهذه العلوم وهی أنها تلفتنا إلی وجود أدلّة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عقائدیة وفقهیة وأصولیة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العمل بأخبار الآحاد علاوة علی العلم الإجمالی الکبیر والأدلّة الخاصة، فالتفریط بهذا المدرک الشرعی تفریط بعدّة أحکام ومخالفة لأکثر من وجوب</w:t>
      </w:r>
      <w:r>
        <w:rPr>
          <w:rFonts w:eastAsia="IRNazanin" w:cs="IRNazanin"/>
          <w:color w:val="111111"/>
          <w:sz w:val="28"/>
          <w:szCs w:val="28"/>
          <w:rtl w:val="true"/>
          <w:lang w:bidi="fa-IR"/>
        </w:rPr>
        <w:t>.</w:t>
      </w:r>
      <w:bookmarkStart w:id="1543" w:name="pg16983_381461"/>
    </w:p>
    <w:p>
      <w:pPr>
        <w:pStyle w:val="Heading4"/>
        <w:numPr>
          <w:ilvl w:val="3"/>
          <w:numId w:val="1"/>
        </w:numPr>
        <w:rPr/>
      </w:pPr>
      <w:bookmarkStart w:id="1544" w:name="__RefHeading___Toc3300782_1468164448"/>
      <w:bookmarkStart w:id="1545" w:name="_Toc612"/>
      <w:bookmarkEnd w:id="1543"/>
      <w:bookmarkEnd w:id="1544"/>
      <w:r>
        <w:rPr/>
        <w:t>4</w:t>
      </w:r>
      <w:r>
        <w:rPr>
          <w:rtl w:val="true"/>
        </w:rPr>
        <w:t xml:space="preserve"> . </w:t>
      </w:r>
      <w:r>
        <w:rPr>
          <w:rtl w:val="true"/>
        </w:rPr>
        <w:t>تنبیهات تتعلّق بخبر الواحد</w:t>
      </w:r>
      <w:bookmarkEnd w:id="1545"/>
    </w:p>
    <w:p>
      <w:pPr>
        <w:pStyle w:val="Heading5"/>
        <w:numPr>
          <w:ilvl w:val="4"/>
          <w:numId w:val="1"/>
        </w:numPr>
        <w:rPr/>
      </w:pPr>
      <w:bookmarkStart w:id="1546" w:name="__RefHeading___Toc3300784_1468164448"/>
      <w:bookmarkStart w:id="1547" w:name="_Toc613"/>
      <w:bookmarkEnd w:id="1546"/>
      <w:r>
        <w:rPr>
          <w:rtl w:val="true"/>
        </w:rPr>
        <w:t>التنبیه الأول</w:t>
      </w:r>
      <w:r>
        <w:rPr>
          <w:rtl w:val="true"/>
        </w:rPr>
        <w:t xml:space="preserve">: </w:t>
      </w:r>
      <w:r>
        <w:rPr>
          <w:rtl w:val="true"/>
        </w:rPr>
        <w:t>حجّیة خبر الثقة أو الموثوق به؟</w:t>
      </w:r>
      <w:bookmarkEnd w:id="1547"/>
    </w:p>
    <w:p>
      <w:pPr>
        <w:pStyle w:val="Heading6"/>
        <w:numPr>
          <w:ilvl w:val="5"/>
          <w:numId w:val="1"/>
        </w:numPr>
        <w:rPr/>
      </w:pPr>
      <w:bookmarkStart w:id="1548" w:name="__RefHeading___Toc3300786_1468164448"/>
      <w:bookmarkStart w:id="1549" w:name="_Toc614"/>
      <w:bookmarkEnd w:id="1548"/>
      <w:r>
        <w:rPr>
          <w:rtl w:val="true"/>
        </w:rPr>
        <w:t>اشارة</w:t>
      </w:r>
      <w:bookmarkEnd w:id="1549"/>
    </w:p>
    <w:p>
      <w:pPr>
        <w:pStyle w:val="BookText"/>
        <w:rPr/>
      </w:pPr>
      <w:r>
        <w:rPr>
          <w:rFonts w:ascii="IRNazanin" w:hAnsi="IRNazanin" w:eastAsia="IRNazanin"/>
          <w:color w:val="111111"/>
          <w:sz w:val="28"/>
          <w:sz w:val="28"/>
          <w:szCs w:val="28"/>
          <w:rtl w:val="true"/>
          <w:lang w:bidi="fa-IR"/>
        </w:rPr>
        <w:t xml:space="preserve">والمعروف أنّ مَن یختار أحدهما لا یختار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الإلتفات إلی تعریف الموثوق به بما یولّد الوثوق الشخصی، وأنّ خبر الثقة قد لا یحقق الوثوق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المتأخرین اختار الاثنین</w:t>
      </w:r>
      <w:r>
        <w:rPr>
          <w:rFonts w:eastAsia="IRNazanin" w:cs="IRNazanin"/>
          <w:color w:val="111111"/>
          <w:sz w:val="28"/>
          <w:szCs w:val="28"/>
          <w:rtl w:val="true"/>
          <w:lang w:bidi="fa-IR"/>
        </w:rPr>
        <w:t>.</w:t>
      </w:r>
    </w:p>
    <w:p>
      <w:pPr>
        <w:pStyle w:val="Heading6"/>
        <w:numPr>
          <w:ilvl w:val="5"/>
          <w:numId w:val="1"/>
        </w:numPr>
        <w:rPr/>
      </w:pPr>
      <w:bookmarkStart w:id="1550" w:name="__RefHeading___Toc3300788_1468164448"/>
      <w:bookmarkStart w:id="1551" w:name="_Toc615"/>
      <w:bookmarkEnd w:id="1550"/>
      <w:r>
        <w:rPr>
          <w:rtl w:val="true"/>
        </w:rPr>
        <w:t>تعریف الخبر الموثوق به</w:t>
      </w:r>
      <w:bookmarkEnd w:id="1551"/>
    </w:p>
    <w:p>
      <w:pPr>
        <w:pStyle w:val="BookText"/>
        <w:rPr/>
      </w:pPr>
      <w:r>
        <w:rPr>
          <w:rFonts w:ascii="IRNazanin" w:hAnsi="IRNazanin" w:eastAsia="IRNazanin"/>
          <w:color w:val="111111"/>
          <w:sz w:val="28"/>
          <w:sz w:val="28"/>
          <w:szCs w:val="28"/>
          <w:rtl w:val="true"/>
          <w:lang w:bidi="fa-IR"/>
        </w:rPr>
        <w:t xml:space="preserve">ولکن التعریف المذکور للموثوق به خطأ؛ لأنّ العقلاء إن شارکوا الشخص فی وثوقه فهو نوعی، ومع عدم مشارکتهم فهو تخطئة له، فلا یمکن عدّه مصداقاً لبنائهم علی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الأساس فی الحجّیة وسائر الأدلّة إمضاء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فلابدّ من حفظ الجهة النوعیة فی تعریفه، ومعه لا فرق بینه وبین خبر الثقة من هذه الجهة؛ لأنّ الخبر الموثوق به لیس أمارة أسّسها الشارع وإنما الشارع أسّس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أمضاها</w:t>
      </w:r>
      <w:r>
        <w:rPr>
          <w:rFonts w:eastAsia="IRNazanin" w:cs="IRNazanin"/>
          <w:color w:val="111111"/>
          <w:sz w:val="28"/>
          <w:szCs w:val="28"/>
          <w:rtl w:val="true"/>
          <w:lang w:bidi="fa-IR"/>
        </w:rPr>
        <w:t>.</w:t>
      </w:r>
    </w:p>
    <w:p>
      <w:pPr>
        <w:pStyle w:val="Heading6"/>
        <w:numPr>
          <w:ilvl w:val="5"/>
          <w:numId w:val="1"/>
        </w:numPr>
        <w:rPr/>
      </w:pPr>
      <w:bookmarkStart w:id="1552" w:name="__RefHeading___Toc3300790_1468164448"/>
      <w:bookmarkStart w:id="1553" w:name="_Toc616"/>
      <w:bookmarkEnd w:id="1552"/>
      <w:r>
        <w:rPr>
          <w:rtl w:val="true"/>
        </w:rPr>
        <w:t>الفارق بین خبر الثقة والخبر الموثوق به</w:t>
      </w:r>
      <w:bookmarkEnd w:id="1553"/>
    </w:p>
    <w:p>
      <w:pPr>
        <w:pStyle w:val="BookText"/>
        <w:rPr/>
      </w:pPr>
      <w:r>
        <w:rPr>
          <w:rFonts w:ascii="IRNazanin" w:hAnsi="IRNazanin" w:eastAsia="IRNazanin"/>
          <w:color w:val="111111"/>
          <w:sz w:val="28"/>
          <w:sz w:val="28"/>
          <w:szCs w:val="28"/>
          <w:rtl w:val="true"/>
          <w:lang w:bidi="fa-IR"/>
        </w:rPr>
        <w:t xml:space="preserve">والفارق بینهما إنّ منشأ الوثوق النوعی فی الخبر الموثوق به لا ینحصر بوثاقة الراوی بل یحصل من مجموع قرائن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کانت أجنبیة کفتوی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تتراکم وتتصاعد حتی یحصل الوثوق، ولکنّ المنشأ الذی اعتمده العقلاء فی خبر الثقة آحادی وهو وثاقة الراوی بینما فی الخبر الموثوق به فالمنشأ جملة مناشئ ینضمّ بعضها إلی الآخر فتولّد وثوقاً یعتنی به العقلاء</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عنی علماء الدرایة بجمع تلک القرائن وتبوبیبها وتقسیمها وضبطها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وربما یکون هذا هو السرّ فی تعبیر الأعلام بالوثوق الشخصی باعتبار أنه أمارة علی الوثوق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یستعلم حصول الوثوق النوعی من خلال الوثوق الشخصی کما هو الحال فی الظهور بعد أن لم یکن المنشأ منضبطاً وآحادیاً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طریق لا مدار، ومن ثمّ کان لزاماً علیه أن یبیّن المناشئ النوعیة التی اعتمدها فی الإستظهار والإستیثاق من أجل أن یأخذ طابع النوعیة والموضوعیة ویکون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الفارق الماهوی الموضوعی بینهما</w:t>
      </w:r>
      <w:r>
        <w:rPr>
          <w:rFonts w:eastAsia="IRNazanin" w:cs="IRNazanin"/>
          <w:color w:val="111111"/>
          <w:sz w:val="28"/>
          <w:szCs w:val="28"/>
          <w:rtl w:val="true"/>
          <w:lang w:bidi="fa-IR"/>
        </w:rPr>
        <w:t>.</w:t>
      </w:r>
      <w:r>
        <w:rPr>
          <w:rStyle w:val="FootnoteAnchor"/>
          <w:rtl w:val="true"/>
        </w:rPr>
        <w:footnoteReference w:id="24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الفارق بینهما علی مستوی الأدلّة فالأدلّة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النقلیة أو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تتعرض لحجّیة الخبر بما هو خبر هی فی صدد بیان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یعنی ذلک عدم وجود دلیل علی حجّیة الخبر الموثوق</w:t>
      </w:r>
      <w:bookmarkStart w:id="1554" w:name="pg16983_381465"/>
    </w:p>
    <w:p>
      <w:pPr>
        <w:pStyle w:val="BookText"/>
        <w:rPr/>
      </w:pPr>
      <w:bookmarkEnd w:id="1554"/>
      <w:r>
        <w:rPr>
          <w:rFonts w:ascii="IRNazanin" w:hAnsi="IRNazanin" w:eastAsia="IRNazanin"/>
          <w:color w:val="111111"/>
          <w:sz w:val="28"/>
          <w:sz w:val="28"/>
          <w:szCs w:val="28"/>
          <w:rtl w:val="true"/>
          <w:lang w:bidi="fa-IR"/>
        </w:rPr>
        <w:t xml:space="preserve">به نوعاً أیضاً؛ إذ یمکن الإستدلال علیه بحجّیة الإطمئنان، والخبر الموثوق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بواسطة تراکم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من صغریات الإطمئنان، وبالتالی فهو حجّة علی حدّ حجّیة 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أنه حجّة عقلائیة ممضاة من الشارع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فالتحقیقات القضائیة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المعتمدة علی تجمیع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وصلت إلی حدّ الإطمئنان فهی حجّة فی الموضوع وتحدید المدّعی والمنکر، ولکن القاضی یبقی فی حکمه معتمداً علی البیّنة 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أوصلت هذه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یقوم بها المتخصصون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إلی العلم أمکن له الحکم بعلمه إذا قبلنا کبری جواز حکم القاضی بعلمه</w:t>
      </w:r>
      <w:r>
        <w:rPr>
          <w:rFonts w:eastAsia="IRNazanin" w:cs="IRNazanin"/>
          <w:color w:val="111111"/>
          <w:sz w:val="28"/>
          <w:szCs w:val="28"/>
          <w:rtl w:val="true"/>
          <w:lang w:bidi="fa-IR"/>
        </w:rPr>
        <w:t>.</w:t>
      </w:r>
    </w:p>
    <w:p>
      <w:pPr>
        <w:pStyle w:val="Heading6"/>
        <w:numPr>
          <w:ilvl w:val="5"/>
          <w:numId w:val="1"/>
        </w:numPr>
        <w:rPr/>
      </w:pPr>
      <w:bookmarkStart w:id="1555" w:name="__RefHeading___Toc3300792_1468164448"/>
      <w:bookmarkStart w:id="1556" w:name="_Toc617"/>
      <w:bookmarkEnd w:id="1555"/>
      <w:r>
        <w:rPr>
          <w:rtl w:val="true"/>
        </w:rPr>
        <w:t>ثمرة وجود الفارق بین خبر الثقة والخبر الموثوق به</w:t>
      </w:r>
      <w:bookmarkEnd w:id="1556"/>
    </w:p>
    <w:p>
      <w:pPr>
        <w:pStyle w:val="BookText"/>
        <w:rPr/>
      </w:pPr>
      <w:r>
        <w:rPr>
          <w:rFonts w:ascii="IRNazanin" w:hAnsi="IRNazanin" w:eastAsia="IRNazanin"/>
          <w:color w:val="111111"/>
          <w:sz w:val="28"/>
          <w:sz w:val="28"/>
          <w:szCs w:val="28"/>
          <w:rtl w:val="true"/>
          <w:lang w:bidi="fa-IR"/>
        </w:rPr>
        <w:t>ومن ثمرات هذا البحث أنّ الحدیث فی جبر الشهرة وکسرها للخبر ینفتح مع القول بحجّیة الخبر الموثوق به دون ما إذا قلنا بحجّیة خبر الثقة فقط کما سنبیّن ذلک فی تنبیه لاحق إن شاء اللّه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وتلخص أنّ خبر الثقة یفید الظن تکویناً وإنما اعتمده العقلاء حیث اطمأنوا له عندما وجدوا أنّ إصابته 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فغالبیة الإصابة حیثیة تعلیلیة لاعتبار العقلاء إیاه، بینما الخبر الموثوق به یولّد الإطمئنان تکویناً، والإطمئنان حجّة عند العقلاء لأنه غالب الإصابة، وکلاهما یحتاج إلی جعل لحجّیته</w:t>
      </w:r>
      <w:r>
        <w:rPr>
          <w:rFonts w:eastAsia="IRNazanin" w:cs="IRNazanin"/>
          <w:color w:val="111111"/>
          <w:sz w:val="28"/>
          <w:szCs w:val="28"/>
          <w:rtl w:val="true"/>
          <w:lang w:bidi="fa-IR"/>
        </w:rPr>
        <w:t>.</w:t>
      </w:r>
      <w:bookmarkStart w:id="1557" w:name="pg16983_381467"/>
    </w:p>
    <w:p>
      <w:pPr>
        <w:pStyle w:val="Heading5"/>
        <w:numPr>
          <w:ilvl w:val="4"/>
          <w:numId w:val="1"/>
        </w:numPr>
        <w:rPr/>
      </w:pPr>
      <w:bookmarkStart w:id="1558" w:name="__RefHeading___Toc3300794_1468164448"/>
      <w:bookmarkStart w:id="1559" w:name="_Toc618"/>
      <w:bookmarkEnd w:id="1557"/>
      <w:bookmarkEnd w:id="1558"/>
      <w:r>
        <w:rPr>
          <w:rtl w:val="true"/>
        </w:rPr>
        <w:t>التنبیه الثانی</w:t>
      </w:r>
      <w:r>
        <w:rPr>
          <w:rtl w:val="true"/>
        </w:rPr>
        <w:t xml:space="preserve">: </w:t>
      </w:r>
      <w:r>
        <w:rPr>
          <w:rtl w:val="true"/>
        </w:rPr>
        <w:t>حجّیة الخبر أو عدم حجّیته فی الإعتقادیات</w:t>
      </w:r>
      <w:bookmarkEnd w:id="1559"/>
    </w:p>
    <w:p>
      <w:pPr>
        <w:pStyle w:val="Heading6"/>
        <w:numPr>
          <w:ilvl w:val="5"/>
          <w:numId w:val="1"/>
        </w:numPr>
        <w:rPr/>
      </w:pPr>
      <w:bookmarkStart w:id="1560" w:name="__RefHeading___Toc3300796_1468164448"/>
      <w:bookmarkStart w:id="1561" w:name="_Toc619"/>
      <w:bookmarkEnd w:id="1560"/>
      <w:r>
        <w:rPr>
          <w:rtl w:val="true"/>
        </w:rPr>
        <w:t>أهمیة المسألة وغموضها</w:t>
      </w:r>
      <w:bookmarkEnd w:id="1561"/>
    </w:p>
    <w:p>
      <w:pPr>
        <w:pStyle w:val="BookText"/>
        <w:rPr/>
      </w:pPr>
      <w:r>
        <w:rPr>
          <w:rFonts w:ascii="IRNazanin" w:hAnsi="IRNazanin" w:eastAsia="IRNazanin"/>
          <w:color w:val="111111"/>
          <w:sz w:val="28"/>
          <w:sz w:val="28"/>
          <w:szCs w:val="28"/>
          <w:rtl w:val="true"/>
          <w:lang w:bidi="fa-IR"/>
        </w:rPr>
        <w:t>ولا تخفی أهمیة هذا البحث وقد بحثه الأعلام فی تنبیهات الإنسداد مع أنّ موقعه هنا؛ لأنّ الإنسداد دلیل کبروی یوظّف لحجّیة الظنون لا خصوص الخبر، بل سیتضح أنه دلیل کبروی لإمضاء مطلق الإعتبارات العقلائیة سواء المعاصرة أم غیرها فهو لا یختص بالظنون وإنما لبیان طبیعة العلاقة بین الإعتبار العقلائی والشرعی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شائکة لأنّ مقدّماتها کلامیة والأخیرة منها أصولیة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تتضح إلاّ بفهم تلک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فهی مسألة برزخیة وکثیراً مّا ظلمت أجواء مثل هذه المسائل نتیجة ترابط العلوم وحاجتها إلی التضلع فی کلّ منها، ونحن سنکتفی بالإلماح للبُعد الکلامی الفلسفی ونقف عند البُعد الأصولی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عند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إمامیاً کان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التمسک بالخبر حتی لو کان صحیحاً أعلائیاً بل وحتی لو کان مستفیضاً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وقلّة من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أتباع المدرسة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والمحدّثون من الفریقین علی العکس من ذلک حیث یتمسکون بالخبر فی کلّ واردة وشاردة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وکثیر من الفقهاء ذو مشرب کلامی فکان منحاهم منحی المتکلّم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جملة منهم قبلوا الأخذ بالخبر فی الجملة لا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تفاصیل العقائد دون أسسها وبناها التحتیة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الشیخ الطوسی؛ حیث نسب إلیه أنّ المعتقد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 وإن کان مقصراً، فإنه یستشعر من ذیلها جواز الإستناد إلی الخبر فی التفاصیل، ومنهم نصیرالدین الطوسی والبهائی والمجلسی الأول والثانی والأردبیلی وتلمیذه صاحب المدارک والمحقّق القمی</w:t>
      </w:r>
      <w:r>
        <w:rPr>
          <w:rFonts w:eastAsia="IRNazanin" w:cs="IRNazanin"/>
          <w:color w:val="111111"/>
          <w:sz w:val="28"/>
          <w:szCs w:val="28"/>
          <w:rtl w:val="true"/>
          <w:lang w:bidi="fa-IR"/>
        </w:rPr>
        <w:t>.</w:t>
      </w:r>
      <w:bookmarkStart w:id="1562" w:name="pg16983_381469"/>
    </w:p>
    <w:p>
      <w:pPr>
        <w:pStyle w:val="BookText"/>
        <w:rPr/>
      </w:pPr>
      <w:bookmarkEnd w:id="1562"/>
      <w:r>
        <w:rPr>
          <w:rFonts w:ascii="IRNazanin" w:hAnsi="IRNazanin" w:eastAsia="IRNazanin"/>
          <w:color w:val="111111"/>
          <w:sz w:val="28"/>
          <w:sz w:val="28"/>
          <w:szCs w:val="28"/>
          <w:rtl w:val="true"/>
          <w:lang w:bidi="fa-IR"/>
        </w:rPr>
        <w:t>ویلاحظ فی هؤلاء جامعیتهم واختصاصهم فی الفقه والکلام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والشیخ الأنصاری صناعیاً تمایل إلی ذلک إلاّ أنه توقف بسبب الشهرة المانعة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والمحقّق الإصفهانی یقرّب بطریقة فلسفیة معقولیة ذلک من دون أن یَبُتّ بذلک إثباتاً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والمحقّق العراقی یستشکل تبعاً لأستاذه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والسیّد الخوئی ارتضی الحجّیة لإطلاق الأدلّة ولکنّه فصّل بین الإعتقادیات التی تجب فیها المعرفة فالخبر لیس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معنی لذلک کما سیتضح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الإعتقادیات التی لا تجب فیها المعرفة وإنما التبانی وعقد القلب فالخبر حجّة، وهذا التفصیل مأخوذ من المحقّق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نعثر علی استدلال للمجوّزین القائلین بالحجّیة غیر هذا، حیث اکتفوا بإبداء الرأی أکثر من الترکیز علی الدلیل</w:t>
      </w:r>
      <w:r>
        <w:rPr>
          <w:rFonts w:eastAsia="IRNazanin" w:cs="IRNazanin"/>
          <w:color w:val="111111"/>
          <w:sz w:val="28"/>
          <w:szCs w:val="28"/>
          <w:rtl w:val="true"/>
          <w:lang w:bidi="fa-IR"/>
        </w:rPr>
        <w:t>.</w:t>
      </w:r>
    </w:p>
    <w:p>
      <w:pPr>
        <w:pStyle w:val="Heading6"/>
        <w:numPr>
          <w:ilvl w:val="5"/>
          <w:numId w:val="1"/>
        </w:numPr>
        <w:rPr/>
      </w:pPr>
      <w:bookmarkStart w:id="1563" w:name="__RefHeading___Toc3300798_1468164448"/>
      <w:bookmarkStart w:id="1564" w:name="_Toc620"/>
      <w:bookmarkEnd w:id="1563"/>
      <w:r>
        <w:rPr>
          <w:rtl w:val="true"/>
        </w:rPr>
        <w:t>أدلّة المانعین</w:t>
      </w:r>
      <w:bookmarkEnd w:id="1564"/>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فی العقائد عقد القلب والیقین، والخبر ظنی لا ینتج الیقین فلا یعقل حجّیته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حیث إنّ مدرک حجّیة الخبر هو الشرع وهو لا یمکن ثبوته بالخبر وإلاّ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هذا الدلیل یخص جزءاً من أساسیات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یتعقل الحجّیة فی العقائد؛ لأنّ المطلوب فی العقائد إن کان الیقین وحصل من خبر الواحد فرضاً فلا ثمرة بَعدُ للحجّیة، وإن لم یحصل فیأتی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المطلوب الظن فهو حاصل تکویناً فلا معنی للحجّیة؛ لأنّ التعبد والحجّیة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تفسیراتها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جنبة عملیة والمطلوب فی العقائد الإدراک والمعرفة، وعلی هذا الدلیل اعتمد الشیخ الأنصاری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للتعبد بعد أن کانت القضیة العقائدیة</w:t>
      </w:r>
      <w:bookmarkStart w:id="1565" w:name="pg16983_381472"/>
    </w:p>
    <w:p>
      <w:pPr>
        <w:pStyle w:val="BookText"/>
        <w:rPr/>
      </w:pPr>
      <w:bookmarkEnd w:id="1565"/>
      <w:r>
        <w:rPr>
          <w:rFonts w:ascii="IRNazanin" w:hAnsi="IRNazanin" w:eastAsia="IRNazanin"/>
          <w:color w:val="111111"/>
          <w:sz w:val="28"/>
          <w:sz w:val="28"/>
          <w:szCs w:val="28"/>
          <w:rtl w:val="true"/>
          <w:lang w:bidi="fa-IR"/>
        </w:rPr>
        <w:t>خارجیة 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الناهیة عن العمل بالظن والتقلید فإنّ الإعتقادیات هو القدر المتیقن من هذه الآیات فتکون الآیات مخصِّصة لأدلّة حجّیة الخبر والظن المعتبر علی فرض 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مستفیضاً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اللّه البیان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فإنّ البیان یتقاطع مع کونه فریضة وتعبداً وتکلیفاً علی المکلّف وإنما هو شیء تکوینی</w:t>
      </w:r>
      <w:r>
        <w:rPr>
          <w:rFonts w:eastAsia="IRNazanin" w:cs="IRNazanin"/>
          <w:color w:val="111111"/>
          <w:sz w:val="28"/>
          <w:szCs w:val="28"/>
          <w:rtl w:val="true"/>
          <w:lang w:bidi="fa-IR"/>
        </w:rPr>
        <w:t>.</w:t>
      </w:r>
    </w:p>
    <w:p>
      <w:pPr>
        <w:pStyle w:val="Heading6"/>
        <w:numPr>
          <w:ilvl w:val="5"/>
          <w:numId w:val="1"/>
        </w:numPr>
        <w:rPr/>
      </w:pPr>
      <w:bookmarkStart w:id="1566" w:name="__RefHeading___Toc3300800_1468164448"/>
      <w:bookmarkStart w:id="1567" w:name="_Toc621"/>
      <w:bookmarkEnd w:id="1566"/>
      <w:r>
        <w:rPr>
          <w:rtl w:val="true"/>
        </w:rPr>
        <w:t>المختار فی المسألة</w:t>
      </w:r>
      <w:bookmarkEnd w:id="1567"/>
    </w:p>
    <w:p>
      <w:pPr>
        <w:pStyle w:val="BookText"/>
        <w:rPr/>
      </w:pPr>
      <w:r>
        <w:rPr>
          <w:rFonts w:ascii="IRNazanin" w:hAnsi="IRNazanin" w:eastAsia="IRNazanin"/>
          <w:color w:val="111111"/>
          <w:sz w:val="28"/>
          <w:sz w:val="28"/>
          <w:szCs w:val="28"/>
          <w:rtl w:val="true"/>
          <w:lang w:bidi="fa-IR"/>
        </w:rPr>
        <w:t>والکلام یقع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ونعنی من الثبوت أنه هل یمکن تصویر الحکم الفقهی فی مجال الإعتقادیات أو لا؟ ونعنی من الإثبات أنه هل یمکن تصویر الحکم الأصولی فی الإعتقادیات أو لا؟</w:t>
      </w:r>
    </w:p>
    <w:p>
      <w:pPr>
        <w:pStyle w:val="BookText"/>
        <w:rPr/>
      </w:pPr>
      <w:r>
        <w:rPr>
          <w:rFonts w:ascii="IRNazanin" w:hAnsi="IRNazanin" w:eastAsia="IRNazanin"/>
          <w:color w:val="111111"/>
          <w:sz w:val="28"/>
          <w:sz w:val="28"/>
          <w:szCs w:val="28"/>
          <w:rtl w:val="true"/>
          <w:lang w:bidi="fa-IR"/>
        </w:rPr>
        <w:t>ولا یخفی أنّ الحدیث لا یخص خبر الواحد بل یجری فی مطلق الظن المعتبر کالظهور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 من فلاسفة الإمامیة وغیرهم لم یتعقلوا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الحکم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العقائد ومن ثمّ لم یرتضوا بالدلیل النقلی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القطعی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ارتضوه کدلیل إثباتی برهانی، ویتضح منه أنهم لا یقبلون التعبد الأصولی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سیتبلور من أنّ إمکان التعبد الفقهی شرط فی إمکان التعبد الأصولی</w:t>
      </w:r>
      <w:r>
        <w:rPr>
          <w:rFonts w:eastAsia="IRNazanin" w:cs="IRNazanin"/>
          <w:color w:val="111111"/>
          <w:sz w:val="28"/>
          <w:szCs w:val="28"/>
          <w:rtl w:val="true"/>
          <w:lang w:bidi="fa-IR"/>
        </w:rPr>
        <w:t>. ]</w:t>
      </w:r>
    </w:p>
    <w:p>
      <w:pPr>
        <w:pStyle w:val="Heading6"/>
        <w:numPr>
          <w:ilvl w:val="5"/>
          <w:numId w:val="1"/>
        </w:numPr>
        <w:rPr/>
      </w:pPr>
      <w:bookmarkStart w:id="1568" w:name="__RefHeading___Toc3300802_1468164448"/>
      <w:bookmarkStart w:id="1569" w:name="_Toc622"/>
      <w:bookmarkEnd w:id="1568"/>
      <w:r>
        <w:rPr>
          <w:rtl w:val="true"/>
        </w:rPr>
        <w:t>الفارق بین الحکم الفقهی والأصولی</w:t>
      </w:r>
      <w:bookmarkEnd w:id="156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الحکم الأصولی جنبة إراءة وحکایة عن حکم آخر بخلاف الأول</w:t>
      </w:r>
      <w:r>
        <w:rPr>
          <w:rFonts w:eastAsia="IRNazanin" w:cs="IRNazanin"/>
          <w:color w:val="111111"/>
          <w:sz w:val="28"/>
          <w:szCs w:val="28"/>
          <w:rtl w:val="true"/>
          <w:lang w:bidi="fa-IR"/>
        </w:rPr>
        <w:t>.</w:t>
      </w:r>
      <w:bookmarkStart w:id="1570" w:name="pg16983_381474"/>
    </w:p>
    <w:p>
      <w:pPr>
        <w:pStyle w:val="BookText"/>
        <w:rPr/>
      </w:pPr>
      <w:bookmarkEnd w:id="1570"/>
      <w:r>
        <w:rPr>
          <w:rFonts w:ascii="IRNazanin" w:hAnsi="IRNazanin" w:eastAsia="IRNazanin"/>
          <w:color w:val="111111"/>
          <w:sz w:val="28"/>
          <w:sz w:val="28"/>
          <w:szCs w:val="28"/>
          <w:rtl w:val="true"/>
          <w:lang w:bidi="fa-IR"/>
        </w:rPr>
        <w:t>وعلی ضوء هذا فإنّ فی الفقه دوماً التطبیق وفی الأصول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وبمراجعة الأدلّة ثانیة نلحظ أنّ مفاد الدلیل الخامس منع التعبد الأصولی، أما الأخری فهی تمنع التعبد الفقهی</w:t>
      </w:r>
      <w:r>
        <w:rPr>
          <w:rFonts w:eastAsia="IRNazanin" w:cs="IRNazanin"/>
          <w:color w:val="111111"/>
          <w:sz w:val="28"/>
          <w:szCs w:val="28"/>
          <w:rtl w:val="true"/>
          <w:lang w:bidi="fa-IR"/>
        </w:rPr>
        <w:t>.</w:t>
      </w:r>
    </w:p>
    <w:p>
      <w:pPr>
        <w:pStyle w:val="Heading6"/>
        <w:numPr>
          <w:ilvl w:val="5"/>
          <w:numId w:val="1"/>
        </w:numPr>
        <w:rPr/>
      </w:pPr>
      <w:bookmarkStart w:id="1571" w:name="__RefHeading___Toc3300804_1468164448"/>
      <w:bookmarkStart w:id="1572" w:name="_Toc623"/>
      <w:bookmarkEnd w:id="1571"/>
      <w:r>
        <w:rPr>
          <w:rtl w:val="true"/>
        </w:rPr>
        <w:t>الجهة الأولی</w:t>
      </w:r>
      <w:r>
        <w:rPr>
          <w:rtl w:val="true"/>
        </w:rPr>
        <w:t xml:space="preserve">: </w:t>
      </w:r>
      <w:r>
        <w:rPr>
          <w:rtl w:val="true"/>
        </w:rPr>
        <w:t>تصویر الحکم الفقهی</w:t>
      </w:r>
      <w:bookmarkEnd w:id="1572"/>
    </w:p>
    <w:p>
      <w:pPr>
        <w:pStyle w:val="BookText"/>
        <w:rPr/>
      </w:pPr>
      <w:r>
        <w:rPr>
          <w:rFonts w:ascii="IRNazanin" w:hAnsi="IRNazanin" w:eastAsia="IRNazanin"/>
          <w:color w:val="111111"/>
          <w:sz w:val="28"/>
          <w:sz w:val="28"/>
          <w:szCs w:val="28"/>
          <w:rtl w:val="true"/>
          <w:lang w:bidi="fa-IR"/>
        </w:rPr>
        <w:t>محدّثوا الإمامیة قالوا بإمکان التعبد حتی فی أصل التوحید؛ حیث ذکرت الروایات أنّ أول الدین معرفته وأول الفرائض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المتکلّمین والحکماء ذهبوا إلی استحالة التعبد الفقهی فی توحیده تعالی أو فی أساسیات العقائد للزوم الدور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مع المحدّثین لظاهر بعض الآیات والروایات حیث تدلّ علی وجود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وللإستیضاح نقول</w:t>
      </w:r>
      <w:r>
        <w:rPr>
          <w:rFonts w:eastAsia="IRNazanin" w:cs="IRNazanin"/>
          <w:color w:val="111111"/>
          <w:sz w:val="28"/>
          <w:szCs w:val="28"/>
          <w:rtl w:val="true"/>
          <w:lang w:bidi="fa-IR"/>
        </w:rPr>
        <w:t>:</w:t>
      </w:r>
    </w:p>
    <w:p>
      <w:pPr>
        <w:pStyle w:val="Heading6"/>
        <w:numPr>
          <w:ilvl w:val="5"/>
          <w:numId w:val="1"/>
        </w:numPr>
        <w:rPr/>
      </w:pPr>
      <w:bookmarkStart w:id="1573" w:name="__RefHeading___Toc3300806_1468164448"/>
      <w:bookmarkStart w:id="1574" w:name="_Toc624"/>
      <w:bookmarkEnd w:id="1573"/>
      <w:r>
        <w:rPr>
          <w:rtl w:val="true"/>
        </w:rPr>
        <w:t>القوی الثلاثة للنفس</w:t>
      </w:r>
      <w:bookmarkEnd w:id="1574"/>
    </w:p>
    <w:p>
      <w:pPr>
        <w:pStyle w:val="BookText"/>
        <w:rPr/>
      </w:pPr>
      <w:r>
        <w:rPr>
          <w:rFonts w:ascii="IRNazanin" w:hAnsi="IRNazanin" w:eastAsia="IRNazanin"/>
          <w:color w:val="111111"/>
          <w:sz w:val="28"/>
          <w:sz w:val="28"/>
          <w:szCs w:val="28"/>
          <w:rtl w:val="true"/>
          <w:lang w:bidi="fa-IR"/>
        </w:rPr>
        <w:t xml:space="preserve">إنّ فی النفس قوی إدراکیة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کالعقل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وقوی عملیة وقوة برزخیة بین القوة الإدراکیة والقوی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العقل العملی الذی هو درّاک وعمّال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وللنفس ثلاثة أفعال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إدراکی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یحصل بالإنتقال والحرکة فی المعلومات والفحص والفکر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نتیجة الفعل السابق حیث یصل إلی المجهول ویعلم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الفعلان شأن القوی النظریة الدرّاکة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الإذعان والتصدیق والتسلیم والإخبات والبناء والإلتزام والإنقیاد، فإنها عناوین تشیر إلی فعل واحد أو مراحل فعل واحد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الفعل لا تقوم به النفس بقوة إدراکیة بحتة أو قوة عملیة بحتة وإنما تقوم به القوة البرزخیة الدرّاکة العمّالة، أی العقل العملی، فهی عمل ممزوج بالإدراک متعلّق به بحیث یتوقف علیه کنه وجوده</w:t>
      </w:r>
      <w:r>
        <w:rPr>
          <w:rFonts w:eastAsia="IRNazanin" w:cs="IRNazanin"/>
          <w:color w:val="111111"/>
          <w:sz w:val="28"/>
          <w:szCs w:val="28"/>
          <w:rtl w:val="true"/>
          <w:lang w:bidi="fa-IR"/>
        </w:rPr>
        <w:t>.</w:t>
      </w:r>
      <w:bookmarkStart w:id="1575" w:name="pg16983_381476"/>
    </w:p>
    <w:p>
      <w:pPr>
        <w:pStyle w:val="Heading6"/>
        <w:numPr>
          <w:ilvl w:val="5"/>
          <w:numId w:val="1"/>
        </w:numPr>
        <w:rPr/>
      </w:pPr>
      <w:bookmarkStart w:id="1576" w:name="__RefHeading___Toc3300808_1468164448"/>
      <w:bookmarkStart w:id="1577" w:name="_Toc625"/>
      <w:bookmarkEnd w:id="1575"/>
      <w:bookmarkEnd w:id="1576"/>
      <w:r>
        <w:rPr>
          <w:rtl w:val="true"/>
        </w:rPr>
        <w:t>الایمان هو الفعل الإختیاری</w:t>
      </w:r>
      <w:bookmarkEnd w:id="1577"/>
    </w:p>
    <w:p>
      <w:pPr>
        <w:pStyle w:val="BookText"/>
        <w:rPr/>
      </w:pPr>
      <w:r>
        <w:rPr>
          <w:rFonts w:ascii="IRNazanin" w:hAnsi="IRNazanin" w:eastAsia="IRNazanin"/>
          <w:color w:val="111111"/>
          <w:sz w:val="28"/>
          <w:sz w:val="28"/>
          <w:szCs w:val="28"/>
          <w:rtl w:val="true"/>
          <w:lang w:bidi="fa-IR"/>
        </w:rPr>
        <w:t xml:space="preserve">وکأصل موضوعی من علم الکلام إنّ الایمان هو الفعل الثالث دون الأول والثانی، ومعه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الایمان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یتنافی مع کون الایمان الفعل الثالث بعدما عرفت أنه ممزوج بالإدراک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یتضح التعبیر بأنّ الایمان هو الحبّ والتولّی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النفس لها قدرة البحث فالإدراک من دون إیمان عناداً ولجاجاً وغیر ذلک مما یعنی أنّ الفعل الثالث اختیاری عند الإنسان، لا کما یبدو من کلام بعض الحکماء من أنه قهری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اللفتة من روائع المحدّثین والمتکلّمین ولم یبلورها الفلاسفة ولابدّ من الإلتفات إلی نداءات علمیة تدعو إلی تکمیل المنطق الأرسطی؛ لأنه لا یؤمّن إلاّ الحفاظ عن الخطأ فی الفعل الأول إلی الثانی دون الثالث، ولکن التکمیل یحصل بتهذیب النفس ومعالجة أمراضها</w:t>
      </w:r>
      <w:r>
        <w:rPr>
          <w:rFonts w:eastAsia="IRNazanin" w:cs="IRNazanin"/>
          <w:color w:val="111111"/>
          <w:sz w:val="28"/>
          <w:szCs w:val="28"/>
          <w:rtl w:val="true"/>
          <w:lang w:bidi="fa-IR"/>
        </w:rPr>
        <w:t>.</w:t>
      </w:r>
    </w:p>
    <w:p>
      <w:pPr>
        <w:pStyle w:val="Heading6"/>
        <w:numPr>
          <w:ilvl w:val="5"/>
          <w:numId w:val="1"/>
        </w:numPr>
        <w:rPr/>
      </w:pPr>
      <w:bookmarkStart w:id="1578" w:name="__RefHeading___Toc3300810_1468164448"/>
      <w:bookmarkStart w:id="1579" w:name="_Toc626"/>
      <w:bookmarkEnd w:id="1578"/>
      <w:r>
        <w:rPr>
          <w:rtl w:val="true"/>
        </w:rPr>
        <w:t>إمکان التعبد فی الایمان</w:t>
      </w:r>
      <w:bookmarkEnd w:id="1579"/>
    </w:p>
    <w:p>
      <w:pPr>
        <w:pStyle w:val="BookText"/>
        <w:rPr/>
      </w:pPr>
      <w:r>
        <w:rPr>
          <w:rFonts w:ascii="IRNazanin" w:hAnsi="IRNazanin" w:eastAsia="IRNazanin"/>
          <w:color w:val="111111"/>
          <w:sz w:val="28"/>
          <w:sz w:val="28"/>
          <w:szCs w:val="28"/>
          <w:rtl w:val="true"/>
          <w:lang w:bidi="fa-IR"/>
        </w:rPr>
        <w:t xml:space="preserve">بعد هذا یمکن القول بأنّ الفعل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فعلاً اختیاریاً فهو من حیث الإمکان الثبوتی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لأن یکون متعلّقاً للحکم الفقهی حتی لو کان الفعل هذا هو الایمان بتوحید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وبمراجعة النصوص نلحظ المدح والذم علی الایمان بوحدانیته ونلحظ تسجیل المثوبة علی الایمان والعقوبة علی عدمه، والحکم الفقهی لیس إلاّ البعث والزجر بالمثوبة والعقوبة بالإضافة إلی ما ورد من أنه أول الفرائض وأهمّها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مشکلة فی تعلّق الحکم الفقهی ثبوتاً بالایمان مهما کان متعلّقه، بعد أن کان فعلاً اختیاریاً بل هو واقع کما ذکرنا ذلک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العقل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فحصه وعلمه بوجود اللّه تعالی وتوحیده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تعالی إرادات وکراهات متعلّقة بالأفعال توجب المدح والذم والمثوبة والعقوبة، ولیس الایمان بالتوحید إلاّ واحداً من هذه الأفعال</w:t>
      </w:r>
      <w:bookmarkStart w:id="1580" w:name="pg16983_381478"/>
    </w:p>
    <w:p>
      <w:pPr>
        <w:pStyle w:val="BookText"/>
        <w:rPr/>
      </w:pPr>
      <w:bookmarkEnd w:id="1580"/>
      <w:r>
        <w:rPr>
          <w:rFonts w:ascii="IRNazanin" w:hAnsi="IRNazanin" w:eastAsia="IRNazanin"/>
          <w:color w:val="111111"/>
          <w:sz w:val="28"/>
          <w:sz w:val="28"/>
          <w:szCs w:val="28"/>
          <w:rtl w:val="true"/>
          <w:lang w:bidi="fa-IR"/>
        </w:rPr>
        <w:t>الإختیاریة فیثبت وجوبها الشرعی بتوسط إدراک العقل هذا؛ لأنّ الحکم الفقهی لیس أکثر من البعث بالمثوبة والزجر بالعقوبة مع کون متعلّقه فعلاً اختیاریاً وکلا الرکنین متوفّران فی الایمان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فالفقه والتشریع لا یخص الفروع وإنما یعمّ أصول الدین حتی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الخلط الذی وقع فیه الأعلام هو دمجهم بین الأفعال الثلاثة للنفس؛ فجعلوا الإعتقاد والایمان کالفحص والإدراک حیث لا یقبلان التشریع فی التوحید، بینما اتضح أنه یمکن البعث نحو التسلیم والایمان بما أدرکه وإن لم یمکن ذلک فی الفحص والإدراک؛ لأنه 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الحال فی التوحید کذلک ففی ما عداه من الإعتقادیات کالنبوة والإمامة والمعاد یمکن تعلّق الحکم الفقهی بالایمان بها بالأولویة، بل تعلّق الحکم الفقهی بالفحص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یبعث شرعاً نحو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معقول</w:t>
      </w:r>
      <w:r>
        <w:rPr>
          <w:rFonts w:eastAsia="IRNazanin" w:cs="IRNazanin"/>
          <w:color w:val="111111"/>
          <w:sz w:val="28"/>
          <w:szCs w:val="28"/>
          <w:rtl w:val="true"/>
          <w:lang w:bidi="fa-IR"/>
        </w:rPr>
        <w:t>.</w:t>
      </w:r>
      <w:r>
        <w:rPr>
          <w:rStyle w:val="FootnoteAnchor"/>
          <w:rtl w:val="true"/>
        </w:rPr>
        <w:footnoteReference w:id="245"/>
      </w:r>
    </w:p>
    <w:p>
      <w:pPr>
        <w:pStyle w:val="Heading6"/>
        <w:numPr>
          <w:ilvl w:val="5"/>
          <w:numId w:val="1"/>
        </w:numPr>
        <w:rPr/>
      </w:pPr>
      <w:bookmarkStart w:id="1581" w:name="__RefHeading___Toc3300812_1468164448"/>
      <w:bookmarkStart w:id="1582" w:name="_Toc627"/>
      <w:bookmarkEnd w:id="1581"/>
      <w:r>
        <w:rPr>
          <w:rtl w:val="true"/>
        </w:rPr>
        <w:t>شبهة الدور فی وجوب الفحص فی النبوة</w:t>
      </w:r>
      <w:bookmarkEnd w:id="1582"/>
    </w:p>
    <w:p>
      <w:pPr>
        <w:pStyle w:val="BookText"/>
        <w:rPr/>
      </w:pPr>
      <w:r>
        <w:rPr>
          <w:rFonts w:ascii="IRNazanin" w:hAnsi="IRNazanin" w:eastAsia="IRNazanin"/>
          <w:color w:val="111111"/>
          <w:sz w:val="28"/>
          <w:sz w:val="28"/>
          <w:szCs w:val="28"/>
          <w:rtl w:val="true"/>
          <w:lang w:bidi="fa-IR"/>
        </w:rPr>
        <w:t>نعم، قد تأتی شبهة الدور فی النبوة بالنسبة للحکم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الإجابة بأنّ الدور معقول فیما لو کان النبی واحداً، أما مع تعاقب النبوات فیمکن للسابق البعث نحو الفحص عن اللاحق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 آخر ذکره الکافی فی آخر حدیث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نسخة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الذی هو الحجّة الباطنة</w:t>
      </w:r>
      <w:bookmarkStart w:id="1583" w:name="pg16983_381480"/>
    </w:p>
    <w:p>
      <w:pPr>
        <w:pStyle w:val="BookText"/>
        <w:rPr/>
      </w:pPr>
      <w:bookmarkEnd w:id="1583"/>
      <w:r>
        <w:rPr>
          <w:rFonts w:ascii="IRNazanin" w:hAnsi="IRNazanin" w:eastAsia="IRNazanin"/>
          <w:color w:val="111111"/>
          <w:sz w:val="28"/>
          <w:sz w:val="28"/>
          <w:szCs w:val="28"/>
          <w:rtl w:val="true"/>
          <w:lang w:bidi="fa-IR"/>
        </w:rPr>
        <w:t>یمکن إدراک بعض التشریعات ولا ینحصر إدراک التشریع بالرسول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یمکن أن تکون واحدة من مدرکاته الشرعیة هی لزوم الفحص عن النبی، کما کانت واحدة من مدرکاته لزوم الایمان باللّه الواحد ذی الصفات الثبوتیة الکمالیة</w:t>
      </w:r>
      <w:r>
        <w:rPr>
          <w:rFonts w:eastAsia="IRNazanin" w:cs="IRNazanin"/>
          <w:color w:val="111111"/>
          <w:sz w:val="28"/>
          <w:szCs w:val="28"/>
          <w:rtl w:val="true"/>
          <w:lang w:bidi="fa-IR"/>
        </w:rPr>
        <w:t>.</w:t>
      </w:r>
    </w:p>
    <w:p>
      <w:pPr>
        <w:pStyle w:val="Heading6"/>
        <w:numPr>
          <w:ilvl w:val="5"/>
          <w:numId w:val="1"/>
        </w:numPr>
        <w:rPr/>
      </w:pPr>
      <w:bookmarkStart w:id="1584" w:name="__RefHeading___Toc3300814_1468164448"/>
      <w:bookmarkStart w:id="1585" w:name="_Toc628"/>
      <w:bookmarkEnd w:id="1584"/>
      <w:r>
        <w:rPr>
          <w:rtl w:val="true"/>
        </w:rPr>
        <w:t>خلاصة البحث فی الجهة الأولی</w:t>
      </w:r>
      <w:bookmarkEnd w:id="158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الحکم الشرعی یتقوم بأن یکون متعلّقه فعلاً اختیاریاً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حقیقة الحکم الفقهی هو البعث بالمثوبة والزجر بالعقوبة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وصول الحکم لا ینحصر بالرسول الظاهر؛ حیث یمکن أن یصل إلیه العبد من خلال الحجّة الباطنة، فیمکن إدراکه قبل الایمان بالرسول الظاهر، ومن هنا کان العقل مصدراً من مصادر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ضوء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یتعلّق الحکم الفقهی بالایمان باللّه ورسوله باعتبار أنّ الایمان فعل یقوم به الإنسان باختیاره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ضوء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القول بوقوع ذلک وأنّ هناک وجوباً شرعیاً تعلّق بالایمان باللّه تعالی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الفحص عن اللّه وعن النبی أیضاً فعل اختیاری فلا مانع من تعلّق الحکم الفقهی لولا إشکالیة الدور فی الأول دون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الحکم الشرعی الفقهی قد تعلّق بالفحص عن النبی ووقع بإدراک العقل بأنّ هناک أحکاماً فلابدّ أن یکون هناک نبی، فالفحص عنه کمال مراد للّه یترتب علیه مثوبة وعلی ترکه عقوبة فیثبت وجوبه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القول بوجود تعبد فقهی فی کلّ موارد الأحکام العقلیة العملیة التی استدل بها المتکلّم شریطة توفّر رکنی الحکم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الإختیاری والمدح والذم</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حتی فی بعض موارد حکم العقل النظری یمکن القول بوجود التعبد الفقهی کما بیّناه فی بحث الملازمة</w:t>
      </w:r>
      <w:r>
        <w:rPr>
          <w:rFonts w:eastAsia="IRNazanin" w:cs="IRNazanin"/>
          <w:color w:val="111111"/>
          <w:sz w:val="28"/>
          <w:szCs w:val="28"/>
          <w:rtl w:val="true"/>
          <w:lang w:bidi="fa-IR"/>
        </w:rPr>
        <w:t>.</w:t>
      </w:r>
      <w:bookmarkStart w:id="1586" w:name="pg16983_381482"/>
    </w:p>
    <w:p>
      <w:pPr>
        <w:pStyle w:val="Heading6"/>
        <w:numPr>
          <w:ilvl w:val="5"/>
          <w:numId w:val="1"/>
        </w:numPr>
        <w:rPr/>
      </w:pPr>
      <w:bookmarkStart w:id="1587" w:name="__RefHeading___Toc3300816_1468164448"/>
      <w:bookmarkStart w:id="1588" w:name="_Toc629"/>
      <w:bookmarkEnd w:id="1586"/>
      <w:bookmarkEnd w:id="1587"/>
      <w:r>
        <w:rPr>
          <w:rtl w:val="true"/>
        </w:rPr>
        <w:t>شبهة لغویة الحکم الفقهی بعد وجود حکم العقل فی التوحید</w:t>
      </w:r>
      <w:bookmarkEnd w:id="1588"/>
    </w:p>
    <w:p>
      <w:pPr>
        <w:pStyle w:val="BookText"/>
        <w:rPr/>
      </w:pPr>
      <w:r>
        <w:rPr>
          <w:rFonts w:ascii="IRNazanin" w:hAnsi="IRNazanin" w:eastAsia="IRNazanin"/>
          <w:color w:val="111111"/>
          <w:sz w:val="28"/>
          <w:sz w:val="28"/>
          <w:szCs w:val="28"/>
          <w:rtl w:val="true"/>
          <w:lang w:bidi="fa-IR"/>
        </w:rPr>
        <w:t>بقی 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حکم العقل وإلزامه بالایمان بتوحید اللّه سیکون الحکم الشرعی الفقهی لغواً فکیف یمکن التخلص من هذه المشکلة؟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التساؤل ینسجم مع مبنی المحقّق الإصفهانی فی قاعدة الملازمة، حیث خالف المشهور القائل بالملازمة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فی الحکم العقلی باعثیةٌ وزاجریةٌ لم یبق مبرّر للحکم الشرعی؛ لأنّ حقیقة الحکم جعل واعتبار ما یمکن أن یکون باعثاً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فی الوقت نفسه وافق المشهور فی أنّ روح الحکم العقلی وأثره کالحکم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المبادئ والماهیة والآثار واحدة سوی أنه لا یوجد اعتبار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تنحلّ المشکلة ویبقی التعبد الفقهی فی العقائد ممکناً بل وواقعاً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اختلافنا معه فی المبنی، حیث أوضحنا فی محلّه عدم اللغویة فی اعتبار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الحکم الفقهی، حیث انتهینا إلی إمکانه بل ووقوعه فی الایمان بالتوحید والفحص والایمان بالنبی وما شاکل</w:t>
      </w:r>
      <w:r>
        <w:rPr>
          <w:rFonts w:eastAsia="IRNazanin" w:cs="IRNazanin"/>
          <w:color w:val="111111"/>
          <w:sz w:val="28"/>
          <w:szCs w:val="28"/>
          <w:rtl w:val="true"/>
          <w:lang w:bidi="fa-IR"/>
        </w:rPr>
        <w:t>.</w:t>
      </w:r>
    </w:p>
    <w:p>
      <w:pPr>
        <w:pStyle w:val="Heading6"/>
        <w:numPr>
          <w:ilvl w:val="5"/>
          <w:numId w:val="1"/>
        </w:numPr>
        <w:rPr/>
      </w:pPr>
      <w:bookmarkStart w:id="1589" w:name="__RefHeading___Toc3300818_1468164448"/>
      <w:bookmarkStart w:id="1590" w:name="_Toc630"/>
      <w:bookmarkEnd w:id="1589"/>
      <w:r>
        <w:rPr>
          <w:rtl w:val="true"/>
        </w:rPr>
        <w:t>الجهة الثانیة</w:t>
      </w:r>
      <w:r>
        <w:rPr>
          <w:rtl w:val="true"/>
        </w:rPr>
        <w:t xml:space="preserve">: </w:t>
      </w:r>
      <w:r>
        <w:rPr>
          <w:rtl w:val="true"/>
        </w:rPr>
        <w:t>الحکم الأصولی</w:t>
      </w:r>
      <w:bookmarkEnd w:id="1590"/>
    </w:p>
    <w:p>
      <w:pPr>
        <w:pStyle w:val="BookText"/>
        <w:rPr/>
      </w:pPr>
      <w:r>
        <w:rPr>
          <w:rFonts w:ascii="IRNazanin" w:hAnsi="IRNazanin" w:eastAsia="IRNazanin"/>
          <w:color w:val="111111"/>
          <w:sz w:val="28"/>
          <w:sz w:val="28"/>
          <w:szCs w:val="28"/>
          <w:rtl w:val="true"/>
          <w:lang w:bidi="fa-IR"/>
        </w:rPr>
        <w:t xml:space="preserve">قد ألفتنا إلی أنه مع استحالة الحکم الفقهی لا یُعقَل؛ لأنه قد أخذ فیه الناظریة والإحراز وحیث أمکن الحکم الفقهی ووقع فهل یعقل ویمکن التعبد بالحکم 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العقیدة؟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من الحکماء ذهبوا إلی استحالة الأخذ بالقطع الشرعی علی نحو التعبد فضلاً عن الظن، ولیس ذلک إلاّ لعدم معقولیة الحکم الفقهی عندهم فی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یتعاملون مع القطعیات کواسطة إثبات وطریق برهانی لوجوب الإلزام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القطعیات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تصویر الحکم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ثمرة فقهیة تعبدیة علاوة علی وسطیتها فی البرهان</w:t>
      </w:r>
      <w:r>
        <w:rPr>
          <w:rFonts w:eastAsia="IRNazanin" w:cs="IRNazanin"/>
          <w:color w:val="111111"/>
          <w:sz w:val="28"/>
          <w:szCs w:val="28"/>
          <w:rtl w:val="true"/>
          <w:lang w:bidi="fa-IR"/>
        </w:rPr>
        <w:t>.</w:t>
      </w:r>
      <w:bookmarkStart w:id="1591" w:name="pg16983_381484"/>
    </w:p>
    <w:p>
      <w:pPr>
        <w:pStyle w:val="BookText"/>
        <w:rPr/>
      </w:pPr>
      <w:bookmarkEnd w:id="1591"/>
      <w:r>
        <w:rPr>
          <w:rFonts w:ascii="IRNazanin" w:hAnsi="IRNazanin" w:eastAsia="IRNazanin"/>
          <w:color w:val="111111"/>
          <w:sz w:val="28"/>
          <w:sz w:val="28"/>
          <w:szCs w:val="28"/>
          <w:rtl w:val="true"/>
          <w:lang w:bidi="fa-IR"/>
        </w:rPr>
        <w:t xml:space="preserve">وأما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الظاهر وخبر الواحد والمستفیض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فی الأساسیات من قبیل التوحید والنبوة، أو فی الأساسیات من قبیل الإمامة والمعاد، أو فی تفاصیل المعارف کالرجعة والبرزخ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ذکرناه سابقاً عن الأعلام القائلین بإمکان التعبد إنما هو فی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تفاصیل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یتکلّموا شیئاً فی الحکم الفقهی وأنه یمکن التعبد به فی العقائد أو لا؟ إلاّ أنا أوضحنا أنّ تسویغ الحکم الأصولی یستلزم القول بإمکان التعبد بالحکم الفقهی</w:t>
      </w:r>
      <w:r>
        <w:rPr>
          <w:rFonts w:eastAsia="IRNazanin" w:cs="IRNazanin"/>
          <w:color w:val="111111"/>
          <w:sz w:val="28"/>
          <w:szCs w:val="28"/>
          <w:rtl w:val="true"/>
          <w:lang w:bidi="fa-IR"/>
        </w:rPr>
        <w:t>.</w:t>
      </w:r>
    </w:p>
    <w:p>
      <w:pPr>
        <w:pStyle w:val="Heading6"/>
        <w:numPr>
          <w:ilvl w:val="5"/>
          <w:numId w:val="1"/>
        </w:numPr>
        <w:rPr/>
      </w:pPr>
      <w:bookmarkStart w:id="1592" w:name="__RefHeading___Toc3300820_1468164448"/>
      <w:bookmarkStart w:id="1593" w:name="_Toc631"/>
      <w:bookmarkEnd w:id="1592"/>
      <w:r>
        <w:rPr>
          <w:rtl w:val="true"/>
        </w:rPr>
        <w:t>حقیقة التعبد بالظن فی العقائد</w:t>
      </w:r>
      <w:bookmarkEnd w:id="1593"/>
    </w:p>
    <w:p>
      <w:pPr>
        <w:pStyle w:val="BookText"/>
        <w:rPr/>
      </w:pPr>
      <w:r>
        <w:rPr>
          <w:rFonts w:ascii="IRNazanin" w:hAnsi="IRNazanin" w:eastAsia="IRNazanin"/>
          <w:color w:val="111111"/>
          <w:sz w:val="28"/>
          <w:sz w:val="28"/>
          <w:szCs w:val="28"/>
          <w:rtl w:val="true"/>
          <w:lang w:bidi="fa-IR"/>
        </w:rPr>
        <w:t>ذکرنا أنّ للنفس أفعالاً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والإدراک والإذعان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الثالث یقوم به العقل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قوة درّاکة عمّالة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الفعل الثالث هو منطقة التکلیف ونظرت إلیه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الحجّیة تعنی الوسط فی الإثبات والعلم، فالحکم الأصولی لا یتعلّق مباشرة بالفعل الثالث بل یتعلّق بالفعل الأول والثانی ثمّ یترتب علیه الفعل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واحدة من الفوارق بین الحکم الأصولی والفقهی حیث إنّ الحکم الفقهی یتعلّق بالایمان والحکم الأصولی بالعلم والإدراک، وبالتالی حینما نسأل أنّ الظن هل هو معتبر فی العقائد؟ یعنی هل یصلح أن یکون الظن مثبِتاً وحاکیاً وکاشفاً عن الواقع ومن ثمّ یترتب علیه الایمان أم لا؟</w:t>
      </w:r>
      <w:r>
        <w:rPr>
          <w:rStyle w:val="FootnoteAnchor"/>
          <w:rtl w:val="true"/>
        </w:rPr>
        <w:footnoteReference w:id="24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شهرة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یتأتی التعبد</w:t>
      </w:r>
      <w:bookmarkStart w:id="1594" w:name="pg16983_381486"/>
    </w:p>
    <w:p>
      <w:pPr>
        <w:pStyle w:val="BookText"/>
        <w:rPr/>
      </w:pPr>
      <w:bookmarkEnd w:id="1594"/>
      <w:r>
        <w:rPr>
          <w:rFonts w:ascii="IRNazanin" w:hAnsi="IRNazanin" w:eastAsia="IRNazanin"/>
          <w:color w:val="111111"/>
          <w:sz w:val="28"/>
          <w:sz w:val="28"/>
          <w:szCs w:val="28"/>
          <w:rtl w:val="true"/>
          <w:lang w:bidi="fa-IR"/>
        </w:rPr>
        <w:t xml:space="preserve">بالظن فی القسم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أساسیات العقائد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تفاصیل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أجازه المحدّثون وجملة من الفقهاء والمتکلّمین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ودلیلهم علی المنع فی القسم الأول لزوم الدور؛ لأنّ التعبد من الشرع ولمّا یثبت الشرعُ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القسم الثانی وإن انتفت شبهة الدور ولکن هناک اتفاق علی المنع بسبب أنّ من یعتمد الظن فی هذا القسم لا یأمن من الإنحراف فلابدّ من تحرّی القطع لإحکام ایمانه والتأمین علیه إلی آخر عمره، وهو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اعتمد الظن واعتقد فهل هو مؤمن أو لا؟ شیخ الطائفة الطوسی یجزم أنه مؤمن ناج ولکنّه قصّر وفرّط فی حکم شرعی وهو الفحص وکذا کثیر من المحققین قالوا بأنه ناج وهو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التفاصیل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هل هناک دلیل علی التعبد الأصولی فی هذا القسم؟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الإجابة عن أدلّة المنع؟ </w:t>
      </w:r>
      <w:r>
        <w:rPr>
          <w:rFonts w:eastAsia="IRNazanin" w:cs="IRNazanin"/>
          <w:color w:val="111111"/>
          <w:sz w:val="28"/>
          <w:szCs w:val="28"/>
          <w:rtl w:val="true"/>
          <w:lang w:bidi="fa-IR"/>
        </w:rPr>
        <w:t>]</w:t>
      </w:r>
    </w:p>
    <w:p>
      <w:pPr>
        <w:pStyle w:val="Heading6"/>
        <w:numPr>
          <w:ilvl w:val="5"/>
          <w:numId w:val="1"/>
        </w:numPr>
        <w:rPr/>
      </w:pPr>
      <w:bookmarkStart w:id="1595" w:name="__RefHeading___Toc3300822_1468164448"/>
      <w:bookmarkStart w:id="1596" w:name="_Toc632"/>
      <w:bookmarkEnd w:id="1595"/>
      <w:r>
        <w:rPr>
          <w:rtl w:val="true"/>
        </w:rPr>
        <w:t>البحث فی المقتضی</w:t>
      </w:r>
      <w:bookmarkEnd w:id="1596"/>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فعموم دلیل حجّیة الخبر الواحد والظواهر وبقیة الظنون المعتبرة شامل لتفاصیل الإعتقادات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ذلک السیّد الخوئی والمحقّق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وأنّ تفاصیل العقیدة من سنخ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عموم فقهی یدلّ علی وجوب الایمان بتفاصیل الإعتقادات؟ ومع وجوده لِمَ لَمْ یذکره مَن صوّر وقوع التعبد الأصولی بالإعتقادات بعد أن کان وجود الحکم الأصولی فرع وجود الحکم الفقهی؟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وجوب فقهی متعلّق بتفاصیل الإعتقادات إلاّ أنه</w:t>
      </w:r>
      <w:bookmarkStart w:id="1597" w:name="pg16983_381488"/>
    </w:p>
    <w:p>
      <w:pPr>
        <w:pStyle w:val="BookText"/>
        <w:rPr/>
      </w:pPr>
      <w:bookmarkEnd w:id="1597"/>
      <w:r>
        <w:rPr>
          <w:rFonts w:ascii="IRNazanin" w:hAnsi="IRNazanin" w:eastAsia="IRNazanin"/>
          <w:color w:val="111111"/>
          <w:sz w:val="28"/>
          <w:sz w:val="28"/>
          <w:szCs w:val="28"/>
          <w:rtl w:val="true"/>
          <w:lang w:bidi="fa-IR"/>
        </w:rPr>
        <w:t>لیس وجوباً مطلقاً بحیث یجب الفحص عن تلک التفاصیل وإنما هو مقید بالعلم والظن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العموم هو الآیات الدالّة علی وجوب الایمان بالغیب وبنبوة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التسلیم بکلّ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یقتضی أنّ ما علمت أنه قد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الایمان به، وربما لم یذکره الأعلام لوضوحه</w:t>
      </w:r>
      <w:r>
        <w:rPr>
          <w:rFonts w:eastAsia="IRNazanin" w:cs="IRNazanin"/>
          <w:color w:val="111111"/>
          <w:sz w:val="28"/>
          <w:szCs w:val="28"/>
          <w:rtl w:val="true"/>
          <w:lang w:bidi="fa-IR"/>
        </w:rPr>
        <w:t>.</w:t>
      </w:r>
    </w:p>
    <w:p>
      <w:pPr>
        <w:pStyle w:val="Heading6"/>
        <w:numPr>
          <w:ilvl w:val="5"/>
          <w:numId w:val="1"/>
        </w:numPr>
        <w:rPr/>
      </w:pPr>
      <w:bookmarkStart w:id="1598" w:name="__RefHeading___Toc3300824_1468164448"/>
      <w:bookmarkStart w:id="1599" w:name="_Toc633"/>
      <w:bookmarkEnd w:id="1598"/>
      <w:r>
        <w:rPr>
          <w:rtl w:val="true"/>
        </w:rPr>
        <w:t>البحث فی المانع</w:t>
      </w:r>
      <w:bookmarkEnd w:id="1599"/>
    </w:p>
    <w:p>
      <w:pPr>
        <w:pStyle w:val="BookText"/>
        <w:rPr/>
      </w:pPr>
      <w:r>
        <w:rPr>
          <w:rFonts w:ascii="IRNazanin" w:hAnsi="IRNazanin" w:eastAsia="IRNazanin"/>
          <w:color w:val="111111"/>
          <w:sz w:val="28"/>
          <w:sz w:val="28"/>
          <w:szCs w:val="28"/>
          <w:rtl w:val="true"/>
          <w:lang w:bidi="fa-IR"/>
        </w:rPr>
        <w:t>وأما النقطة الثانیة فیمکن المناقشة فی الدلیل الخامس بما ذکره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بعض الآیات تنهی عن الظن الذی لم یستند إلی یقین، والبعض الآخر تنهی عن العمل بالظن مع توفّر الیقین کالمعجزة، والثالث لسانها خاص بأساسیات العقیدة کالتوحید، والرابع مع إمکان تحصیل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آیات بالمقابل تمدح الإعتقادات الظنیة بل حتی ما کان ناشئاً من درجة احتمالیة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من هنا لابدّ من معرفة اصطلاح الظن والیقین، وهو الذی ذکرناه سابقاً من أنّ القیمة والحجّیة للمقدّمات ومن ثمّ یترتب علیها الدرجة الإدراکیة أو لم 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فالآیات المادحة قد لُحِظَ فیها تمامیة المقدّمات، والآیات الناهیة یقصد منها ما کانت مقدّماته غیر تامة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ومعه إذا لاحظ الشارع أنّ خبر الواحد مثلاً ذو إصابة غالبة فاعتبره حجّة فیمکن المناقشة فی الدلیل الثالث والأول من أدلّة المانعین بأنهما نتیجة الخلط بین أفعال النفس وعدم إمکان تصویر</w:t>
      </w:r>
    </w:p>
    <w:p>
      <w:pPr>
        <w:pStyle w:val="BookText"/>
        <w:rPr/>
      </w:pPr>
      <w:r>
        <w:rPr>
          <w:rFonts w:ascii="IRNazanin" w:hAnsi="IRNazanin" w:eastAsia="IRNazanin"/>
          <w:color w:val="111111"/>
          <w:sz w:val="28"/>
          <w:sz w:val="28"/>
          <w:szCs w:val="28"/>
          <w:rtl w:val="true"/>
          <w:lang w:bidi="fa-IR"/>
        </w:rPr>
        <w:t>الحکم الفقهی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فالیقین یعبّر عن الدرجة الإدراکیة والقطع من درجات الفعل الثالث، والإحتمال یعبّر عن الدرجة الإدراکیة والشک من درجات الفعل الثالث، والظن یستعمل فی الإدراک والفعل سوی أنه فی الإصطلاح القرآنی یستعمل فی المقدّمات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ومتعلّق الحکم الفقهی إن کان هو الإدراک فالإشکالان فی محلّهما، وإن کان المتعلّق هو الفعل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أنه اختیاری ومن ثمّ احتاجت النفس إلی البعث والزجر کی تقوم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موقع للإشکال الثالث؛ إذ لا تحصیل للحاصل، کما لا موقع للإشکال الأول؛ إذ عقد القلب مشکل، له درجات فیمکن حصوله حتی مع عدم العلم</w:t>
      </w:r>
      <w:r>
        <w:rPr>
          <w:rFonts w:eastAsia="IRNazanin" w:cs="IRNazanin"/>
          <w:color w:val="111111"/>
          <w:sz w:val="28"/>
          <w:szCs w:val="28"/>
          <w:rtl w:val="true"/>
          <w:lang w:bidi="fa-IR"/>
        </w:rPr>
        <w:t>.</w:t>
      </w:r>
      <w:bookmarkStart w:id="1600" w:name="pg16983_381492"/>
    </w:p>
    <w:p>
      <w:pPr>
        <w:pStyle w:val="Heading5"/>
        <w:numPr>
          <w:ilvl w:val="4"/>
          <w:numId w:val="1"/>
        </w:numPr>
        <w:rPr/>
      </w:pPr>
      <w:bookmarkStart w:id="1601" w:name="__RefHeading___Toc3300826_1468164448"/>
      <w:bookmarkStart w:id="1602" w:name="_Toc634"/>
      <w:bookmarkEnd w:id="1600"/>
      <w:bookmarkEnd w:id="1601"/>
      <w:r>
        <w:rPr>
          <w:rtl w:val="true"/>
        </w:rPr>
        <w:t>التنبیه الثالث</w:t>
      </w:r>
      <w:r>
        <w:rPr>
          <w:rtl w:val="true"/>
        </w:rPr>
        <w:t xml:space="preserve">: </w:t>
      </w:r>
      <w:r>
        <w:rPr>
          <w:rtl w:val="true"/>
        </w:rPr>
        <w:t>کیفیة تخریج الخبر الحسن والقوی</w:t>
      </w:r>
      <w:bookmarkEnd w:id="1602"/>
    </w:p>
    <w:p>
      <w:pPr>
        <w:pStyle w:val="Heading6"/>
        <w:numPr>
          <w:ilvl w:val="5"/>
          <w:numId w:val="1"/>
        </w:numPr>
        <w:rPr/>
      </w:pPr>
      <w:bookmarkStart w:id="1603" w:name="__RefHeading___Toc3300828_1468164448"/>
      <w:bookmarkStart w:id="1604" w:name="_Toc635"/>
      <w:bookmarkEnd w:id="1603"/>
      <w:r>
        <w:rPr>
          <w:rtl w:val="true"/>
        </w:rPr>
        <w:t>اشارة</w:t>
      </w:r>
      <w:bookmarkEnd w:id="1604"/>
    </w:p>
    <w:p>
      <w:pPr>
        <w:pStyle w:val="BookText"/>
        <w:rPr/>
      </w:pPr>
      <w:r>
        <w:rPr>
          <w:rFonts w:ascii="IRNazanin" w:hAnsi="IRNazanin" w:eastAsia="IRNazanin"/>
          <w:color w:val="111111"/>
          <w:sz w:val="28"/>
          <w:sz w:val="28"/>
          <w:szCs w:val="28"/>
          <w:rtl w:val="true"/>
          <w:lang w:bidi="fa-IR"/>
        </w:rPr>
        <w:t>الخبر الحسن ما رواه الإمامی الممدوح من دون توثیق، والخبر القوی هو ما رواه الممدوح من دون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الغلو إن قلنا إنّ هذا البحث یعادل بحث حجّیة خبر الثقة لکثرة الروایات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والرأی السائد خاصة عند المتأخرین هو عدم الحجّیة، بینما نلحظ فی ممشی أکثر الفقهاء العمل بالخبر الحسن ما لم یعارض بأدنی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حجّیة الخبر الحسن منفرداً لا مع الضمیمة توجب صغرویته للخبر الموثوق به، من قبیل عمل الفقهاء به الموجب للوثوق کما حاول البعض تخریجه بذلک</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والبعض الآخر حاول تخریج عمل الفقهاء علی مبنی الإنسداد، فإنّ الخبر الحسن یفید الظن، وهو جیّد ولکن منهم من لیس کذلک</w:t>
      </w:r>
      <w:r>
        <w:rPr>
          <w:rFonts w:eastAsia="IRNazanin" w:cs="IRNazanin"/>
          <w:color w:val="111111"/>
          <w:sz w:val="28"/>
          <w:szCs w:val="28"/>
          <w:rtl w:val="true"/>
          <w:lang w:bidi="fa-IR"/>
        </w:rPr>
        <w:t>.</w:t>
      </w:r>
    </w:p>
    <w:p>
      <w:pPr>
        <w:pStyle w:val="Heading6"/>
        <w:numPr>
          <w:ilvl w:val="5"/>
          <w:numId w:val="1"/>
        </w:numPr>
        <w:rPr/>
      </w:pPr>
      <w:bookmarkStart w:id="1605" w:name="__RefHeading___Toc3300830_1468164448"/>
      <w:bookmarkStart w:id="1606" w:name="_Toc636"/>
      <w:bookmarkEnd w:id="1605"/>
      <w:r>
        <w:rPr>
          <w:rtl w:val="true"/>
        </w:rPr>
        <w:t>وجه العمل بخبر الحسن</w:t>
      </w:r>
      <w:bookmarkEnd w:id="1606"/>
    </w:p>
    <w:p>
      <w:pPr>
        <w:pStyle w:val="BookText"/>
        <w:rPr/>
      </w:pPr>
      <w:r>
        <w:rPr>
          <w:rFonts w:ascii="IRNazanin" w:hAnsi="IRNazanin" w:eastAsia="IRNazanin"/>
          <w:color w:val="111111"/>
          <w:sz w:val="28"/>
          <w:sz w:val="28"/>
          <w:szCs w:val="28"/>
          <w:rtl w:val="true"/>
          <w:lang w:bidi="fa-IR"/>
        </w:rPr>
        <w:t>وهذا البحث یمکن أن یحرّر بشکلین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کبروی فی حجّیة الخبر الحسن، کما بحثوا فی حجّیة خبر الثقة، وقد اتخذ الشهید الثانی هذا التحریر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 بمعنی أنا نلحق صغرویاً الخبر الحسن والقوی بإلحاق إحرازی لا حقیقی تکوینی بخبر الثقة والصحیح</w:t>
      </w:r>
      <w:r>
        <w:rPr>
          <w:rFonts w:eastAsia="IRNazanin" w:cs="IRNazanin"/>
          <w:color w:val="111111"/>
          <w:sz w:val="28"/>
          <w:szCs w:val="28"/>
          <w:rtl w:val="true"/>
          <w:lang w:bidi="fa-IR"/>
        </w:rPr>
        <w:t>.</w:t>
      </w:r>
      <w:bookmarkStart w:id="1607" w:name="pg16983_381494"/>
    </w:p>
    <w:p>
      <w:pPr>
        <w:pStyle w:val="BookText"/>
        <w:rPr/>
      </w:pPr>
      <w:bookmarkEnd w:id="1607"/>
      <w:r>
        <w:rPr>
          <w:rFonts w:ascii="IRNazanin" w:hAnsi="IRNazanin" w:eastAsia="IRNazanin"/>
          <w:color w:val="111111"/>
          <w:sz w:val="28"/>
          <w:sz w:val="28"/>
          <w:szCs w:val="28"/>
          <w:rtl w:val="true"/>
          <w:lang w:bidi="fa-IR"/>
        </w:rPr>
        <w:t xml:space="preserve">ومنهجیاً لابدّ أن یحرّر البحث بالشکل الثانی؛ لأنّ الدلیل القائم علی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الإلحاق الصغروی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الوجه فی العمل بالخبر الحسن والقوی أنّ منطوق آیة النبأ یقصّر المنع علی الفاسق، والفاسق هو المعلن للمعصیة والمجاهر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 الإصطلاح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یشمل بمفهومه الخبر الحسن والقوی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یناقش أنّ المفهوم إمّا العادل أو الثقة بقرینة التعلیل الوارد فی ذیل الآیة، فإنّ هذا التعلیل ینتفی فی صورة الوثوق، وعلی الأقلّ لا یمکن الجزم بصحة هذا الدلیل ولا خطأه، لأنّ فی الآیة إشعاراً کحدّ أدنی بما ذکره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علی الإلحاق الصغروی فقد ذکرت فی مبحث الشهادات مسألة مسلّمة عندما یترافع خصمان عند القاضی فی قضیة وأقام المدّعی البیّنة، فإنّ عدالة الشاهد إنما یحرز بحسن الظاهر وعدم الفسق المعلن ما لم یخدش المنکر فی عدالة الشاهد، فإن خدش فلا یکتفی القاضی عندئذ بحسن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هذه الفتوی روایات جعلت حسن الظاهر أمارة موضوعیة لمعرفة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هذه المسألة حجّیة الخبر الحسن والقوی بحسن الظاهر الذی جعله الشارع أمارة موضوعیة</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1608" w:name="__RefHeading___Toc3300832_1468164448"/>
      <w:bookmarkStart w:id="1609" w:name="_Toc637"/>
      <w:bookmarkEnd w:id="1608"/>
      <w:r>
        <w:rPr>
          <w:rtl w:val="true"/>
        </w:rPr>
        <w:t>توضیح المسألة</w:t>
      </w:r>
      <w:bookmarkEnd w:id="1609"/>
    </w:p>
    <w:p>
      <w:pPr>
        <w:pStyle w:val="BookText"/>
        <w:rPr/>
      </w:pPr>
      <w:r>
        <w:rPr>
          <w:rFonts w:ascii="IRNazanin" w:hAnsi="IRNazanin" w:eastAsia="IRNazanin"/>
          <w:color w:val="111111"/>
          <w:sz w:val="28"/>
          <w:sz w:val="28"/>
          <w:szCs w:val="28"/>
          <w:rtl w:val="true"/>
          <w:lang w:bidi="fa-IR"/>
        </w:rPr>
        <w:t>ولاتضاح المسألة وأدلّتها لابدّ من تقدیم مقدّمات</w:t>
      </w:r>
      <w:r>
        <w:rPr>
          <w:rFonts w:eastAsia="IRNazanin" w:cs="IRNazanin"/>
          <w:color w:val="111111"/>
          <w:sz w:val="28"/>
          <w:szCs w:val="28"/>
          <w:rtl w:val="true"/>
          <w:lang w:bidi="fa-IR"/>
        </w:rPr>
        <w:t>:</w:t>
      </w:r>
    </w:p>
    <w:p>
      <w:pPr>
        <w:pStyle w:val="Heading6"/>
        <w:numPr>
          <w:ilvl w:val="5"/>
          <w:numId w:val="1"/>
        </w:numPr>
        <w:rPr/>
      </w:pPr>
      <w:bookmarkStart w:id="1610" w:name="__RefHeading___Toc3300834_1468164448"/>
      <w:bookmarkStart w:id="1611" w:name="_Toc638"/>
      <w:bookmarkEnd w:id="1610"/>
      <w:r>
        <w:rPr>
          <w:rtl w:val="true"/>
        </w:rPr>
        <w:t>درجات الإحراز لصفات الراوی</w:t>
      </w:r>
      <w:bookmarkEnd w:id="161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الفارق بین الخبر الصحیح والحسن والخبر</w:t>
      </w:r>
      <w:bookmarkStart w:id="1612" w:name="pg16983_381497"/>
    </w:p>
    <w:p>
      <w:pPr>
        <w:pStyle w:val="BookText"/>
        <w:rPr/>
      </w:pPr>
      <w:bookmarkEnd w:id="1612"/>
      <w:r>
        <w:rPr>
          <w:rFonts w:ascii="IRNazanin" w:hAnsi="IRNazanin" w:eastAsia="IRNazanin"/>
          <w:color w:val="111111"/>
          <w:sz w:val="28"/>
          <w:sz w:val="28"/>
          <w:szCs w:val="28"/>
          <w:rtl w:val="true"/>
          <w:lang w:bidi="fa-IR"/>
        </w:rPr>
        <w:t>الموثوق به والقوی ماهویاً خارجیاً وإنما هو تقسیم بلحاظ درجات الإحراز منه لصفات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الفارق بین الخبر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والموثق فإنه ماهوی؛ لأنّ الراوی فی الأول إمامی وفی الثانی عامی موثق، أما الحسن الذی هو الإمامی الممدوح فقد یکون فی زمانه من العدول والثقات إلاّ أنه خفی علینا کما فی إبراهیم بن هاشم الذی کان لفترة ممدوحاً حتی اکتشف عدالته بل ظهر أنه من کبار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فالصحة والمدح والإهمال هی درجات إحرازنا فی هذه الأزمان لصفات الراوی ومثله الموثق والقوی والمجهول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بعض التقادیر قد یصوّر الإختلاف ماهویاً ولکن الحالة العامة هی أنّ الإختلاف إحرازی</w:t>
      </w:r>
      <w:r>
        <w:rPr>
          <w:rFonts w:eastAsia="IRNazanin" w:cs="IRNazanin"/>
          <w:color w:val="111111"/>
          <w:sz w:val="28"/>
          <w:szCs w:val="28"/>
          <w:rtl w:val="true"/>
          <w:lang w:bidi="fa-IR"/>
        </w:rPr>
        <w:t>.</w:t>
      </w:r>
    </w:p>
    <w:p>
      <w:pPr>
        <w:pStyle w:val="Heading6"/>
        <w:numPr>
          <w:ilvl w:val="5"/>
          <w:numId w:val="1"/>
        </w:numPr>
        <w:rPr/>
      </w:pPr>
      <w:bookmarkStart w:id="1613" w:name="__RefHeading___Toc3300836_1468164448"/>
      <w:bookmarkStart w:id="1614" w:name="_Toc639"/>
      <w:bookmarkEnd w:id="1613"/>
      <w:r>
        <w:rPr>
          <w:rtl w:val="true"/>
        </w:rPr>
        <w:t>أصالة العدالة</w:t>
      </w:r>
      <w:bookmarkEnd w:id="1614"/>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الظاهر وإن کان أمارة علی العدالة فی الشاهد بالإتفاق، إلاّ أنها مشوشة جداً فی کلمات الفقهاء والرجالیین حیث تنوعت کلماتهم بین تعبیرات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لم یثبت فسقه فهو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أوجب النسبة إلیهم بأنّ مبناهم أنّ کلّ مسلم عادل حتی یثبت العکس، حتی أنّ مثل السیّد الخوئی توقّف فی بعض توثیقات القدماء خشیة اعتمادهم علی أصالة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لا یلتزم أحد بأصالة العدالة وقد سبرنا کلّ ما ذکر من شواهد من قبل المتأخرین علی أنّ المتقدّمین یبنون علی أصالة العدالة ولم نجد ما تدلّ علی ما نسب إلیهم وإنما کلّ ما وجدناه هو اعتمادهم علی حسن الظاهر فی التوثیق صغرویاً، وقد صرّح بذلک صاحب الجواهر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ویضمّ إلیه استصحاب عدم الفسق فتکتمل الأمارة الموضوعیة لا أننا نتمسک بأصالة عدم الفسق عند الشک من دون توفّر حسن الظاهر</w:t>
      </w:r>
      <w:bookmarkStart w:id="1615" w:name="pg16983_381499"/>
    </w:p>
    <w:p>
      <w:pPr>
        <w:pStyle w:val="BookText"/>
        <w:rPr/>
      </w:pPr>
      <w:bookmarkEnd w:id="1615"/>
      <w:r>
        <w:rPr>
          <w:rFonts w:ascii="IRNazanin" w:hAnsi="IRNazanin" w:eastAsia="IRNazanin"/>
          <w:color w:val="111111"/>
          <w:sz w:val="28"/>
          <w:sz w:val="28"/>
          <w:szCs w:val="28"/>
          <w:rtl w:val="true"/>
          <w:lang w:bidi="fa-IR"/>
        </w:rPr>
        <w:t>وإنما مع وجود فقرات من حسن الظاهر واستصحاب عدم الفسق یتمّ البناء علی العدالة أو الوثاقة</w:t>
      </w:r>
      <w:r>
        <w:rPr>
          <w:rFonts w:eastAsia="IRNazanin" w:cs="IRNazanin"/>
          <w:color w:val="111111"/>
          <w:sz w:val="28"/>
          <w:szCs w:val="28"/>
          <w:rtl w:val="true"/>
          <w:lang w:bidi="fa-IR"/>
        </w:rPr>
        <w:t>.</w:t>
      </w:r>
    </w:p>
    <w:p>
      <w:pPr>
        <w:pStyle w:val="Heading6"/>
        <w:numPr>
          <w:ilvl w:val="5"/>
          <w:numId w:val="1"/>
        </w:numPr>
        <w:rPr/>
      </w:pPr>
      <w:bookmarkStart w:id="1616" w:name="__RefHeading___Toc3300838_1468164448"/>
      <w:bookmarkStart w:id="1617" w:name="_Toc640"/>
      <w:bookmarkEnd w:id="1616"/>
      <w:r>
        <w:rPr>
          <w:rtl w:val="true"/>
        </w:rPr>
        <w:t>حسن الظاهر مغایر للعدالة</w:t>
      </w:r>
      <w:bookmarkEnd w:id="1617"/>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الظاهر مغایر للعدالة حتی مع مثل تفسیر السیّد الخوئی لها بأنها عبارة عن حسن السلوک والإستقامة فی جادة الشرع لا الملکة، فالعلم بالأول لا یعنی العلم بالثانی، وهو واضح بعد أن کان المراد من حسن الظاهر یخص استقامة السلوکیات التی من شأنها الظهور لا مطلق السلوک</w:t>
      </w:r>
      <w:r>
        <w:rPr>
          <w:rFonts w:eastAsia="IRNazanin" w:cs="IRNazanin"/>
          <w:color w:val="111111"/>
          <w:sz w:val="28"/>
          <w:szCs w:val="28"/>
          <w:rtl w:val="true"/>
          <w:lang w:bidi="fa-IR"/>
        </w:rPr>
        <w:t>.</w:t>
      </w:r>
    </w:p>
    <w:p>
      <w:pPr>
        <w:pStyle w:val="Heading6"/>
        <w:numPr>
          <w:ilvl w:val="5"/>
          <w:numId w:val="1"/>
        </w:numPr>
        <w:rPr/>
      </w:pPr>
      <w:bookmarkStart w:id="1618" w:name="__RefHeading___Toc3300840_1468164448"/>
      <w:bookmarkStart w:id="1619" w:name="_Toc641"/>
      <w:bookmarkEnd w:id="1618"/>
      <w:r>
        <w:rPr>
          <w:rtl w:val="true"/>
        </w:rPr>
        <w:t>أدلّة أماریة حسن الظاهر</w:t>
      </w:r>
      <w:bookmarkEnd w:id="1619"/>
    </w:p>
    <w:p>
      <w:pPr>
        <w:pStyle w:val="BookText"/>
        <w:rPr/>
      </w:pPr>
      <w:r>
        <w:rPr>
          <w:rFonts w:ascii="IRNazanin" w:hAnsi="IRNazanin" w:eastAsia="IRNazanin"/>
          <w:color w:val="111111"/>
          <w:sz w:val="28"/>
          <w:sz w:val="28"/>
          <w:szCs w:val="28"/>
          <w:rtl w:val="true"/>
          <w:lang w:bidi="fa-IR"/>
        </w:rPr>
        <w:t>بعد کلّ هذا ندخل فی الأدلّة علی أماریة حسن الظاهر کأمارة موضوعیة إحرازیة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عبداللّه بن أبی یعفور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الصدوق فی الفقیه بإسناده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بَیْنَ الْمُسْلِمِینَ حَتَّی تُقْبَلَ شَهَادَتُهُ لَهُمْ وَ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 الْعَفَافِ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الْفَرْجِ وَ الْیَدِ وَ اللِّسَانِ وَ یُعْرَفُ بِاجْتِنَابِ الْکَبَائِرِ الَّتِی أَوْعَدَ اللَّهُ عَلَیْهَا النَّارَ مِنْ شُرْبِ الْخَمْرِ وَ الزِّنَا وَ الرِّبَا وَ عُقُوقِ الْوَالِدَیْنِ وَ الْفِرَارِ مِنَ الزَّحْفِ وَ غَیْرِ ذَلِکَ وَ الدَّلالَةُ عَلَی ذَلِکَ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لِجَمِیعِ عُیُوبِهِ حَتَّی یَحْرُمَ عَلَی الْمُسْلِمِینَ مَا وَرَاءَ ذَلِکَ مِنْ عَثَرَاتِهِ وَ عُیُوبِهِ وَ تَفْتِیشُ مَا وَرَاءَ ذَلِکَ وَ یَجِبُ عَلَیْهِمْ تَزْکِیَتُهُ وَ إِظْهَارُ عَدَالَتِهِ فِی النَّاسِ وَ یَکُونُ مِنْهُ التَّعَاهُدُ لِلصَّلَوَاتِ الْخَمْسِ إِذَا وَاظَبَ عَلَیْهِنَّ وَ حَفِظَ مَوَاقِیتَهُنَّ بِحُضُورِ جَمَاعَةٍ مِنَ الْمُسْلِمِینَ وَ أَنْ لا یَتَخَلَّفَ عَنْ جَمَاعَتِهِمْ فِی مُصَلاّهُمْ إِلاّ مِنْ عِلَّةٍ فَإِذَا کَانَ کَذَلِکَ لازِماً لِمُصَلاّهُ عِنْدَ حُضُورِ الصَّلَوَاتِ الْخَمْسِ، فَإِذَا سُئِلَ عَنْهُ فِی قَبِیلِهِ وَمَحَلَّتِهِ قَالُوا مَا رَأَیْنَا مِنْهُ إِلاّ خَیْراً مُوَاظِباً عَلَی الصَّلَوَاتِ مُتَعَاهِداً لأَوْقَاتِهَا فِی مُصَلاّهُ فَإِنَّ ذَلِکَ یُجِیزُ شَهَادَتَهُ وَ عَدَالَتَهُ بَیْنَ الْمُسْلِمِینَ وَ</w:t>
      </w:r>
    </w:p>
    <w:p>
      <w:pPr>
        <w:pStyle w:val="BookText"/>
        <w:rPr/>
      </w:pPr>
      <w:r>
        <w:rPr>
          <w:rFonts w:ascii="Amiri" w:hAnsi="Amiri" w:eastAsia="Amiri" w:cs="Amiri"/>
          <w:color w:val="111111"/>
          <w:sz w:val="28"/>
          <w:sz w:val="28"/>
          <w:szCs w:val="28"/>
          <w:rtl w:val="true"/>
          <w:lang w:bidi="ar-SA"/>
        </w:rPr>
        <w:t xml:space="preserve">ذَلِکَ أَنَّ الصَّلاةَ سِتْرٌ وَ کَفَّارَةٌ لِلذُّنُوبِ وَ لَیْسَ یُمْکِنُ الشَّهَادَةُ عَلَی الرَّجُلِ بِأَنَّهُ یُصَلِّی إِذَا کَانَ لا یَحْضُرُ مُصَلاّهُ وَ یَتَعَاهَدُ جَمَاعَةَ الْمُسْلِمِینَ وَ إِنَّمَا جُعِلَ الْجَمَاعَةُ وَ الإجْتِمَاعُ إِلَی الصَّلاةِ لِکَیْ یُعْرَفَ مَنْ یُصَلِّی مِمَّنْ لا یُصَلِّی وَ مَنْ یَحْفَظُ مَوَاقِیتَ الصَّلاةِ مِمَّنْ یُضِیعُ وَ لَوْ لا ذَلِکَ لَمْ یُمْکِنْ أَحَدٌ أَنْ یَشْهَدَ عَلَی آخَرَ بِصَلاحٍ لأَنَّ مَنْ لا یُصَلِّی لا صَلاحَ لَهُ بَیْنَ الْمُسْلِمِینَ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 یُحْرِقَ قَوْماً فِی مَنَازِلِهِمْ لِتَرْکِهِمُ الْحُضُورَ لِجَمَاعَةِ الْمُسْلِمِینَ وَ قَدْ کَانَ فِیهِمْ مَنْ یُصَلِّی فِی بَیْتِهِ فَلَمْ یَقْبَلْ مِنْهُ ذَلِکَ وَ کَیْفَ یُقْبَلُ شَهَادَةٌ أَوْ عَدَالَةٌ بَیْنَ الْمُسْلِمِینَ مِمَّنْ جَرَی الْحُکْمُ مِنَ اللَّهِ عَزَّ وَ جَلَّ 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الْحَرَقُ فِی جَوْفِ بَیْتِهِ بِالنَّارِ وَ قَدْ کَانَ یَقُولُ لا صَلَاةَ لِمَنْ لا یُصَلِّی فِی الْمَسْجِدِ مَعَ الْمُسْلِمِینَ إِلاّ مِنْ عِلَّة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بِمَ تحرز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العدالة أمر واقعی لا تتحقق إلاّ باجتناب المحرمات کلّها، ویکفی حسن الظاهر وعدم بروز الفسق فی ثبوت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إلاّ خیراً مواظباً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شهادة مباشرة علی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فسّرت بالملکة أو السلوک المستقیم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لا حصر، أی أنه واحدة من السلوکیات الصالحة البارزة منه، لا أنّ بدوّ الصلاح منحصر فیها، والعمدة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برز منه إلینا سوی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حریز</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الشیخ فی التهذیب بإسناده عن أحمد بن محمّد، عن الحسن بن محبوب، عن أبی أیّوب الخزاز، عن حریز،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أَرْبَعَةٍ شَهِدُوا عَلَی رَجُلٍ مُحْصَنٍ بِالزِّنَا فَعُدِّلَ مِنْهُمُ اثْنَانِ وَ لَمْ یُعَدَّلِ الآخَرَانِ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کَانُوا أَرْبَعَةً مِنَ الْمُسْلِمِینَ لَیْسَ یُعْرَفُونَ</w:t>
      </w:r>
    </w:p>
    <w:p>
      <w:pPr>
        <w:pStyle w:val="BookText"/>
        <w:rPr/>
      </w:pPr>
      <w:r>
        <w:rPr>
          <w:rFonts w:ascii="Amiri" w:hAnsi="Amiri" w:eastAsia="Amiri" w:cs="Amiri"/>
          <w:color w:val="111111"/>
          <w:sz w:val="28"/>
          <w:sz w:val="28"/>
          <w:szCs w:val="28"/>
          <w:rtl w:val="true"/>
          <w:lang w:bidi="ar-SA"/>
        </w:rPr>
        <w:t>بِشَهَادَةِ الزُّورِ أُجِیزَتْ شَهَادَتُهُمْ جَمِیعاً وَ أُقِیمَ الْحَدُّ عَلَی الَّذِی شَهِدُوا عَلَیْهِ، إِنَّمَا عَلَیْهِمْ أَنْ یَشْهَدُوا بِمَا أَبْصَرُوا وَ عَلِمُوا وَ عَلَی الْوَالِی أَنْ یُجِیزَ شَهَادَتَهُمْ إِلاّ أَنْ یَکُونُوا مَعْرُوفِینَ بِالْفِسْق</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الوالی أن یجیز شهادتهم إلاّ أن یکونوا معروفین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قد یوهم أماریة عدم الفسق المعلن فقط، ومن ثمّ أعرض عنها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بالروایات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أنّ هذه الفقرة دالّة علی أماریة حسن الظاهر وعدم کفایة عدم الفسق المعلن، بعد الإلتفات إلی أنّ محیط الإنسان یبدأ بمحیطه الخاص الذی هو محیط أسرته، ویأتی بعده محیط خاصّته وأصدقائه، ثمّ محیط محلّته وقبیلته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یرجع إلیه فی معرفة حسن الظاهر هو المحیط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الروایة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لا یعرف فی ذلک الوسط بالفسق مع أنه یعاشرهم فهو یعنی أنّ سلوکه حسن؛ لأنّ معاشرته معهم علی مستوی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یلحظ فی ذلک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سلوکیات هذا الإنسان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معلن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فعل حرام أو ترک واجب کأداء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معروفیته بعدم الفسق فی الوسط الأول والثانی فهو أخص من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عدم معروفیته بعدم الفسق فی غیر محلّته وقبیلته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أجنبی عنهم ولا یعاشرهم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حسن الظاهر المطلوب الذی هو عدم ارتکاب الحرام المعلن مع اتصافه ببعض مظاهر الصلاح البارزة للناس فی ذلک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الأعمّیة من حسن الظاهر عدم معروفیته فی الفسق فی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الأوساط التی لا یعیشها، کما لو اعتمد الشیخ الطوسی علی حسن</w:t>
      </w:r>
    </w:p>
    <w:p>
      <w:pPr>
        <w:pStyle w:val="BookText"/>
        <w:rPr/>
      </w:pPr>
      <w:r>
        <w:rPr>
          <w:rFonts w:ascii="IRNazanin" w:hAnsi="IRNazanin" w:eastAsia="IRNazanin"/>
          <w:color w:val="111111"/>
          <w:sz w:val="28"/>
          <w:sz w:val="28"/>
          <w:szCs w:val="28"/>
          <w:rtl w:val="true"/>
          <w:lang w:bidi="fa-IR"/>
        </w:rPr>
        <w:t xml:space="preserve">الظاهر فی راو من جیل آخر، فإنّ حسن الظاهر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التعبیر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معروفیته بالفسق لا تعنی حسن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التی 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تشریعها فی هذه الروایة حتی یکون مفادها أصالة عدم الفسق الأعمّ من حسن الظاهر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فی صدد تشریع عدم المعروفیة بالفسق فی الوسط الثالث، وهذا هو حسن الظاهر الذی یقبله مثل السیّد الخوئی وغیر أصالة عدم الفسق التی لا یقبلها ولا نقبلها نحن بل ولا أی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أبی یعفور</w:t>
      </w:r>
    </w:p>
    <w:p>
      <w:pPr>
        <w:pStyle w:val="BookText"/>
        <w:rPr/>
      </w:pPr>
      <w:r>
        <w:rPr>
          <w:rFonts w:ascii="Amiri" w:hAnsi="Amiri" w:eastAsia="Amiri" w:cs="Amiri"/>
          <w:color w:val="111111"/>
          <w:sz w:val="28"/>
          <w:sz w:val="28"/>
          <w:szCs w:val="28"/>
          <w:rtl w:val="true"/>
          <w:lang w:bidi="ar-SA"/>
        </w:rPr>
        <w:t xml:space="preserve">روی الشیخ فی التهذیب والإستبصار بإسناده عن أبی القاسم جعفر بن محمّد بن قولویه، عن أبیه، عن سعد بن عبدالله، عن أحمد بن الحسن بن علی بن فضّال، عن أبیه، عن علی بن عقبة وذبیان بن حکیم الأودی، عن موسی بن أکیل، عن عبد اللَّه بن أبی یعفور، عن أخیه عبد الکریم بن أبی یعفور،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الْمَرْأَةِ وَ النِّسْوَةِ إِذَا کُنَّ مَسْتُورَاتٍ مِنْ أَهْلِ الْبُیُوتَاتِ مَعْرُوفَاتٍ بِالسَّتْرِ وَ الْعَفَافِ مُطِیعَاتٍ للأَزْوَاجِ تَارِکَاتٍ لِلْبَذَاءِ وَ التَّبَرُّجِ إِلَی الرِّجَالِ فِی أَنْدِیَتِهِمْ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 مستورات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الوسط الثالث لا فی الأوساط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البیوتات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بیت کرامة وصلاح ومعروف بالتربیة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یتخیل أنه فی الدائرة الأولی إلاّ أنه لا مشکلة؛ لأنه لم تتعلّق شهادة حسن السلوک علی هذه الدائرة وإنما هی قضیة واحدة وعلامة من علامات حسن الظاهر تضم إلی سائر العلامات المتقدّمة المرتبطة بحسن الظاهر فی محیط البیئة</w:t>
      </w:r>
      <w:r>
        <w:rPr>
          <w:rFonts w:eastAsia="IRNazanin" w:cs="IRNazanin"/>
          <w:color w:val="111111"/>
          <w:sz w:val="28"/>
          <w:szCs w:val="28"/>
          <w:rtl w:val="true"/>
          <w:lang w:bidi="fa-IR"/>
        </w:rPr>
        <w:t>.</w:t>
      </w:r>
      <w:bookmarkStart w:id="1620" w:name="pg16983_381507"/>
    </w:p>
    <w:p>
      <w:pPr>
        <w:pStyle w:val="BookText"/>
        <w:rPr/>
      </w:pPr>
      <w:bookmarkEnd w:id="1620"/>
      <w:r>
        <w:rPr>
          <w:rFonts w:ascii="IRNazanin" w:hAnsi="IRNazanin" w:eastAsia="IRNazanin"/>
          <w:color w:val="111111"/>
          <w:sz w:val="28"/>
          <w:sz w:val="28"/>
          <w:szCs w:val="28"/>
          <w:rtl w:val="true"/>
          <w:lang w:bidi="fa-IR"/>
        </w:rPr>
        <w:t xml:space="preserve">إلی هنا قد انتهینا إلی أنّ حسن الظاهر أمارة علی العدالة وهو مورد اتفاق من الجمیع، ومن ناقش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 الأعلام أو أعرض عن روایة فلظنه أنهم یکتفون بأصالة العدالة وأصالة عدم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هذا القول قبول الخبر الحسن والقوی لصغریین من صغریات الخبر الصحیح والموثق بأمارة حسن الظاهر التعبدیة المحرزة للموضوع وهو العدالة</w:t>
      </w:r>
      <w:r>
        <w:rPr>
          <w:rFonts w:eastAsia="IRNazanin" w:cs="IRNazanin"/>
          <w:color w:val="111111"/>
          <w:sz w:val="28"/>
          <w:szCs w:val="28"/>
          <w:rtl w:val="true"/>
          <w:lang w:bidi="fa-IR"/>
        </w:rPr>
        <w:t>.</w:t>
      </w:r>
    </w:p>
    <w:p>
      <w:pPr>
        <w:pStyle w:val="Heading6"/>
        <w:numPr>
          <w:ilvl w:val="5"/>
          <w:numId w:val="1"/>
        </w:numPr>
        <w:rPr/>
      </w:pPr>
      <w:bookmarkStart w:id="1621" w:name="__RefHeading___Toc3300842_1468164448"/>
      <w:bookmarkStart w:id="1622" w:name="_Toc642"/>
      <w:bookmarkEnd w:id="1621"/>
      <w:r>
        <w:rPr>
          <w:rtl w:val="true"/>
        </w:rPr>
        <w:t>عدّة ملاحظات</w:t>
      </w:r>
      <w:bookmarkEnd w:id="1622"/>
    </w:p>
    <w:p>
      <w:pPr>
        <w:pStyle w:val="BookText"/>
        <w:rPr/>
      </w:pPr>
      <w:r>
        <w:rPr>
          <w:rFonts w:ascii="IRNazanin" w:hAnsi="IRNazanin" w:eastAsia="IRNazanin"/>
          <w:color w:val="111111"/>
          <w:sz w:val="28"/>
          <w:sz w:val="28"/>
          <w:szCs w:val="28"/>
          <w:rtl w:val="true"/>
          <w:lang w:bidi="fa-IR"/>
        </w:rPr>
        <w:t>ولاکتمال البحث نلفت إلی جملة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بین الفقهاء فی کیفیة تحقّق حسن الظاهر، هل هو بأربعة قرائن علی الصلاح أو ثلاثة أو غیر ذلک بالإضافة إلی عدم الفسق المعلن؟ ومثل هذا الخلاف لا یؤثر علی ما نروم إثباته وهو أماریة حسن الظاهر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مستوی الممارسة الفقهیة فمشهور الفقهاء عملوا بالخبر الحسن، وعمدة مستندهم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ونؤکد علی أنّ من یبنی علی حجّیة حسن الظاهر فی الشبهات الموضوعیة لابدّ من البناء علیه فی الشبهات الحکمیة، والتفکیک بینهما ناجم من عدم تصور فذلکة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مدرک حجّیة حسن الظاهر کأمارة موضوعیة لا ینحصر بالروایات وإنما هناک بناء عقلائی علی قبول تحقّق الظاهر فما ورد من روایات یکون إمضاءً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أماریة حسن الظاهر یتبلور الفرق بین الخبر الصحیح والحسن، فإنّ الأول من أحرز وثاقته وجداناً والثانی تعبداً فالفارق إحرازی لا صفتی ماهوی، ومثله الفرق بین الموثق والقوی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تبنّی هذا المبنی والفرق نکون فی راحة فی علم الرجال؛ لأنّ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المدح وإن لم یوصلنا إلی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توثیقاً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یوصلنا إلی حسن ظاهر الرجل وبالتالی فهو ملحق صغرویاً بالثقة</w:t>
      </w:r>
      <w:r>
        <w:rPr>
          <w:rFonts w:eastAsia="IRNazanin" w:cs="IRNazanin"/>
          <w:color w:val="111111"/>
          <w:sz w:val="28"/>
          <w:szCs w:val="28"/>
          <w:rtl w:val="true"/>
          <w:lang w:bidi="fa-IR"/>
        </w:rPr>
        <w:t>.</w:t>
      </w:r>
      <w:bookmarkStart w:id="1623" w:name="pg16983_381511"/>
    </w:p>
    <w:p>
      <w:pPr>
        <w:pStyle w:val="Heading5"/>
        <w:numPr>
          <w:ilvl w:val="4"/>
          <w:numId w:val="1"/>
        </w:numPr>
        <w:rPr/>
      </w:pPr>
      <w:bookmarkStart w:id="1624" w:name="__RefHeading___Toc3300844_1468164448"/>
      <w:bookmarkStart w:id="1625" w:name="_Toc643"/>
      <w:bookmarkEnd w:id="1623"/>
      <w:bookmarkEnd w:id="1624"/>
      <w:r>
        <w:rPr>
          <w:rtl w:val="true"/>
        </w:rPr>
        <w:t>التنبیه الرابع</w:t>
      </w:r>
      <w:r>
        <w:rPr>
          <w:rtl w:val="true"/>
        </w:rPr>
        <w:t xml:space="preserve">: </w:t>
      </w:r>
      <w:r>
        <w:rPr>
          <w:rtl w:val="true"/>
        </w:rPr>
        <w:t>حجّیة خبر الواحد أو عدم حجّیته فی الموضوعات</w:t>
      </w:r>
      <w:bookmarkEnd w:id="1625"/>
    </w:p>
    <w:p>
      <w:pPr>
        <w:pStyle w:val="Heading6"/>
        <w:numPr>
          <w:ilvl w:val="5"/>
          <w:numId w:val="1"/>
        </w:numPr>
        <w:rPr/>
      </w:pPr>
      <w:bookmarkStart w:id="1626" w:name="__RefHeading___Toc3300846_1468164448"/>
      <w:bookmarkStart w:id="1627" w:name="_Toc644"/>
      <w:bookmarkEnd w:id="1626"/>
      <w:r>
        <w:rPr>
          <w:rtl w:val="true"/>
        </w:rPr>
        <w:t>اشارة</w:t>
      </w:r>
      <w:bookmarkEnd w:id="1627"/>
    </w:p>
    <w:p>
      <w:pPr>
        <w:pStyle w:val="BookText"/>
        <w:rPr/>
      </w:pPr>
      <w:r>
        <w:rPr>
          <w:rFonts w:ascii="IRNazanin" w:hAnsi="IRNazanin" w:eastAsia="IRNazanin"/>
          <w:color w:val="111111"/>
          <w:sz w:val="28"/>
          <w:sz w:val="28"/>
          <w:szCs w:val="28"/>
          <w:rtl w:val="true"/>
          <w:lang w:bidi="fa-IR"/>
        </w:rPr>
        <w:t xml:space="preserve">والبحث وإن کان فقهیاً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لارتباطه بالشبهة الموضوعیة فلا یقع فی طریق الإستنباط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نذکره استطراداً، لشمول أدلّة حجّیة الخبر له</w:t>
      </w:r>
      <w:r>
        <w:rPr>
          <w:rFonts w:eastAsia="IRNazanin" w:cs="IRNazanin"/>
          <w:color w:val="111111"/>
          <w:sz w:val="28"/>
          <w:szCs w:val="28"/>
          <w:rtl w:val="true"/>
          <w:lang w:bidi="fa-IR"/>
        </w:rPr>
        <w:t>.</w:t>
      </w:r>
    </w:p>
    <w:p>
      <w:pPr>
        <w:pStyle w:val="Heading6"/>
        <w:numPr>
          <w:ilvl w:val="5"/>
          <w:numId w:val="1"/>
        </w:numPr>
        <w:rPr/>
      </w:pPr>
      <w:bookmarkStart w:id="1628" w:name="__RefHeading___Toc3300848_1468164448"/>
      <w:bookmarkStart w:id="1629" w:name="_Toc645"/>
      <w:bookmarkEnd w:id="1628"/>
      <w:r>
        <w:rPr>
          <w:rtl w:val="true"/>
        </w:rPr>
        <w:t>عدم حجّیة خبر الواحد فی الموضوعات عند القدماء</w:t>
      </w:r>
      <w:bookmarkEnd w:id="1629"/>
    </w:p>
    <w:p>
      <w:pPr>
        <w:pStyle w:val="BookText"/>
        <w:rPr/>
      </w:pPr>
      <w:r>
        <w:rPr>
          <w:rFonts w:ascii="IRNazanin" w:hAnsi="IRNazanin" w:eastAsia="IRNazanin"/>
          <w:color w:val="111111"/>
          <w:sz w:val="28"/>
          <w:sz w:val="28"/>
          <w:szCs w:val="28"/>
          <w:rtl w:val="true"/>
          <w:lang w:bidi="fa-IR"/>
        </w:rPr>
        <w:t>ویظهر من عبارات القدماء عدم حجّیة الخبر فی الموضوعات، إلاّ أنّ الحلّی وآخرین بنوا علی الحجّیة مع تفصیل، وفی عصرنا بنوا علی حجّیته مطلقاً فی الموضوعات</w:t>
      </w:r>
      <w:r>
        <w:rPr>
          <w:rFonts w:eastAsia="IRNazanin" w:cs="IRNazanin"/>
          <w:color w:val="111111"/>
          <w:sz w:val="28"/>
          <w:szCs w:val="28"/>
          <w:rtl w:val="true"/>
          <w:lang w:bidi="fa-IR"/>
        </w:rPr>
        <w:t>.</w:t>
      </w:r>
    </w:p>
    <w:p>
      <w:pPr>
        <w:pStyle w:val="Heading6"/>
        <w:numPr>
          <w:ilvl w:val="5"/>
          <w:numId w:val="1"/>
        </w:numPr>
        <w:rPr/>
      </w:pPr>
      <w:bookmarkStart w:id="1630" w:name="__RefHeading___Toc3300850_1468164448"/>
      <w:bookmarkStart w:id="1631" w:name="_Toc646"/>
      <w:bookmarkEnd w:id="1630"/>
      <w:r>
        <w:rPr>
          <w:rtl w:val="true"/>
        </w:rPr>
        <w:t>المختار فی المسألة</w:t>
      </w:r>
      <w:bookmarkEnd w:id="1631"/>
    </w:p>
    <w:p>
      <w:pPr>
        <w:pStyle w:val="BookText"/>
        <w:rPr/>
      </w:pPr>
      <w:r>
        <w:rPr>
          <w:rFonts w:ascii="IRNazanin" w:hAnsi="IRNazanin" w:eastAsia="IRNazanin"/>
          <w:color w:val="111111"/>
          <w:sz w:val="28"/>
          <w:sz w:val="28"/>
          <w:szCs w:val="28"/>
          <w:rtl w:val="true"/>
          <w:lang w:bidi="fa-IR"/>
        </w:rPr>
        <w:t xml:space="preserve">والحق الحجّیة مع التفصیل لا مع الإطلاق، لأنّ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أهمّ أدلّة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علی اعتباره فی الموضوعات الساذجة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الموضوعات غیر الساذجة بحیث تکون مدعاة للنزاع وإن لم یکن فیها نزاع فعلی إلاّ أنها صالحة لأنّ تکون موضوعاً قضائیاً، فإنّ العقلاء فی مثل هذه الموضوعات بنوا الإعتماد علی خبرین وما شاکل، لا علی خبر الواحد</w:t>
      </w:r>
      <w:r>
        <w:rPr>
          <w:rStyle w:val="FootnoteAnchor"/>
          <w:rtl w:val="true"/>
        </w:rPr>
        <w:footnoteReference w:id="254"/>
      </w:r>
      <w:r>
        <w:rPr>
          <w:rFonts w:ascii="IRNazanin" w:hAnsi="IRNazanin" w:eastAsia="IRNazanin"/>
          <w:color w:val="111111"/>
          <w:sz w:val="28"/>
          <w:sz w:val="28"/>
          <w:szCs w:val="28"/>
          <w:rtl w:val="true"/>
          <w:lang w:bidi="fa-IR"/>
        </w:rPr>
        <w:t>، فالعقلاء یضیّقون وسیلة الإثبات فی الموضوعات التی تکون مدعاة للنزاع ولو بعیداً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متعددة تدلّ علی حجّیة الخبر فی الموضوعات، إلاّ أنها لا إطلاق فیها، بل ترجع إلی الموضوعات الساذجة</w:t>
      </w:r>
      <w:r>
        <w:rPr>
          <w:rFonts w:eastAsia="IRNazanin" w:cs="IRNazanin"/>
          <w:color w:val="111111"/>
          <w:sz w:val="28"/>
          <w:szCs w:val="28"/>
          <w:rtl w:val="true"/>
          <w:lang w:bidi="fa-IR"/>
        </w:rPr>
        <w:t>.</w:t>
      </w:r>
      <w:bookmarkStart w:id="1632" w:name="pg16983_381513"/>
    </w:p>
    <w:p>
      <w:pPr>
        <w:pStyle w:val="BookText"/>
        <w:rPr/>
      </w:pPr>
      <w:bookmarkEnd w:id="1632"/>
      <w:r>
        <w:rPr>
          <w:rFonts w:ascii="IRNazanin" w:hAnsi="IRNazanin" w:eastAsia="IRNazanin"/>
          <w:color w:val="111111"/>
          <w:sz w:val="28"/>
          <w:sz w:val="28"/>
          <w:szCs w:val="28"/>
          <w:rtl w:val="true"/>
          <w:lang w:bidi="fa-IR"/>
        </w:rPr>
        <w:t>بالإضافة إلی عموم أدلّة حجّیة خبر الواحد فی الشبهات الحکمیة للشبهات الموضوعیة</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1633" w:name="__RefHeading___Toc3300852_1468164448"/>
      <w:bookmarkStart w:id="1634" w:name="_Toc647"/>
      <w:bookmarkEnd w:id="1633"/>
      <w:r>
        <w:rPr>
          <w:rtl w:val="true"/>
        </w:rPr>
        <w:t>تقریب المستمسک</w:t>
      </w:r>
      <w:bookmarkEnd w:id="163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المستمسک فی باب الإجتهاد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حجّیة الخبر تشمل أولاً الشبهات الموضوعیة ثمّ بالتبع الشبهة الحکمیة؛ لأنّ الراوی عندما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إخبار عن فعل جزئی خارجی، غایته أنّ هذا الفعل یترتب علیه أثر کلّی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یلاحظ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الجاری فی التقنین العقلائی من أمارات فی الشبهات الحکمیة وإن أمکن إرجاعها إلی شبهة موضوعیة ولکنّهم لم یلحظوا ذلک وافترضوا أنّ الأمارة قائمة علی الشبهة الحکمیة، ومن ثمّ قُسِّم الأمارات إلی قسمین ولم یحرز أحد علی التعمیم إلاّ بشاهد قوی، ولم یکتف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سیّد 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بالتعمیم من أحدهما للآخر بما ذکر من التقریب</w:t>
      </w:r>
      <w:r>
        <w:rPr>
          <w:rFonts w:eastAsia="IRNazanin" w:cs="IRNazanin"/>
          <w:color w:val="111111"/>
          <w:sz w:val="28"/>
          <w:szCs w:val="28"/>
          <w:rtl w:val="true"/>
          <w:lang w:bidi="fa-IR"/>
        </w:rPr>
        <w:t>.</w:t>
      </w:r>
      <w:r>
        <w:rPr>
          <w:rStyle w:val="FootnoteAnchor"/>
          <w:rtl w:val="true"/>
        </w:rPr>
        <w:footnoteReference w:id="256"/>
      </w:r>
      <w:bookmarkStart w:id="1635" w:name="pg16983_381518"/>
    </w:p>
    <w:p>
      <w:pPr>
        <w:pStyle w:val="Heading5"/>
        <w:numPr>
          <w:ilvl w:val="4"/>
          <w:numId w:val="1"/>
        </w:numPr>
        <w:rPr/>
      </w:pPr>
      <w:bookmarkStart w:id="1636" w:name="__RefHeading___Toc3300854_1468164448"/>
      <w:bookmarkStart w:id="1637" w:name="_Toc648"/>
      <w:bookmarkEnd w:id="1635"/>
      <w:bookmarkEnd w:id="1636"/>
      <w:r>
        <w:rPr>
          <w:rtl w:val="true"/>
        </w:rPr>
        <w:t>التنبیه الخامس</w:t>
      </w:r>
      <w:r>
        <w:rPr>
          <w:rtl w:val="true"/>
        </w:rPr>
        <w:t xml:space="preserve">: </w:t>
      </w:r>
      <w:r>
        <w:rPr>
          <w:rtl w:val="true"/>
        </w:rPr>
        <w:t>فی جبر الضعیف بالشهرة العملیة والفتوائیة وکسر الخبر الصحیح بهما</w:t>
      </w:r>
      <w:bookmarkEnd w:id="1637"/>
    </w:p>
    <w:p>
      <w:pPr>
        <w:pStyle w:val="Heading6"/>
        <w:numPr>
          <w:ilvl w:val="5"/>
          <w:numId w:val="1"/>
        </w:numPr>
        <w:rPr/>
      </w:pPr>
      <w:bookmarkStart w:id="1638" w:name="__RefHeading___Toc3300856_1468164448"/>
      <w:bookmarkStart w:id="1639" w:name="_Toc649"/>
      <w:bookmarkEnd w:id="1638"/>
      <w:r>
        <w:rPr>
          <w:rtl w:val="true"/>
        </w:rPr>
        <w:t>الآراء فی المسألة</w:t>
      </w:r>
      <w:bookmarkEnd w:id="1639"/>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البعض خصّ الجبر بالشهرة العملیة دون الفتوائیة؛ لأنّ الفتوائیة لیست أکثر من الموافقة للخبر من دون إحراز لاستنادهم إلی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یکون استنادهم إلی نکات أخری کالعموم وما شاکل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الکسر فهناک إعراض عن الخبر وهناک فتوی مخالفة للخبر من دون إحراز أنه لأجل توهین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یمکن أن یکون مستندهم الإعتماد علی أدلّة أرجح من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الشهرة الفتوائیة وجود خبر فی کتاب لم یکن فی متناول طبقة من الفقهاء أو لم یعرف تتبعهم للخبر أو لأنه مندرج فی باب لا یتناسب مع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والبعض الآخر خصّ الجبر والکسر بالشهرة العملیة عند القدماء أو بدایة المتأخرین دون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نعتمده بعد الإلتفات إلی أنّ الحدیث فی الجبر والکسر مرتبط بالسند لا بالمضمون والدلالة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وثالث اختار العکس، حیث خصّ الجبر والکسر بشهرة المتأخرین معلّلاً بأنهم أحذق وأثقب نظراً من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ورابع بنی علی الجبر والکسر مطلقاً</w:t>
      </w:r>
      <w:r>
        <w:rPr>
          <w:rFonts w:eastAsia="IRNazanin" w:cs="IRNazanin"/>
          <w:color w:val="111111"/>
          <w:sz w:val="28"/>
          <w:szCs w:val="28"/>
          <w:rtl w:val="true"/>
          <w:lang w:bidi="fa-IR"/>
        </w:rPr>
        <w:t>.</w:t>
      </w:r>
    </w:p>
    <w:p>
      <w:pPr>
        <w:pStyle w:val="Heading6"/>
        <w:numPr>
          <w:ilvl w:val="5"/>
          <w:numId w:val="1"/>
        </w:numPr>
        <w:rPr/>
      </w:pPr>
      <w:bookmarkStart w:id="1640" w:name="__RefHeading___Toc3300858_1468164448"/>
      <w:bookmarkStart w:id="1641" w:name="_Toc650"/>
      <w:bookmarkEnd w:id="1640"/>
      <w:r>
        <w:rPr>
          <w:rtl w:val="true"/>
        </w:rPr>
        <w:t>فی جبر الشهرة العملیة</w:t>
      </w:r>
      <w:bookmarkEnd w:id="1641"/>
    </w:p>
    <w:p>
      <w:pPr>
        <w:pStyle w:val="BookText"/>
        <w:rPr/>
      </w:pPr>
      <w:r>
        <w:rPr>
          <w:rFonts w:ascii="IRNazanin" w:hAnsi="IRNazanin" w:eastAsia="IRNazanin"/>
          <w:color w:val="111111"/>
          <w:sz w:val="28"/>
          <w:sz w:val="28"/>
          <w:szCs w:val="28"/>
          <w:rtl w:val="true"/>
          <w:lang w:bidi="fa-IR"/>
        </w:rPr>
        <w:t>الحقّ أن من یبنی علی حجّیة الخبر الموثوق به لابدّ أن یقبل جبر الشهرة خاصة من القدماء؛ لأنّ ممارستهم کانت أولاً وبالذات حدیثیة ولا یعتنون بالتفریع الصناعی، بالإضافة إلی قرب عهدهم سیما مع ما ذکرناه من تخریج صناعی للحجّیة وهو تراکم الإحتمال فإنّ عمل المشهور یوجب الوثوق من غیر تردید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الشهرة العلمیة ذات درجات، منها ما تکون بنفسها جابرة،</w:t>
      </w:r>
      <w:bookmarkStart w:id="1642" w:name="pg16983_381520"/>
    </w:p>
    <w:p>
      <w:pPr>
        <w:pStyle w:val="BookText"/>
        <w:rPr/>
      </w:pPr>
      <w:bookmarkEnd w:id="1642"/>
      <w:r>
        <w:rPr>
          <w:rFonts w:ascii="IRNazanin" w:hAnsi="IRNazanin" w:eastAsia="IRNazanin"/>
          <w:color w:val="111111"/>
          <w:sz w:val="28"/>
          <w:sz w:val="28"/>
          <w:szCs w:val="28"/>
          <w:rtl w:val="true"/>
          <w:lang w:bidi="fa-IR"/>
        </w:rPr>
        <w:t>ومنها ما لا تکون بنفسها جابرة، کما إذا لم نطّلع علی سعة دائرة العمل ولکنه یبقی الإعتداد بهذا العمل المحدود کقرینة من القرائن التی تنفع فی حصول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فکرة الجبر لا تعنی اصولیاً حجّیة الجابر مستقلاً ومنفرداً علی حجّیة خبر الواحد والظهور وإنما هو شبیه بحجّیة المرجّح والموهن فی باب التعارض، مما یکون له دور ودخالة فی الحجّیة بنحو الشرط أو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فرق بین البابین وهو أنّ المرجّح والمانع شرط ومانع فی الحجّیة فی مورد تعارض الحجّتین الإقتضائیتین، أما الجابر والکاسر فهو شرط وعدم مانع بلحاظ الخبر فی نفسه</w:t>
      </w:r>
      <w:r>
        <w:rPr>
          <w:rFonts w:eastAsia="IRNazanin" w:cs="IRNazanin"/>
          <w:color w:val="111111"/>
          <w:sz w:val="28"/>
          <w:szCs w:val="28"/>
          <w:rtl w:val="true"/>
          <w:lang w:bidi="fa-IR"/>
        </w:rPr>
        <w:t>.</w:t>
      </w:r>
    </w:p>
    <w:p>
      <w:pPr>
        <w:pStyle w:val="Heading6"/>
        <w:numPr>
          <w:ilvl w:val="5"/>
          <w:numId w:val="1"/>
        </w:numPr>
        <w:rPr/>
      </w:pPr>
      <w:bookmarkStart w:id="1643" w:name="__RefHeading___Toc3300860_1468164448"/>
      <w:bookmarkStart w:id="1644" w:name="_Toc651"/>
      <w:bookmarkEnd w:id="1643"/>
      <w:r>
        <w:rPr>
          <w:rtl w:val="true"/>
        </w:rPr>
        <w:t xml:space="preserve">المناقشة فی رأی السیّد الخوئی </w:t>
      </w:r>
      <w:r>
        <w:rPr>
          <w:rtl w:val="true"/>
        </w:rPr>
        <w:t>(</w:t>
      </w:r>
      <w:r>
        <w:rPr>
          <w:rtl w:val="true"/>
        </w:rPr>
        <w:t>قدس سره</w:t>
      </w:r>
      <w:r>
        <w:rPr>
          <w:rtl w:val="true"/>
        </w:rPr>
        <w:t>)</w:t>
      </w:r>
      <w:bookmarkEnd w:id="1644"/>
    </w:p>
    <w:p>
      <w:pPr>
        <w:pStyle w:val="BookText"/>
        <w:rPr/>
      </w:pPr>
      <w:r>
        <w:rPr>
          <w:rFonts w:ascii="IRNazanin" w:hAnsi="IRNazanin" w:eastAsia="IRNazanin"/>
          <w:color w:val="111111"/>
          <w:sz w:val="28"/>
          <w:sz w:val="28"/>
          <w:szCs w:val="28"/>
          <w:rtl w:val="true"/>
          <w:lang w:bidi="fa-IR"/>
        </w:rPr>
        <w:t>ومما تقدّم لا معنی للإشکال من مثل السیّد الخوئی علی الشهرة حیث أخذها علی أساس أنها حجّة مستقلة وناقش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مسلک جمع القرائن لتحصیل الوثوق لا یتوخی فیه الإعتداد بالقرینة علی أساس أنها حجّة مستقلة کما لا یتوخی فیه علی کون هذه القرینة قرینة منفردة تضمّ إلی ذی القرینة فتوجب حجّیته وإن کانت قد تکون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دور القرینة أنها تساهم فی تصاعد الإحتمال وتراکمه وازدیاد نسبته فتحقق شرطاً أو ترفع مانعاً عن 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بحجّیة الخبر الموثوق به وحجّیة الإطمئنان شبیه بالإنسداد الذی یعتمد فیه علی تجمیع الظنون وتقدیم الأقوی علی الأضعف ومن ثمّ لا یعتمد علی ظن بمفرده ویبحث فی کلّ الظنون حتی غیر المعتبرة عند من یری انفتاح باب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نلاحظ علی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جبر الشهرة للخبر لیس کشرط وحید یوجب الحجّیة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یلاحظ علیه أیضاً أنه یری حجّیة الإطمئنان وذکر استثناء</w:t>
      </w:r>
      <w:bookmarkStart w:id="1645" w:name="pg16983_381522"/>
    </w:p>
    <w:p>
      <w:pPr>
        <w:pStyle w:val="BookText"/>
        <w:rPr/>
      </w:pPr>
      <w:bookmarkEnd w:id="1645"/>
      <w:r>
        <w:rPr>
          <w:rFonts w:ascii="IRNazanin" w:hAnsi="IRNazanin" w:eastAsia="IRNazanin"/>
          <w:color w:val="111111"/>
          <w:sz w:val="28"/>
          <w:sz w:val="28"/>
          <w:szCs w:val="28"/>
          <w:rtl w:val="true"/>
          <w:lang w:bidi="fa-IR"/>
        </w:rPr>
        <w:t>فی مصباح الأصول فی بحث الشهرة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یوجب الإطمئنان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مثل هذا المبنی لابدّ أن یقبل الشهرة جابرة بمفردها أو کجزء من القرائن التی تنضمّ إلی الخبر وترفع من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الملاحظ فی فقهه یری أنه لم یعتمد الشهرة إلاّ نادراً وفی کثیر من الأحیان یطرحها بصورة التسالم فی حین أنه لا تسالم وإنما 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حجّیة الخبر الموثوق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العملیة للقدماء جابرة للخبر</w:t>
      </w:r>
      <w:r>
        <w:rPr>
          <w:rFonts w:eastAsia="IRNazanin" w:cs="IRNazanin"/>
          <w:color w:val="111111"/>
          <w:sz w:val="28"/>
          <w:szCs w:val="28"/>
          <w:rtl w:val="true"/>
          <w:lang w:bidi="fa-IR"/>
        </w:rPr>
        <w:t>.</w:t>
      </w:r>
    </w:p>
    <w:p>
      <w:pPr>
        <w:pStyle w:val="Heading6"/>
        <w:numPr>
          <w:ilvl w:val="5"/>
          <w:numId w:val="1"/>
        </w:numPr>
        <w:rPr/>
      </w:pPr>
      <w:bookmarkStart w:id="1646" w:name="__RefHeading___Toc3300862_1468164448"/>
      <w:bookmarkStart w:id="1647" w:name="_Toc652"/>
      <w:bookmarkEnd w:id="1646"/>
      <w:r>
        <w:rPr>
          <w:rtl w:val="true"/>
        </w:rPr>
        <w:t>أدلّة جابریة الشهرة وتقییمها</w:t>
      </w:r>
      <w:bookmarkEnd w:id="1647"/>
    </w:p>
    <w:p>
      <w:pPr>
        <w:pStyle w:val="BookText"/>
        <w:rPr/>
      </w:pPr>
      <w:r>
        <w:rPr>
          <w:rFonts w:ascii="IRNazanin" w:hAnsi="IRNazanin" w:eastAsia="IRNazanin"/>
          <w:color w:val="111111"/>
          <w:sz w:val="28"/>
          <w:sz w:val="28"/>
          <w:szCs w:val="28"/>
          <w:rtl w:val="true"/>
          <w:lang w:bidi="fa-IR"/>
        </w:rPr>
        <w:t xml:space="preserve">وقد یستدلّ أیضاً علی جابریة الشهرة بصحیحة عمر بن حنظلة،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حسن بمقدار المتیقن منها وهو أنها مرجّح وشرط الحجّة فی مقام التعارض، ومنه یستأنس جابریة الشهرة بعد أن عرفت تخریج حجّیة الشهرة وأنها لیست حجّیة مستقلة وإنما شرط فهی تخلق مصداقاً للخبر الموثوق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أیضاً بأنّ ضعف الخبر إن کان نتیجة ضعف الراوی ومجهولیته، فعمل القدماء بهذا الخبر یکشف عن توثیق القدماء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دأب بعض الرجالیین لملاحقة هذا النوع من العمل لکاشفیته عن توثیق مثل هؤلاء، ولا یخفی أنّ هذا التخریج ینهینا إلی تصنیف الخبر المنجبر بخبر الثقة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دیدن الرجالیین فی توثیق 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أو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الإکتفاء بمجرّد عمل القدماء بروایة واحدة، وإنما مع تکرار عملهم بروایاته المتعدّدة، ومعه یخرج عن جبر الشهرة ویکون توثیقاً له، مثل ما ورد عن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عملت الطائفة بروایات فلان فإنه وإن أفاد التوثیق إلاّ أنه لیس من باب جبر الشهرة</w:t>
      </w:r>
      <w:r>
        <w:rPr>
          <w:rFonts w:eastAsia="IRNazanin" w:cs="IRNazanin"/>
          <w:color w:val="111111"/>
          <w:sz w:val="28"/>
          <w:szCs w:val="28"/>
          <w:rtl w:val="true"/>
          <w:lang w:bidi="fa-IR"/>
        </w:rPr>
        <w:t>.</w:t>
      </w:r>
      <w:bookmarkStart w:id="1648" w:name="pg16983_381524"/>
    </w:p>
    <w:p>
      <w:pPr>
        <w:pStyle w:val="BookText"/>
        <w:rPr/>
      </w:pPr>
      <w:bookmarkEnd w:id="1648"/>
      <w:r>
        <w:rPr>
          <w:rFonts w:ascii="IRNazanin" w:hAnsi="IRNazanin" w:eastAsia="IRNazanin"/>
          <w:color w:val="111111"/>
          <w:sz w:val="28"/>
          <w:sz w:val="28"/>
          <w:szCs w:val="28"/>
          <w:rtl w:val="true"/>
          <w:lang w:bidi="fa-IR"/>
        </w:rPr>
        <w:t>نعم، لا ینکر أنّ عمل الفقهاء بروایة ضعیفة یشکّل قرینة من قرائن توثیق الراوی، لا أنه توثیق مستقل یکتفی به فی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معنی الجبر یستبطن عدم وثاقة الراوی لا أنه یعنی ضعف الخبر وهو یجبره من باب أنه شرط الحجّیة لا من باب التوثیق للراوی وإلاّ لم یکن الخبر ضعیفاً</w:t>
      </w:r>
      <w:r>
        <w:rPr>
          <w:rFonts w:eastAsia="IRNazanin" w:cs="IRNazanin"/>
          <w:color w:val="111111"/>
          <w:sz w:val="28"/>
          <w:szCs w:val="28"/>
          <w:rtl w:val="true"/>
          <w:lang w:bidi="fa-IR"/>
        </w:rPr>
        <w:t>.</w:t>
      </w:r>
    </w:p>
    <w:p>
      <w:pPr>
        <w:pStyle w:val="Heading6"/>
        <w:numPr>
          <w:ilvl w:val="5"/>
          <w:numId w:val="1"/>
        </w:numPr>
        <w:rPr/>
      </w:pPr>
      <w:bookmarkStart w:id="1649" w:name="__RefHeading___Toc3300864_1468164448"/>
      <w:bookmarkStart w:id="1650" w:name="_Toc653"/>
      <w:bookmarkEnd w:id="1649"/>
      <w:r>
        <w:rPr>
          <w:rtl w:val="true"/>
        </w:rPr>
        <w:t>فی جبر الشهرة الفتوائیة</w:t>
      </w:r>
      <w:bookmarkEnd w:id="1650"/>
    </w:p>
    <w:p>
      <w:pPr>
        <w:pStyle w:val="BookText"/>
        <w:rPr/>
      </w:pPr>
      <w:r>
        <w:rPr>
          <w:rFonts w:ascii="IRNazanin" w:hAnsi="IRNazanin" w:eastAsia="IRNazanin"/>
          <w:color w:val="111111"/>
          <w:sz w:val="28"/>
          <w:sz w:val="28"/>
          <w:szCs w:val="28"/>
          <w:rtl w:val="true"/>
          <w:lang w:bidi="fa-IR"/>
        </w:rPr>
        <w:t>فی الشهرة الفتوائیة حیث إنه لم یُعلَم استناد المشهور فی فتواهم هذا إلی هذا الخبر بخصوصه فهی لیست جابرة بانفرادها وإنما هی قرینة ضعیفة تحتاج إلی ضمّ قرائن أخر حتی یحصل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ومعاناتنا مع الفقهاء القدماء أنّ کثیراً من شهراتهم فتوائیة لا عملیة لعدم وجود کتب استدلالیة عندهم، حیث أنها کتب بین حدیثیة وفتوائیة وقلیلاً مّا توجد کتب استدلالیة</w:t>
      </w:r>
      <w:r>
        <w:rPr>
          <w:rFonts w:eastAsia="IRNazanin" w:cs="IRNazanin"/>
          <w:color w:val="111111"/>
          <w:sz w:val="28"/>
          <w:szCs w:val="28"/>
          <w:rtl w:val="true"/>
          <w:lang w:bidi="fa-IR"/>
        </w:rPr>
        <w:t>.</w:t>
      </w:r>
    </w:p>
    <w:p>
      <w:pPr>
        <w:pStyle w:val="Heading6"/>
        <w:numPr>
          <w:ilvl w:val="5"/>
          <w:numId w:val="1"/>
        </w:numPr>
        <w:rPr/>
      </w:pPr>
      <w:bookmarkStart w:id="1651" w:name="__RefHeading___Toc3300866_1468164448"/>
      <w:bookmarkStart w:id="1652" w:name="_Toc654"/>
      <w:bookmarkEnd w:id="1651"/>
      <w:r>
        <w:rPr>
          <w:rtl w:val="true"/>
        </w:rPr>
        <w:t>إعراض المشهور عن الخبر الصحیح</w:t>
      </w:r>
      <w:bookmarkEnd w:id="1652"/>
    </w:p>
    <w:p>
      <w:pPr>
        <w:pStyle w:val="BookText"/>
        <w:rPr/>
      </w:pPr>
      <w:r>
        <w:rPr>
          <w:rFonts w:ascii="IRNazanin" w:hAnsi="IRNazanin" w:eastAsia="IRNazanin"/>
          <w:color w:val="111111"/>
          <w:sz w:val="28"/>
          <w:sz w:val="28"/>
          <w:szCs w:val="28"/>
          <w:rtl w:val="true"/>
          <w:lang w:bidi="fa-IR"/>
        </w:rPr>
        <w:t>إعراض المشهور عن الخبر الصحیح هل یوجب کسره أو لا؟</w:t>
      </w:r>
    </w:p>
    <w:p>
      <w:pPr>
        <w:pStyle w:val="BookText"/>
        <w:rPr/>
      </w:pPr>
      <w:r>
        <w:rPr>
          <w:rFonts w:ascii="IRNazanin" w:hAnsi="IRNazanin" w:eastAsia="IRNazanin"/>
          <w:color w:val="111111"/>
          <w:sz w:val="28"/>
          <w:sz w:val="28"/>
          <w:szCs w:val="28"/>
          <w:rtl w:val="true"/>
          <w:lang w:bidi="fa-IR"/>
        </w:rPr>
        <w:t xml:space="preserve">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الکسر بعد أن کان یبنی علی حجّیة خبر الثقة ولم یشترط فی حجّیته عدم الظن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الإعراض تارة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أنهم نصّوا علی عدم اعتمادهم علی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فتوائی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أنهم التفتوا لهذا الخبر وأعرضوا عنه، أو التفتوا إلیه ولکن لم یعملوا به لوجود معارض أقوی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والشهرة العملیة المخالفة تضرّ بالخبر الموثوق به؛ لأنها قرینة معاکسة منصبّة علی تمریض صدور الخبر، ومثلها الفتوائیة إلاّ أنها معاکسة بدرجة أقلّ من سابقتها؛ لأنها قد تکون مبتنیة علی نکتة اجتهادیة لا نوافقهم علیها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خبر الثقة فما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الجملة لا بالجملة؛ لأنّ الشهرة قد تصل إلی حدّ قریب من التسالم وفی مثل هذا الحال</w:t>
      </w:r>
      <w:bookmarkStart w:id="1653" w:name="pg16983_381526"/>
    </w:p>
    <w:p>
      <w:pPr>
        <w:pStyle w:val="BookText"/>
        <w:rPr/>
      </w:pPr>
      <w:bookmarkEnd w:id="1653"/>
      <w:r>
        <w:rPr>
          <w:rFonts w:ascii="IRNazanin" w:hAnsi="IRNazanin" w:eastAsia="IRNazanin"/>
          <w:color w:val="111111"/>
          <w:sz w:val="28"/>
          <w:sz w:val="28"/>
          <w:szCs w:val="28"/>
          <w:rtl w:val="true"/>
          <w:lang w:bidi="fa-IR"/>
        </w:rPr>
        <w:t>تنبئ عن وجود خلل صغروی فی سند الخبر</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هذا تمام الحدیث فی جبر الشهرة وکسرها للخبر الموثوق به والثقة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 الشهرة العملیة للخبر الضعیف، بناء علی حجّیة الخبر الموثوق بصدوره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الجبر قد یحصل بها مستقلاً وقد تکون قرینة من بین قرائن أخری لابدّ من توفّرها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الشهرة العملیة تصلح قرینة من قرائن توثیق الراوی ومن ثمّ فهی لیست عدیمة الأثر بناء علی حجّیة خبر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الشهرة العملیة تکسر الخبر الصحیح الذی یکون صغری لحجّیة الخبر الموثوق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الشهرة العملیة العظیمة قد تکشف عن وجود خلل صغروی فی سند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الشهرة الفتوائیة قرینة ضعیفة تساهم إلی جنب القرائن الأخری فی تحصیل الوثوق</w:t>
      </w:r>
      <w:r>
        <w:rPr>
          <w:rFonts w:eastAsia="IRNazanin" w:cs="IRNazanin"/>
          <w:color w:val="111111"/>
          <w:sz w:val="28"/>
          <w:szCs w:val="28"/>
          <w:rtl w:val="true"/>
          <w:lang w:bidi="fa-IR"/>
        </w:rPr>
        <w:t>.</w:t>
      </w:r>
    </w:p>
    <w:p>
      <w:pPr>
        <w:pStyle w:val="Heading6"/>
        <w:numPr>
          <w:ilvl w:val="5"/>
          <w:numId w:val="1"/>
        </w:numPr>
        <w:rPr/>
      </w:pPr>
      <w:bookmarkStart w:id="1654" w:name="__RefHeading___Toc3300868_1468164448"/>
      <w:bookmarkStart w:id="1655" w:name="_Toc655"/>
      <w:bookmarkEnd w:id="1654"/>
      <w:r>
        <w:rPr>
          <w:rtl w:val="true"/>
        </w:rPr>
        <w:t>جبر الدلالة وکسرها بالشهرة</w:t>
      </w:r>
      <w:bookmarkEnd w:id="1655"/>
    </w:p>
    <w:p>
      <w:pPr>
        <w:pStyle w:val="BookText"/>
        <w:rPr/>
      </w:pPr>
      <w:r>
        <w:rPr>
          <w:rFonts w:ascii="IRNazanin" w:hAnsi="IRNazanin" w:eastAsia="IRNazanin"/>
          <w:color w:val="111111"/>
          <w:sz w:val="28"/>
          <w:sz w:val="28"/>
          <w:szCs w:val="28"/>
          <w:rtl w:val="true"/>
          <w:lang w:bidi="fa-IR"/>
        </w:rPr>
        <w:t xml:space="preserve">تارة یرجع الجبر فی الدلالة أو الکسر فیها إلی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کوجود کلمة فی الخبر لیست فی سائر الأخبار، فإنّ مثل هذا الجبر یرجع إلی صدور هذه اللفظة، کذا فی الکسر فإنّ إعراضهم عن العموم قد یرجع إلی صدور تخصیص لم یصل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النوع برجع بحثه إلی السابق</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یکون الجبر والکسر للدلالة وقد تقدّم الحدیث عنه فی</w:t>
      </w:r>
    </w:p>
    <w:p>
      <w:pPr>
        <w:pStyle w:val="BookText"/>
        <w:rPr/>
      </w:pPr>
      <w:r>
        <w:rPr>
          <w:rFonts w:ascii="IRNazanin" w:hAnsi="IRNazanin" w:eastAsia="IRNazanin"/>
          <w:color w:val="111111"/>
          <w:sz w:val="28"/>
          <w:sz w:val="28"/>
          <w:szCs w:val="28"/>
          <w:rtl w:val="true"/>
          <w:lang w:bidi="fa-IR"/>
        </w:rPr>
        <w:t>بحث حجّیة قول اللغوی فلیراجع</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والمائز أنّ التصرف إن کان علی مستوی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إحراز الألفاظ الصادرة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القسم الأول، وإن کان علی مستوی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التفهیمی والکبری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القسم الثانی</w:t>
      </w:r>
      <w:r>
        <w:rPr>
          <w:rFonts w:eastAsia="IRNazanin" w:cs="IRNazanin"/>
          <w:color w:val="111111"/>
          <w:sz w:val="28"/>
          <w:szCs w:val="28"/>
          <w:rtl w:val="true"/>
          <w:lang w:bidi="fa-IR"/>
        </w:rPr>
        <w:t>.</w:t>
      </w:r>
      <w:bookmarkStart w:id="1656" w:name="pg16983_381531"/>
    </w:p>
    <w:p>
      <w:pPr>
        <w:pStyle w:val="Heading5"/>
        <w:numPr>
          <w:ilvl w:val="4"/>
          <w:numId w:val="1"/>
        </w:numPr>
        <w:rPr/>
      </w:pPr>
      <w:bookmarkStart w:id="1657" w:name="__RefHeading___Toc3300870_1468164448"/>
      <w:bookmarkStart w:id="1658" w:name="_Toc656"/>
      <w:bookmarkEnd w:id="1656"/>
      <w:bookmarkEnd w:id="1657"/>
      <w:r>
        <w:rPr>
          <w:rtl w:val="true"/>
        </w:rPr>
        <w:t>التنبیه السادس</w:t>
      </w:r>
      <w:r>
        <w:rPr>
          <w:rtl w:val="true"/>
        </w:rPr>
        <w:t xml:space="preserve">: </w:t>
      </w:r>
      <w:r>
        <w:rPr>
          <w:rtl w:val="true"/>
        </w:rPr>
        <w:t>فی حلّ شبهة الدس فی أخبار الإمامیة</w:t>
      </w:r>
      <w:bookmarkEnd w:id="1658"/>
    </w:p>
    <w:p>
      <w:pPr>
        <w:pStyle w:val="Heading6"/>
        <w:numPr>
          <w:ilvl w:val="5"/>
          <w:numId w:val="1"/>
        </w:numPr>
        <w:rPr/>
      </w:pPr>
      <w:bookmarkStart w:id="1659" w:name="__RefHeading___Toc3300872_1468164448"/>
      <w:bookmarkStart w:id="1660" w:name="_Toc657"/>
      <w:bookmarkEnd w:id="1659"/>
      <w:r>
        <w:rPr>
          <w:rtl w:val="true"/>
        </w:rPr>
        <w:t>اشارة</w:t>
      </w:r>
      <w:bookmarkEnd w:id="1660"/>
    </w:p>
    <w:p>
      <w:pPr>
        <w:pStyle w:val="BookText"/>
        <w:rPr/>
      </w:pPr>
      <w:r>
        <w:rPr>
          <w:rFonts w:ascii="IRNazanin" w:hAnsi="IRNazanin" w:eastAsia="IRNazanin"/>
          <w:color w:val="111111"/>
          <w:sz w:val="28"/>
          <w:sz w:val="28"/>
          <w:szCs w:val="28"/>
          <w:rtl w:val="true"/>
          <w:lang w:bidi="fa-IR"/>
        </w:rPr>
        <w:t xml:space="preserve">وسرّ ذکرها فی ذیل خبر الواحد أنّ مجرّد إثبات الکبریات لا ینفع للأصولی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هناک علم إجمالی بوجود الدس مما یُلزِم الباحث إحراز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التجأ البعض إلی الإنسداد لهذه المشکلة الصغرویة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الأعظم عنون الشبهة وذکر مصادرها وهی روایات مذکورة فی أبواب صفات القاضی تصرّح بوجود الدس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من ذکر الشیخ لهذه الشبهة أنه کان یبنی سابقاً علی هذه الشبهة فی الإنسداد</w:t>
      </w:r>
      <w:r>
        <w:rPr>
          <w:rFonts w:eastAsia="IRNazanin" w:cs="IRNazanin"/>
          <w:color w:val="111111"/>
          <w:sz w:val="28"/>
          <w:szCs w:val="28"/>
          <w:rtl w:val="true"/>
          <w:lang w:bidi="fa-IR"/>
        </w:rPr>
        <w:t>.</w:t>
      </w:r>
    </w:p>
    <w:p>
      <w:pPr>
        <w:pStyle w:val="Heading6"/>
        <w:numPr>
          <w:ilvl w:val="5"/>
          <w:numId w:val="1"/>
        </w:numPr>
        <w:rPr/>
      </w:pPr>
      <w:bookmarkStart w:id="1661" w:name="__RefHeading___Toc3300874_1468164448"/>
      <w:bookmarkStart w:id="1662" w:name="_Toc658"/>
      <w:bookmarkEnd w:id="1661"/>
      <w:r>
        <w:rPr>
          <w:rtl w:val="true"/>
        </w:rPr>
        <w:t>حلّ شبهة الدس</w:t>
      </w:r>
      <w:bookmarkEnd w:id="166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الأخباریین جمعوا قرائن کثیرة متنوعة علی قطعیة ما فی الکتب الأربعة وبعض الکتب الأخری، وهذه الشواهد صالحة لحلّ العلم الإجمالی بالدس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النتیجة هی الحدّ الأدنی لتلک الشواهد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هناک شواهد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ذکره الأخباریون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توصلنا إلی أنّ الأصحاب قاموا بجهد بالغ جداً فی تنقیة الروایات وغربلتها لعدّة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فی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وثانیة فی عهد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فی بدایة الغیبة الصغری ورابعة فی آخر الغیبة الصغری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کانت هذه الغربلة بدعوة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بمراجعة الشواهد یکاد یقطع الإنسان بضیاع بعض الروایات الصحیحة نتیجة تشرّدهم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بالتدبر فی نفس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الشیخ لشبهة الدس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یلحظ أنها مذیّلة بوجود التصفیة وفی فترات تاریخیة متعدّدة، وإنّ الروایات المدسوسة والرواة الکاذبة والکذابة ظاهرة ومعلومة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ومرّة ثانیة نؤکّد علی أنّ إثارتنا لهذا التنبیه مع أنه صغروی ورجالی، إنما هی للتأکید علی أنّ الأخذ بخبر الواحد والعمل به لا یحسم بمجرّد إثبات حجّیته کبرویاً ما لم تعالج هذه الأبعاد الصغرویة فیه</w:t>
      </w:r>
      <w:r>
        <w:rPr>
          <w:rFonts w:eastAsia="IRNazanin" w:cs="IRNazanin"/>
          <w:color w:val="111111"/>
          <w:sz w:val="28"/>
          <w:szCs w:val="28"/>
          <w:rtl w:val="true"/>
          <w:lang w:bidi="fa-IR"/>
        </w:rPr>
        <w:t>.</w:t>
      </w:r>
      <w:bookmarkStart w:id="1663" w:name="pg16983_381534"/>
    </w:p>
    <w:p>
      <w:pPr>
        <w:pStyle w:val="Heading5"/>
        <w:numPr>
          <w:ilvl w:val="4"/>
          <w:numId w:val="1"/>
        </w:numPr>
        <w:rPr/>
      </w:pPr>
      <w:bookmarkStart w:id="1664" w:name="__RefHeading___Toc3300876_1468164448"/>
      <w:bookmarkStart w:id="1665" w:name="_Toc659"/>
      <w:bookmarkEnd w:id="1663"/>
      <w:bookmarkEnd w:id="1664"/>
      <w:r>
        <w:rPr>
          <w:rtl w:val="true"/>
        </w:rPr>
        <w:t>التنبیه السابع</w:t>
      </w:r>
      <w:r>
        <w:rPr>
          <w:rtl w:val="true"/>
        </w:rPr>
        <w:t xml:space="preserve">: </w:t>
      </w:r>
      <w:r>
        <w:rPr>
          <w:rtl w:val="true"/>
        </w:rPr>
        <w:t>فی ضرورة معرفة اصطلاحات علم الحدیث</w:t>
      </w:r>
      <w:bookmarkEnd w:id="1665"/>
    </w:p>
    <w:p>
      <w:pPr>
        <w:pStyle w:val="Heading6"/>
        <w:numPr>
          <w:ilvl w:val="5"/>
          <w:numId w:val="1"/>
        </w:numPr>
        <w:rPr/>
      </w:pPr>
      <w:bookmarkStart w:id="1666" w:name="__RefHeading___Toc3300878_1468164448"/>
      <w:bookmarkStart w:id="1667" w:name="_Toc660"/>
      <w:bookmarkEnd w:id="1666"/>
      <w:r>
        <w:rPr>
          <w:rtl w:val="true"/>
        </w:rPr>
        <w:t>اشارة</w:t>
      </w:r>
      <w:bookmarkEnd w:id="1667"/>
    </w:p>
    <w:p>
      <w:pPr>
        <w:pStyle w:val="BookText"/>
        <w:rPr/>
      </w:pPr>
      <w:r>
        <w:rPr>
          <w:rFonts w:ascii="IRNazanin" w:hAnsi="IRNazanin" w:eastAsia="IRNazanin"/>
          <w:color w:val="111111"/>
          <w:sz w:val="28"/>
          <w:sz w:val="28"/>
          <w:szCs w:val="28"/>
          <w:rtl w:val="true"/>
          <w:lang w:bidi="fa-IR"/>
        </w:rPr>
        <w:t xml:space="preserve">إنّ من الضروری معرفة تقسیمات الحدیث فی علم الدرایة، فإنّ لها دوراً فی معرفة الصغریات المعتبرة لخبر الواحد؛ إذ کثیر من الشبهات التی نلحظها فی الوسط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الثقافی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الغفلة عن تلک الأقسام</w:t>
      </w:r>
      <w:r>
        <w:rPr>
          <w:rFonts w:eastAsia="IRNazanin" w:cs="IRNazanin"/>
          <w:color w:val="111111"/>
          <w:sz w:val="28"/>
          <w:szCs w:val="28"/>
          <w:rtl w:val="true"/>
          <w:lang w:bidi="fa-IR"/>
        </w:rPr>
        <w:t>.</w:t>
      </w:r>
    </w:p>
    <w:p>
      <w:pPr>
        <w:pStyle w:val="Heading6"/>
        <w:numPr>
          <w:ilvl w:val="5"/>
          <w:numId w:val="1"/>
        </w:numPr>
        <w:rPr/>
      </w:pPr>
      <w:bookmarkStart w:id="1668" w:name="__RefHeading___Toc3300880_1468164448"/>
      <w:bookmarkStart w:id="1669" w:name="_Toc661"/>
      <w:bookmarkEnd w:id="1668"/>
      <w:r>
        <w:rPr>
          <w:rtl w:val="true"/>
        </w:rPr>
        <w:t>الضعیف والمدسوس</w:t>
      </w:r>
      <w:bookmarkEnd w:id="1669"/>
    </w:p>
    <w:p>
      <w:pPr>
        <w:pStyle w:val="BookText"/>
        <w:rPr/>
      </w:pPr>
      <w:r>
        <w:rPr>
          <w:rFonts w:ascii="IRNazanin" w:hAnsi="IRNazanin" w:eastAsia="IRNazanin"/>
          <w:color w:val="111111"/>
          <w:sz w:val="28"/>
          <w:sz w:val="28"/>
          <w:szCs w:val="28"/>
          <w:rtl w:val="true"/>
          <w:lang w:bidi="fa-IR"/>
        </w:rPr>
        <w:t xml:space="preserve">فمثلاً الضعیف بالمعنی الأخص یقابل کلاً من الخبر المعتبر و المدلّس ، فی حین تصوّر البعض أنه فی قبال المعتبر فقط، مع أنّ الضعیف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للمدلّس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یقع فی قبال الخبر المعتبر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الآخر أفرط وجعل الضعیف مساویاً للمدلّس ، وهذا خطأ فاحش؛ لأنّ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لم تتوفّر فیه شرائط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غالباً یرجع إلی عدم إحرازنا للوثاقة کما فی المهمل والمجهول والمرسل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فی بعض الموارد یکون الراوی فاقداً لشرائط الحجّیة کالضبط ولکن لا یعنی ذلک أنه کذب فی هذه الروایة، بل حتی لو صرّح أنه کذّاب وأنه أکذب البریة أو وضّاع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لیس المدسوس من وصف الراوی بأنه کذّاب وإنما قامت قرائن علی أنه خبر موضوع فیحکم علیه أنه مدسوس، وأما فیما عدا ذلک فإنه لا یوجب أکثر من التوقف فی روایته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الضعیف بالمعنی الأخص لا یعنی المدسوس وإنما یقابله ویقابل المعتبر ، وکذا الضعیف بالمعنی الأعمّ لا یساوی المدسوس وإنما یشمله، وأنّ المدسوس لا یعنی أکثر من خبرٍ حکم علیه بالدس لوجود القرائن، وإلاّ صرف کذب الراوی لا یلزم کون روایته هذه مدسوسة؛ إذ الکاذب قد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وصفه بالکذب یوجب التوقف فی روایته</w:t>
      </w:r>
      <w:r>
        <w:rPr>
          <w:rFonts w:eastAsia="IRNazanin" w:cs="IRNazanin"/>
          <w:color w:val="111111"/>
          <w:sz w:val="28"/>
          <w:szCs w:val="28"/>
          <w:rtl w:val="true"/>
          <w:lang w:bidi="fa-IR"/>
        </w:rPr>
        <w:t>.</w:t>
      </w:r>
      <w:bookmarkStart w:id="1670" w:name="pg16983_381536"/>
    </w:p>
    <w:p>
      <w:pPr>
        <w:pStyle w:val="Heading6"/>
        <w:numPr>
          <w:ilvl w:val="5"/>
          <w:numId w:val="1"/>
        </w:numPr>
        <w:rPr/>
      </w:pPr>
      <w:bookmarkStart w:id="1671" w:name="__RefHeading___Toc3300882_1468164448"/>
      <w:bookmarkStart w:id="1672" w:name="_Toc662"/>
      <w:bookmarkEnd w:id="1670"/>
      <w:bookmarkEnd w:id="1671"/>
      <w:r>
        <w:rPr>
          <w:rtl w:val="true"/>
        </w:rPr>
        <w:t>الصحیح والمعتبر</w:t>
      </w:r>
      <w:bookmarkEnd w:id="1672"/>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الصحیح عند المتأخرین یختلف عن الصحیح عند القدماء وقد غفل عنه الکثیر من الأکابر، فإنه فی اصطلاح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المعتبر ، وفی اصطلاح المتأخرین یعنی العدل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وإن کنّا نقرّ الفرق إلاّ أنه لا نقبل الفارق الذی ذکره البهائی، بل هو الذی أوجب الغفلة عند الأخباریین حیث قالوا بصحة روایات الکتب الأربعة واعتبارها لشهادة مؤلفیها أنهم لم یذکروا فیها إلاّ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المحقّق النائینی حیث جزم بصحة روایات کتاب الکافی، لشهادة الکلینی بصحته، وأوجب ذهاب السیّد الخوئی إلی صحة روایات کامل الزیارات وتفسیر علی بن ابراهیم؛ لأنهم صرّحوا بصحة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أننا بالتتبع ورصد القرائن وجدنا أنّ اصطلاح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الأکثر استعمالاً وإن استعملوه قلیلاً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الخبر الخالی من شبهة الدس فضلاً عن الحکم به، فیشمل کلاً من المعتبر و الضعیف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جاء الإصطلاح بهذا الشکل لقیام الطائفة بعملیة الغربلة والتنقیة للروایات، فاصطلحت علی ما تبقی بالصحیح أی الخالی من شبهة الدس والتدلیس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نوّهنا سابقاً إلی أنّ غالب استعمال القدماء للضعیف إنما هو الضعیف فی الجانب العلمی لا العملی</w:t>
      </w:r>
      <w:r>
        <w:rPr>
          <w:rFonts w:eastAsia="IRNazanin" w:cs="IRNazanin"/>
          <w:color w:val="111111"/>
          <w:sz w:val="28"/>
          <w:szCs w:val="28"/>
          <w:rtl w:val="true"/>
          <w:lang w:bidi="fa-IR"/>
        </w:rPr>
        <w:t>.</w:t>
      </w:r>
    </w:p>
    <w:p>
      <w:pPr>
        <w:pStyle w:val="Heading6"/>
        <w:numPr>
          <w:ilvl w:val="5"/>
          <w:numId w:val="1"/>
        </w:numPr>
        <w:rPr/>
      </w:pPr>
      <w:bookmarkStart w:id="1673" w:name="__RefHeading___Toc3300884_1468164448"/>
      <w:bookmarkStart w:id="1674" w:name="_Toc663"/>
      <w:bookmarkEnd w:id="1673"/>
      <w:r>
        <w:rPr>
          <w:rtl w:val="true"/>
        </w:rPr>
        <w:t>الرؤیة المجموعیة</w:t>
      </w:r>
      <w:bookmarkEnd w:id="167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المنهج الصحیح هو التعامل مع الروایات برؤیة مجموعیة، فی حین دأب البعض العکس حیث یقیم کلّ روایة علی حدة، والحال أنّ التواتر والإستفاضة والوثوق ولید الرؤیة المجموعیة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والإختلاف فی ضابطة التواتر والإستفاضة لا یعنی إهمال هذه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النظرة الآحادیة لم تخص الطریق وإنما تسرّبت إلی الدلالة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الإهتمام بالرؤیة المجموعیة بعد دراسة کلّ روایة روایة علی حدة ولکن بعدها لابدّ من عطف النظر إلی ملاحظتها ککلّ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والتواتر کما یعتمد علی الجانب الکمی والکیفی لابدّ من الإلتفات إلی عدم انحصاره باللفظی وإنما قد یکون تواتراً معنویاً وقد یکون إجمالیاً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ابتکره صاحب الکفایة واختلف الأعلام فی تفسیره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واختلاف الروایات والطرق حسب صفات الراوی بدیهی، فالمجهول له أقسام والمرسل له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معنی لمعاملة کلّ ضعیف علی أساس أنه فی منتهی الضعف؛ إذ من الضعیف ما یکاد أن یکون معتبراً بل نجدهم یعتنون حتی بتقسیم المعتبر إلی درجات ولیس ذلک إلاّ بُغیة فتح الطریق أمام التواتر والمستفیض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تقدّم یتضح هشاشة المقولات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ومدی الجنایة فیها علی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شأن مثل المستدرک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جمیع روایات المستدرک والکثیر من البحار ضعیف، فلا ینفعان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تبلور أنها تنفع فی تحصیل التوثیق والإستفاضة والتواتر بأقسامه، ولکن الغفلة نشأت من الرؤیة والتعامل الآحادی التجزیئی مع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صار سبباً فی صدور مثل هذه المقولات وسبباً فی إهمال الکثیر من الروایات، دعوی أنها ضعیفة، فکان ذلک وراء تضییع کثیر من الحقائق وخفاء جملة من الأحکام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ویتضح أیضاً أنّ عدم اعتماد الفلاسفة والمتکلّمین علی النقل فی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فساد إطلاق المبنی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إذ الخوض فی النقل ضرورة، لأنّ من لم یمنع التعبد الفقهی یمکنه تحصیله من التواتر المفید للقطع، فکما أنه یتوخّی العلم من</w:t>
      </w:r>
    </w:p>
    <w:p>
      <w:pPr>
        <w:pStyle w:val="BookText"/>
        <w:rPr/>
      </w:pPr>
      <w:r>
        <w:rPr>
          <w:rFonts w:ascii="IRNazanin" w:hAnsi="IRNazanin" w:eastAsia="IRNazanin"/>
          <w:color w:val="111111"/>
          <w:sz w:val="28"/>
          <w:sz w:val="28"/>
          <w:szCs w:val="28"/>
          <w:rtl w:val="true"/>
          <w:lang w:bidi="fa-IR"/>
        </w:rPr>
        <w:t>الأدلّة العقلیة القطعیة کذا لابدّ أن یتوخّاه من النقل بالأولویة، مع الإلتفات إلی أنّ التواتر المعنوی یحتاج إلی مهارة وتضلّع فی الروایات وفقهها خاصة وأنّ بعض المفادات ربما لا تکون مصنفة فی نفس الباب أو تحتاج إلی عارضة فقهیة قویة وإحاطة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مَن منع التعبد الفقهی فإنّ التواتر ینفع فی کونه وسطاً برهانیاً فلابدّ من التضلّع فی النقل من أجل الوصول إلی معارفهم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حتی لو لم نقبل فکرة الوسطیة، فإنّ ترتیب المقدّمات فی البرهان لا یتمّ إلاّ بعد الفحص والتنقیب واستفراغ الوسع واستقراء کافة الإحتمالات، وهو لا یتمّ إلاّ بمراجعة النقل حتی الضعیف فإنه علی الأقلّ یعطی صورة احتمالیة فی البحث، ربما تغیّر من منحاه أو توسّع له أفقه وتُلفِتُه إلی زوایا أو أدلّة جدیدة فی المسألة</w:t>
      </w:r>
      <w:r>
        <w:rPr>
          <w:rFonts w:eastAsia="IRNazanin" w:cs="IRNazanin"/>
          <w:color w:val="111111"/>
          <w:sz w:val="28"/>
          <w:szCs w:val="28"/>
          <w:rtl w:val="true"/>
          <w:lang w:bidi="fa-IR"/>
        </w:rPr>
        <w:t>.</w:t>
      </w:r>
      <w:bookmarkStart w:id="1675" w:name="pg16983_381543"/>
    </w:p>
    <w:p>
      <w:pPr>
        <w:pStyle w:val="Heading5"/>
        <w:numPr>
          <w:ilvl w:val="4"/>
          <w:numId w:val="1"/>
        </w:numPr>
        <w:rPr/>
      </w:pPr>
      <w:bookmarkStart w:id="1676" w:name="__RefHeading___Toc3300886_1468164448"/>
      <w:bookmarkStart w:id="1677" w:name="_Toc664"/>
      <w:bookmarkEnd w:id="1675"/>
      <w:bookmarkEnd w:id="1676"/>
      <w:r>
        <w:rPr>
          <w:rtl w:val="true"/>
        </w:rPr>
        <w:t>التنبیه الثامن</w:t>
      </w:r>
      <w:r>
        <w:rPr>
          <w:rtl w:val="true"/>
        </w:rPr>
        <w:t xml:space="preserve">: </w:t>
      </w:r>
      <w:r>
        <w:rPr>
          <w:rtl w:val="true"/>
        </w:rPr>
        <w:t>أدلة حجّیة الخبر هل تشمل الجانب العلمی أیضاً؟</w:t>
      </w:r>
      <w:bookmarkEnd w:id="1677"/>
    </w:p>
    <w:p>
      <w:pPr>
        <w:pStyle w:val="BookText"/>
        <w:rPr/>
      </w:pPr>
      <w:r>
        <w:rPr>
          <w:rFonts w:ascii="IRNazanin" w:hAnsi="IRNazanin" w:eastAsia="IRNazanin"/>
          <w:color w:val="111111"/>
          <w:sz w:val="28"/>
          <w:sz w:val="28"/>
          <w:szCs w:val="28"/>
          <w:rtl w:val="true"/>
          <w:lang w:bidi="fa-IR"/>
        </w:rPr>
        <w:t>إنّ مطابقة خبر الواحد للواقع یخضع 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العملیة کالعدل والصدق فی الراوی، والصفات العلمیة کالضبط والثبت وخبرته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المسلّم تکفُّلُ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للجانب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کعدالة الراوی وصدقه ووثاقته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الجانب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کخبرویته وضبطه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الأدلّة تشمله أو لا؟ فهذا تساؤل أثاره الشیخ عبدالکریم الحائری والمیرزا الآشتیانی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توثیقات الرجالیین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أنهم لا یکتفون بالجانب العملی کوثاقة الراوی بل یردفونه بالجانب العلمی کضبطه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بحدّ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منها</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وإثبات حجّیة الخبر فی الجانب العلمی بالأدلّة المتقدّمة ینفع فی مجال التمسک بالإطلاق بخلاف ما لو ثبتناه بالسیرة فإنها دلیل لبی لا إطلاق فیه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بالمقابل إنّ الحجّیة إذا کانت بالبناء العقلائی فلا یقتصر فی الترجیح بالصفات العملیة فی باب التعارض علی خصوص ما ورد فی الروایات وإنما کلّ الصفات العلمیة ستکون مرجّحات وما ورد فی الروایات مجرّد أمثلة تشیر إلی البناء العقلائی العام، وأما إذا کانت الحجّیة تأسیسیة فیقتصر علی الصفات الواردة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حدا بنا لإثارة هذا 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ذکرناه فی مطلع البحث عن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بُعد صغروی فیه وهی إنّ کثیراً من المتأخرین أغفلوا الجانب العلمی فی الراوی واقتصروا علی الصفات العملیة، مع أنّ علماء الرجال آنذاک کانوا یتحرکون علی المحورین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العلم ومحور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جاءت تقییماتهم علی شکلین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مرتبط بالصفات العلمیة وآخر بالصفات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دقّقنا مثلاً فی الطعن الرجالی علی سهل بن زیاد نلحظ أنه مرتبط بخلل فی الرجل فی صفاته العلمیة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الحاجة إلی أصالة الضبط إنما نحتاجها فی حالة الشک فی صورة المتن أو السند وهی محددوة بالقیاس إلی الصفات العملیة، فإنّ الشک دوماً موجود فی وثاقة الراوی وصدقه مما یجعلنا بحاجة مستمرة إلی التوثیق</w:t>
      </w:r>
      <w:r>
        <w:rPr>
          <w:rFonts w:eastAsia="IRNazanin" w:cs="IRNazanin"/>
          <w:color w:val="111111"/>
          <w:sz w:val="28"/>
          <w:szCs w:val="28"/>
          <w:rtl w:val="true"/>
          <w:lang w:bidi="fa-IR"/>
        </w:rPr>
        <w:t>.</w:t>
      </w:r>
      <w:bookmarkStart w:id="1678" w:name="pg16983_381549"/>
    </w:p>
    <w:p>
      <w:pPr>
        <w:pStyle w:val="Heading3"/>
        <w:numPr>
          <w:ilvl w:val="2"/>
          <w:numId w:val="1"/>
        </w:numPr>
        <w:rPr/>
      </w:pPr>
      <w:bookmarkStart w:id="1679" w:name="__RefHeading___Toc3300888_1468164448"/>
      <w:bookmarkStart w:id="1680" w:name="_Toc665"/>
      <w:bookmarkEnd w:id="1678"/>
      <w:bookmarkEnd w:id="1679"/>
      <w:r>
        <w:rPr/>
        <w:t>7</w:t>
      </w:r>
      <w:r>
        <w:rPr>
          <w:rtl w:val="true"/>
        </w:rPr>
        <w:t xml:space="preserve"> . </w:t>
      </w:r>
      <w:r>
        <w:rPr>
          <w:rtl w:val="true"/>
        </w:rPr>
        <w:t>حجّیة الظن المطلق</w:t>
      </w:r>
      <w:bookmarkEnd w:id="168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1" w:name="__RefHeading___Toc3300890_1468164448"/>
      <w:bookmarkStart w:id="1682" w:name="_Toc666"/>
      <w:bookmarkEnd w:id="1681"/>
      <w:r>
        <w:rPr>
          <w:rtl w:val="true"/>
        </w:rPr>
        <w:t>اشارة</w:t>
      </w:r>
      <w:bookmarkStart w:id="1683" w:name="pg16983_381553"/>
      <w:bookmarkEnd w:id="1682"/>
    </w:p>
    <w:p>
      <w:pPr>
        <w:pStyle w:val="BookText"/>
        <w:rPr/>
      </w:pPr>
      <w:bookmarkEnd w:id="1683"/>
      <w:r>
        <w:rPr>
          <w:rFonts w:ascii="IRNazanin" w:hAnsi="IRNazanin" w:eastAsia="IRNazanin"/>
          <w:color w:val="111111"/>
          <w:sz w:val="28"/>
          <w:sz w:val="28"/>
          <w:szCs w:val="28"/>
          <w:rtl w:val="true"/>
          <w:lang w:bidi="fa-IR"/>
        </w:rPr>
        <w:t xml:space="preserve">إنّ هذا البحث هو البحث فی البدیل عن الحجج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تمامیة أدلّتها وعدم ثبوت 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تلک الحال ننتهی إلی حجّیة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وبالتأمل فی کلمات القدماء نجد أنهم لا یریدون حجّیة مطلق ظن المجتهد کیفما حصل وإنما الظن الحاصل من مناشئ وموازین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فهذا البحث لکلّ من بنی علی حجّیة الظنون الخاصة تعلیقی فرضی، ولکن من الضروری الوقوف عنده لوجود فوائد عامة مهمة فی هذا البحث</w:t>
      </w:r>
      <w:r>
        <w:rPr>
          <w:rFonts w:eastAsia="IRNazanin" w:cs="IRNazanin"/>
          <w:color w:val="111111"/>
          <w:sz w:val="28"/>
          <w:szCs w:val="28"/>
          <w:rtl w:val="true"/>
          <w:lang w:bidi="fa-IR"/>
        </w:rPr>
        <w:t>.</w:t>
      </w:r>
    </w:p>
    <w:p>
      <w:pPr>
        <w:pStyle w:val="Heading4"/>
        <w:numPr>
          <w:ilvl w:val="3"/>
          <w:numId w:val="1"/>
        </w:numPr>
        <w:rPr/>
      </w:pPr>
      <w:bookmarkStart w:id="1684" w:name="__RefHeading___Toc3300892_1468164448"/>
      <w:bookmarkStart w:id="1685" w:name="_Toc667"/>
      <w:bookmarkEnd w:id="1684"/>
      <w:r>
        <w:rPr>
          <w:rtl w:val="true"/>
        </w:rPr>
        <w:t>من فوائد هذا البحث</w:t>
      </w:r>
      <w:bookmarkEnd w:id="1685"/>
    </w:p>
    <w:p>
      <w:pPr>
        <w:pStyle w:val="BookText"/>
        <w:rPr/>
      </w:pPr>
      <w:r>
        <w:rPr>
          <w:rFonts w:ascii="IRNazanin" w:hAnsi="IRNazanin" w:eastAsia="IRNazanin"/>
          <w:color w:val="111111"/>
          <w:sz w:val="28"/>
          <w:sz w:val="28"/>
          <w:szCs w:val="28"/>
          <w:rtl w:val="true"/>
          <w:lang w:bidi="fa-IR"/>
        </w:rPr>
        <w:t xml:space="preserve">التمییز بین الحکم الأصولی والحکم الفقهی جاء بصورة رائعة فی کلمات المحقّق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صوّر الحکم الأصولی محرزاً للحکم الفقهی وکاشفاً عنه وناظراً إلیه، بینما الحکم الفقهی یفقد خاصیة الإحراز حیث یتعلّق بالفعل لیس أکثر</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البحث عن الظن المطلق وخاصة فی دلیل الإنسداد تثار نکتة أروع تُوسِّعُ من مساحة الحکم الأصولی وتُعمّمه إلی المحرز للحکم الأصولی أو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عبّرنا عنه بترامی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جریان الإستصحاب فی الحکم الأصولی، وملاک الأقوائیة فی ترجیح الظن الأقوی علی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هذه اللفتة فی کلماتهم بصیاغات متعدّدة من قبیل الظن علی الظن</w:t>
      </w:r>
      <w:r>
        <w:rPr>
          <w:rFonts w:eastAsia="IRNazanin" w:cs="IRNazanin"/>
          <w:color w:val="111111"/>
          <w:sz w:val="28"/>
          <w:szCs w:val="28"/>
          <w:rtl w:val="true"/>
          <w:lang w:bidi="fa-IR"/>
        </w:rPr>
        <w:t>.</w:t>
      </w:r>
      <w:bookmarkStart w:id="1686" w:name="pg16983_381555"/>
    </w:p>
    <w:p>
      <w:pPr>
        <w:pStyle w:val="Heading4"/>
        <w:numPr>
          <w:ilvl w:val="3"/>
          <w:numId w:val="1"/>
        </w:numPr>
        <w:rPr/>
      </w:pPr>
      <w:bookmarkStart w:id="1687" w:name="__RefHeading___Toc3300894_1468164448"/>
      <w:bookmarkStart w:id="1688" w:name="_Toc668"/>
      <w:bookmarkEnd w:id="1686"/>
      <w:bookmarkEnd w:id="1687"/>
      <w:r>
        <w:rPr/>
        <w:t>1</w:t>
      </w:r>
      <w:r>
        <w:rPr>
          <w:rtl w:val="true"/>
        </w:rPr>
        <w:t xml:space="preserve"> . </w:t>
      </w:r>
      <w:r>
        <w:rPr>
          <w:rtl w:val="true"/>
        </w:rPr>
        <w:t>أدلّة حجّیة الظن المطلق</w:t>
      </w:r>
      <w:bookmarkEnd w:id="1688"/>
    </w:p>
    <w:p>
      <w:pPr>
        <w:pStyle w:val="Heading5"/>
        <w:numPr>
          <w:ilvl w:val="4"/>
          <w:numId w:val="1"/>
        </w:numPr>
        <w:rPr/>
      </w:pPr>
      <w:bookmarkStart w:id="1689" w:name="__RefHeading___Toc3300896_1468164448"/>
      <w:bookmarkStart w:id="1690" w:name="_Toc669"/>
      <w:bookmarkEnd w:id="1689"/>
      <w:r>
        <w:rPr>
          <w:rtl w:val="true"/>
        </w:rPr>
        <w:t>اشارة</w:t>
      </w:r>
      <w:bookmarkEnd w:id="1690"/>
    </w:p>
    <w:p>
      <w:pPr>
        <w:pStyle w:val="BookText"/>
        <w:rPr/>
      </w:pPr>
      <w:r>
        <w:rPr>
          <w:rFonts w:ascii="IRNazanin" w:hAnsi="IRNazanin" w:eastAsia="IRNazanin"/>
          <w:color w:val="111111"/>
          <w:sz w:val="28"/>
          <w:sz w:val="28"/>
          <w:szCs w:val="28"/>
          <w:rtl w:val="true"/>
          <w:lang w:bidi="fa-IR"/>
        </w:rPr>
        <w:t>الأعلام قد بذلوا غایة جهدهم فی تنقیح هذا البحث فأقاموا علی حجّیة الظن المطلق دلائل، رابعها هو المعروف بدلیل الإنسداد وسنقف عنده طویلاً بعد استعراض سریع لسائر الأدلّة</w:t>
      </w:r>
      <w:r>
        <w:rPr>
          <w:rFonts w:eastAsia="IRNazanin" w:cs="IRNazanin"/>
          <w:color w:val="111111"/>
          <w:sz w:val="28"/>
          <w:szCs w:val="28"/>
          <w:rtl w:val="true"/>
          <w:lang w:bidi="fa-IR"/>
        </w:rPr>
        <w:t>.</w:t>
      </w:r>
    </w:p>
    <w:p>
      <w:pPr>
        <w:pStyle w:val="Heading5"/>
        <w:numPr>
          <w:ilvl w:val="4"/>
          <w:numId w:val="1"/>
        </w:numPr>
        <w:rPr/>
      </w:pPr>
      <w:bookmarkStart w:id="1691" w:name="__RefHeading___Toc3300898_1468164448"/>
      <w:bookmarkStart w:id="1692" w:name="_Toc670"/>
      <w:bookmarkEnd w:id="1691"/>
      <w:r>
        <w:rPr>
          <w:rtl w:val="true"/>
        </w:rPr>
        <w:t>الدلیل الأول</w:t>
      </w:r>
      <w:r>
        <w:rPr>
          <w:rtl w:val="true"/>
        </w:rPr>
        <w:t xml:space="preserve">: </w:t>
      </w:r>
      <w:r>
        <w:rPr>
          <w:rtl w:val="true"/>
        </w:rPr>
        <w:t>وجوب دفع الضرر المحتمل</w:t>
      </w:r>
      <w:bookmarkEnd w:id="1692"/>
    </w:p>
    <w:p>
      <w:pPr>
        <w:pStyle w:val="Heading6"/>
        <w:numPr>
          <w:ilvl w:val="5"/>
          <w:numId w:val="1"/>
        </w:numPr>
        <w:rPr/>
      </w:pPr>
      <w:bookmarkStart w:id="1693" w:name="__RefHeading___Toc3300900_1468164448"/>
      <w:bookmarkStart w:id="1694" w:name="_Toc671"/>
      <w:bookmarkEnd w:id="1693"/>
      <w:r>
        <w:rPr>
          <w:rtl w:val="true"/>
        </w:rPr>
        <w:t>اشارة</w:t>
      </w:r>
      <w:bookmarkEnd w:id="1694"/>
    </w:p>
    <w:p>
      <w:pPr>
        <w:pStyle w:val="BookText"/>
        <w:rPr/>
      </w:pPr>
      <w:r>
        <w:rPr>
          <w:rFonts w:ascii="IRNazanin" w:hAnsi="IRNazanin" w:eastAsia="IRNazanin"/>
          <w:color w:val="111111"/>
          <w:sz w:val="28"/>
          <w:sz w:val="28"/>
          <w:szCs w:val="28"/>
          <w:rtl w:val="true"/>
          <w:lang w:bidi="fa-IR"/>
        </w:rPr>
        <w:t>وهو دلیل قیّم یستدلّ به فی العقائد وفی بحث الإجتهاد والتقلید وفیما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تقریبه أنّ مخالفة المجتهد لما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الوجوبی أو التحریمی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للضرر، ودفع الضرر المظنون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الصغری فلأنّ الظن بوجوب شیء أو حرمته یلازم الظن بالعقوبة علی مخالفته أو الظن بالمفسدة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تبعیة الأحکام للمصالح والمفاسد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الکبری فلاستقلال العقل بدفع الضرر المظنون</w:t>
      </w:r>
      <w:r>
        <w:rPr>
          <w:rFonts w:eastAsia="IRNazanin" w:cs="IRNazanin"/>
          <w:color w:val="111111"/>
          <w:sz w:val="28"/>
          <w:szCs w:val="28"/>
          <w:rtl w:val="true"/>
          <w:lang w:bidi="fa-IR"/>
        </w:rPr>
        <w:t>.</w:t>
      </w:r>
    </w:p>
    <w:p>
      <w:pPr>
        <w:pStyle w:val="Heading6"/>
        <w:numPr>
          <w:ilvl w:val="5"/>
          <w:numId w:val="1"/>
        </w:numPr>
        <w:rPr/>
      </w:pPr>
      <w:bookmarkStart w:id="1695" w:name="__RefHeading___Toc3300902_1468164448"/>
      <w:bookmarkStart w:id="1696" w:name="_Toc672"/>
      <w:bookmarkEnd w:id="1695"/>
      <w:r>
        <w:rPr>
          <w:rtl w:val="true"/>
        </w:rPr>
        <w:t>التحقیق فی الظن بالعقوبة الأخرویة</w:t>
      </w:r>
      <w:bookmarkEnd w:id="1696"/>
    </w:p>
    <w:p>
      <w:pPr>
        <w:pStyle w:val="BookText"/>
        <w:rPr/>
      </w:pPr>
      <w:r>
        <w:rPr>
          <w:rFonts w:ascii="IRNazanin" w:hAnsi="IRNazanin" w:eastAsia="IRNazanin"/>
          <w:color w:val="111111"/>
          <w:sz w:val="28"/>
          <w:sz w:val="28"/>
          <w:szCs w:val="28"/>
          <w:rtl w:val="true"/>
          <w:lang w:bidi="fa-IR"/>
        </w:rPr>
        <w:t xml:space="preserve">وقد علّق صاحب الکفایة علی الکبری بأنها لا تعتمد علی التحسین والتقبیح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تخیله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عدم انحصار ملاک حکمه بهما فتوجد أدلّة أخری کالضرورة الفطریة والطبعیة الغریزیة التی یشترک فیها الإنسان والحیوان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فالکبری مسلّمة، ولکن إلی حدٍّ مّا حیث ناقش السیّد الخوئی فی إطلاقها حیث لا یسلّم الکبری فی الضرر الدنیوی فی الجملة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علّق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بحث حساس بوّابة للبحث فی 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الملازمة بین الظن بالحکم والظن بالعقوبة الأخرویة ممنوعة، فإنّ صرف الظن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منجّزاً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ینتهی إلی الظن بالعقوبة، وإنما الملازمة بین خصوص معصیته واستحقاق العقوبة علیها، لا بین مطلق المخالفة</w:t>
      </w:r>
      <w:bookmarkStart w:id="1697" w:name="pg16983_381557"/>
    </w:p>
    <w:p>
      <w:pPr>
        <w:pStyle w:val="BookText"/>
        <w:rPr/>
      </w:pPr>
      <w:bookmarkEnd w:id="1697"/>
      <w:r>
        <w:rPr>
          <w:rFonts w:ascii="IRNazanin" w:hAnsi="IRNazanin" w:eastAsia="IRNazanin"/>
          <w:color w:val="111111"/>
          <w:sz w:val="28"/>
          <w:sz w:val="28"/>
          <w:szCs w:val="28"/>
          <w:rtl w:val="true"/>
          <w:lang w:bidi="fa-IR"/>
        </w:rPr>
        <w:t>والعقوبة بنفسها، وبمجرد الظن به بدون دلیل علی اعتباره لا یتنجّز به کی یکون مخالفته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یتراجع صاحب الکفایة عن هذه الملاحظة بأنّ الظن بالحکم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الشک فی العقوبة، فتتحقق صغری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 المجتهد وإن لم تثبت حجّیته ولا منجّزیته إلاّ بعد إحراز الصغری، ولکن لم یقم دلیل أیضاً علی عدم الحکم الواقعی ومن ثمّ سنشک فی العقوبة لعدم المؤمّن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الأعلام قبلوا إشکال صاحب الکفایة وناقشوه فی تراجعه بأنّ مع وجود البراءة العقلیة لا یشک فی العقوبة</w:t>
      </w:r>
      <w:r>
        <w:rPr>
          <w:rFonts w:eastAsia="IRNazanin" w:cs="IRNazanin"/>
          <w:color w:val="111111"/>
          <w:sz w:val="28"/>
          <w:szCs w:val="28"/>
          <w:rtl w:val="true"/>
          <w:lang w:bidi="fa-IR"/>
        </w:rPr>
        <w:t>.</w:t>
      </w:r>
    </w:p>
    <w:p>
      <w:pPr>
        <w:pStyle w:val="Heading6"/>
        <w:numPr>
          <w:ilvl w:val="5"/>
          <w:numId w:val="1"/>
        </w:numPr>
        <w:rPr/>
      </w:pPr>
      <w:bookmarkStart w:id="1698" w:name="__RefHeading___Toc3300904_1468164448"/>
      <w:bookmarkStart w:id="1699" w:name="_Toc673"/>
      <w:bookmarkEnd w:id="1698"/>
      <w:r>
        <w:rPr>
          <w:rtl w:val="true"/>
        </w:rPr>
        <w:t>التحقیق فی المسألة</w:t>
      </w:r>
      <w:bookmarkEnd w:id="1699"/>
    </w:p>
    <w:p>
      <w:pPr>
        <w:pStyle w:val="BookText"/>
        <w:rPr/>
      </w:pPr>
      <w:r>
        <w:rPr>
          <w:rFonts w:ascii="IRNazanin" w:hAnsi="IRNazanin" w:eastAsia="IRNazanin"/>
          <w:color w:val="111111"/>
          <w:sz w:val="28"/>
          <w:sz w:val="28"/>
          <w:szCs w:val="28"/>
          <w:rtl w:val="true"/>
          <w:lang w:bidi="fa-IR"/>
        </w:rPr>
        <w:t>ولتحقیق الحقّ نلفت الإنتباه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جملة من الأعلام لا یقبل البراءة العقلیة ونحن أیضاً نمنع البراءة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بدلیل یختلف عن دلیل المحقّق الإصفهانی والصدر، بدعوی أنّ حقیقتها عقلائیة ترجع إلی العقلیة ولم یعمّمها العقلاء إلی التقنین الشرعی، فلابدّ من براءة شرعیة وإلاّ فالإحتیاط، والتفاصیل لاحقاً فی بحث البراءة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فیبقی تراجع صاحب الکفایة علی حاله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فرض فقدان الأدلّة الخاصة و وصول النوبة إلی الدلیل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بعض أدلّتها قرآنیة وصریحة فی عموم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المعقول التمسک بالبراءة العقلیة أو الشرعیة؟ لأنّ المفروض وجود شریعة معلومة یعدم موضوع البراءة العقلیة والشرعیة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باب منجّزیة العلم الإجمالی، بل نتمسک بالعلم الذی هو موضوع لا بمحموله الذی هو المنجّزیة</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وهذا هو سرّ مقولة صاحب الکفایة من أنه لا دلیل علی عدم الشک، ولکن لابدّ من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قیّدنا نفی العلم لموضوع البراءة عموماً وإجمالاً، وذلک للتنویه علی أنه إذا امتثلت الأحکام المثبتة وانحلّ العلم الإجمالی لا یبقی علم بوجود شریعة فلا ینعدم موضوع البراءة فیمکن التمسک بها فی الباقی حیث یکون الشک فیه بدویاً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صوّر الأعلامُ البرائةَ فی ردّ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هناک تدافعاً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یصوَّر ورود الأولی علی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بیان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الثانیة علی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البیان هو العلم</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 للحلّ من دون جزم، وإن کان الأعلام لا یبنون عملاً علی التعارض اعتماداً علی التسالم وما شابه، ومعه کیف قدّموا البراءة بضرس قاطع ولم یعکسوا؟ وعلی الأقلّ کان المفروض أن یترددوا بعد أن لم یکن هناک وجه قاطع للتقدیم</w:t>
      </w:r>
      <w:r>
        <w:rPr>
          <w:rFonts w:eastAsia="IRNazanin" w:cs="IRNazanin"/>
          <w:color w:val="111111"/>
          <w:sz w:val="28"/>
          <w:szCs w:val="28"/>
          <w:rtl w:val="true"/>
          <w:lang w:bidi="fa-IR"/>
        </w:rPr>
        <w:t>.</w:t>
      </w:r>
      <w:r>
        <w:rPr>
          <w:rStyle w:val="FootnoteAnchor"/>
          <w:rtl w:val="true"/>
        </w:rPr>
        <w:footnoteReference w:id="260"/>
      </w:r>
      <w:bookmarkStart w:id="1700" w:name="pg16983_381561"/>
    </w:p>
    <w:p>
      <w:pPr>
        <w:pStyle w:val="BookText"/>
        <w:rPr/>
      </w:pPr>
      <w:bookmarkEnd w:id="1700"/>
      <w:r>
        <w:rPr>
          <w:rFonts w:ascii="IRNazanin" w:hAnsi="IRNazanin" w:eastAsia="IRNazanin"/>
          <w:color w:val="111111"/>
          <w:sz w:val="28"/>
          <w:sz w:val="28"/>
          <w:szCs w:val="28"/>
          <w:rtl w:val="true"/>
          <w:lang w:bidi="fa-IR"/>
        </w:rPr>
        <w:t>فتبلور أنّ غایة ما یثبت بهذا الدلیل هو مقدّمة من مقدّمات الإنسداد فلا یثبت حجّیة الظن المطلق من دون ضمّ باقی مقدّمات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القاعدة تثبت ضرورة تجنّب الضرر المحتمل فینتج ضرورة الإحتیاط فی غالب الفروع لا الظن المطلق، فلابدّ من إبطال الإحتیاط وسائر الطرق الأخری کالأصول العملیة المثبتة وتقلید من قال بالإنفتاح حتی تصل إلی حجّیة الظن المطلق، وهذا هو دلیل الإنسداد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والغریب من الأعلام الخدشة فی هذا الدلیل مع أنهم یقبلوه دلیلاً علی مقدّمة من مقدّمات الإنسداد کما سیأتی</w:t>
      </w:r>
      <w:r>
        <w:rPr>
          <w:rFonts w:eastAsia="IRNazanin" w:cs="IRNazanin"/>
          <w:color w:val="111111"/>
          <w:sz w:val="28"/>
          <w:szCs w:val="28"/>
          <w:rtl w:val="true"/>
          <w:lang w:bidi="fa-IR"/>
        </w:rPr>
        <w:t>.</w:t>
      </w:r>
    </w:p>
    <w:p>
      <w:pPr>
        <w:pStyle w:val="Heading6"/>
        <w:numPr>
          <w:ilvl w:val="5"/>
          <w:numId w:val="1"/>
        </w:numPr>
        <w:rPr/>
      </w:pPr>
      <w:bookmarkStart w:id="1701" w:name="__RefHeading___Toc3300906_1468164448"/>
      <w:bookmarkStart w:id="1702" w:name="_Toc674"/>
      <w:bookmarkEnd w:id="1701"/>
      <w:r>
        <w:rPr>
          <w:rtl w:val="true"/>
        </w:rPr>
        <w:t>التحقیق فی الضرر الدنیوی</w:t>
      </w:r>
      <w:bookmarkEnd w:id="1702"/>
    </w:p>
    <w:p>
      <w:pPr>
        <w:pStyle w:val="BookText"/>
        <w:rPr/>
      </w:pPr>
      <w:r>
        <w:rPr>
          <w:rFonts w:ascii="IRNazanin" w:hAnsi="IRNazanin" w:eastAsia="IRNazanin"/>
          <w:color w:val="111111"/>
          <w:sz w:val="28"/>
          <w:sz w:val="28"/>
          <w:szCs w:val="28"/>
          <w:rtl w:val="true"/>
          <w:lang w:bidi="fa-IR"/>
        </w:rPr>
        <w:t xml:space="preserve">وأما الضرر الدنیوی فقد علّق صاحب الکفایة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بأنا وإن لم نکن أشعریة ولکن لیس شرطاً أن تکون المصلحة فی المتعلّق؛ إذ قد تکون فی التشریع ومن ثمّ لا ملازمة بین الظن بالحکم والظن بالضرر الدنیوی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أنه لو سلّمنا انحصار المصلحة فی المتعلّق</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نسلّم أنّ فی تفویت مصلحة الأحکام الوجوبیة مفسدةً، ولا</w:t>
      </w:r>
      <w:bookmarkStart w:id="1703" w:name="pg16983_381563"/>
    </w:p>
    <w:p>
      <w:pPr>
        <w:pStyle w:val="BookText"/>
        <w:rPr/>
      </w:pPr>
      <w:bookmarkEnd w:id="1703"/>
      <w:r>
        <w:rPr>
          <w:rFonts w:ascii="IRNazanin" w:hAnsi="IRNazanin" w:eastAsia="IRNazanin"/>
          <w:color w:val="111111"/>
          <w:sz w:val="28"/>
          <w:sz w:val="28"/>
          <w:szCs w:val="28"/>
          <w:rtl w:val="true"/>
          <w:lang w:bidi="fa-IR"/>
        </w:rPr>
        <w:t>نسلّم أنّ ارتکاب الضرر الدنیوی والمفسدة فی الأحکام التحریمیة محرّم مطلقاً؛ إذ الضرر الذی یجب اجتنابه هو الضرر البالغ أو الإجتماعی النظامی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تابع الأعلامُ صاحبَ الکفایة فی إشکالاته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الإشکال الأول أنّ غالب التشریعات مصالحها ومفاسدها فی متعلّقاتها؛ لأنّ الدلیل العقلی والنقلی علی إبطال مدّعی الأشاعرة یقتضی بنفسه کونها فی المتعلّقات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الإشکال الثانی أنّ التشریعات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وجوبیة أم تحریمیة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ترتّب علیها الضرر الإجتماعی إلاّ أنه یعود فی الأخیر إلی الفرد ولو بوسائط، بل مع عدم عوده إلی الفرد إلاّ أنّ الإضرار بالمجتمع أیضاً حرام عقلاً ونقلاً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سیأتی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حرمة الإضرار بالنفس وبالغیر کما علیه المشهور مطلقاً، لا مرتبة منه کما ذکر الآخوند والسیّد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Heading6"/>
        <w:numPr>
          <w:ilvl w:val="5"/>
          <w:numId w:val="1"/>
        </w:numPr>
        <w:rPr/>
      </w:pPr>
      <w:bookmarkStart w:id="1704" w:name="__RefHeading___Toc3300908_1468164448"/>
      <w:bookmarkStart w:id="1705" w:name="_Toc675"/>
      <w:bookmarkEnd w:id="1704"/>
      <w:r>
        <w:rPr>
          <w:rtl w:val="true"/>
        </w:rPr>
        <w:t>تفویت المصلحة هل هو ضرر؟</w:t>
      </w:r>
      <w:bookmarkEnd w:id="1705"/>
    </w:p>
    <w:p>
      <w:pPr>
        <w:pStyle w:val="BookText"/>
        <w:rPr/>
      </w:pPr>
      <w:r>
        <w:rPr>
          <w:rFonts w:ascii="IRNazanin" w:hAnsi="IRNazanin" w:eastAsia="IRNazanin"/>
          <w:color w:val="111111"/>
          <w:sz w:val="28"/>
          <w:sz w:val="28"/>
          <w:szCs w:val="28"/>
          <w:rtl w:val="true"/>
          <w:lang w:bidi="fa-IR"/>
        </w:rPr>
        <w:t>وأما کون تفویت المصلحة ضرراً، فهو یرجع إلی أنّ التشریع الإلهی هل یتکفل إسعاد الفرد فی الدنیا والآخرة معاً أو فی الآخرة فقط؟ والتمرّد علی التشریع هل یسبّب شقاوة الإنسان فی الدنیا أیضاً أو فی الآخرة فقط؟</w:t>
      </w:r>
    </w:p>
    <w:p>
      <w:pPr>
        <w:pStyle w:val="BookText"/>
        <w:rPr/>
      </w:pPr>
      <w:r>
        <w:rPr>
          <w:rFonts w:ascii="IRNazanin" w:hAnsi="IRNazanin" w:eastAsia="IRNazanin"/>
          <w:color w:val="111111"/>
          <w:sz w:val="28"/>
          <w:sz w:val="28"/>
          <w:szCs w:val="28"/>
          <w:rtl w:val="true"/>
          <w:lang w:bidi="fa-IR"/>
        </w:rPr>
        <w:t xml:space="preserve">وعندما ندقّق فی کلام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شرطیة وجود المصلحة فی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نلحظ أنه یری أنّ التشریع یهتمّ بعمارة الآخرة دون الدنیا إلاّ أنّ المعروف تقسیم التشریع إلی عبادات ثمّ ما یرتبط بعلاقة الإنسان بمجتمعه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الأول أثبتت الأدلّة وجود مصالح تبعیة تعود علی المجتمع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دلّ الدلیل علی أنّ مصلحتها فی متعلّقاتها، وأنّ التشریع فیها یؤمّن سعادة الإنسان فی</w:t>
      </w:r>
      <w:bookmarkStart w:id="1706" w:name="pg16983_381565"/>
    </w:p>
    <w:p>
      <w:pPr>
        <w:pStyle w:val="BookText"/>
        <w:rPr/>
      </w:pPr>
      <w:bookmarkEnd w:id="1706"/>
      <w:r>
        <w:rPr>
          <w:rFonts w:ascii="IRNazanin" w:hAnsi="IRNazanin" w:eastAsia="IRNazanin"/>
          <w:color w:val="111111"/>
          <w:sz w:val="28"/>
          <w:sz w:val="28"/>
          <w:szCs w:val="28"/>
          <w:rtl w:val="true"/>
          <w:lang w:bidi="fa-IR"/>
        </w:rPr>
        <w:t>دنیاه وآخرته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هذا التقریب للملازمة تامّ فی نفسه إلاّ أنه کسابقه لا ینتج لنا إلاّ مقدّمة من مقدّمات الإنسداد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الحدیث فی الکبری والصغری وإن جاء بطابع أصولی، إلاّ أنّ الوجه الآخر للبحث أو خلفیة البحث عقائدیة؛ حیث إنّ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تاماً فی نفسه علی صعید الکبری والصغری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بیاناً لضرورة الدین والتشریع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لیس البحث فی الضرر الدنیوی بما هو ضرر دنیوی بحت لا صلة له بالأحکام الشرعیة کالضرر المحتمل من مواجهة حیوان مفترس فیبحث عن حرمته، وإنما یصبّ مصبّ الضرر الأخروی فی صالح ضرورة الدین والشریعة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الإستفادة من هذا الدلیل أصولیاً ینتج لنا نتیجة إثباتیة وهی ضرورة الإلتزام بالتشریع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الدلیل یثبت لنا أنّ الدین والشریعة ضرورة بشریة حیث لا تستغنی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الضرورة غیر الضرورة عنه وإن فعل التشریع مفروض صدوره عنه تعالی وإن کان یترتب وجود الدین علیها إلاّ أنّ الحیثیة مختلفة</w:t>
      </w:r>
      <w:r>
        <w:rPr>
          <w:rFonts w:eastAsia="IRNazanin" w:cs="IRNazanin"/>
          <w:color w:val="111111"/>
          <w:sz w:val="28"/>
          <w:szCs w:val="28"/>
          <w:rtl w:val="true"/>
          <w:lang w:bidi="fa-IR"/>
        </w:rPr>
        <w:t>.</w:t>
      </w:r>
    </w:p>
    <w:p>
      <w:pPr>
        <w:pStyle w:val="Heading5"/>
        <w:numPr>
          <w:ilvl w:val="4"/>
          <w:numId w:val="1"/>
        </w:numPr>
        <w:rPr/>
      </w:pPr>
      <w:bookmarkStart w:id="1707" w:name="__RefHeading___Toc3300910_1468164448"/>
      <w:bookmarkStart w:id="1708" w:name="_Toc676"/>
      <w:bookmarkEnd w:id="1707"/>
      <w:r>
        <w:rPr>
          <w:rtl w:val="true"/>
        </w:rPr>
        <w:t>الدلیل الثانی</w:t>
      </w:r>
      <w:r>
        <w:rPr>
          <w:rtl w:val="true"/>
        </w:rPr>
        <w:t xml:space="preserve">: </w:t>
      </w:r>
      <w:r>
        <w:rPr>
          <w:rtl w:val="true"/>
        </w:rPr>
        <w:t>رجحان العمل بالظن</w:t>
      </w:r>
      <w:bookmarkEnd w:id="1708"/>
    </w:p>
    <w:p>
      <w:pPr>
        <w:pStyle w:val="BookText"/>
        <w:rPr/>
      </w:pPr>
      <w:r>
        <w:rPr>
          <w:rFonts w:ascii="IRNazanin" w:hAnsi="IRNazanin" w:eastAsia="IRNazanin"/>
          <w:color w:val="111111"/>
          <w:sz w:val="28"/>
          <w:sz w:val="28"/>
          <w:szCs w:val="28"/>
          <w:rtl w:val="true"/>
          <w:lang w:bidi="fa-IR"/>
        </w:rPr>
        <w:t>إنّ العمل بالظن عمل بالراجح وترکه عمل بالمرجوح وهو مما یقبحه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وبالإلتفات إلی هذا الدلیل یتضح أنه یثبت مقدّمة من مقدّمات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المقدّمة الخامسة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ویؤاخذ علیه أنه لم یثبت ضرورة الأخذ بالظن إذ لم یثبت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العلم بوجود أحکام شرعیة إلزامیة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لم یثبت المقدّمات الأخری حتی تصل النوبة إلی المقدّمة الخامسة</w:t>
      </w:r>
      <w:r>
        <w:rPr>
          <w:rFonts w:eastAsia="IRNazanin" w:cs="IRNazanin"/>
          <w:color w:val="111111"/>
          <w:sz w:val="28"/>
          <w:szCs w:val="28"/>
          <w:rtl w:val="true"/>
          <w:lang w:bidi="fa-IR"/>
        </w:rPr>
        <w:t>.</w:t>
      </w:r>
    </w:p>
    <w:p>
      <w:pPr>
        <w:pStyle w:val="Heading5"/>
        <w:numPr>
          <w:ilvl w:val="4"/>
          <w:numId w:val="1"/>
        </w:numPr>
        <w:rPr/>
      </w:pPr>
      <w:bookmarkStart w:id="1709" w:name="__RefHeading___Toc3300912_1468164448"/>
      <w:bookmarkStart w:id="1710" w:name="_Toc677"/>
      <w:bookmarkEnd w:id="1709"/>
      <w:r>
        <w:rPr>
          <w:rtl w:val="true"/>
        </w:rPr>
        <w:t>الدلیل الثالث</w:t>
      </w:r>
      <w:r>
        <w:rPr>
          <w:rtl w:val="true"/>
        </w:rPr>
        <w:t xml:space="preserve">: </w:t>
      </w:r>
      <w:r>
        <w:rPr>
          <w:rtl w:val="true"/>
        </w:rPr>
        <w:t>ما ذکره صاحب الریاض</w:t>
      </w:r>
      <w:bookmarkEnd w:id="171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وجود أحکام إلزامیة فی الشریعة یلزم امتثالها</w:t>
      </w:r>
      <w:bookmarkStart w:id="1711" w:name="pg16983_381567"/>
    </w:p>
    <w:p>
      <w:pPr>
        <w:pStyle w:val="BookText"/>
        <w:rPr/>
      </w:pPr>
      <w:bookmarkEnd w:id="1711"/>
      <w:r>
        <w:rPr>
          <w:rFonts w:ascii="IRNazanin" w:hAnsi="IRNazanin" w:eastAsia="IRNazanin"/>
          <w:color w:val="111111"/>
          <w:sz w:val="28"/>
          <w:sz w:val="28"/>
          <w:szCs w:val="28"/>
          <w:rtl w:val="true"/>
          <w:lang w:bidi="fa-IR"/>
        </w:rPr>
        <w:t xml:space="preserve">والإحتیاط المطلق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مقتضی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یعارض قاعدة العسر والحرج المنفیین فی الشریعة، فالجمع بین حکم العقل بالإحتیاط ودلیل نفی العسر والحرج هو الأخذ بالمظنونات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 أنه کسابقه لا یثبت أکثر من مقدّمة من مقدّمات دلیل الإنسداد، مضافاً إلی أنّ ما ذکره لا یوصل إلی حجّیة الظن؛ لأنّ مقتضی الجمع هو الإحتیاط فی المظنونات، وهو غیر حجّیة الظن بما أنه طریق معتبر، فإنّ الإختلاف بینهما جوهریاً وعلی صعید الآثار کما سیتضح فی دلیل الإنسداد، کما أنه لم یبیّن سرّ عدم جریان الأصول العملیة المثبتة والمفرّغة</w:t>
      </w:r>
      <w:r>
        <w:rPr>
          <w:rFonts w:eastAsia="IRNazanin" w:cs="IRNazanin"/>
          <w:color w:val="111111"/>
          <w:sz w:val="28"/>
          <w:szCs w:val="28"/>
          <w:rtl w:val="true"/>
          <w:lang w:bidi="fa-IR"/>
        </w:rPr>
        <w:t>.</w:t>
      </w:r>
    </w:p>
    <w:p>
      <w:pPr>
        <w:pStyle w:val="Heading5"/>
        <w:numPr>
          <w:ilvl w:val="4"/>
          <w:numId w:val="1"/>
        </w:numPr>
        <w:rPr/>
      </w:pPr>
      <w:bookmarkStart w:id="1712" w:name="__RefHeading___Toc3300914_1468164448"/>
      <w:bookmarkStart w:id="1713" w:name="_Toc678"/>
      <w:bookmarkEnd w:id="1712"/>
      <w:r>
        <w:rPr>
          <w:rtl w:val="true"/>
        </w:rPr>
        <w:t>الدلیل الرابع</w:t>
      </w:r>
      <w:r>
        <w:rPr>
          <w:rtl w:val="true"/>
        </w:rPr>
        <w:t xml:space="preserve">: </w:t>
      </w:r>
      <w:r>
        <w:rPr>
          <w:rtl w:val="true"/>
        </w:rPr>
        <w:t>دلیل الإنسداد</w:t>
      </w:r>
      <w:bookmarkEnd w:id="1713"/>
    </w:p>
    <w:p>
      <w:pPr>
        <w:pStyle w:val="BookText"/>
        <w:rPr/>
      </w:pPr>
      <w:r>
        <w:rPr>
          <w:rFonts w:ascii="IRNazanin" w:hAnsi="IRNazanin" w:eastAsia="IRNazanin"/>
          <w:color w:val="111111"/>
          <w:sz w:val="28"/>
          <w:sz w:val="28"/>
          <w:szCs w:val="28"/>
          <w:rtl w:val="true"/>
          <w:lang w:bidi="fa-IR"/>
        </w:rPr>
        <w:t xml:space="preserve">مقدّمة فی بیان أهمیة دلیل الإنسداد وبیان عموم فائدته وأنه لا یتلخص بحدود ما استفید منه فی بحث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حجّیة 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واحدة من صغریاته وجزئیاته وتطبیقاته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وإن اخترنا حجّیة الظنون الخاصة إلاّ أنّ ذلک لا یمنع عن الحدیث فی دلیل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 لحجّیة 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لوجود عدّة فوائد تترتب علیه،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دلیل أصولی إضافی مع لحاظ أنّ دیدن أساطین الفن عدم الإکتفاء بدلیل واحد فی المسألة سیما إذا کانت من المسائل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والجذر المنطقی لهذه العادة أنّ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صحّة کلّ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زوایا مختلفة للواقع، مما یفتح مجالاً لفرضیات أمتن وأکثر 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خطأ بعض الأدلّة أو صوابه فی نفسه إلاّ أنه لا یثبت المطلوب ففائدة تعدّد الأدلّة تتجلی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دلیل الإنسداد صار سدّاً ومانعاً عن کثیر من الشبهات المعاصرة التی استهدفت التراث، فإنا لو سلّمنا جدلاً بما ذکر من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فإنها لا تنتج رفع الید عن الدین والأخذ بالطرق المعهودة</w:t>
      </w:r>
    </w:p>
    <w:p>
      <w:pPr>
        <w:pStyle w:val="BookText"/>
        <w:rPr/>
      </w:pPr>
      <w:r>
        <w:rPr>
          <w:rFonts w:ascii="IRNazanin" w:hAnsi="IRNazanin" w:eastAsia="IRNazanin"/>
          <w:color w:val="111111"/>
          <w:sz w:val="28"/>
          <w:sz w:val="28"/>
          <w:szCs w:val="28"/>
          <w:rtl w:val="true"/>
          <w:lang w:bidi="fa-IR"/>
        </w:rPr>
        <w:t>وإنما تنتج الإنسداد فحجّیة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منّا عرض مجموعة من هذه الشبهات فی بحث الظهور، التی حاولت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قصد أو لا عن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الطرق المعهودة فی عملیة استنباط الحکم الشرعی، وقد أجبنا عنها، ولکن نضیف هنا أنّ تلک الطروحات لو تمت لا تنتج حجّیة الإجتهاد الشخصی وتصویب کلّ الآراء؛ لأنّ النوبة تصل إلی الإنسداد المنتج لحجّیة الظن المطلق، بعد الإلتفات إلی أنّ المراد به الظن النوعی لا الشخصی، ومن ثمّ یبقی الإستنباط منوطاً بالنوع وبالتراث الذی خلّفه السلف وبالطرق التی شیّدها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کلّ هذه الفائدة فأهمیة بحث الإنسداد أوسع من ذلک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وبیانه یتمّ عبر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الشارع کما لم یستحدث لغة لسانیة خاصة به فی خطابه مع الآخرین، کذا لم یستحدث لغة قانونیة خاصة به وإنما جری علی ما هو مرتکز قبل الإسلام، ومن ثمّ الخصوصیات والأقسام والأحکام الموجودة فی قانون الإسلام موجودة بعینها فی لغة القانون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یعنی ذلک أنّ الشارع أمضی کلّ القضایا القانونیة، وإنما المفردات التصوریة القانونیة هی التی جری علیها الشارع، وأما علی المستوی التصدیقی فقد یمضی وقد یردع، بل قد یغیّر بعض المفردات التصوریة کما فی الحقیقة الشرعیة والصحیح والأعمّ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جری فی کلمات الأعلام من التعبیر بالسیرة العقلائیة ودیدن العقلاء وبنائهم وارتکازهم یقصد منه التقنین العقلائی الذی فشی وانتشر وشاع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فالسیرة صفة عرضیة للتقنین، ومراد الأعلام من السیرة هو الموصوف الذی اتصف بهذا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لابدّ أن تلحظ السیرة کقانون لا کعادة مسترسلة غیر منضبطة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لابدّ حینئذ أن لا ینظر إلی بناءات العقلاء بشکل مجزّء ومبعثر وإنما لابدّ من دراستها ککلّ لمعرفة تناسبتها وتسلسلاتها الهرمیة؛ لأنّ القانون عبارة عن منظومة متکاملة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اتضح أنّ السیرة قانون والقانون شریعة ومنظومة، وأنّ الشارع لم یستحدث لغة جدیدة علی صعید القانون وبموجب ما ذکرنا فی نقطة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یظهر أنّ تنظیم العلاقة بین المنظومتین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والعقلائیة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علی اشتراک البنیة التحتیة والحجر الأساس لها وهو الأحکام العقلیة النظریة والعملیة البدیهیة، وأیضاً أنّ المنظومة الشرعیة فی طول المنظومة العقلائیة وناظرة لها، حیث لم ینسخ الشارع شریعة العقلاء وإنما أقرّها مع تهذیب وإضافة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وعلاقة ثالثة بینهما هی الإنسداد، فإنه یشکّل رابطاً بین التقنینین العقلائی والشرعی حیث أنه یوصلنا إلی إمضاء الشارع لتقنین العقلاء فی موارد متعدّدة التی منها 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الحکم ونظم القضاء العقلائیة، فإنّ الإنسداد یلعب دوراً فی الکشف عن مطابقة الشارع وإمضائه لهذه القوانین شریطة عدم اصطدامها مع العمومات الشرعیة الواردة فی مجال الحکم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الإبتدائی حیث کانت واحدة من 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أقامها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المؤمنین العدول، فإنّ الإنسداد وسیط فی إمضاء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النسب والأوقاف وغیرهما التی ورد فیها النص، إلاّ أنّ عدّة من الفقهاء اعتبروا مدرک العمل بالظن والشیاع فیها هو الإنسداد الذی یکشف عن إمضاء الشارع لموازین العقلاء وأنّ الروایة تقریر وإمضاء لا 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إقامة الحکم حیث یستدلّ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الظنون الرجالیة، حیث أثبتوا حجّیة الموازین العقلائیة بالإنسداد الصغیر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وإنّ کثیراً من سجالات الأعلام فی هذه الحالات وغیرها لیس</w:t>
      </w:r>
    </w:p>
    <w:p>
      <w:pPr>
        <w:pStyle w:val="BookText"/>
        <w:rPr/>
      </w:pPr>
      <w:r>
        <w:rPr>
          <w:rFonts w:ascii="IRNazanin" w:hAnsi="IRNazanin" w:eastAsia="IRNazanin"/>
          <w:color w:val="111111"/>
          <w:sz w:val="28"/>
          <w:sz w:val="28"/>
          <w:szCs w:val="28"/>
          <w:rtl w:val="true"/>
          <w:lang w:bidi="fa-IR"/>
        </w:rPr>
        <w:t>فی حجّیة الإنسداد وعدمه وإنما فی أنّ مقدّمات الإنسداد هل هی متوفّرة أو لا؟ وفی کیفیة صیاغة مقدّمات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أکثر وضوحاً إنّ الإنسداد هو ضابطة لمعرفة الإمضاء الشرعی فی مجالات تقنینیة عقلائیة متعدّدة ولا یخص الظن ویتبلور ذلک أکثر عند مطالعة مقدّماته، ولکن الأعلام فی عرضهم للمقدّمات خلطوها بصغری مورد الظن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سنعرض لهذه المقدّمات بشکل سریع ثمّ نأخذ بفرزها وتقشیرها عن الصغری لیتبلور کبرویة دلیل الإنسداد</w:t>
      </w:r>
      <w:r>
        <w:rPr>
          <w:rFonts w:eastAsia="IRNazanin" w:cs="IRNazanin"/>
          <w:color w:val="111111"/>
          <w:sz w:val="28"/>
          <w:szCs w:val="28"/>
          <w:rtl w:val="true"/>
          <w:lang w:bidi="fa-IR"/>
        </w:rPr>
        <w:t>.</w:t>
      </w:r>
      <w:bookmarkStart w:id="1714" w:name="pg16983_381575"/>
    </w:p>
    <w:p>
      <w:pPr>
        <w:pStyle w:val="Heading4"/>
        <w:numPr>
          <w:ilvl w:val="3"/>
          <w:numId w:val="1"/>
        </w:numPr>
        <w:rPr/>
      </w:pPr>
      <w:bookmarkStart w:id="1715" w:name="__RefHeading___Toc3300916_1468164448"/>
      <w:bookmarkStart w:id="1716" w:name="_Toc679"/>
      <w:bookmarkEnd w:id="1714"/>
      <w:bookmarkEnd w:id="1715"/>
      <w:r>
        <w:rPr/>
        <w:t>2</w:t>
      </w:r>
      <w:r>
        <w:rPr>
          <w:rtl w:val="true"/>
        </w:rPr>
        <w:t xml:space="preserve"> . </w:t>
      </w:r>
      <w:r>
        <w:rPr>
          <w:rtl w:val="true"/>
        </w:rPr>
        <w:t>مقدّمات دلیل الإنسداد</w:t>
      </w:r>
      <w:bookmarkEnd w:id="1716"/>
    </w:p>
    <w:p>
      <w:pPr>
        <w:pStyle w:val="Heading5"/>
        <w:numPr>
          <w:ilvl w:val="4"/>
          <w:numId w:val="1"/>
        </w:numPr>
        <w:rPr/>
      </w:pPr>
      <w:bookmarkStart w:id="1717" w:name="__RefHeading___Toc3300918_1468164448"/>
      <w:bookmarkStart w:id="1718" w:name="_Toc680"/>
      <w:bookmarkEnd w:id="1717"/>
      <w:r>
        <w:rPr>
          <w:rtl w:val="true"/>
        </w:rPr>
        <w:t>اشارة</w:t>
      </w:r>
      <w:bookmarkEnd w:id="1718"/>
    </w:p>
    <w:p>
      <w:pPr>
        <w:pStyle w:val="BookText"/>
        <w:rPr/>
      </w:pPr>
      <w:r>
        <w:rPr>
          <w:rFonts w:ascii="IRNazanin" w:hAnsi="IRNazanin" w:eastAsia="IRNazanin"/>
          <w:color w:val="111111"/>
          <w:sz w:val="28"/>
          <w:sz w:val="28"/>
          <w:szCs w:val="28"/>
          <w:rtl w:val="true"/>
          <w:lang w:bidi="fa-IR"/>
        </w:rPr>
        <w:t>یتشکّل دلیل الإنسداد من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علماً بالشریعة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 والعلمی إلی معظم أحکام الشریعة منسدّ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بالشریعة منجّز عقلاً، وقد یعبّر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أنّ الشارع لا یرضی بترک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الإحتیاط التام والبراءة الشرعیة والعقلیة والأصول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المثبتة والنافیة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وتقلید من یری الإنفتاح کلّها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الأخذ بالظن أو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یحکم بلزوم ترجیح الراجح علی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ینتج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أو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الإحتیاط 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العرض السریع نأخذ بعملیة الفرز والتقشیر کی نصل إلی مقدّمات الإنسداد الکبروی</w:t>
      </w:r>
      <w:r>
        <w:rPr>
          <w:rFonts w:eastAsia="IRNazanin" w:cs="IRNazanin"/>
          <w:color w:val="111111"/>
          <w:sz w:val="28"/>
          <w:szCs w:val="28"/>
          <w:rtl w:val="true"/>
          <w:lang w:bidi="fa-IR"/>
        </w:rPr>
        <w:t>.</w:t>
      </w:r>
    </w:p>
    <w:p>
      <w:pPr>
        <w:pStyle w:val="Heading5"/>
        <w:numPr>
          <w:ilvl w:val="4"/>
          <w:numId w:val="1"/>
        </w:numPr>
        <w:rPr/>
      </w:pPr>
      <w:bookmarkStart w:id="1719" w:name="__RefHeading___Toc3300920_1468164448"/>
      <w:bookmarkStart w:id="1720" w:name="_Toc681"/>
      <w:bookmarkEnd w:id="1719"/>
      <w:r>
        <w:rPr>
          <w:rtl w:val="true"/>
        </w:rPr>
        <w:t>ترمیم المقدّمات</w:t>
      </w:r>
      <w:bookmarkEnd w:id="1720"/>
    </w:p>
    <w:p>
      <w:pPr>
        <w:pStyle w:val="BookText"/>
        <w:rPr/>
      </w:pPr>
      <w:r>
        <w:rPr>
          <w:rFonts w:ascii="IRNazanin" w:hAnsi="IRNazanin" w:eastAsia="IRNazanin"/>
          <w:color w:val="111111"/>
          <w:sz w:val="28"/>
          <w:sz w:val="28"/>
          <w:szCs w:val="28"/>
          <w:rtl w:val="true"/>
          <w:lang w:bidi="fa-IR"/>
        </w:rPr>
        <w:t>أما المقدّمة الأولی فلابدّ أن تصاغ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بغرض شرعی مهم أو العلم بوجود أحکام شرعیة، ولا مبرّر للحصر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الثانیة فلابدّ من ترمیمها بانسداد الإعتبار الشرعی الواصل أعمّ من أن یکون أصولیاً أو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فتکمل بأنّ العلم بالشریعة والغرض منجّز أو عدم رضا الشارع بترک الأحکام والأغراض عموماً وخصوصاً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 فصیاغتها الجدیدة هی إبطال الطرق والوظائف المذکورة فی المورد المطلوب إثباته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الخامسة تستبدل بتعین الأخذ بالقانون العقلائی المفروض فی</w:t>
      </w:r>
      <w:bookmarkStart w:id="1721" w:name="pg16983_381577"/>
    </w:p>
    <w:p>
      <w:pPr>
        <w:pStyle w:val="BookText"/>
        <w:rPr/>
      </w:pPr>
      <w:bookmarkEnd w:id="1721"/>
      <w:r>
        <w:rPr>
          <w:rFonts w:ascii="IRNazanin" w:hAnsi="IRNazanin" w:eastAsia="IRNazanin"/>
          <w:color w:val="111111"/>
          <w:sz w:val="28"/>
          <w:sz w:val="28"/>
          <w:szCs w:val="28"/>
          <w:rtl w:val="true"/>
          <w:lang w:bidi="fa-IR"/>
        </w:rPr>
        <w:t>ذلک المورد</w:t>
      </w:r>
      <w:r>
        <w:rPr>
          <w:rFonts w:eastAsia="IRNazanin" w:cs="IRNazanin"/>
          <w:color w:val="111111"/>
          <w:sz w:val="28"/>
          <w:szCs w:val="28"/>
          <w:rtl w:val="true"/>
          <w:lang w:bidi="fa-IR"/>
        </w:rPr>
        <w:t>.</w:t>
      </w:r>
    </w:p>
    <w:p>
      <w:pPr>
        <w:pStyle w:val="Heading5"/>
        <w:numPr>
          <w:ilvl w:val="4"/>
          <w:numId w:val="1"/>
        </w:numPr>
        <w:rPr/>
      </w:pPr>
      <w:bookmarkStart w:id="1722" w:name="__RefHeading___Toc3300922_1468164448"/>
      <w:bookmarkStart w:id="1723" w:name="_Toc682"/>
      <w:bookmarkEnd w:id="1722"/>
      <w:r>
        <w:rPr>
          <w:rtl w:val="true"/>
        </w:rPr>
        <w:t>وجه اجراء التعدیلات</w:t>
      </w:r>
      <w:bookmarkEnd w:id="1723"/>
    </w:p>
    <w:p>
      <w:pPr>
        <w:pStyle w:val="BookText"/>
        <w:rPr/>
      </w:pPr>
      <w:r>
        <w:rPr>
          <w:rFonts w:ascii="IRNazanin" w:hAnsi="IRNazanin" w:eastAsia="IRNazanin"/>
          <w:color w:val="111111"/>
          <w:sz w:val="28"/>
          <w:sz w:val="28"/>
          <w:szCs w:val="28"/>
          <w:rtl w:val="true"/>
          <w:lang w:bidi="fa-IR"/>
        </w:rPr>
        <w:t xml:space="preserve">وإنما أجرینا التعدیل علی المقدّمة الأولی لأنّ الفقیه قد لا یعلم بالحکم وإنما یعلم بالأغراض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 فی کلمات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بالمقاصد أو روح الشریعة أو علّة الحکم أو فلسفة الأحکام ونعبّر عنه بالعمومات الفوقانیة بالمعنی الثانی تمیزاً له عن العموم الفوقانی فی الرائج الذی یمکن تطبیقه بسهولة علی مصداقه، بینما المعنی الثانی فهو یحتاج فی تطبیقه وتنزّله إلی تشریع وجعل لمصادیقه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 بالتشریعات الفوقانیة ولا یعلم بتنزّلاتها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استبدلنا التعبیر لضبط المسألة وعدم الوقوع فی خداع تلک التعبیرات التی قادت البعض إلی المصالح المرسلة وأمثالها، فی حین أنّ تعبیرنا یعنی أنها تشریع ولکنّه من قسم التشریعات الدستوریة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للفقیه من تحدید العمومات الفوقانیة فی کلّ باب ومن تشخیص الآیات والأحادیث النبویة المرتبطة بکلّ باب کی تأتی عملیة الإستنباط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کلّ هذا یعرف أنّ الإنسداد یصلح وسیلةَ کشفٍ عن إمضاء الشارع لتقنینات العقلاء التی هی تنزّلات للعمومات الفوقانیة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وجه التعدیل علی المقدّمة الثانیة أصبح واضحاً بعد أن عُرّف إمکان الإستفادة من دلیل الإنسداد فی المجال الفقهی أو فی مسائل اصولیة غیر الظن المطلق أو فی باب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والمقدّمة الثالثة هی أساساً لأجل بیان التنجیز عقلاً أو شرعاً بأن یکون هناک علم آخر غیر المذکور فی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بعدم رضا الشارع بترک الحکم أو الإهمال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فسعتها وضیقها تابعة للمقدّمة الأولی، وحیث قد وسّعناه فلابدّ من توسعة المقدّمة الثالثة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صیاغتها بصیاغة شرعیة أخری وهو أنه یلزم من ترک</w:t>
      </w:r>
      <w:bookmarkStart w:id="1724" w:name="pg16983_381579"/>
    </w:p>
    <w:p>
      <w:pPr>
        <w:pStyle w:val="BookText"/>
        <w:rPr/>
      </w:pPr>
      <w:bookmarkEnd w:id="1724"/>
      <w:r>
        <w:rPr>
          <w:rFonts w:ascii="IRNazanin" w:hAnsi="IRNazanin" w:eastAsia="IRNazanin"/>
          <w:color w:val="111111"/>
          <w:sz w:val="28"/>
          <w:sz w:val="28"/>
          <w:szCs w:val="28"/>
          <w:rtl w:val="true"/>
          <w:lang w:bidi="fa-IR"/>
        </w:rPr>
        <w:t xml:space="preserve">امتثال الأحکام محاذیر لا یرضی بها الشارع کالخروج عن الدین أو الهرج والمرج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ترک القضاء والقصاص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کانت واحدة من أدلّة الفقهاء علی لزوم إقامة الحدود فی عصر الغیبة هو دلیل الإنسداد بالصیاغة هذه للمقدّمة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المقدّمة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مضمونها إلغاء سائر الحلول القانونیة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أصولیة کانت أو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حلّ واحد کالظن فی مسألة حجّیة 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تخفی وُعُورة هذه المقدّمة؛ إذ تفرض علی الفقیه الإحاطة والتضلّع بکلّ القوانین المحتملة التی قد تکون موزّعة علی أبواب مختلفة وذات درجات مختلفة، فیحتاج الفقیه إلی خبرة عمیقة فی الحلول القانونیة والمعادلات الفقهیة، وهذا ما یفتقده الکثیر، بالإضافة إلی ضرورة استحضاره للشرائط العامة کشرائط التکلیف وشرائط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لابدّ من التفاته إلی العمومات الناهیة وشرائط المنع العامة کحرمة الربا وعدم الغرر فی المعاملات ودرء الحدود بالشبهات، وربما تفوق هذه العمومات علی العمومات السابقة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الإلتفات إلی أنّ بعض العمومات الفوقانیة قد تنضوی تحتها جعول نازلة من دون أن یظهر منها هذا التنزیل الجعلی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لتباین بعضها مع البعض ظاهراً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اللفتات وأمثالها لابدّ من مراعاتها وهو لا یکون إلاّ مع التضلّع والخبرة العالیة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کلّ هذا نکرر ثانیة صیاغة المقدّمة الرابعة للإنسداد الکلّی بإلغاء کلّ الإعتبارات الشرعیة الأخری سواء کان أصولیاً أم رجالیاً أم فقهیاً عدا الخیار المذکور فی المقدّمة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الإعتبار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فیکتشف إمضاؤه شرعاً ببرکة هذا الإنسداد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25" w:name="__RefHeading___Toc3300924_1468164448"/>
      <w:bookmarkStart w:id="1726" w:name="_Toc683"/>
      <w:bookmarkEnd w:id="1725"/>
      <w:r>
        <w:rPr>
          <w:rtl w:val="true"/>
        </w:rPr>
        <w:t>التحقیق فی المقدّمة الأولی</w:t>
      </w:r>
      <w:bookmarkEnd w:id="1726"/>
    </w:p>
    <w:p>
      <w:pPr>
        <w:pStyle w:val="BookText"/>
        <w:rPr/>
      </w:pPr>
      <w:r>
        <w:rPr>
          <w:rFonts w:ascii="IRNazanin" w:hAnsi="IRNazanin" w:eastAsia="IRNazanin"/>
          <w:color w:val="111111"/>
          <w:sz w:val="28"/>
          <w:sz w:val="28"/>
          <w:szCs w:val="28"/>
          <w:rtl w:val="true"/>
          <w:lang w:bidi="fa-IR"/>
        </w:rPr>
        <w:t xml:space="preserve">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ککثیر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انحلال العلم الإجمالی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بوجود تکالیف وأحکام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الإجمالی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بوجود أحکام فی الروایات الواصلة إلینا المدونة فی الکتب الروائیة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علم بالتکالیف وراء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انحلال العلم وتبدّل المقدّمة الأولی لا تتوفّر باقی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أهمّها إبطال الإحتیاط من خلال لزوم الحرج واختلال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یلزم کلّ ذلک من الإحتیاط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الأستاذ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هذه اللفتة ببیانٍ یخرج به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مجرّد الدعوی إلی کلام رصین متین</w:t>
      </w:r>
      <w:r>
        <w:rPr>
          <w:rStyle w:val="FootnoteAnchor"/>
          <w:rtl w:val="true"/>
        </w:rPr>
        <w:footnoteReference w:id="263"/>
      </w:r>
      <w:r>
        <w:rPr>
          <w:rFonts w:ascii="IRNazanin" w:hAnsi="IRNazanin" w:eastAsia="IRNazanin"/>
          <w:color w:val="111111"/>
          <w:sz w:val="28"/>
          <w:sz w:val="28"/>
          <w:szCs w:val="28"/>
          <w:rtl w:val="true"/>
          <w:lang w:bidi="fa-IR"/>
        </w:rPr>
        <w:t>و انتهی إلی أنّ دعوی العلم الإجمالی ثمّ وجوب الإحتیاط لا ینهض علی إثبات حجّیة الخبر بالمعنی المطلوب فی باب الحجّیة من صلاحیته لتقیید المطلقات وتخصیص العمومات وسائر وجوه التألیف الدلالی بین الأدلّة</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فالنتیجة واحدة، سوی أنه لابدّ من علاج بعض الإشکالات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الإشکال بالفرق، حیث إنّ الدلیل الخاص صالح لتقیید المطلقات وتخصیص عمومات الکتاب والأحادیث النبویة المتواترة، بخلاف ما إذا لم یکن بحجّة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حتی مع الإحتیاط المزبور لوجود علم إجمالی بصدور مخصصات لعمومات الکتاب والأحادیث النبویة، ومثل هذا العلم یسقطها عن الحجّیة ولابدّ من الإحتیاط ولا یکون إلاّ بالتألیف بینها وبین الأخبار المقیدة</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مقتضی الإحتیاط العملُ بالأصول المثبتة فی مورد الروایات المرخصة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علم إجمالی بصدور أخبار فی موردها یوجب سقوطها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قبول دعوی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انحلال العلم الکبیر بالعلم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الدلیل علی ذلک إجماعُ الإمامیة العملی علی الإقتصار علی الأخبار وإجراء البراءة فی ما عداها، حتی الشیخ الذی أنکر الإنحلال یجری البراءة بل وحتی فی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أنّ إشکال الشیخ علی الإنحلال لو تمّ یرد حتی علی القول باعتبار الظن الخاص، لأنّ صرف اعتبار الظن لا یکفی فی انحلال العلم ما لم یتطابق المعلوم الصغیر مع المعلوم الکبیر وقد نفاه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تختلف مع الآخوند فی نفیه العسر والحرج واختلال النظام فی الإحتیاط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وجوده فی المعاملات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امتناعه؛ إذ لیس من المعقول إقامة النظام الإجتماعی بکلّ حیثیاته علی الإحتیاط واستبدال القانون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العبادات فیمکن القول بانتفاء الحرج الشخصی، إلاّ أنّ تعمیمه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یصبح ظاهرة عامة فی أوساط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العسر والحرج النوعی، وهو منفی فی الشریعة کما سنبیّن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یلاحظ علی السیّد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تحدید قدر الأحکام الواصلة لا یمکن أن یتمّ من خلال التألیف بین الأخبار؛ لأنه بعد فرض عدم اعتبار الظن الخاص والعام لا ینفی للتألیف شرعیة، فیکف نرتکب التخصیص مع أنّ العام یصدق علیه أنه خبر فی کلّ دائرته؟ لولا أنّ الخاص أقوی ظناً، وصرف الإحتیاط ومنجّزیة العلم لا تکفی فی تقدیم الأقوی ما لم نثبت جمیعاً بالإنسداد، ومن ثمّ لابدّ من مراعاة الإحتیاط فی العام سیما إذا کان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فی عمومات القرآن مقتضی الإحتیاط العمل بها إذا کانت مثبتة، لأنّ العلم الإجمالی غایة ما ینتج هو سقوط ظهورها عن الحجّیة الخاصة، والإحتیاط عسر فلابدّ من الإنسداد وحجّیة الظن المطلق</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هناک فرقاً بین الإحتیاط فی المسألة الأصولیة والإحتیاط فی المسألة الفقهیة وصاحب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من الإحتیاطِ الأولَ، وهو لا یوجب الحرج واختلال النظام وبه نستغنی عن دلیل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نقبل إنه فرق إلاّ أنه لا یکفی فی إثبات الإحتیاط الأصولی وإنما لابدّ من ترتیب جملة من مقدّمات الإنسداد أولاً حتی یثبت هذا الإحتیاط</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وسنبیّن ضرورة ترتیب مقدّمات الإنسداد علی المسألة الأصولیة قبل ترتیبها علی المسألة الفقهیة</w:t>
      </w:r>
      <w:r>
        <w:rPr>
          <w:rFonts w:eastAsia="IRNazanin" w:cs="IRNazanin"/>
          <w:color w:val="111111"/>
          <w:sz w:val="28"/>
          <w:szCs w:val="28"/>
          <w:rtl w:val="true"/>
          <w:lang w:bidi="fa-IR"/>
        </w:rPr>
        <w:t>.</w:t>
      </w:r>
      <w:bookmarkStart w:id="1727" w:name="pg16983_381588"/>
    </w:p>
    <w:p>
      <w:pPr>
        <w:pStyle w:val="Heading5"/>
        <w:numPr>
          <w:ilvl w:val="4"/>
          <w:numId w:val="1"/>
        </w:numPr>
        <w:rPr/>
      </w:pPr>
      <w:bookmarkStart w:id="1728" w:name="__RefHeading___Toc3300926_1468164448"/>
      <w:bookmarkStart w:id="1729" w:name="_Toc684"/>
      <w:bookmarkEnd w:id="1727"/>
      <w:bookmarkEnd w:id="1728"/>
      <w:r>
        <w:rPr>
          <w:rtl w:val="true"/>
        </w:rPr>
        <w:t>التحقیق فی المقدّمة الثانیة</w:t>
      </w:r>
      <w:bookmarkEnd w:id="1729"/>
    </w:p>
    <w:p>
      <w:pPr>
        <w:pStyle w:val="BookText"/>
        <w:rPr/>
      </w:pPr>
      <w:r>
        <w:rPr>
          <w:rFonts w:ascii="IRNazanin" w:hAnsi="IRNazanin" w:eastAsia="IRNazanin"/>
          <w:color w:val="111111"/>
          <w:sz w:val="28"/>
          <w:sz w:val="28"/>
          <w:szCs w:val="28"/>
          <w:rtl w:val="true"/>
          <w:lang w:bidi="fa-IR"/>
        </w:rPr>
        <w:t xml:space="preserve">وهی دعوی انسداد باب العلم والعلمی ولکن بیّنا حجّیة الظن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کبرویاً وصغرویاً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عالجنا شبهة الدس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فی تنبیهات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وأثبتنا حجّیة الظن الرجالی حیث عالجنا شبهة الإنسداد الرجالی بل آمنّا بانفتاح باب العلم فی الرجال، خلافاً للشیخ حیث یظهر منه التوقف فی حجّیة الخبر صغرویاً لشبهة الدس، وهو وإن أجاب عنها ولکن یبدو من مسلکه وکیفیة استدلالاته الفقهیة وعنایته بتصویر دلیل احتیاطی، أنّ فی نفسه شیئاً</w:t>
      </w:r>
      <w:r>
        <w:rPr>
          <w:rFonts w:eastAsia="IRNazanin" w:cs="IRNazanin"/>
          <w:color w:val="111111"/>
          <w:sz w:val="28"/>
          <w:szCs w:val="28"/>
          <w:rtl w:val="true"/>
          <w:lang w:bidi="fa-IR"/>
        </w:rPr>
        <w:t>.</w:t>
      </w:r>
    </w:p>
    <w:p>
      <w:pPr>
        <w:pStyle w:val="Heading5"/>
        <w:numPr>
          <w:ilvl w:val="4"/>
          <w:numId w:val="1"/>
        </w:numPr>
        <w:rPr/>
      </w:pPr>
      <w:bookmarkStart w:id="1730" w:name="__RefHeading___Toc3300928_1468164448"/>
      <w:bookmarkStart w:id="1731" w:name="_Toc685"/>
      <w:bookmarkEnd w:id="1730"/>
      <w:r>
        <w:rPr>
          <w:rtl w:val="true"/>
        </w:rPr>
        <w:t>التحقیق فی المقدّمة الثالثة</w:t>
      </w:r>
      <w:bookmarkEnd w:id="1731"/>
    </w:p>
    <w:p>
      <w:pPr>
        <w:pStyle w:val="Heading6"/>
        <w:numPr>
          <w:ilvl w:val="5"/>
          <w:numId w:val="1"/>
        </w:numPr>
        <w:rPr/>
      </w:pPr>
      <w:bookmarkStart w:id="1732" w:name="__RefHeading___Toc3300930_1468164448"/>
      <w:bookmarkStart w:id="1733" w:name="_Toc686"/>
      <w:bookmarkEnd w:id="1732"/>
      <w:r>
        <w:rPr>
          <w:rtl w:val="true"/>
        </w:rPr>
        <w:t>اشارة</w:t>
      </w:r>
      <w:bookmarkEnd w:id="1733"/>
    </w:p>
    <w:p>
      <w:pPr>
        <w:pStyle w:val="BookText"/>
        <w:rPr/>
      </w:pPr>
      <w:r>
        <w:rPr>
          <w:rFonts w:ascii="IRNazanin" w:hAnsi="IRNazanin" w:eastAsia="IRNazanin"/>
          <w:color w:val="111111"/>
          <w:sz w:val="28"/>
          <w:sz w:val="28"/>
          <w:szCs w:val="28"/>
          <w:rtl w:val="true"/>
          <w:lang w:bidi="fa-IR"/>
        </w:rPr>
        <w:t>وهی دعوی تنجیز العلم الإجمالی الموجود فی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العراقی یذکر أنّ هذه المقدّمة تؤثر مباشرة علی رسم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الظن بنحو الکشف أو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وباقی المقدّمات کالمُعدّة، ببیان أنه إذا اعتمدنا علی المنجّز الشرعی فالظن حجّة من باب الکشف، وإذا اعتمدنا علی المنجّز العقلی فالنتیجة حجّیة الظن عقلاً أو التبعیض فی الإحتیاط ومع اعتمادنا علیهما معاً فالنتیجة تتبع أشرف المقدّمتین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حجّیة الظن من باب الکشف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ذکره یأتی فی المقدّمة الثالثة للإنسداد الکبروی، فإنّ المعلوم فی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الجعل الفوقانی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عقلیاً أو شرعیاً، والأول ینتهی فی تنجیزه إلی حجّیة الإعتبار العقلائی، والثانی تنجیزه قد یقتضی الحجّیة الشرعیة وقد یقتضی الحجّیة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الصیاغة الکبرویة تساهم فی تقییم صیاغة مقدّمات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المغالطات إن کانت؛ إذ الأعلام انتهوا إلی حجّیة الظن شرعاً أو عقلاً من دون أن یثیروا احتمال کونها عقلائیة ممضاة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34" w:name="__RefHeading___Toc3300932_1468164448"/>
      <w:bookmarkStart w:id="1735" w:name="_Toc687"/>
      <w:bookmarkEnd w:id="1734"/>
      <w:r>
        <w:rPr>
          <w:rtl w:val="true"/>
        </w:rPr>
        <w:t>آراء الأساطین فی هذه المقدّمة</w:t>
      </w:r>
      <w:bookmarkEnd w:id="1735"/>
    </w:p>
    <w:p>
      <w:pPr>
        <w:pStyle w:val="BookText"/>
        <w:rPr/>
      </w:pPr>
      <w:r>
        <w:rPr>
          <w:rFonts w:ascii="IRNazanin" w:hAnsi="IRNazanin" w:eastAsia="IRNazanin"/>
          <w:color w:val="111111"/>
          <w:sz w:val="28"/>
          <w:sz w:val="28"/>
          <w:szCs w:val="28"/>
          <w:rtl w:val="true"/>
          <w:lang w:bidi="fa-IR"/>
        </w:rPr>
        <w:t xml:space="preserve">إنّ صاحب الکفایة نفی تمامیة المنجّز العقلی للعلم الإجمالی الموجود فی المقدّمة الأولی، لمبناه من سقوط العلم الإجمالی عن التنجیز مع الإضطرار إلی بعض أطرافه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 کان أولا، سابقاً کان علی العلم أو مقارناً أو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یری أنّ العلم الإجمالی علّة للتنجیز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فهناک تلازم بین الموافقة القطعیة والمخالفة القطعیة، ففی أیّ مورد لا تجب الموافقة القطعیة لا تحرم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وتابعه فی ذلک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وفیما نحن فیه بمقتضی المقدّمة الرابعة الآتیة لا یجب الإحتیاط التام فلا تجب الموافقة القطعیة، فلا یمکننا البناء علی منجّزیة العلم الإجمالی وحرمة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العراقی اختار علّیة العلم الإجمالی للتنجیز فیما إذا کان الإضطرار إلی غیر المعیّن، بخلاف ما إذا کان إلی معیّن، فإنه یسقط فیه عن التنجیز إذا کان مقارناً دون ما إذا کان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نحن فیه لمّا کان الإضطرار معیَّنَ المورد ومقارناً للعلم، کان العلم ساقطاً عن المنجّزیة العقلیة فتنحصر بالمنجّزیة الشرعیة علی مبنی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الشیخ والمحقّق النائینی فاختارا التوسطَ فی 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اقتضاء العلم الإجمالی للتنجیز فی وجوب الموافقة القطعیة وعلّیته فی حرمة المخالفة القطعیة ومن ثمّ إمکان التفکیک بین وجوب الموافقة القطعیة وحرمة المخالفة القطعیة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فظهر أنّ الخلاف فی علّیة العلم واقتضائه إنما هو فی وجوب الموافقة القطعیة، وإلاّ علی مستوی المخالفة القطعیة فهناک اتفاق علی العلّیة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من العلاّمة المجلسی و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یظهر ذلک من الآخوند فی تنبیهات القطع، والتفاصیل إلی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لا یسقط العلم عن المنجّزیة فی المخالفة القطعیة بعد تعذّر الإحتیاط والإضطرار الناشئ من اختلال النظام وما 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العلم الإجمالی المذکور لیس علماً وجدانیاً وإنما هو مجموعة علوم لأننا نعلم فی کلّ باب بل فی کلّ مجموعة مسائل بوجود حکم أو أحکام فی الأخبار المترابطة بها، ومن ثمّ فطُرُوّ الإضطرار لا یصطدم مع العلم الواحد کی یحیل کلّ النتیجة علی مبناه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حتی لو حصل الإضطرار فی کلّ باب إلی موهوماته ومشکوکاته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إمکان الإحتیاط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ینتفی العلم فی الباقی، وإنما یبقی العلم بوجود أحکام إلزامیة فی مظنونات کلّ باب، فالتنجیز باق علی حاله علی کلّ المبانی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بالإضافة إلی أنّ ما ذکره المحقّق العراقی من أنّ الإضطرار فیما نحن فیه إلی المعیّن وهو الموهومات، وبالتالی رتّب علیه انحلال العلم الإجمالی وسقوطه عن المنجّزیة فی غیر محلّه؛ لأنه لا مبرّر لتعیین الإضطرار فی دائرة الموهومات دون المظنونات سوی مقدّمات الإنسداد التی تعیّن قبح ترجیح المرجوح علی الراجح</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فالتعین آتٍ من دلیل الإنسداد فمثل هذا الإضطرار علی المعیّن</w:t>
      </w:r>
      <w:bookmarkStart w:id="1736" w:name="pg16983_381594"/>
    </w:p>
    <w:p>
      <w:pPr>
        <w:pStyle w:val="BookText"/>
        <w:rPr/>
      </w:pPr>
      <w:bookmarkEnd w:id="1736"/>
      <w:r>
        <w:rPr>
          <w:rFonts w:ascii="IRNazanin" w:hAnsi="IRNazanin" w:eastAsia="IRNazanin"/>
          <w:color w:val="111111"/>
          <w:sz w:val="28"/>
          <w:sz w:val="28"/>
          <w:szCs w:val="28"/>
          <w:rtl w:val="true"/>
          <w:lang w:bidi="fa-IR"/>
        </w:rPr>
        <w:t xml:space="preserve">متأخر رتبة عن العلم الإجمالی ومثله لا یسقط العلم الإجمالی عن التنجیز 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تمامیة منجّزیة العلم الإجمالی عقلاً</w:t>
      </w:r>
      <w:r>
        <w:rPr>
          <w:rFonts w:eastAsia="IRNazanin" w:cs="IRNazanin"/>
          <w:color w:val="111111"/>
          <w:sz w:val="28"/>
          <w:szCs w:val="28"/>
          <w:rtl w:val="true"/>
          <w:lang w:bidi="fa-IR"/>
        </w:rPr>
        <w:t>.</w:t>
      </w:r>
    </w:p>
    <w:p>
      <w:pPr>
        <w:pStyle w:val="Heading6"/>
        <w:numPr>
          <w:ilvl w:val="5"/>
          <w:numId w:val="1"/>
        </w:numPr>
        <w:rPr/>
      </w:pPr>
      <w:bookmarkStart w:id="1737" w:name="__RefHeading___Toc3300934_1468164448"/>
      <w:bookmarkStart w:id="1738" w:name="_Toc688"/>
      <w:bookmarkEnd w:id="1737"/>
      <w:r>
        <w:rPr>
          <w:rtl w:val="true"/>
        </w:rPr>
        <w:t>المنشأ الشرعی لتنجیز العلم الإجمالی</w:t>
      </w:r>
      <w:bookmarkEnd w:id="1738"/>
    </w:p>
    <w:p>
      <w:pPr>
        <w:pStyle w:val="BookText"/>
        <w:rPr/>
      </w:pPr>
      <w:r>
        <w:rPr>
          <w:rFonts w:ascii="IRNazanin" w:hAnsi="IRNazanin" w:eastAsia="IRNazanin"/>
          <w:color w:val="111111"/>
          <w:sz w:val="28"/>
          <w:sz w:val="28"/>
          <w:szCs w:val="28"/>
          <w:rtl w:val="true"/>
          <w:lang w:bidi="fa-IR"/>
        </w:rPr>
        <w:t>قد ذکرنا أنّ المقدّمة الثالثة مبتنیة علی دعوی تنجیز العلم الإجمالی الموجود فی المقدّمة الأولی، ومنشأ تنجیز هذا العلم إما عقلی أو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وللشرعی منه صیاغات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الشارع لا یسوّغ إهمال الشریعة؛ لأنه خروج عن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القطعی علی عدم إمکان إهمال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الإنسداد وإن لم یکن محرراً فی کلمات المتقدّمین إلاّ أنه یکفی الإجماع التقدیری القطعی فی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مذاق الشارع فی التعامل مع الشریعة لیس علی أساس الإحتمال، وإنما امتثال کلّ حکم بعنوانه لا یمعنی قصد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دعوی اتحاد مرحلة الفعلیة والتنجیز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مبنی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وسیأتی تفصیله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ونلقی الضوء فی هذا المقام علی تلک الصیاغات تباعاً</w:t>
      </w:r>
      <w:r>
        <w:rPr>
          <w:rFonts w:eastAsia="IRNazanin" w:cs="IRNazanin"/>
          <w:color w:val="111111"/>
          <w:sz w:val="28"/>
          <w:szCs w:val="28"/>
          <w:rtl w:val="true"/>
          <w:lang w:bidi="fa-IR"/>
        </w:rPr>
        <w:t>.</w:t>
      </w:r>
    </w:p>
    <w:p>
      <w:pPr>
        <w:pStyle w:val="Heading6"/>
        <w:numPr>
          <w:ilvl w:val="5"/>
          <w:numId w:val="1"/>
        </w:numPr>
        <w:rPr/>
      </w:pPr>
      <w:bookmarkStart w:id="1739" w:name="__RefHeading___Toc3300936_1468164448"/>
      <w:bookmarkStart w:id="1740" w:name="_Toc689"/>
      <w:bookmarkEnd w:id="1739"/>
      <w:r>
        <w:rPr>
          <w:rtl w:val="true"/>
        </w:rPr>
        <w:t>الصیاغة الأولی</w:t>
      </w:r>
      <w:bookmarkEnd w:id="1740"/>
    </w:p>
    <w:p>
      <w:pPr>
        <w:pStyle w:val="BookText"/>
        <w:rPr/>
      </w:pPr>
      <w:r>
        <w:rPr>
          <w:rFonts w:ascii="IRNazanin" w:hAnsi="IRNazanin" w:eastAsia="IRNazanin"/>
          <w:color w:val="111111"/>
          <w:sz w:val="28"/>
          <w:sz w:val="28"/>
          <w:szCs w:val="28"/>
          <w:rtl w:val="true"/>
          <w:lang w:bidi="fa-IR"/>
        </w:rPr>
        <w:t>لزوم الخروج عن الدین بالبناء علی عدم منجّزیة التکالیف المعلومة بالعلم المذکور فی المقدّمة الأولی، حیث یرجع إلی إنکار 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الأعلام لیس فی صِرف الترک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للفسق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حدیثهم فی الإهمال والترک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إلی البناء علی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أنّ هذا الخروج یحصل بسبب الإستناد إلی البراءة وأمثالها المنتج للبناء العملی علی عدم التنجیز والمسؤولیة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العلم فی هذه المقدّمة یختلف عن العلم فی المقدّمة الأولی بوجود تکالیف وعقوبات تترتب علی إهمالها؛ إذ العلم</w:t>
      </w:r>
      <w:bookmarkStart w:id="1741" w:name="pg16983_381596"/>
    </w:p>
    <w:p>
      <w:pPr>
        <w:pStyle w:val="BookText"/>
        <w:rPr/>
      </w:pPr>
      <w:bookmarkEnd w:id="1741"/>
      <w:r>
        <w:rPr>
          <w:rFonts w:ascii="IRNazanin" w:hAnsi="IRNazanin" w:eastAsia="IRNazanin"/>
          <w:color w:val="111111"/>
          <w:sz w:val="28"/>
          <w:sz w:val="28"/>
          <w:szCs w:val="28"/>
          <w:rtl w:val="true"/>
          <w:lang w:bidi="fa-IR"/>
        </w:rPr>
        <w:t>هنا هو العلم بشدّة اهتمام الشارع، نظیر حرمة الزنا وتشریع الجلد علی ممارسته فإنه یؤکّد حرمة الزنا، کذلک تشریع الردة وتسجیل العقوبة علیها، مع أنها عملاً لیست أکثر من الترک للتکالیف المشرّعة والتی سجّلت عقوبة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ما نحن فیه هناک تشریع معلوم وراء العلم بالتکالیف وهو حرمة إهمال الشریعة ککلّ الذی ینتج تشریع الإحتیاط الشرعی والتنجیز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لم یکتف بتسجیل العقوبة علی کلّ حکم حکم، حتی سجّلها علی الخروج علی المجموع اهتماماً وتأکیداً علی الإلتزام بتلک التکالیف، نظیر تسجیل العقوبة الدنیویة علی الزنا وراء حرمته</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1742" w:name="__RefHeading___Toc3300938_1468164448"/>
      <w:bookmarkStart w:id="1743" w:name="_Toc690"/>
      <w:bookmarkEnd w:id="1742"/>
      <w:r>
        <w:rPr>
          <w:rtl w:val="true"/>
        </w:rPr>
        <w:t>الصیاغة الثانیة</w:t>
      </w:r>
      <w:bookmarkEnd w:id="174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بل الضرورة الفقهیة القائمة عند الفقهاء علی عدم جواز إهمال الشریعة ولزوم الرعایة الذی یعنی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معقد کلامهم المبالاة واللامبالاة الخارجیة وإنما البناء وعدم البناء علی</w:t>
      </w:r>
      <w:bookmarkStart w:id="1744" w:name="pg16983_381598"/>
    </w:p>
    <w:p>
      <w:pPr>
        <w:pStyle w:val="BookText"/>
        <w:rPr/>
      </w:pPr>
      <w:bookmarkEnd w:id="1744"/>
      <w:r>
        <w:rPr>
          <w:rFonts w:ascii="IRNazanin" w:hAnsi="IRNazanin" w:eastAsia="IRNazanin"/>
          <w:color w:val="111111"/>
          <w:sz w:val="28"/>
          <w:sz w:val="28"/>
          <w:szCs w:val="28"/>
          <w:rtl w:val="true"/>
          <w:lang w:bidi="fa-IR"/>
        </w:rPr>
        <w:t>لابدیة الطاعة والتنجیز الذی هو لازم ذاتی للحکم الإلزامی</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1745" w:name="__RefHeading___Toc3300940_1468164448"/>
      <w:bookmarkStart w:id="1746" w:name="_Toc691"/>
      <w:bookmarkEnd w:id="1745"/>
      <w:r>
        <w:rPr>
          <w:rtl w:val="true"/>
        </w:rPr>
        <w:t>الصیاغة الثالثة</w:t>
      </w:r>
      <w:bookmarkEnd w:id="1746"/>
    </w:p>
    <w:p>
      <w:pPr>
        <w:pStyle w:val="BookText"/>
        <w:rPr/>
      </w:pPr>
      <w:r>
        <w:rPr>
          <w:rFonts w:ascii="IRNazanin" w:hAnsi="IRNazanin" w:eastAsia="IRNazanin"/>
          <w:color w:val="111111"/>
          <w:sz w:val="28"/>
          <w:sz w:val="28"/>
          <w:szCs w:val="28"/>
          <w:rtl w:val="true"/>
          <w:lang w:bidi="fa-IR"/>
        </w:rPr>
        <w:t xml:space="preserve">وهناک صیاغة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یعرضها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عدّة من المتقدّمین والمتأخرین، ومفادها عدم تسویغ الرجوع إلی الأصول العملیة المثبتة والنافیة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إجماع الفقهاء یکشف عن عدم جواز امتثال الأحکام فی الشریعة بعنوان الإحتمال، أی إنّ مذاق الشارع فی التعامل مع الشریعة وامتثال أحکامها کُلّ بعنوانه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وقد تساءل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مراد المحقّق النائینی، حیث إنّ تعبیره یوهم أنّ مذاق الشارع امتثال الحکم بقصد الوجه مع أنّ المحقّق النائینی کالمتأخرین لا یری شرطیة قصد الوجه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مذاق الشارع هو امتثال</w:t>
      </w:r>
      <w:bookmarkStart w:id="1747" w:name="pg16983_381600"/>
    </w:p>
    <w:p>
      <w:pPr>
        <w:pStyle w:val="BookText"/>
        <w:rPr/>
      </w:pPr>
      <w:bookmarkEnd w:id="1747"/>
      <w:r>
        <w:rPr>
          <w:rFonts w:ascii="IRNazanin" w:hAnsi="IRNazanin" w:eastAsia="IRNazanin"/>
          <w:color w:val="111111"/>
          <w:sz w:val="28"/>
          <w:sz w:val="28"/>
          <w:szCs w:val="28"/>
          <w:rtl w:val="true"/>
          <w:lang w:bidi="fa-IR"/>
        </w:rPr>
        <w:t>الحکم بما هو ثابت ولو ظاهراً، لا أنّ قصد الوجه شرط وإنما الممتثل حین امتثاله یمتثل حکماً ثابتاً لا حکماً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وبالدقة إنّ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الإمتثال لابدّ أن یکون امتثالاً للحکم الاولی لا من باب الاحتیاط، وهذا لا علاقة له بقصد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العلم بالحکم واحتماله من أوصاف الحکم فتأثیره علی الإمثتال وإن أوحی أنه قصد الوجه ولکنّه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مطلب ذکره المحقّق النائینی فی تنبیهات القطع عند دوران الأمر بین الإمثتال الإحتیاطی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قطعیاً وجدانیاً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یسوّغ الإحتیاط إلاّ مع تعذّر الإمتثال التفصیلی التعبدی اجتهاداً وتقلیداً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ذکره فی العبادات بأنّ التعبد والإبتعاث عن الأمر الإحتمالی أدون طاعة وامتثالاً ومتأخر رتبة عن الإنبعاث عن الأمر التفصیلی ولو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الباعث والملزم هو العلم التفصیلی فی قبال الإحتمالی لا أنه یرید 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یصلح هذا الإجماع دلیلاً للمیرزا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ذکره فی تنبیهات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وانّ المحقّق النائینی قد ذکر هذا فی المقدّمة الرابعة، وإنما أقحمناه فی هذه المقدّمة؛ لأنّ صیاغة هذا الإجماع بهذا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رجوعه إلی لزوم امتثال الأحکام بعناوینها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الملزم عنده والمنجّز علاوة علی ما ذکر هو لزوم الإمتثال بالکیفیة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الصیاغة تؤدّی إلی حجّیة الظن علی الکشف بنحو صریح بخلاف المنجّزات الشرعیة الأخری فإنّ إنتاجها الظن علی الکشف یحتاج إلی مؤونة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48" w:name="__RefHeading___Toc3300942_1468164448"/>
      <w:bookmarkStart w:id="1749" w:name="_Toc692"/>
      <w:bookmarkEnd w:id="1748"/>
      <w:r>
        <w:rPr>
          <w:rtl w:val="true"/>
        </w:rPr>
        <w:t>الدلیل علی الصیاغة الأولی</w:t>
      </w:r>
      <w:bookmarkStart w:id="1750" w:name="pg16983_381602"/>
      <w:bookmarkEnd w:id="1749"/>
    </w:p>
    <w:p>
      <w:pPr>
        <w:pStyle w:val="BookText"/>
        <w:rPr/>
      </w:pPr>
      <w:bookmarkEnd w:id="1750"/>
      <w:r>
        <w:rPr>
          <w:rFonts w:ascii="IRNazanin" w:hAnsi="IRNazanin" w:eastAsia="IRNazanin"/>
          <w:color w:val="111111"/>
          <w:sz w:val="28"/>
          <w:sz w:val="28"/>
          <w:szCs w:val="28"/>
          <w:rtl w:val="true"/>
          <w:lang w:bidi="fa-IR"/>
        </w:rPr>
        <w:t xml:space="preserve">الدلیل علی حرمة الخروج عن الدین وعدم رضا الشارع بإهمال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من الأحکام الضروریة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الآیات المتعدّدة علی أنّ حکمة بعث الرسل هو البلاغ والبیان المبین وإقامة الحجّة وما شابه ذلک، وهو یعنی ضرورة إقامة الحجّة والطریق بل وبنحو مبیّن لا مجرّد تشریع الأحکام وإنشائها وإنما علاوة علی ذلک تنجیزها وایصالها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 الأدلّة الکلامیة علی ضرورة النبوة والشریعة تستبطن ضرورة المنجّز لأنه الطریق والغایة التوسطیة للوصول إلی الغایة النهائیة من التشریع</w:t>
      </w:r>
      <w:r>
        <w:rPr>
          <w:rFonts w:eastAsia="IRNazanin" w:cs="IRNazanin"/>
          <w:color w:val="111111"/>
          <w:sz w:val="28"/>
          <w:szCs w:val="28"/>
          <w:rtl w:val="true"/>
          <w:lang w:bidi="fa-IR"/>
        </w:rPr>
        <w:t>.</w:t>
      </w:r>
    </w:p>
    <w:p>
      <w:pPr>
        <w:pStyle w:val="Heading6"/>
        <w:numPr>
          <w:ilvl w:val="5"/>
          <w:numId w:val="1"/>
        </w:numPr>
        <w:rPr/>
      </w:pPr>
      <w:bookmarkStart w:id="1751" w:name="__RefHeading___Toc3300944_1468164448"/>
      <w:bookmarkStart w:id="1752" w:name="_Toc693"/>
      <w:bookmarkEnd w:id="1751"/>
      <w:r>
        <w:rPr>
          <w:rtl w:val="true"/>
        </w:rPr>
        <w:t>أدلّة الصیاغة الثالثة</w:t>
      </w:r>
      <w:bookmarkEnd w:id="1752"/>
    </w:p>
    <w:p>
      <w:pPr>
        <w:pStyle w:val="BookText"/>
        <w:rPr/>
      </w:pPr>
      <w:r>
        <w:rPr>
          <w:rFonts w:ascii="IRNazanin" w:hAnsi="IRNazanin" w:eastAsia="IRNazanin"/>
          <w:color w:val="111111"/>
          <w:sz w:val="28"/>
          <w:sz w:val="28"/>
          <w:szCs w:val="28"/>
          <w:rtl w:val="true"/>
          <w:lang w:bidi="fa-IR"/>
        </w:rPr>
        <w:t xml:space="preserve">کما یمکن الإستدلال علی ما 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مذاق الشارع لیس الإمتثال الإحتمالی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العبادات من أنّ التعبد والإنبعاث عن الأمر الإحتمالی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توفّر التعبد التفصیلی إلاّ أنه تخلصاً من الفحص اکتفی بالإحتیاط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 من التعبد والإنبعاث عن الأمر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محلّ هذا البحث وتنقیحه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من خلال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الشارع لم یستحدث لغة قانونیة خاصة به وإنما جری علی لغة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فی المبادئ التصوریة بل فی کثیر من القضایا التصدیقیة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نلحظ وجود مبدأ بدیهی فی القانون العقلائی وهو عدم کون الإحتیاط طریقاً لمتابعة القانون کمجموع للفرد فضلاً عن عموم المجتمع، وهی مادة أولیة فی فکرة القانون، وذلک لأنّ من الأغراض المهمة للتقنین هی النظم وهو لا یتحقق بالإحتیاط</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الکثیرة النافیة للعسر والحرج والمثبتة للتکلیف مع سهولة</w:t>
      </w:r>
      <w:r>
        <w:rPr>
          <w:rFonts w:eastAsia="IRNazanin" w:cs="IRNazanin"/>
          <w:color w:val="111111"/>
          <w:sz w:val="28"/>
          <w:szCs w:val="28"/>
          <w:rtl w:val="true"/>
          <w:lang w:bidi="fa-IR"/>
        </w:rPr>
        <w:t>.</w:t>
      </w:r>
      <w:bookmarkStart w:id="1753" w:name="pg16983_381605"/>
    </w:p>
    <w:p>
      <w:pPr>
        <w:pStyle w:val="BookText"/>
        <w:rPr/>
      </w:pPr>
      <w:bookmarkEnd w:id="1753"/>
      <w:r>
        <w:rPr>
          <w:rFonts w:ascii="Amiri" w:hAnsi="Amiri" w:eastAsia="Amiri" w:cs="Amiri"/>
          <w:color w:val="111111"/>
          <w:sz w:val="28"/>
          <w:sz w:val="28"/>
          <w:szCs w:val="28"/>
          <w:rtl w:val="true"/>
          <w:lang w:bidi="ar-SA"/>
        </w:rPr>
        <w:t xml:space="preserve">وهذا الدلیل لیس رافعیة الحرج ومن ثمّ لم یستدلّ أحد من الأعلام بالآیة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علی رافعیة الحرج الشخصی وإنما هذه الآیة فی صدد بیان خلفیة الشریعة وفلسفتها والأساس الذی بنیت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لو کان باب الإحتیاط مفتوحاً لکانت الشریعة شریعة عسر وحرج</w:t>
      </w:r>
      <w:r>
        <w:rPr>
          <w:rFonts w:eastAsia="IRNazanin" w:cs="IRNazanin"/>
          <w:color w:val="111111"/>
          <w:sz w:val="28"/>
          <w:szCs w:val="28"/>
          <w:rtl w:val="true"/>
          <w:lang w:bidi="fa-IR"/>
        </w:rPr>
        <w:t>.</w:t>
      </w:r>
    </w:p>
    <w:p>
      <w:pPr>
        <w:pStyle w:val="Heading6"/>
        <w:numPr>
          <w:ilvl w:val="5"/>
          <w:numId w:val="1"/>
        </w:numPr>
        <w:rPr/>
      </w:pPr>
      <w:bookmarkStart w:id="1754" w:name="__RefHeading___Toc3300946_1468164448"/>
      <w:bookmarkStart w:id="1755" w:name="_Toc694"/>
      <w:bookmarkEnd w:id="1754"/>
      <w:r>
        <w:rPr>
          <w:rtl w:val="true"/>
        </w:rPr>
        <w:t>الصیاغة الرابعة</w:t>
      </w:r>
      <w:bookmarkEnd w:id="1755"/>
    </w:p>
    <w:p>
      <w:pPr>
        <w:pStyle w:val="BookText"/>
        <w:rPr/>
      </w:pPr>
      <w:r>
        <w:rPr>
          <w:rFonts w:ascii="IRNazanin" w:hAnsi="IRNazanin" w:eastAsia="IRNazanin"/>
          <w:color w:val="111111"/>
          <w:sz w:val="28"/>
          <w:sz w:val="28"/>
          <w:szCs w:val="28"/>
          <w:rtl w:val="true"/>
          <w:lang w:bidi="fa-IR"/>
        </w:rPr>
        <w:t xml:space="preserve">وهناک صیاغة رابعة للتنجیز الشرعی للمحقّق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تنطلق من مبناه من أنّ مرحلة الفعلیة فی الأحکام التکلیفیة الشرعیة عین مرحلة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عنده مقوم لماهیة الحکم الشرعی وفعلیته ومن ثمّ اتحدت عنده المرحلتان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أخذ القدرة فی التنجیز دون الفعلیة ومن هنا أمکن انفکاک التنجیز عن الفعلیة فی صورة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المبنی بالإضافة إلی مبناه فی سقوط التنجیز العقلی للعلم الإجمالی بالإضطرار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سقط التنجیز سقطت الفعلیة ومعه یسقط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مفرّ من وجود منجّز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یصرّح المحقّق الإصفهانی والمحقّق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الإضطرار حدّ التکلیف، فمع تحققه یسقط الحکم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العلم الإجمالی لما اضطر إلی بعض الأطراف، فَعَلی فرض أنها هی المحکومة بحکم إلزامی فالتکلیف ساقط لعدم العلم بوجود التکلیف واجد للحدّ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مفرّ من فرض وجود إلزام وتنجیز شرعی لوجود الإجماع الذی یعنی وجود الحکم ووصوله وتنجّزه ولا منجّز سوی الشرعی؛ إذ العلم الإجمالی غیر منجّز، والإحتیاط الشرعی وظیفة لا إراءة فیه فلا یوصل الحکم الشرعی بل هو متعلّق بفعل المکلّف لا بالطرق، غایته أنه فعل أصولی ملاکه التحفظ علی الفعل الفقهی فی حین أنّ</w:t>
      </w:r>
    </w:p>
    <w:p>
      <w:pPr>
        <w:pStyle w:val="BookText"/>
        <w:rPr/>
      </w:pPr>
      <w:r>
        <w:rPr>
          <w:rFonts w:ascii="IRNazanin" w:hAnsi="IRNazanin" w:eastAsia="IRNazanin"/>
          <w:color w:val="111111"/>
          <w:sz w:val="28"/>
          <w:sz w:val="28"/>
          <w:szCs w:val="28"/>
          <w:rtl w:val="true"/>
          <w:lang w:bidi="fa-IR"/>
        </w:rPr>
        <w:t>الإجماع یفرض وصولها وتنجّزها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الشک والوهم فإنه غیر موصل، کذا الظن بحکم العقل لیس منجّزاً وإنما هو نتیجة وجود تنجیز سابق، فینحصر بحجّیة الظن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تقییم هذه الصیاغة نوضّح اصطلاحاً أشار إلیه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الواصل بنفسه، والطریق الذی اعتباره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من الأول الطریقُ الواصل بدلیل قطعی، ومن الثانی الطریقُ الواصل بدلیل أصولی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یعرف أنّ المسائل الأصولیة قد تترامی، ولأجل أنْ تتبلور الفکرة أکثر، نشیر تساؤلاً ونجیب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أنّ مثبتات الأصل العملی ولوازمه لیست حجّة، عکس الأمارة فإنّ لوازمها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الثابت حجّیته بدلیل لفظی، لوازمه مدلول إلتزامی للدلیل اللفظی، فلِمَ لا تکون حجّة؟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من لوازمه فرد منه، فأصالة الحلّ فی مورد الإستصحاب فی حالة قد یکون من اللوازم، ومثل هذه اللوازم تعدّ لوازم مدلول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لوازم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هو المعبّر عنه فی کلمات البعض أنّ اللازم قد یکون للجعل وقد یکون للمجعول</w:t>
      </w:r>
      <w:r>
        <w:rPr>
          <w:rFonts w:eastAsia="IRNazanin" w:cs="IRNazanin"/>
          <w:color w:val="111111"/>
          <w:sz w:val="28"/>
          <w:szCs w:val="28"/>
          <w:rtl w:val="true"/>
          <w:lang w:bidi="fa-IR"/>
        </w:rPr>
        <w:t>.</w:t>
      </w:r>
      <w:r>
        <w:rPr>
          <w:rStyle w:val="FootnoteAnchor"/>
          <w:rtl w:val="true"/>
        </w:rPr>
        <w:footnoteReference w:id="27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وبدیهی تغایر المدلول مع الدلیل وإلاّ لما کان مثل أصل الطهارة أصلاً عملیاً وإنما کان خبراً واحداً صحیحاً مع أنه بدیهی البطلان،</w:t>
      </w:r>
    </w:p>
    <w:p>
      <w:pPr>
        <w:pStyle w:val="BookText"/>
        <w:rPr/>
      </w:pPr>
      <w:r>
        <w:rPr>
          <w:rFonts w:ascii="IRNazanin" w:hAnsi="IRNazanin" w:eastAsia="IRNazanin"/>
          <w:color w:val="111111"/>
          <w:sz w:val="28"/>
          <w:sz w:val="28"/>
          <w:szCs w:val="28"/>
          <w:rtl w:val="true"/>
          <w:lang w:bidi="fa-IR"/>
        </w:rPr>
        <w:t>فحجّیة الخبر لیس نفسه أصل الطهارة وإنما مؤدّی الخبر الأصل، ومن ثمّ ترامی القانون الأصولی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وإثباتاً یمکن التفرقة بین لوازم الدلیل والمدلول، بأنّ اللازم إن کان للفرد فهو للمدلول وإن کان للطبیعة فهو مدلول إلتزامی للدلیل؛ لوضوح أنّ المدلول الإلتزامی ما کان لازماً للمعنی لا للمصداق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إذا عثرنا علی لازم لکلّ أفراد الأصل فهو مدلول إلتزامی للدلیل اللفظی والأصل جعل الأصل العملی لا لفرده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الإصطلاح المذکور یفتح لنا أفقاً جدیداً فی بحث الإنسداد وهو أنّ مقتضی حجّیة الإنسداد هل هی حجّیة الظن بنفسه أو بطریقه؟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الظن الحجّة هل هو الظن علی الواقع الفقهی أو الظن علی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الظن الحجّة هو الظن فی المسألة الأصولیة أو الظن بالحکم الفقهی؟ فهل الظن الحجّة هو الظن المعیّن للطرق والظنون الخاصة، أو الظن المعیّن للحکم الشرعی الفقهی مباشرة؟</w:t>
      </w:r>
    </w:p>
    <w:p>
      <w:pPr>
        <w:pStyle w:val="BookText"/>
        <w:rPr/>
      </w:pPr>
      <w:r>
        <w:rPr>
          <w:rFonts w:ascii="IRNazanin" w:hAnsi="IRNazanin" w:eastAsia="IRNazanin"/>
          <w:color w:val="111111"/>
          <w:sz w:val="28"/>
          <w:sz w:val="28"/>
          <w:szCs w:val="28"/>
          <w:rtl w:val="true"/>
          <w:lang w:bidi="fa-IR"/>
        </w:rPr>
        <w:t>فإن کان الأول فهو حجّیة الظن الخاص بطریقه الذی هو الظن المطلق، وإن کان الثانی فهو حجّیة الظن المطلق الواصل بنفسه أی بدلیل قطعی وهو الإنسداد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هدایة المسترشدین وصاحب الفصول أصرّا علی أنّ دلیل الإنسداد یجری فی المسألة الأصولیة لا الفقهیة، بینما الدارج هو الظن بالحکم الفقهی، والحقّ مع الأول کما سنبیّن</w:t>
      </w:r>
      <w:r>
        <w:rPr>
          <w:rFonts w:eastAsia="IRNazanin" w:cs="IRNazanin"/>
          <w:color w:val="111111"/>
          <w:sz w:val="28"/>
          <w:szCs w:val="28"/>
          <w:rtl w:val="true"/>
          <w:lang w:bidi="fa-IR"/>
        </w:rPr>
        <w:t>.</w:t>
      </w:r>
      <w:r>
        <w:rPr>
          <w:rStyle w:val="FootnoteAnchor"/>
          <w:rtl w:val="true"/>
        </w:rPr>
        <w:footnoteReference w:id="273"/>
      </w:r>
      <w:bookmarkStart w:id="1756" w:name="pg16983_381611"/>
    </w:p>
    <w:p>
      <w:pPr>
        <w:pStyle w:val="Heading5"/>
        <w:numPr>
          <w:ilvl w:val="4"/>
          <w:numId w:val="1"/>
        </w:numPr>
        <w:rPr/>
      </w:pPr>
      <w:bookmarkStart w:id="1757" w:name="__RefHeading___Toc3300948_1468164448"/>
      <w:bookmarkStart w:id="1758" w:name="_Toc695"/>
      <w:bookmarkEnd w:id="1756"/>
      <w:bookmarkEnd w:id="1757"/>
      <w:r>
        <w:rPr>
          <w:rtl w:val="true"/>
        </w:rPr>
        <w:t>التحقیق فی المقدّمة الرابعة</w:t>
      </w:r>
      <w:bookmarkEnd w:id="1758"/>
    </w:p>
    <w:p>
      <w:pPr>
        <w:pStyle w:val="Heading6"/>
        <w:numPr>
          <w:ilvl w:val="5"/>
          <w:numId w:val="1"/>
        </w:numPr>
        <w:rPr/>
      </w:pPr>
      <w:bookmarkStart w:id="1759" w:name="__RefHeading___Toc3300950_1468164448"/>
      <w:bookmarkStart w:id="1760" w:name="_Toc696"/>
      <w:bookmarkEnd w:id="1759"/>
      <w:r>
        <w:rPr>
          <w:rtl w:val="true"/>
        </w:rPr>
        <w:t>اشارة</w:t>
      </w:r>
      <w:bookmarkEnd w:id="1760"/>
    </w:p>
    <w:p>
      <w:pPr>
        <w:pStyle w:val="BookText"/>
        <w:rPr/>
      </w:pPr>
      <w:r>
        <w:rPr>
          <w:rFonts w:ascii="IRNazanin" w:hAnsi="IRNazanin" w:eastAsia="IRNazanin"/>
          <w:color w:val="111111"/>
          <w:sz w:val="28"/>
          <w:sz w:val="28"/>
          <w:szCs w:val="28"/>
          <w:rtl w:val="true"/>
          <w:lang w:bidi="fa-IR"/>
        </w:rPr>
        <w:t xml:space="preserve">ألمح الأعلام إلی أنّ المقدّمة الرابعة والخامسة تنهینا إلی وجود حجّة ومنجّز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مفرغ عن التنجیز الذی تم إثباته فی 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محرز للحکم الواقعی فهو منجّز آخر غیر المنجّز السابق</w:t>
      </w:r>
      <w:r>
        <w:rPr>
          <w:rFonts w:eastAsia="IRNazanin" w:cs="IRNazanin"/>
          <w:color w:val="111111"/>
          <w:sz w:val="28"/>
          <w:szCs w:val="28"/>
          <w:rtl w:val="true"/>
          <w:lang w:bidi="fa-IR"/>
        </w:rPr>
        <w:t>.</w:t>
      </w:r>
    </w:p>
    <w:p>
      <w:pPr>
        <w:pStyle w:val="Heading6"/>
        <w:numPr>
          <w:ilvl w:val="5"/>
          <w:numId w:val="1"/>
        </w:numPr>
        <w:rPr/>
      </w:pPr>
      <w:bookmarkStart w:id="1761" w:name="__RefHeading___Toc3300952_1468164448"/>
      <w:bookmarkStart w:id="1762" w:name="_Toc697"/>
      <w:bookmarkEnd w:id="1761"/>
      <w:r>
        <w:rPr>
          <w:rtl w:val="true"/>
        </w:rPr>
        <w:t>إشکال وجواب</w:t>
      </w:r>
      <w:bookmarkEnd w:id="176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بوجود صلاة الظهر وامتثالها، فالعلم بالوجوب هو الذی یحرز الحکم وینجّزه، وإحراز الإمتثال إما بالعلم</w:t>
      </w:r>
    </w:p>
    <w:p>
      <w:pPr>
        <w:pStyle w:val="BookText"/>
        <w:rPr/>
      </w:pPr>
      <w:r>
        <w:rPr>
          <w:rFonts w:ascii="IRNazanin" w:hAnsi="IRNazanin" w:eastAsia="IRNazanin"/>
          <w:color w:val="111111"/>
          <w:sz w:val="28"/>
          <w:sz w:val="28"/>
          <w:szCs w:val="28"/>
          <w:rtl w:val="true"/>
          <w:lang w:bidi="fa-IR"/>
        </w:rPr>
        <w:t>أو قاعدة الفراغ، فالعلم وقاعدة الفراغ مفرغان والمفرغ متعلّقه الإمتثال، والمنجّز متعلّقه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وظیفة المقدّمتین أنهما یفرغان عن التنجیز الثابت فی المقدّمة الثالثة، ومعه لا یتلاءم مع تصویر أنّ الحجّة هو الظن بالحکم لا الإمتثال؟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سوف نصل إلی منجّز آخر یوجب انحلال التنجیز الإجمالی فی المقدّمة الثالثة، إلاّ أن یصوّر مانع وهو ابتناء وجود المنجّز فی المقدّمة الرابعة والخامسة علی المنجّز فی المقدّمة الثالثة، فکیف یوجب والحالة هذه زواله، لأنّ المنجّز الأصغر مستند فی کیفیة إثباته وصیاغته ووجوده إلی المنجّز السابق، فلا یعقل أن یزیله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بقاء المنجّز علی حاله یعود السؤال إلی أنّ الحاجة إلی مفرغ لا منجّز</w:t>
      </w:r>
      <w:r>
        <w:rPr>
          <w:rFonts w:eastAsia="IRNazanin" w:cs="IRNazanin"/>
          <w:color w:val="111111"/>
          <w:sz w:val="28"/>
          <w:szCs w:val="28"/>
          <w:rtl w:val="true"/>
          <w:lang w:bidi="fa-IR"/>
        </w:rPr>
        <w:t>.</w:t>
      </w:r>
      <w:r>
        <w:rPr>
          <w:rStyle w:val="FootnoteAnchor"/>
          <w:rtl w:val="true"/>
        </w:rPr>
        <w:footnoteReference w:id="274"/>
      </w:r>
      <w:bookmarkStart w:id="1763" w:name="pg16983_381616"/>
    </w:p>
    <w:p>
      <w:pPr>
        <w:pStyle w:val="BookText"/>
        <w:rPr/>
      </w:pPr>
      <w:bookmarkEnd w:id="1763"/>
      <w:r>
        <w:rPr>
          <w:rFonts w:ascii="IRNazanin" w:hAnsi="IRNazanin" w:eastAsia="IRNazanin"/>
          <w:color w:val="111111"/>
          <w:sz w:val="28"/>
          <w:sz w:val="28"/>
          <w:szCs w:val="28"/>
          <w:rtl w:val="true"/>
          <w:lang w:bidi="fa-IR"/>
        </w:rPr>
        <w:t>وجواب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المنجّز الثانی وإن لم یکن مفرغاً إلاّ أنّ امتثاله یفرغ عن کلا التنجیزین، قطعی بالنسبة إلی الثانی وتعبدی بالنسبة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إحراز التکلیف غایة ما یصنع أنه یوجب التنجیز، والتنجیز مرحلة تتلوها مرحلة وجوب الإمتثال، وهی یتلوها مرحلة وجوب إحراز الإمتثال والقطع بالموافقة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یتضح أنّ إحراز الحکم یصبّ فی مراحل امتثال الحکم، فإذا کان حال المحرز هذا فالنتیجة تخرج بها من المقدّمتین الرابعة والخامسة هی الإمتثال لا الإنحلال؛ وذلک لأنّ إحراز الحکم سیما إذا کان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قیل إنّ ملاک الحکم الظاهری التحفظ علی الواقع جنباً إلی جنب کشفه واراءته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موطئ للزوم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أغنی الإمتثال للإحراز التعبدی عن الإمتثال للإحراز الوجدانی الإجمالی کما إذا قامت بیّنة علی القبلة مع العلم الإجمالی بجهتها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الإمتثال وجدانی للبینة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الإحراز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وامتثال تعبدی ومطابقة تعبدیة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فتبلور أنّ الإحراز التعبدی ینتظم فی سلک مراحل الإمتثال لا فی مراحل وجود الحکم، فثمرة إحراز الأحکام فی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غالباً مّا تکون مورداً للعلم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الإمتثال التعبدی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الإحراز وإن میّزه الأعلام عن إحراز الإمتثال بشکل یرجع إلی ارتباطه بمتن الحکم ووجوده، إلاّ أنّ الصحیح ما عرفت</w:t>
      </w:r>
      <w:r>
        <w:rPr>
          <w:rFonts w:eastAsia="IRNazanin" w:cs="IRNazanin"/>
          <w:color w:val="111111"/>
          <w:sz w:val="28"/>
          <w:szCs w:val="28"/>
          <w:rtl w:val="true"/>
          <w:lang w:bidi="fa-IR"/>
        </w:rPr>
        <w:t>.</w:t>
      </w:r>
    </w:p>
    <w:p>
      <w:pPr>
        <w:pStyle w:val="Heading6"/>
        <w:numPr>
          <w:ilvl w:val="5"/>
          <w:numId w:val="1"/>
        </w:numPr>
        <w:rPr/>
      </w:pPr>
      <w:bookmarkStart w:id="1764" w:name="__RefHeading___Toc3300954_1468164448"/>
      <w:bookmarkStart w:id="1765" w:name="_Toc698"/>
      <w:bookmarkEnd w:id="1764"/>
      <w:r>
        <w:rPr>
          <w:rtl w:val="true"/>
        </w:rPr>
        <w:t>مؤاخذة علی التبعیض فی الإحتیاط‌</w:t>
      </w:r>
      <w:bookmarkEnd w:id="176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العرض یمکن لنا أن نسجّل مؤاخذة علی أطروحة التبعیض فی الإحتیاط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أصرّ علیها الشیخ وآخرون، بحجّة أنّ المقدّمة</w:t>
      </w:r>
      <w:bookmarkStart w:id="1766" w:name="pg16983_381618"/>
    </w:p>
    <w:p>
      <w:pPr>
        <w:pStyle w:val="BookText"/>
        <w:rPr/>
      </w:pPr>
      <w:bookmarkEnd w:id="1766"/>
      <w:r>
        <w:rPr>
          <w:rFonts w:ascii="IRNazanin" w:hAnsi="IRNazanin" w:eastAsia="IRNazanin"/>
          <w:color w:val="111111"/>
          <w:sz w:val="28"/>
          <w:sz w:val="28"/>
          <w:szCs w:val="28"/>
          <w:rtl w:val="true"/>
          <w:lang w:bidi="fa-IR"/>
        </w:rPr>
        <w:t>الثالثة تثبت التنجیز، والمقدّمة الرابعة تبطل الخیارات الأخری غیر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الدلیل المبطل للإحتیاط لا یبطله من رأس وإنما غایة ما یثبت بطلانه کحالة عامة، أی یبطل ضرورة الإحتیاط فی الجمیع، أما التبعیض فی الإحتیاط فلا دلیل علی بطلانه فلا تصل النوبة إلی المقدّمة الخامسة وهی حجّیة الظن علی الحکومة أو الکشف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یقبل الإقتصار علی الإمتثال الظنی للعلم الإجمالی بحکم العقل بالتبعیض بالإحتیاط، فی حین أنّ الإمتثال الظنی عبارة أخری عن کونه لازماً لملزوم سابق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الظن الکاشف عن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ما هو المائز بین هذا وبین حجّیة الظن علی الحکومة؟ حیث لا تعنی أکثر من حکم العقل بأنّ الظن محرز کاشف الذی یرجع إلی الإکتفاء والإقتصار بالإمتثال الظنی الذی هو امتثال وجدانی للظن وظنی للواقع</w:t>
      </w:r>
      <w:r>
        <w:rPr>
          <w:rFonts w:eastAsia="IRNazanin" w:cs="IRNazanin"/>
          <w:color w:val="111111"/>
          <w:sz w:val="28"/>
          <w:szCs w:val="28"/>
          <w:rtl w:val="true"/>
          <w:lang w:bidi="fa-IR"/>
        </w:rPr>
        <w:t>.</w:t>
      </w:r>
    </w:p>
    <w:p>
      <w:pPr>
        <w:pStyle w:val="Heading6"/>
        <w:numPr>
          <w:ilvl w:val="5"/>
          <w:numId w:val="1"/>
        </w:numPr>
        <w:rPr/>
      </w:pPr>
      <w:bookmarkStart w:id="1767" w:name="__RefHeading___Toc3300956_1468164448"/>
      <w:bookmarkStart w:id="1768" w:name="_Toc699"/>
      <w:bookmarkEnd w:id="1767"/>
      <w:r>
        <w:rPr>
          <w:rtl w:val="true"/>
        </w:rPr>
        <w:t>بیان الفرق بین التبعیض فی الإحتیاط والظن علی الحکومة</w:t>
      </w:r>
      <w:bookmarkEnd w:id="1768"/>
    </w:p>
    <w:p>
      <w:pPr>
        <w:pStyle w:val="BookText"/>
        <w:rPr/>
      </w:pPr>
      <w:r>
        <w:rPr>
          <w:rFonts w:ascii="IRNazanin" w:hAnsi="IRNazanin" w:eastAsia="IRNazanin"/>
          <w:color w:val="111111"/>
          <w:sz w:val="28"/>
          <w:sz w:val="28"/>
          <w:szCs w:val="28"/>
          <w:rtl w:val="true"/>
          <w:lang w:bidi="fa-IR"/>
        </w:rPr>
        <w:t>وخلاصة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الفرق بین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فی الإحتیاط والظن علی الحکومة الذی أصرّ الشیخ علی الأول وأنکر وصول النوبة إلی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الأول لیس إلاّ حکم العقل فی مرحلة إحراز الإمتثال والثانی حکم العقل فی مرحلة إحراز الحکم وتنجیزه، وقد عرفت أنّ هذا الإحراز یصبّ فی مراحل الإمتثال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ننظر القضیة من جانب أنها من وظائف المجتهد یتأکد السؤال أکثر؛ إذ الإحراز هو مهمة وهدف المجتهد لا الإمتثال الذی هو وظیفة مشترکة بین المجتهد والعامی، مما یکشف عن أنّ التبعیض فی الإحتیاط یرجع إلی الإستنباط والإحراز، ومعه یتساءل عن الفرق بین حجّیة الظن علی الحکومة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وبالمقارنة بین هذه السؤال وسابقه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الإلتفات إلی أنّ السابق</w:t>
      </w:r>
      <w:bookmarkStart w:id="1769" w:name="pg16983_381620"/>
    </w:p>
    <w:p>
      <w:pPr>
        <w:pStyle w:val="BookText"/>
        <w:rPr/>
      </w:pPr>
      <w:bookmarkEnd w:id="1769"/>
      <w:r>
        <w:rPr>
          <w:rFonts w:ascii="IRNazanin" w:hAnsi="IRNazanin" w:eastAsia="IRNazanin"/>
          <w:color w:val="111111"/>
          <w:sz w:val="28"/>
          <w:sz w:val="28"/>
          <w:szCs w:val="28"/>
          <w:rtl w:val="true"/>
          <w:lang w:bidi="fa-IR"/>
        </w:rPr>
        <w:t xml:space="preserve">کان قد انبثق من توظیف الأعلام المقدّمة الرابعة والخامسة للخروج بمنجّز آخر، سواء تم ذلک أم لم یتم، فکان السؤال أنه کیف نخرج بمنجّز آخر مع وجود السابق، فإنه إن أوجب اللاحق انعدام السابق کان موجباً لانعدامه هو أیضاً کما بیّنا، وإن لم یوجب فإنا بحاجة إلی مفرغ لا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یتبلور أنهما من واد واحد؛ لأنّ کلاًّ منهما یتعلّق من فرض المغایرة بین مرحلة إحراز الحکم ومرحلة امتثاله وأنّ الأول مرتبط بوجوده والثانی بالفراغ منه</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1770" w:name="__RefHeading___Toc3300958_1468164448"/>
      <w:bookmarkStart w:id="1771" w:name="_Toc700"/>
      <w:bookmarkEnd w:id="1770"/>
      <w:r>
        <w:rPr>
          <w:rtl w:val="true"/>
        </w:rPr>
        <w:t>توضیح السؤال ثانیاً</w:t>
      </w:r>
      <w:bookmarkEnd w:id="1771"/>
    </w:p>
    <w:p>
      <w:pPr>
        <w:pStyle w:val="BookText"/>
        <w:rPr/>
      </w:pPr>
      <w:r>
        <w:rPr>
          <w:rFonts w:ascii="IRNazanin" w:hAnsi="IRNazanin" w:eastAsia="IRNazanin"/>
          <w:color w:val="111111"/>
          <w:sz w:val="28"/>
          <w:sz w:val="28"/>
          <w:szCs w:val="28"/>
          <w:rtl w:val="true"/>
          <w:lang w:bidi="fa-IR"/>
        </w:rPr>
        <w:t>ولأجل أن یتبلور التساؤل الثانی نعیده ثانیة بشی من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إحراز الإمتثال علی درجات، والبحث قد یفرض فیه علی صعید الشبهة الحکمیة وأخری علی صعید الشبهة الموضوعیة، فامتثال الصلاة تارة یحرز بالظن المعتبر، وأخری یقطع بالفراغ عنها وثالثة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هذا من قسم الشبهة الموضوعیة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الشک فی الإمتثال ناشئاً من شبهة 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الإمتثال الظنی هو المستند إلی ظن فی الشبهة الحکمیة لا فی الشبهة الموضوعیة کما هو الحال فی الحالة السابقة</w:t>
      </w:r>
      <w:r>
        <w:rPr>
          <w:rFonts w:eastAsia="IRNazanin" w:cs="IRNazanin"/>
          <w:color w:val="111111"/>
          <w:sz w:val="28"/>
          <w:szCs w:val="28"/>
          <w:rtl w:val="true"/>
          <w:lang w:bidi="fa-IR"/>
        </w:rPr>
        <w:t>.</w:t>
      </w:r>
      <w:bookmarkStart w:id="1772" w:name="pg16983_381622"/>
    </w:p>
    <w:p>
      <w:pPr>
        <w:pStyle w:val="BookText"/>
        <w:rPr/>
      </w:pPr>
      <w:bookmarkEnd w:id="1772"/>
      <w:r>
        <w:rPr>
          <w:rFonts w:ascii="IRNazanin" w:hAnsi="IRNazanin" w:eastAsia="IRNazanin"/>
          <w:color w:val="111111"/>
          <w:sz w:val="28"/>
          <w:sz w:val="28"/>
          <w:szCs w:val="28"/>
          <w:rtl w:val="true"/>
          <w:lang w:bidi="fa-IR"/>
        </w:rPr>
        <w:t>فإحراز الإمتثال فی حین أنه مرحلة أخیرة فی الحکم إلاّ أنه ینقسم بدوره إلی شبهة موضوعیة وحکمیة، والظن فیه تارة ظن فی الشبهة الموضوعیة وأخری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هذا التقسیم یجری فی کلّ مراحل الحکم عدا الإنشائیة، فإحراز الحکم یمکن أن یفرض علی نحو الشبهة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العلم الإجمالی بوجود أحکام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بنحو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بتحقق الزوال ونجاسة الإناء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والفعلیة إن کانت مقدّرة فهی حکمیة وإن کانت خارجیة فهی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یتضح الحاجة إلی تشقیق البحث فی العلم الإجمالی إلی الشبهة الحکمیة والموضوعیة لاختلاف علاج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البحث فی کلّ شیء فی مرحلتین،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العلم منجزاً،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امتثال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نرجع إلی التساؤل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فرّق الشیخ وغیره بین التبعیض فی الإحتیاط فی الشبهة الحکمیة والظن علی الحکومة، وکأنّ هذه التفرقة ترجع إلی أنّ التبعیض مرتبط بالشبهة الموضوعیة، والظن علی الحکومة مرتبط بالشبهة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أنّ هذا غیر صحیح؛ لأن الإمتثال الظنی یرجع إلی الشبهة الحکمیة الناشئ من الظن بالحکم المنجّز ومن ثمّ لا یبقی فرق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الإحتیاط وتبعیضه فی الشبهة الحکمیة بحث أصولی لا فقهی، فهو بحث حججی إحرازی</w:t>
      </w:r>
      <w:r>
        <w:rPr>
          <w:rFonts w:eastAsia="IRNazanin" w:cs="IRNazanin"/>
          <w:color w:val="111111"/>
          <w:sz w:val="28"/>
          <w:szCs w:val="28"/>
          <w:rtl w:val="true"/>
          <w:lang w:bidi="fa-IR"/>
        </w:rPr>
        <w:t>.</w:t>
      </w:r>
    </w:p>
    <w:p>
      <w:pPr>
        <w:pStyle w:val="Heading6"/>
        <w:numPr>
          <w:ilvl w:val="5"/>
          <w:numId w:val="1"/>
        </w:numPr>
        <w:rPr/>
      </w:pPr>
      <w:bookmarkStart w:id="1773" w:name="__RefHeading___Toc3300960_1468164448"/>
      <w:bookmarkStart w:id="1774" w:name="_Toc701"/>
      <w:bookmarkEnd w:id="1773"/>
      <w:r>
        <w:rPr>
          <w:rtl w:val="true"/>
        </w:rPr>
        <w:t>الجواب عن السؤال</w:t>
      </w:r>
      <w:bookmarkEnd w:id="177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دفاعاً عن الفرق بأنه بناء علی حجّیة الظن یکون الظن منجّزاً ومعذّراً ولوازمه حجّة، بخلافه علی الإحتیاط فإنّ لوازمه لیست حجّة والظن بالإمتثال والحکم معذّر فقط والمنجّز هو العلم</w:t>
      </w:r>
      <w:r>
        <w:rPr>
          <w:rFonts w:eastAsia="IRNazanin" w:cs="IRNazanin"/>
          <w:color w:val="111111"/>
          <w:sz w:val="28"/>
          <w:szCs w:val="28"/>
          <w:rtl w:val="true"/>
          <w:lang w:bidi="fa-IR"/>
        </w:rPr>
        <w:t>.</w:t>
      </w:r>
      <w:bookmarkStart w:id="1775" w:name="pg16983_381624"/>
    </w:p>
    <w:p>
      <w:pPr>
        <w:pStyle w:val="BookText"/>
        <w:rPr/>
      </w:pPr>
      <w:bookmarkEnd w:id="1775"/>
      <w:r>
        <w:rPr>
          <w:rFonts w:ascii="IRNazanin" w:hAnsi="IRNazanin" w:eastAsia="IRNazanin"/>
          <w:color w:val="111111"/>
          <w:sz w:val="28"/>
          <w:sz w:val="28"/>
          <w:szCs w:val="28"/>
          <w:rtl w:val="true"/>
          <w:lang w:bidi="fa-IR"/>
        </w:rPr>
        <w:t>إلاّ أنّ هذا الجواب غیر تام لأنه مبنی علی أنّ التبعیض فی الشبهة الموضوعیة لا الحکمیة وأنه احتیاط فقهی لا أصولی</w:t>
      </w:r>
      <w:r>
        <w:rPr>
          <w:rFonts w:eastAsia="IRNazanin" w:cs="IRNazanin"/>
          <w:color w:val="111111"/>
          <w:sz w:val="28"/>
          <w:szCs w:val="28"/>
          <w:rtl w:val="true"/>
          <w:lang w:bidi="fa-IR"/>
        </w:rPr>
        <w:t>.</w:t>
      </w:r>
    </w:p>
    <w:p>
      <w:pPr>
        <w:pStyle w:val="Heading6"/>
        <w:numPr>
          <w:ilvl w:val="5"/>
          <w:numId w:val="1"/>
        </w:numPr>
        <w:rPr/>
      </w:pPr>
      <w:bookmarkStart w:id="1776" w:name="__RefHeading___Toc3300962_1468164448"/>
      <w:bookmarkStart w:id="1777" w:name="_Toc702"/>
      <w:bookmarkEnd w:id="1776"/>
      <w:r>
        <w:rPr>
          <w:rtl w:val="true"/>
        </w:rPr>
        <w:t>بیان المائز بین الإحتیاط الفقهی والأصولی</w:t>
      </w:r>
      <w:bookmarkEnd w:id="1777"/>
    </w:p>
    <w:p>
      <w:pPr>
        <w:pStyle w:val="BookText"/>
        <w:rPr/>
      </w:pPr>
      <w:r>
        <w:rPr>
          <w:rFonts w:ascii="IRNazanin" w:hAnsi="IRNazanin" w:eastAsia="IRNazanin"/>
          <w:color w:val="111111"/>
          <w:sz w:val="28"/>
          <w:sz w:val="28"/>
          <w:szCs w:val="28"/>
          <w:rtl w:val="true"/>
          <w:lang w:bidi="fa-IR"/>
        </w:rPr>
        <w:t>ومن أجل أن تتبلور ملاحظتنا علی الجواب لابدّ من التفرقة بین الإحتیاط الفقهی والأصولی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الإحتیاط الأصولی یختلف سنخه عن الإحتیاط الفقهی، فإنّ الأول فی الشبهات الحکمیة والثانی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فالشبهة الحکمیة لما کانت تعالج بعلاج أصولی فالإحتیاط فیها أصولی، والشبهة الموضوعیة لما کانت تعالج لعلاج فقهی فالإحتیاط فیها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دائرة الإحتیاط الأصولی أضیق من دائرة الإحتیاط الفقهی، فإذا دار الأمر بین مجتهدین متساویین فهناک رأی بأنّ العمل یکون بأحوط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الإحتیاط أصولی، وهو غیر الإحتیاط الذی یذکر فی أول الرسالة العملیة من أنّ الإنسان إما أن یکون مجتهداً محتاطاً أو مقلداً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الأول احتیاط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یبقی محصوراً فی دائرة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الإحتیاط فی الواقع بما هو واقع فإنّه لا یتمّ إلاّ بملاحظة کلّ احتمالات المسألة، وهو الإحتیاط الفقهی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الأصولی هو مراعاة الواقع من قناة الطریق الأصولیة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التحفظ علی الواقع من طریق الحکایة والإحراز 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متعلّق بالواقع ولکن عبر الطریق والحکم الأصولی، بینما الفقهی هو التحفظ علی الواقع بما هو هو ومباشرة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الفارق یعتمد علی فهم کُنه الحکم الأصولی، فإنه علی اختلاف المبانی فیه یشترک الجمیع فی أنّ ملاکه الإستطراق والتحفظ علی الواقع، فهو حکم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خواص الحکم الطریقی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لا عقوبة علیه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الدارج بین الأعلام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امتثاله وعصیانه بلحاظ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فالإحتیاط فی الطرق لا یعدو التحفظ علی الواقع ولکن من خلال إطار الطریق؛ لأنّ الطریق معذّر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لا یجب التحفظ علی الواقع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لابدّ من الإتیان بالواقع من خلاله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فالإحتیاط الأصولی هو التحفظ علی الواقع بقدر ما یریه مجموعها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الأصولی یتولد من العلم بوجود جعل للطرق من الشارع، فیحتفظ علی الواقع بقدر ما یکشفه مجموعها فقط، أما الفقهی فهو یتولد من العلم بوجود أحکام فیتحفظ علی الواقع بقدر کلّ احتمالاته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الإحتیاط فی الطرق لا یختلف بتاتاً عما لو کان الطریق معلوماً تفصیلاً أنه حجّة بالأخذ بمدلوله المطابقی والإلتزامی والتخصیص به فکیفیة العمل وکمّیته واحدة والوجه مختلف، ففی الوقت الذی هو احتیاط هو عمل بالطریق ومتابعة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الإحتیاط الفقهی فهو وظیفة عملیة بحتة فلا تکون مثبتاته حجّة</w:t>
      </w:r>
    </w:p>
    <w:p>
      <w:pPr>
        <w:pStyle w:val="BookText"/>
        <w:rPr/>
      </w:pPr>
      <w:r>
        <w:rPr>
          <w:rFonts w:ascii="IRNazanin" w:hAnsi="IRNazanin" w:eastAsia="IRNazanin"/>
          <w:color w:val="111111"/>
          <w:sz w:val="28"/>
          <w:sz w:val="28"/>
          <w:szCs w:val="28"/>
          <w:rtl w:val="true"/>
          <w:lang w:bidi="fa-IR"/>
        </w:rPr>
        <w:t>وغیر ذلک فهو نظیر العلم التفصیلی بالحکم الفقهی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کالفرق بین العلم التفصیلی</w:t>
      </w:r>
      <w:bookmarkStart w:id="1778" w:name="pg16983_381629"/>
    </w:p>
    <w:p>
      <w:pPr>
        <w:pStyle w:val="BookText"/>
        <w:rPr/>
      </w:pPr>
      <w:bookmarkEnd w:id="1778"/>
      <w:r>
        <w:rPr>
          <w:rFonts w:ascii="IRNazanin" w:hAnsi="IRNazanin" w:eastAsia="IRNazanin"/>
          <w:color w:val="111111"/>
          <w:sz w:val="28"/>
          <w:sz w:val="28"/>
          <w:szCs w:val="28"/>
          <w:rtl w:val="true"/>
          <w:lang w:bidi="fa-IR"/>
        </w:rPr>
        <w:t>بالحکم الأصولی والعلم تفصیلاً بالحکم الفقهی</w:t>
      </w:r>
      <w:r>
        <w:rPr>
          <w:rFonts w:eastAsia="IRNazanin" w:cs="IRNazanin"/>
          <w:color w:val="111111"/>
          <w:sz w:val="28"/>
          <w:szCs w:val="28"/>
          <w:rtl w:val="true"/>
          <w:lang w:bidi="fa-IR"/>
        </w:rPr>
        <w:t>.</w:t>
      </w:r>
      <w:r>
        <w:rPr>
          <w:rStyle w:val="FootnoteAnchor"/>
          <w:rtl w:val="true"/>
        </w:rPr>
        <w:footnoteReference w:id="277"/>
      </w:r>
    </w:p>
    <w:p>
      <w:pPr>
        <w:pStyle w:val="Heading6"/>
        <w:numPr>
          <w:ilvl w:val="5"/>
          <w:numId w:val="1"/>
        </w:numPr>
        <w:rPr/>
      </w:pPr>
      <w:bookmarkStart w:id="1779" w:name="__RefHeading___Toc3300964_1468164448"/>
      <w:bookmarkStart w:id="1780" w:name="_Toc703"/>
      <w:bookmarkEnd w:id="1779"/>
      <w:r>
        <w:rPr>
          <w:rtl w:val="true"/>
        </w:rPr>
        <w:t>الخلط بین القسمین من الإحتیاط فی کلمات الأعلام</w:t>
      </w:r>
      <w:bookmarkEnd w:id="1780"/>
    </w:p>
    <w:p>
      <w:pPr>
        <w:pStyle w:val="BookText"/>
        <w:rPr/>
      </w:pPr>
      <w:r>
        <w:rPr>
          <w:rFonts w:ascii="IRNazanin" w:hAnsi="IRNazanin" w:eastAsia="IRNazanin"/>
          <w:color w:val="111111"/>
          <w:sz w:val="28"/>
          <w:sz w:val="28"/>
          <w:szCs w:val="28"/>
          <w:rtl w:val="true"/>
          <w:lang w:bidi="fa-IR"/>
        </w:rPr>
        <w:t>وإذا اتضحت هذه الفوارق تتبلور ملاحظتنا علی الدفاع عن الفرق بین التبعیض بالإحتیاط والظن علی الحکومة، بل یبدو أنّ هناک خلطاً بین القسمین من الإحتیاط، وأنه هو السرّ فی عدم التنبه إلی وحدة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فالآخوند مثلاً ذکر انحلال العلم الکبیر بالعلم الصغیر، وأنّ الإحتیاط فیه لیس بعسر ومن ثمّ لا تصل النوبة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واستشهد الآخوند وغیره علی عدم عسر الإحتیاط بأنه کما لم یلزم العسر بالعمل بالاخبار جمیعاً من باب الظن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ذلک الأخباریون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لا یلزم مع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یرجع إلی ما ذکرناه من أنّ کیفیة العمل واحدة والمستند مختلف فبعض جعله العلم التفصیلی وآخر العلم الإجمالی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یلاحظ علیه أنّ العلم الإجمالی المذکور متعلّق بالأحکام الفقهیة فهو ینتج احتیاطاً فقهیاً، ما ذکر فی کلماتهم هو الإحتیاط الأصولی؛ لأنّ الإحتیاط الفقهی یعنی مراعاة کلّ احتمالات الواقع، بینما هم لم یصوغوا الإحتیاط بالشکل الفقهی بقرینة تنظیرهم إیاه بالعمل بالأخبار من باب الظن الخاص</w:t>
      </w:r>
      <w:r>
        <w:rPr>
          <w:rFonts w:eastAsia="IRNazanin" w:cs="IRNazanin"/>
          <w:color w:val="111111"/>
          <w:sz w:val="28"/>
          <w:szCs w:val="28"/>
          <w:rtl w:val="true"/>
          <w:lang w:bidi="fa-IR"/>
        </w:rPr>
        <w:t>.</w:t>
      </w:r>
      <w:bookmarkStart w:id="1781" w:name="pg16983_381631"/>
    </w:p>
    <w:p>
      <w:pPr>
        <w:pStyle w:val="Heading6"/>
        <w:numPr>
          <w:ilvl w:val="5"/>
          <w:numId w:val="1"/>
        </w:numPr>
        <w:rPr/>
      </w:pPr>
      <w:bookmarkStart w:id="1782" w:name="__RefHeading___Toc3300966_1468164448"/>
      <w:bookmarkStart w:id="1783" w:name="_Toc704"/>
      <w:bookmarkEnd w:id="1781"/>
      <w:bookmarkEnd w:id="1782"/>
      <w:r>
        <w:rPr>
          <w:rtl w:val="true"/>
        </w:rPr>
        <w:t>المناقشة فی کلام الشیخ</w:t>
      </w:r>
      <w:bookmarkEnd w:id="1783"/>
    </w:p>
    <w:p>
      <w:pPr>
        <w:pStyle w:val="BookText"/>
        <w:rPr/>
      </w:pPr>
      <w:r>
        <w:rPr>
          <w:rFonts w:ascii="IRNazanin" w:hAnsi="IRNazanin" w:eastAsia="IRNazanin"/>
          <w:color w:val="111111"/>
          <w:sz w:val="28"/>
          <w:sz w:val="28"/>
          <w:szCs w:val="28"/>
          <w:rtl w:val="true"/>
          <w:lang w:bidi="fa-IR"/>
        </w:rPr>
        <w:t>بعد کلّ هذا تبلور أنّ تفرقة الشیخ بین التبعیض فی الإحتیاط والظن علی الحکومة فی غیر محلّه؛ لأنّ التبعیض المذکور متولد من الظنون المحرزة والطرق للواقع، فاعتباره یساوی اعتبار الظن والطریق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الإمتثال الظنی فی الشبهة الحکمیة لابدّ أن یکون ناشئاً من ظن بالشبهة الحکمیة ومعه لا یبقی فرق مع الظن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الإحتیاط المذکور فی کلمات الشیخ أصولی لا فقهی وإلاّ لزم العسر والحرج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بعّضنا أو لم نبعّض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فی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والإحتیاط الأصولی یلازم العلم الإجمالی بنصب الطرق والإحتیاط فی دائرتها الذی یرجع إلی العمل کما لو کانت معلومة تفصیلاً، فلا یفترق عن حجّیة الظن علی الحکومة الذی هو اجتزاء العقل بهذا القدر من الموافقة للعلم الإجمالی بنصب الطرق</w:t>
      </w:r>
      <w:r>
        <w:rPr>
          <w:rFonts w:eastAsia="IRNazanin" w:cs="IRNazanin"/>
          <w:color w:val="111111"/>
          <w:sz w:val="28"/>
          <w:szCs w:val="28"/>
          <w:rtl w:val="true"/>
          <w:lang w:bidi="fa-IR"/>
        </w:rPr>
        <w:t>.</w:t>
      </w:r>
    </w:p>
    <w:p>
      <w:pPr>
        <w:pStyle w:val="Heading6"/>
        <w:numPr>
          <w:ilvl w:val="5"/>
          <w:numId w:val="1"/>
        </w:numPr>
        <w:rPr/>
      </w:pPr>
      <w:bookmarkStart w:id="1784" w:name="__RefHeading___Toc3300968_1468164448"/>
      <w:bookmarkStart w:id="1785" w:name="_Toc705"/>
      <w:bookmarkEnd w:id="1784"/>
      <w:r>
        <w:rPr>
          <w:rtl w:val="true"/>
        </w:rPr>
        <w:t>إبطال الإحتیاط وسائر الخیارات الأخری عدا الظن</w:t>
      </w:r>
      <w:bookmarkEnd w:id="1785"/>
    </w:p>
    <w:p>
      <w:pPr>
        <w:pStyle w:val="BookText"/>
        <w:rPr/>
      </w:pPr>
      <w:r>
        <w:rPr>
          <w:rFonts w:ascii="IRNazanin" w:hAnsi="IRNazanin" w:eastAsia="IRNazanin"/>
          <w:color w:val="111111"/>
          <w:sz w:val="28"/>
          <w:sz w:val="28"/>
          <w:szCs w:val="28"/>
          <w:rtl w:val="true"/>
          <w:lang w:bidi="fa-IR"/>
        </w:rPr>
        <w:t>أما الإحتیاط الکلّی فقد ذکروا أنه یؤدّی إلی اختلال النظام، والبعض أضاف إلی أنه حتی لو کان جزئیاً فهو یوجب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الکفایة یعلّق علی هذه الضمیمة بأنّ قاعدة العسر إنما تجری علی مسلک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أنّ الأدلّة نافیة مباشرة للحکم الحرجی والضرری فلا حرج ولا ضرر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مسلک الآخوند فهو رفع الفعل الضرری والحرجی وهو یرجع لباً إلی رفع أثره وهو حکمه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أشکل البعض علی رأی الآخوند بأنّ لازمه عدم رفع الآثار الاولیة وإنما لازمه رفع الآثار التی اتخذت من الحرج والضرر</w:t>
      </w:r>
      <w:bookmarkStart w:id="1786" w:name="pg16983_381633"/>
    </w:p>
    <w:p>
      <w:pPr>
        <w:pStyle w:val="BookText"/>
        <w:rPr/>
      </w:pPr>
      <w:bookmarkEnd w:id="1786"/>
      <w:r>
        <w:rPr>
          <w:rFonts w:ascii="IRNazanin" w:hAnsi="IRNazanin" w:eastAsia="IRNazanin"/>
          <w:color w:val="111111"/>
          <w:sz w:val="28"/>
          <w:sz w:val="28"/>
          <w:szCs w:val="28"/>
          <w:rtl w:val="true"/>
          <w:lang w:bidi="fa-IR"/>
        </w:rPr>
        <w:t xml:space="preserve">موضوعاً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فالحرج قید حکم التکلیف الذی هو الکراهة، والضرر قید حکم حرمة الضرر فیحرم القیام بفعل یوجب الضرر، أما مثل الصلاة فلم یؤخذ فی موضوعها الحرج کی یرفع حکمها مآلاً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صاحب الکفایة من ارتفاع الأثر لیس خصوص ما ذکر وإنما الأثر الاولی أیضاً بطروّ الحرج والضرر علی العقل، نظیر الخطأ والنسیان فإنّ الرفع للأثر الأولی للفعل لولا الخطأ والنسیان، لا رفع الأثر المترتب علی نفس الخطأ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الکفایة ذکر أنه علی مسلکه فی قاعدة العسر والحرج لا تجری القاعدة إذا لزم من الإحتیاط فیما نحن فیه العسر والحرج؛ وذلک لأنّ الفعل المعلوم بالإجمال فی واقعة لیس حرجیاً وإنما الحرج تولد من مراعاة مجموع الأطراف وهی غیر 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بخلافه علی مسلک الشیخ وذلک لأنّ الحکم المعلوم بالإجمال سبب للإحتیاط الذی هو أثر عقلی للحکم الشرعی، فیتصف الحکم الشرعی بأنه حرجی، فیرتفع بتوسط قاعدة العسر والحرج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لا مشکلة علی مبنی الآخوند فی التبعیض بالإحتیاط، بخلافه علی مبنی الشیخ فإنّ ما هو عسر من التبعیض باطل دون ما هو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النائینی والمحقّق الإصفهانی قالا ببطلان الإحتیاط شرعاً، کلّ بصیاغة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وکلتا الصیاغتین تبطل الإحتیاط من رأس حتی التبعیض بالإحتیاط</w:t>
      </w:r>
      <w:r>
        <w:rPr>
          <w:rFonts w:eastAsia="IRNazanin" w:cs="IRNazanin"/>
          <w:color w:val="111111"/>
          <w:sz w:val="28"/>
          <w:szCs w:val="28"/>
          <w:rtl w:val="true"/>
          <w:lang w:bidi="fa-IR"/>
        </w:rPr>
        <w:t>.</w:t>
      </w:r>
    </w:p>
    <w:p>
      <w:pPr>
        <w:pStyle w:val="Heading6"/>
        <w:numPr>
          <w:ilvl w:val="5"/>
          <w:numId w:val="1"/>
        </w:numPr>
        <w:rPr/>
      </w:pPr>
      <w:bookmarkStart w:id="1787" w:name="__RefHeading___Toc3300970_1468164448"/>
      <w:bookmarkStart w:id="1788" w:name="_Toc706"/>
      <w:bookmarkEnd w:id="1787"/>
      <w:r>
        <w:rPr>
          <w:rtl w:val="true"/>
        </w:rPr>
        <w:t>مناقشات</w:t>
      </w:r>
      <w:bookmarkEnd w:id="1788"/>
    </w:p>
    <w:p>
      <w:pPr>
        <w:pStyle w:val="BookText"/>
        <w:rPr/>
      </w:pPr>
      <w:r>
        <w:rPr>
          <w:rFonts w:ascii="IRNazanin" w:hAnsi="IRNazanin" w:eastAsia="IRNazanin"/>
          <w:color w:val="111111"/>
          <w:sz w:val="28"/>
          <w:sz w:val="28"/>
          <w:szCs w:val="28"/>
          <w:rtl w:val="true"/>
          <w:lang w:bidi="fa-IR"/>
        </w:rPr>
        <w:t>ولنا ملاحظات علی کلام الأعلام جملة وتفصیلاً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المراد من الإحتیاط إن کان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کلمات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یؤدی إلی اختلال النظام مهما بعّضنا فیه حتی فی الباب الواحد من المعاملات بالمعنی الأعم</w:t>
      </w:r>
      <w:r>
        <w:rPr>
          <w:rFonts w:eastAsia="IRNazanin" w:cs="IRNazanin"/>
          <w:color w:val="111111"/>
          <w:sz w:val="28"/>
          <w:szCs w:val="28"/>
          <w:rtl w:val="true"/>
          <w:lang w:bidi="fa-IR"/>
        </w:rPr>
        <w:t>.</w:t>
      </w:r>
      <w:bookmarkStart w:id="1789" w:name="pg16983_381635"/>
    </w:p>
    <w:p>
      <w:pPr>
        <w:pStyle w:val="BookText"/>
        <w:rPr/>
      </w:pPr>
      <w:bookmarkEnd w:id="1789"/>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الإحتیاط إذا کان اصولیاً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یظهر من عبارة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منه اختلال النظام ولا عسر وحرج متی لو کان کلّیاً، لما ذکرناه من أنه عین العمل بالطرق لو کانت معلومة تفصیلاً</w:t>
      </w:r>
      <w:r>
        <w:rPr>
          <w:rFonts w:eastAsia="IRNazanin" w:cs="IRNazanin"/>
          <w:color w:val="111111"/>
          <w:sz w:val="28"/>
          <w:szCs w:val="28"/>
          <w:rtl w:val="true"/>
          <w:lang w:bidi="fa-IR"/>
        </w:rPr>
        <w:t>.</w:t>
      </w:r>
      <w:r>
        <w:rPr>
          <w:rStyle w:val="FootnoteAnchor"/>
          <w:rtl w:val="true"/>
        </w:rPr>
        <w:footnoteReference w:id="278"/>
      </w:r>
    </w:p>
    <w:p>
      <w:pPr>
        <w:pStyle w:val="Heading6"/>
        <w:numPr>
          <w:ilvl w:val="5"/>
          <w:numId w:val="1"/>
        </w:numPr>
        <w:rPr/>
      </w:pPr>
      <w:bookmarkStart w:id="1790" w:name="__RefHeading___Toc3300972_1468164448"/>
      <w:bookmarkStart w:id="1791" w:name="_Toc707"/>
      <w:bookmarkEnd w:id="1790"/>
      <w:r>
        <w:rPr>
          <w:rtl w:val="true"/>
        </w:rPr>
        <w:t>قاعدة الحرج الثانیة</w:t>
      </w:r>
      <w:bookmarkEnd w:id="179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قاعدة حرج أخری بتوسطها یرفع أصل الإحتیاط حتی الجزئی لا بمقدار الحرج الشخصی کما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الحرج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بحثها مفصلاً فی قاعدة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العلم أنّ مشهور الفقهاء إلی صاحب الجواهر قد التزم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النوعی، وهو تارة یراد منه نوع الفعل، وأخری نوع الإنسان استفراغاً، وثالثة المجموع الغالب للمکلّفین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بالنوعی فی الحرج المنفی هو النوع الثالث</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ومثاله موقف الشیعة فی عرفة، فإنه لو ألزم الشیعة بالموقف الواقعی للزمه الحرج النوعی، بمعنی أنّ المجموع یقعون فی حرج</w:t>
      </w:r>
      <w:r>
        <w:rPr>
          <w:rFonts w:eastAsia="IRNazanin" w:cs="IRNazanin"/>
          <w:color w:val="111111"/>
          <w:sz w:val="28"/>
          <w:szCs w:val="28"/>
          <w:rtl w:val="true"/>
          <w:lang w:bidi="fa-IR"/>
        </w:rPr>
        <w:t>.</w:t>
      </w:r>
      <w:bookmarkStart w:id="1792" w:name="pg16983_381637"/>
    </w:p>
    <w:p>
      <w:pPr>
        <w:pStyle w:val="BookText"/>
        <w:rPr/>
      </w:pPr>
      <w:bookmarkEnd w:id="1792"/>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یسبّب حرجاً للطائفة</w:t>
      </w:r>
      <w:r>
        <w:rPr>
          <w:rFonts w:eastAsia="IRNazanin" w:cs="IRNazanin"/>
          <w:color w:val="111111"/>
          <w:sz w:val="28"/>
          <w:szCs w:val="28"/>
          <w:rtl w:val="true"/>
          <w:lang w:bidi="fa-IR"/>
        </w:rPr>
        <w:t>.</w:t>
      </w:r>
      <w:r>
        <w:rPr>
          <w:rStyle w:val="FootnoteAnchor"/>
          <w:rtl w:val="true"/>
        </w:rPr>
        <w:footnoteReference w:id="279"/>
      </w:r>
    </w:p>
    <w:p>
      <w:pPr>
        <w:pStyle w:val="Heading6"/>
        <w:numPr>
          <w:ilvl w:val="5"/>
          <w:numId w:val="1"/>
        </w:numPr>
        <w:rPr/>
      </w:pPr>
      <w:bookmarkStart w:id="1793" w:name="__RefHeading___Toc3300974_1468164448"/>
      <w:bookmarkStart w:id="1794" w:name="_Toc708"/>
      <w:bookmarkEnd w:id="1793"/>
      <w:r>
        <w:rPr>
          <w:rtl w:val="true"/>
        </w:rPr>
        <w:t>أدلّة القاعدة</w:t>
      </w:r>
      <w:bookmarkEnd w:id="1794"/>
    </w:p>
    <w:p>
      <w:pPr>
        <w:pStyle w:val="BookText"/>
        <w:rPr/>
      </w:pPr>
      <w:r>
        <w:rPr>
          <w:rFonts w:ascii="IRNazanin" w:hAnsi="IRNazanin" w:eastAsia="IRNazanin"/>
          <w:color w:val="111111"/>
          <w:sz w:val="28"/>
          <w:sz w:val="28"/>
          <w:szCs w:val="28"/>
          <w:rtl w:val="true"/>
          <w:lang w:bidi="fa-IR"/>
        </w:rPr>
        <w:t>ولاتضاح هذا النوع من الحرج نلفت الانتباه إلی أدلّة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بالحنیفیة السمحة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وغیرها مما هو ظاهر فی بیان أساس التشریع وفلسفة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 لم یستفد من هذه الأدلّة حکماً شرعیاً؛ لأنّ الظاهر منها هو بیان حکمة الأحکام لا علّتها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الحقّ ما ذکرناه سابقاً من أنّ العمومات الفوقانیة کلّها تشریعات ولیست فقط أنها بیان للمقاصد وروح الشریعة</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وقد استفاد منها الفقهاء القدماء فی موارد خمسة، بل زاد علیها المحقّق القمی، بل زاد علیها الشیخ جعفر کاشف الغطاء فی قواعده الستة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هذه القاعدة فهمها وفهم فذلکتها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والتفاصیل فی قاعدة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بحکم کونها عموماً فوقانیاً تکون مهیمنة علی التشریعات النازلة، بمعنی أنّ لها نوعاً من التقدیم إما علی إطلاق التشریع النازل أو بنحو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نحن فیه فإنّ الشریعة بحکم سهولتها لا یمکن أن تبنی علی الإحتیاط، بحیث تکون وظیفة عموم الأتباع هو الإحتیاط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قالوه فی قاعدة الحرج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مبنی الشیخ والآخوند فی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أننا لسنا فی صدد نفی الثمرات الأخری، ولکن فی خصوص ما نحن فیه لا تظهر الثمرة؛ لأنّ الحرج وصف یصح أن یسند إلی الحکم والفعل بالواسطة، فإنّ الحکم الشرعی لیس من نفسه حرجیاً لولا العلم الإجمالی والتنجیز العقلی، فهو حرجی بواسطة أثره، وهو التنجیز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کذلک لیس فی نفسه حرجیاً ولکن حکم العقل بضرورة إحراز الإمتثال والفعل هو الذی سیکون وراء حرجیة الفعل بعد أن کان الفعل معلوماً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منهما یتصف بالحرجیة بالواسطة لا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للتفصیل بین المبنیین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الأدلّة التی أعدّها الآخوند فی اختیاره هو أنّ الحرج وصف حقیقی للفعل ویسند مجازاً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هذا الدلیل أن لا یفرق الآخوند هنا بین المبنیین، وذلک لأنّ مختاره أنّ کلّ مورد</w:t>
      </w:r>
      <w:bookmarkStart w:id="1795" w:name="pg16983_381641"/>
    </w:p>
    <w:p>
      <w:pPr>
        <w:pStyle w:val="BookText"/>
        <w:rPr/>
      </w:pPr>
      <w:bookmarkEnd w:id="1795"/>
      <w:r>
        <w:rPr>
          <w:rFonts w:ascii="IRNazanin" w:hAnsi="IRNazanin" w:eastAsia="IRNazanin"/>
          <w:color w:val="111111"/>
          <w:sz w:val="28"/>
          <w:sz w:val="28"/>
          <w:szCs w:val="28"/>
          <w:rtl w:val="true"/>
          <w:lang w:bidi="fa-IR"/>
        </w:rPr>
        <w:t>یوصف به الحکم بالحرج فهو نابع من اتصاف الفعل حقیقة فی مرتبة سابقة، مع أنه قبل علی مبنی الشیخ ترتب الحرج علی الحکم دون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الملاحظات المذکورة الأولی والثانیة، حیث إن الإحتیاط الفقهی یلزم منه العسر والحرج بل اختلال النظام مهما بعض، وأنّ الإحتیاط الأصولی هو الصحیح وهو الذی نلحظه مرتکزاً بین الأعلام، وأنّ الملاحظة الثالثة کفیلة بإبطال الإحتیاط الفقهی حتی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الإحتیاط الفقهی الکلّی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بالإتفاق وإن اختلفت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بالإخلال بالنظام وبقاعدة الحرج النوعی والشخصی، ومرفوع بصیاغتین المحقّق النائینی والمحقّق الإصفهانی الشرعیتین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الإحتیاط الفقهی الجزئی مرفوع بالحرج الشخصی والإخلال بالنظام فی المعاملات، والحرج النوعی، وصیاغتا المحقّق النائینی والمحقّق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الإحتیاط الأصولی الکلّی والجزئی لا یلزم منه شیء من المحاذیر السابقة، لا اختلال النظام ولا العسر والحرج الشخصی کذا النوعی ولا صیاغة المحقّق النائینی ولا صیاغة المحقّق الإصفهانی</w:t>
      </w:r>
      <w:r>
        <w:rPr>
          <w:rFonts w:eastAsia="IRNazanin" w:cs="IRNazanin"/>
          <w:color w:val="111111"/>
          <w:sz w:val="28"/>
          <w:szCs w:val="28"/>
          <w:rtl w:val="true"/>
          <w:lang w:bidi="fa-IR"/>
        </w:rPr>
        <w:t>.</w:t>
      </w:r>
    </w:p>
    <w:p>
      <w:pPr>
        <w:pStyle w:val="Heading6"/>
        <w:numPr>
          <w:ilvl w:val="5"/>
          <w:numId w:val="1"/>
        </w:numPr>
        <w:rPr/>
      </w:pPr>
      <w:bookmarkStart w:id="1796" w:name="__RefHeading___Toc3300976_1468164448"/>
      <w:bookmarkStart w:id="1797" w:name="_Toc709"/>
      <w:bookmarkEnd w:id="1796"/>
      <w:r>
        <w:rPr>
          <w:rtl w:val="true"/>
        </w:rPr>
        <w:t>إبطال البراءة وسائر الأصول النافیة</w:t>
      </w:r>
      <w:bookmarkEnd w:id="1797"/>
    </w:p>
    <w:p>
      <w:pPr>
        <w:pStyle w:val="BookText"/>
        <w:rPr/>
      </w:pPr>
      <w:r>
        <w:rPr>
          <w:rFonts w:ascii="IRNazanin" w:hAnsi="IRNazanin" w:eastAsia="IRNazanin"/>
          <w:color w:val="111111"/>
          <w:sz w:val="28"/>
          <w:sz w:val="28"/>
          <w:szCs w:val="28"/>
          <w:rtl w:val="true"/>
          <w:lang w:bidi="fa-IR"/>
        </w:rPr>
        <w:t>ویکفی فیه ما ذکر دلیلاً علی التنجیز فی المقدّمة الثالثة بکلّ صیاغاته الشرعیة العقلیة</w:t>
      </w:r>
      <w:r>
        <w:rPr>
          <w:rFonts w:eastAsia="IRNazanin" w:cs="IRNazanin"/>
          <w:color w:val="111111"/>
          <w:sz w:val="28"/>
          <w:szCs w:val="28"/>
          <w:rtl w:val="true"/>
          <w:lang w:bidi="fa-IR"/>
        </w:rPr>
        <w:t>.</w:t>
      </w:r>
    </w:p>
    <w:p>
      <w:pPr>
        <w:pStyle w:val="Heading6"/>
        <w:numPr>
          <w:ilvl w:val="5"/>
          <w:numId w:val="1"/>
        </w:numPr>
        <w:rPr/>
      </w:pPr>
      <w:bookmarkStart w:id="1798" w:name="__RefHeading___Toc3300978_1468164448"/>
      <w:bookmarkStart w:id="1799" w:name="_Toc710"/>
      <w:bookmarkEnd w:id="1798"/>
      <w:r>
        <w:rPr>
          <w:rtl w:val="true"/>
        </w:rPr>
        <w:t>إبطال الأصول المثبتة</w:t>
      </w:r>
      <w:bookmarkEnd w:id="1799"/>
    </w:p>
    <w:p>
      <w:pPr>
        <w:pStyle w:val="BookText"/>
        <w:rPr/>
      </w:pPr>
      <w:r>
        <w:rPr>
          <w:rFonts w:ascii="IRNazanin" w:hAnsi="IRNazanin" w:eastAsia="IRNazanin"/>
          <w:color w:val="111111"/>
          <w:sz w:val="28"/>
          <w:sz w:val="28"/>
          <w:szCs w:val="28"/>
          <w:rtl w:val="true"/>
          <w:lang w:bidi="fa-IR"/>
        </w:rPr>
        <w:t>صاحب الکفایة لم یمنع من الرجوع إلی الأصل المثبت لموافقته للتنجیز</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ضمّ ما ثبت من أحکام بالأصل إلی ما علم ضرورة أنه من الدین فلا یبعد انحلال العلم الإجمالی الکبیر فیمکن الرجوع للأصل</w:t>
      </w:r>
      <w:bookmarkStart w:id="1800" w:name="pg16983_381643"/>
    </w:p>
    <w:p>
      <w:pPr>
        <w:pStyle w:val="BookText"/>
        <w:rPr/>
      </w:pPr>
      <w:bookmarkEnd w:id="1800"/>
      <w:r>
        <w:rPr>
          <w:rFonts w:ascii="IRNazanin" w:hAnsi="IRNazanin" w:eastAsia="IRNazanin"/>
          <w:color w:val="111111"/>
          <w:sz w:val="28"/>
          <w:sz w:val="28"/>
          <w:szCs w:val="28"/>
          <w:rtl w:val="true"/>
          <w:lang w:bidi="fa-IR"/>
        </w:rPr>
        <w:t>المفرغ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ضجّ الأعلام من هذه الدعوی؛ لأنّ مقدار ما یثبته الأصل أقلّ قلیل فی الفقه حتی مع ضمّ الضروریات الفقهیة ولیس فقط الضروریات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نوسّع الضرورة الفقهیة بما ذکره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الحاجة للظن فی الفقه لثبوته بالعلم، ویقصد منه الإستفاضة والأخبار المقرونة بقرائن تفید الوثوق والإطمئنان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یمکن تفسیر کلام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ذهب إلیه السیّد المرتضی لا یمکن أن یدّعیه ویمارسه إلاّ أحد اثنین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قریب العهد من عهد النص کالسیّد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متضلعاً فی الفقه وبشکل شمولی کالشیخ کاشف الغطاء بحیث یرسی المسائل علی أدلّة قریبة ومتآخمة للعلم ولا یکتفی بالظن، خاصة فی المسائل العامة والکبریات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الأصل المثبت لا یبطل إلاّ أنه لا یغنی حیث لا ینحلّ به العلم الإجمالی</w:t>
      </w:r>
      <w:r>
        <w:rPr>
          <w:rFonts w:eastAsia="IRNazanin" w:cs="IRNazanin"/>
          <w:color w:val="111111"/>
          <w:sz w:val="28"/>
          <w:szCs w:val="28"/>
          <w:rtl w:val="true"/>
          <w:lang w:bidi="fa-IR"/>
        </w:rPr>
        <w:t>.</w:t>
      </w:r>
    </w:p>
    <w:p>
      <w:pPr>
        <w:pStyle w:val="Heading6"/>
        <w:numPr>
          <w:ilvl w:val="5"/>
          <w:numId w:val="1"/>
        </w:numPr>
        <w:rPr/>
      </w:pPr>
      <w:bookmarkStart w:id="1801" w:name="__RefHeading___Toc3300980_1468164448"/>
      <w:bookmarkStart w:id="1802" w:name="_Toc711"/>
      <w:bookmarkEnd w:id="1801"/>
      <w:r>
        <w:rPr>
          <w:rtl w:val="true"/>
        </w:rPr>
        <w:t>إبطال القرعة</w:t>
      </w:r>
      <w:bookmarkEnd w:id="1802"/>
    </w:p>
    <w:p>
      <w:pPr>
        <w:pStyle w:val="BookText"/>
        <w:rPr/>
      </w:pPr>
      <w:r>
        <w:rPr>
          <w:rFonts w:ascii="IRNazanin" w:hAnsi="IRNazanin" w:eastAsia="IRNazanin"/>
          <w:color w:val="111111"/>
          <w:sz w:val="28"/>
          <w:sz w:val="28"/>
          <w:szCs w:val="28"/>
          <w:rtl w:val="true"/>
          <w:lang w:bidi="fa-IR"/>
        </w:rPr>
        <w:t>بعض ذکر اختصاصها بالشبهة الموضوعیة ولکن الحقّ عمومیتها للشبهة الحکمیة لمعتبرة محمّد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ذکر أنّ طبیعة الجعل فی القرعة لیس کقاعدة عامة فی کلّ الفقه بحیث یرجع إلیها دوماً ویرسی الفقه علیها وإنما کشیء استثنائی جداً بل هی استثناء فی الحکم الثانوی ومن ثمّ کانت آخر الحلول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یجدر الإلفات إلی أنّ الحکم الثانوی أیضاً ضیّق النطاق؛ إذ الشارع لا یریده بشکل دائم أو مستمر وإنما فی حالة الطوارئ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علی الفقیه أن لا یبرز الحکم الثانوی بصورة الحکم الاولی</w:t>
      </w:r>
      <w:bookmarkStart w:id="1803" w:name="pg16983_381646"/>
    </w:p>
    <w:p>
      <w:pPr>
        <w:pStyle w:val="BookText"/>
        <w:rPr/>
      </w:pPr>
      <w:bookmarkEnd w:id="1803"/>
      <w:r>
        <w:rPr>
          <w:rFonts w:ascii="IRNazanin" w:hAnsi="IRNazanin" w:eastAsia="IRNazanin"/>
          <w:color w:val="111111"/>
          <w:sz w:val="28"/>
          <w:sz w:val="28"/>
          <w:szCs w:val="28"/>
          <w:rtl w:val="true"/>
          <w:lang w:bidi="fa-IR"/>
        </w:rPr>
        <w:t>مما یجعله فی معرض سوء الإستفادة وعدم الدقة فی تشخیص موضوعه والتسامح فی إیجاد المخرج الموضوعی منه، مع أنّ المطلوب عند الشارع هو التحفظ قدر الإمکان علی ملاکات الأحکام الأولیة، وأن یستفرغ الوسع تماماً فی ذلک</w:t>
      </w:r>
      <w:r>
        <w:rPr>
          <w:rFonts w:eastAsia="IRNazanin" w:cs="IRNazanin"/>
          <w:color w:val="111111"/>
          <w:sz w:val="28"/>
          <w:szCs w:val="28"/>
          <w:rtl w:val="true"/>
          <w:lang w:bidi="fa-IR"/>
        </w:rPr>
        <w:t>.</w:t>
      </w:r>
    </w:p>
    <w:p>
      <w:pPr>
        <w:pStyle w:val="Heading6"/>
        <w:numPr>
          <w:ilvl w:val="5"/>
          <w:numId w:val="1"/>
        </w:numPr>
        <w:rPr/>
      </w:pPr>
      <w:bookmarkStart w:id="1804" w:name="__RefHeading___Toc3300982_1468164448"/>
      <w:bookmarkStart w:id="1805" w:name="_Toc712"/>
      <w:bookmarkEnd w:id="1804"/>
      <w:r>
        <w:rPr>
          <w:rtl w:val="true"/>
        </w:rPr>
        <w:t>إبطال الرجوع إلی من یری الإنفتاح</w:t>
      </w:r>
      <w:bookmarkEnd w:id="1805"/>
    </w:p>
    <w:p>
      <w:pPr>
        <w:pStyle w:val="BookText"/>
        <w:rPr/>
      </w:pPr>
      <w:r>
        <w:rPr>
          <w:rFonts w:ascii="IRNazanin" w:hAnsi="IRNazanin" w:eastAsia="IRNazanin"/>
          <w:color w:val="111111"/>
          <w:sz w:val="28"/>
          <w:sz w:val="28"/>
          <w:szCs w:val="28"/>
          <w:rtl w:val="true"/>
          <w:lang w:bidi="fa-IR"/>
        </w:rPr>
        <w:t>وقد ذکروا أنّ الإنسدادی یری خطأ القائل بالإنفتاح</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ولکن کیف نحکم بخطأ فتاوی القدماء بعد أن کانت المصادر عندهم أثری فلا یمکن تخطئة القائل بالإنفتاح آنذاک، إلاّ أن یمنع من الرجوع إلیهم من باب عدم جواز تقلید المیت بالقطع، وإلاّ إذا کانت هذه المسألة ظنیة فحالها حال المسائل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إبطاله بما ذکر من أنّ أدلّة التقلید لا تتناول المجتهد، وهذا دلیل علی عدم حجّیة فتوی المجتهد علی المجتهد سواء کان معاصراً أم قدیماً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قد یقال فی إبطاله إنّ الظن الحاصل من فتوی المجتهد القدیم لیس أقوی من الظن الذی یستحصله الإنسدادی بل قد یکون أضعف</w:t>
      </w:r>
      <w:r>
        <w:rPr>
          <w:rFonts w:eastAsia="IRNazanin" w:cs="IRNazanin"/>
          <w:color w:val="111111"/>
          <w:sz w:val="28"/>
          <w:szCs w:val="28"/>
          <w:rtl w:val="true"/>
          <w:lang w:bidi="fa-IR"/>
        </w:rPr>
        <w:t>.</w:t>
      </w:r>
      <w:bookmarkStart w:id="1806" w:name="pg16983_381648"/>
    </w:p>
    <w:p>
      <w:pPr>
        <w:pStyle w:val="BookText"/>
        <w:rPr/>
      </w:pPr>
      <w:bookmarkEnd w:id="1806"/>
      <w:r>
        <w:rPr>
          <w:rFonts w:ascii="IRNazanin" w:hAnsi="IRNazanin" w:eastAsia="IRNazanin"/>
          <w:color w:val="111111"/>
          <w:sz w:val="28"/>
          <w:sz w:val="28"/>
          <w:szCs w:val="28"/>
          <w:rtl w:val="true"/>
          <w:lang w:bidi="fa-IR"/>
        </w:rPr>
        <w:t>وذلک لأنّ فتوی المجتهد وإن کانت أمارة إلاّ أنها متأخرة رتبة عن الأمارات والأصول لأنها متولدة منها، حیث أنها ظن حاصل من تلک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قد ذکرنا مراراً أننا نتعامل مع الإجماع والشهرة کمنبّه علی وجود دلیل فهی أمارة متأخرة ولیست أمارة مباشرة علی الحکم، فلابدّ من الفحص عن الأمارة السابقة علیها</w:t>
      </w:r>
      <w:r>
        <w:rPr>
          <w:rFonts w:eastAsia="IRNazanin" w:cs="IRNazanin"/>
          <w:color w:val="111111"/>
          <w:sz w:val="28"/>
          <w:szCs w:val="28"/>
          <w:rtl w:val="true"/>
          <w:lang w:bidi="fa-IR"/>
        </w:rPr>
        <w:t>.</w:t>
      </w:r>
    </w:p>
    <w:p>
      <w:pPr>
        <w:pStyle w:val="Heading6"/>
        <w:numPr>
          <w:ilvl w:val="5"/>
          <w:numId w:val="1"/>
        </w:numPr>
        <w:rPr/>
      </w:pPr>
      <w:bookmarkStart w:id="1807" w:name="__RefHeading___Toc3300984_1468164448"/>
      <w:bookmarkStart w:id="1808" w:name="_Toc713"/>
      <w:bookmarkEnd w:id="1807"/>
      <w:r>
        <w:rPr>
          <w:rtl w:val="true"/>
        </w:rPr>
        <w:t>فی المقدّمة الخامسة</w:t>
      </w:r>
      <w:bookmarkEnd w:id="1808"/>
    </w:p>
    <w:p>
      <w:pPr>
        <w:pStyle w:val="BookText"/>
        <w:rPr/>
      </w:pPr>
      <w:r>
        <w:rPr>
          <w:rFonts w:ascii="IRNazanin" w:hAnsi="IRNazanin" w:eastAsia="IRNazanin"/>
          <w:color w:val="111111"/>
          <w:sz w:val="28"/>
          <w:sz w:val="28"/>
          <w:szCs w:val="28"/>
          <w:rtl w:val="true"/>
          <w:lang w:bidi="fa-IR"/>
        </w:rPr>
        <w:t>والمقدّمة الخامسة لا دور لها سوی تعیین الموضوع وأنه الظن فی قبال الوهم والشک لقبح ترجیح المرجوح علی الراجح</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اکتفی الأعلام فی حدیثهم عن هذه المقدّمة بهذا القدر تارکین التفاصیل إلی التنبیهات، فإنها هی التی تتکفل تفصیل هذه النتیجة</w:t>
      </w:r>
      <w:r>
        <w:rPr>
          <w:rFonts w:eastAsia="IRNazanin" w:cs="IRNazanin"/>
          <w:color w:val="111111"/>
          <w:sz w:val="28"/>
          <w:szCs w:val="28"/>
          <w:rtl w:val="true"/>
          <w:lang w:bidi="fa-IR"/>
        </w:rPr>
        <w:t>.</w:t>
      </w:r>
      <w:bookmarkStart w:id="1809" w:name="pg16983_381649"/>
    </w:p>
    <w:p>
      <w:pPr>
        <w:pStyle w:val="Heading4"/>
        <w:numPr>
          <w:ilvl w:val="3"/>
          <w:numId w:val="1"/>
        </w:numPr>
        <w:rPr/>
      </w:pPr>
      <w:bookmarkStart w:id="1810" w:name="__RefHeading___Toc3300986_1468164448"/>
      <w:bookmarkStart w:id="1811" w:name="_Toc714"/>
      <w:bookmarkEnd w:id="1809"/>
      <w:bookmarkEnd w:id="1810"/>
      <w:r>
        <w:rPr/>
        <w:t>3</w:t>
      </w:r>
      <w:r>
        <w:rPr>
          <w:rtl w:val="true"/>
        </w:rPr>
        <w:t xml:space="preserve"> . </w:t>
      </w:r>
      <w:r>
        <w:rPr>
          <w:rtl w:val="true"/>
        </w:rPr>
        <w:t>تنبیهات الإنسداد</w:t>
      </w:r>
      <w:bookmarkEnd w:id="1811"/>
    </w:p>
    <w:p>
      <w:pPr>
        <w:pStyle w:val="Heading5"/>
        <w:numPr>
          <w:ilvl w:val="4"/>
          <w:numId w:val="1"/>
        </w:numPr>
        <w:rPr/>
      </w:pPr>
      <w:bookmarkStart w:id="1812" w:name="__RefHeading___Toc3300988_1468164448"/>
      <w:bookmarkStart w:id="1813" w:name="_Toc715"/>
      <w:bookmarkEnd w:id="1812"/>
      <w:r>
        <w:rPr>
          <w:rtl w:val="true"/>
        </w:rPr>
        <w:t>التنبیه الأول</w:t>
      </w:r>
      <w:r>
        <w:rPr>
          <w:rtl w:val="true"/>
        </w:rPr>
        <w:t xml:space="preserve">: </w:t>
      </w:r>
      <w:r>
        <w:rPr>
          <w:rtl w:val="true"/>
        </w:rPr>
        <w:t>الظن بالطریق والظن بالواقع</w:t>
      </w:r>
      <w:bookmarkEnd w:id="1813"/>
    </w:p>
    <w:p>
      <w:pPr>
        <w:pStyle w:val="Heading6"/>
        <w:numPr>
          <w:ilvl w:val="5"/>
          <w:numId w:val="1"/>
        </w:numPr>
        <w:rPr/>
      </w:pPr>
      <w:bookmarkStart w:id="1814" w:name="__RefHeading___Toc3300990_1468164448"/>
      <w:bookmarkStart w:id="1815" w:name="_Toc716"/>
      <w:bookmarkEnd w:id="1814"/>
      <w:r>
        <w:rPr>
          <w:rtl w:val="true"/>
        </w:rPr>
        <w:t>اشارة</w:t>
      </w:r>
      <w:bookmarkEnd w:id="1815"/>
    </w:p>
    <w:p>
      <w:pPr>
        <w:pStyle w:val="BookText"/>
        <w:rPr/>
      </w:pPr>
      <w:r>
        <w:rPr>
          <w:rFonts w:ascii="IRNazanin" w:hAnsi="IRNazanin" w:eastAsia="IRNazanin"/>
          <w:color w:val="111111"/>
          <w:sz w:val="28"/>
          <w:sz w:val="28"/>
          <w:szCs w:val="28"/>
          <w:rtl w:val="true"/>
          <w:lang w:bidi="fa-IR"/>
        </w:rPr>
        <w:t xml:space="preserve">إنّ الشیخ والآخوند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یتوافقان علی أنّ مقتضی المقدّمات السالفة حجّیة الظن المتعلّق بالحکم الفقهی والأصولی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أنه کلّ ما کان مفرغاً فی فرض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الإنفتاح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تعذّر العلم تصل النوبة إلی ما هو دونه فیکون مفرغاً؛ لأنّ همّ العقل إنما هو تحصیل الأمن من تبعة التکالیف المعلومة، کما لا شبهة فی استقلاله فی تعیین ما هو المؤمّن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شبهة أیضاً فی أنّ کلّ ما کان القطع به مؤمِّناً فی حال الإنفتاح، کان الظن به مؤمِّناً حالَ الإنسداد جزماً، وأنّ المؤمِّن فی حال الإنفتاح هو القطع بإتیان المکلّف به الواقعی بما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بما هو معلوم ومؤدّی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بإتیانه الجعلی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ذلک أنّ قضیة ذلک هو التنزّل إلی الظن بکلّ واحد من الواقع والطریق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بتلخیص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المفرغ فی فرض الإنفتاح هو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متعلّقاً بالحکم الأصولی أو الفقهی؛ لأنّ کلیهما یولّد القطع بالفراغ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والإنسداد لا یفعل شیئاً سوی أن یجعل الظن بدیلاً عن القطع</w:t>
      </w:r>
      <w:r>
        <w:rPr>
          <w:rFonts w:eastAsia="IRNazanin" w:cs="IRNazanin"/>
          <w:color w:val="111111"/>
          <w:sz w:val="28"/>
          <w:szCs w:val="28"/>
          <w:rtl w:val="true"/>
          <w:lang w:bidi="fa-IR"/>
        </w:rPr>
        <w:t>.</w:t>
      </w:r>
    </w:p>
    <w:p>
      <w:pPr>
        <w:pStyle w:val="Heading6"/>
        <w:numPr>
          <w:ilvl w:val="5"/>
          <w:numId w:val="1"/>
        </w:numPr>
        <w:rPr/>
      </w:pPr>
      <w:bookmarkStart w:id="1816" w:name="__RefHeading___Toc3300992_1468164448"/>
      <w:bookmarkStart w:id="1817" w:name="_Toc717"/>
      <w:bookmarkEnd w:id="1816"/>
      <w:r>
        <w:rPr>
          <w:rtl w:val="true"/>
        </w:rPr>
        <w:t>دعوی الإختصاص بالظن الواقع أو بالظن بالطریق</w:t>
      </w:r>
      <w:bookmarkEnd w:id="1817"/>
    </w:p>
    <w:p>
      <w:pPr>
        <w:pStyle w:val="BookText"/>
        <w:rPr/>
      </w:pPr>
      <w:r>
        <w:rPr>
          <w:rFonts w:ascii="IRNazanin" w:hAnsi="IRNazanin" w:eastAsia="IRNazanin"/>
          <w:color w:val="111111"/>
          <w:sz w:val="28"/>
          <w:sz w:val="28"/>
          <w:szCs w:val="28"/>
          <w:rtl w:val="true"/>
          <w:lang w:bidi="fa-IR"/>
        </w:rPr>
        <w:t>ثمّ یتصدی العلمان لردّ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الحجّة هو المتعلّق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هو خصوص الظن المتعلّق بالطریق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الأصولی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18" w:name="__RefHeading___Toc3300994_1468164448"/>
      <w:bookmarkStart w:id="1819" w:name="_Toc718"/>
      <w:bookmarkEnd w:id="1818"/>
      <w:r>
        <w:rPr>
          <w:rtl w:val="true"/>
        </w:rPr>
        <w:t>منشأ توهّم الإختصاص بالظن بالواقع</w:t>
      </w:r>
      <w:bookmarkStart w:id="1820" w:name="pg16983_381651"/>
      <w:bookmarkEnd w:id="1819"/>
    </w:p>
    <w:p>
      <w:pPr>
        <w:pStyle w:val="BookText"/>
        <w:rPr/>
      </w:pPr>
      <w:bookmarkEnd w:id="1820"/>
      <w:r>
        <w:rPr>
          <w:rFonts w:ascii="IRNazanin" w:hAnsi="IRNazanin" w:eastAsia="IRNazanin"/>
          <w:color w:val="111111"/>
          <w:sz w:val="28"/>
          <w:sz w:val="28"/>
          <w:szCs w:val="28"/>
          <w:rtl w:val="true"/>
          <w:lang w:bidi="fa-IR"/>
        </w:rPr>
        <w:t>واستدلّ للأولی بأنّ العلم المأخوذ فی المقدّمة الأولی هو العلم بالأحکام الشرعیة، فالمقدّمات ألّفت علی الإنسداد فی المسألة الفقهیة لا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وأجابا بأنّ المستهدف فی دلیل الإنسداد هو تفریغ الذمة، وهو کما یحصل بالعلم بالواقع والحکم الفقهی، کذا یحصل بالظن بالطریق والحکم الأصولی، فإنّ الظن بالطریق یولّد الظن بالفراغ، وسنبیّن لاحقاً أنه هو ما ذکرناه من أنّ التبعیض فی الإحتیاط هو الظن علی الحکومة</w:t>
      </w:r>
      <w:r>
        <w:rPr>
          <w:rFonts w:eastAsia="IRNazanin" w:cs="IRNazanin"/>
          <w:color w:val="111111"/>
          <w:sz w:val="28"/>
          <w:szCs w:val="28"/>
          <w:rtl w:val="true"/>
          <w:lang w:bidi="fa-IR"/>
        </w:rPr>
        <w:t>.</w:t>
      </w:r>
    </w:p>
    <w:p>
      <w:pPr>
        <w:pStyle w:val="Heading6"/>
        <w:numPr>
          <w:ilvl w:val="5"/>
          <w:numId w:val="1"/>
        </w:numPr>
        <w:rPr/>
      </w:pPr>
      <w:bookmarkStart w:id="1821" w:name="__RefHeading___Toc3300996_1468164448"/>
      <w:bookmarkStart w:id="1822" w:name="_Toc719"/>
      <w:bookmarkEnd w:id="1821"/>
      <w:r>
        <w:rPr>
          <w:rtl w:val="true"/>
        </w:rPr>
        <w:t>منشأ توهّم الإختصاص بالظن بالطریق</w:t>
      </w:r>
      <w:bookmarkEnd w:id="1822"/>
    </w:p>
    <w:p>
      <w:pPr>
        <w:pStyle w:val="BookText"/>
        <w:rPr/>
      </w:pPr>
      <w:r>
        <w:rPr>
          <w:rFonts w:ascii="IRNazanin" w:hAnsi="IRNazanin" w:eastAsia="IRNazanin"/>
          <w:color w:val="111111"/>
          <w:sz w:val="28"/>
          <w:sz w:val="28"/>
          <w:szCs w:val="28"/>
          <w:rtl w:val="true"/>
          <w:lang w:bidi="fa-IR"/>
        </w:rPr>
        <w:t>واستدلّ للثانیة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ولعلّه للمحقّق التستری فی کشف القناع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علماً إجمالیاً بنصب الطرق وبه ینحلّ العلم الإجمالی الحکم الشرعی، ومن ثمّ یؤلف دلیل الإنسداد علی المسألة الأصولیة لا الفقهیة، وینتج حجّیة الظن بالطریق والحکم الأصولی لا حجّیة الظن بالواقع والحکم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ولوحظ علیه من قبل الآخوند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العلم الإجمالی هذا یقتضی الإحتیاط فی أطراف هذه الطرق المعلومة بالإجمال لا حجّیة الظن، ولا یلزم منه عسر وحرج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أنّ الأخباریین عملوا بکلّ الأخبار من دون أن یلزم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والإحتیاط لیس أکثر من العمل بتلک الطرق نظیر ما لو کانت معلومة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ذلک عند الحدیث فی المقدّمة الرابعة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إذا کانت الطرق من سنخ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کانت من سنخین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کالشهرة 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الإحتیاط الأصولی یسقط عند التعارض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إنکار وجود علم إجمالی بنصب الطرق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وجوده، هناک قدر متیقن؛ لأنّ العلم الإجمالی</w:t>
      </w:r>
      <w:bookmarkStart w:id="1823" w:name="pg16983_381653"/>
    </w:p>
    <w:p>
      <w:pPr>
        <w:pStyle w:val="BookText"/>
        <w:rPr/>
      </w:pPr>
      <w:bookmarkEnd w:id="1823"/>
      <w:r>
        <w:rPr>
          <w:rFonts w:ascii="IRNazanin" w:hAnsi="IRNazanin" w:eastAsia="IRNazanin"/>
          <w:color w:val="111111"/>
          <w:sz w:val="28"/>
          <w:sz w:val="28"/>
          <w:szCs w:val="28"/>
          <w:rtl w:val="true"/>
          <w:lang w:bidi="fa-IR"/>
        </w:rPr>
        <w:t>ورد بین الأقلّ والأکثر، ومعه لا یکون التنجیز إلاّ بحدود المتیقن، ومن ثمّ لا یلزم الإحتیاط فیه العسر والحرج</w:t>
      </w:r>
      <w:r>
        <w:rPr>
          <w:rFonts w:eastAsia="IRNazanin" w:cs="IRNazanin"/>
          <w:color w:val="111111"/>
          <w:sz w:val="28"/>
          <w:szCs w:val="28"/>
          <w:rtl w:val="true"/>
          <w:lang w:bidi="fa-IR"/>
        </w:rPr>
        <w:t>.</w:t>
      </w:r>
    </w:p>
    <w:p>
      <w:pPr>
        <w:pStyle w:val="Heading6"/>
        <w:numPr>
          <w:ilvl w:val="5"/>
          <w:numId w:val="1"/>
        </w:numPr>
        <w:rPr/>
      </w:pPr>
      <w:bookmarkStart w:id="1824" w:name="__RefHeading___Toc3300998_1468164448"/>
      <w:bookmarkStart w:id="1825" w:name="_Toc720"/>
      <w:bookmarkEnd w:id="1824"/>
      <w:r>
        <w:rPr>
          <w:rtl w:val="true"/>
        </w:rPr>
        <w:t>وجود القدر المتیقن فی العلم الإجمالی بنصب الطرق</w:t>
      </w:r>
      <w:bookmarkEnd w:id="1825"/>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یثبت للأصولی دلیل عام علی ضرورة نصب الشارع للطرق أو وقوع نصب للطرق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یشر الأصولیون فی بحوث الظنون الخاصة إلی هذا، حیث اقتصروا علی الأدلّة الخاصة، بینما اللازم البحث عن الأدلّة العامة علی الضرورة أو الوقوع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 وجود هذه الأدلّة العامة یرید الشیخ والآخوند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إلفات نظر المحقّق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قیمة هذا الدلیل العام عین قیمة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حجّیة خبر الواحد الثقة أو الموثوق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فالأدلّة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حجّیة خبر الثقة أو الموثوق به، وبالتالی لا انسداد وإنما انفتاح فی خصوص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یراد من المتیقن الذی یحلّ العلم الإجمالی کلّ متیقن وإنما بمقدار حدّ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کلّ قدر متیقن یمکن فرض أقلّ منه حتی تصل إلی واحد، وهو لا ینفع فی حلّ العلم الإجمالی ما لم یکن بقدر حدّ المعلوم حتی یمکن الإنحلال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فرض وجود علم إجمالی بالطرق وأنه لا یمکن الإحتیاط فیه وأن لا متیقن، فإنه لا ینتج خصوص حجّیة الظن بالطریق وإنما الأعمّ؛ لأنّ المستهدف من جعل الطرق هو تنجیز الواقع ثمّ الفارغ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بالواقع أیضاً مفرغ منجّز، فإنّ الطریق طریق بحت لا موضوعیة 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عامة سواء رتّبنا مقدّمات الإنسداد فی المسألة الفقهیة أم الأصولیة، والوجه هو أنه کلما کان القطع مفرغاً فی حالة الإنفتاح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وجدانیاً أم تعبدیاً الذی هو القطع بالطریق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الظن فإنه بدیله</w:t>
      </w:r>
      <w:r>
        <w:rPr>
          <w:rFonts w:eastAsia="IRNazanin" w:cs="IRNazanin"/>
          <w:color w:val="111111"/>
          <w:sz w:val="28"/>
          <w:szCs w:val="28"/>
          <w:rtl w:val="true"/>
          <w:lang w:bidi="fa-IR"/>
        </w:rPr>
        <w:t>.</w:t>
      </w:r>
      <w:bookmarkStart w:id="1826" w:name="pg16983_381655"/>
    </w:p>
    <w:p>
      <w:pPr>
        <w:pStyle w:val="Heading6"/>
        <w:numPr>
          <w:ilvl w:val="5"/>
          <w:numId w:val="1"/>
        </w:numPr>
        <w:rPr/>
      </w:pPr>
      <w:bookmarkStart w:id="1827" w:name="__RefHeading___Toc3301000_1468164448"/>
      <w:bookmarkStart w:id="1828" w:name="_Toc721"/>
      <w:bookmarkEnd w:id="1826"/>
      <w:bookmarkEnd w:id="1827"/>
      <w:r>
        <w:rPr>
          <w:rtl w:val="true"/>
        </w:rPr>
        <w:t xml:space="preserve">عبارة غامضة لصاحب الکفایة </w:t>
      </w:r>
      <w:r>
        <w:rPr>
          <w:rtl w:val="true"/>
        </w:rPr>
        <w:t>(</w:t>
      </w:r>
      <w:r>
        <w:rPr>
          <w:rtl w:val="true"/>
        </w:rPr>
        <w:t>قدس سره</w:t>
      </w:r>
      <w:r>
        <w:rPr>
          <w:rtl w:val="true"/>
        </w:rPr>
        <w:t>)</w:t>
      </w:r>
      <w:bookmarkEnd w:id="1828"/>
    </w:p>
    <w:p>
      <w:pPr>
        <w:pStyle w:val="BookText"/>
        <w:rPr/>
      </w:pPr>
      <w:r>
        <w:rPr>
          <w:rFonts w:ascii="IRNazanin" w:hAnsi="IRNazanin" w:eastAsia="IRNazanin"/>
          <w:color w:val="111111"/>
          <w:sz w:val="28"/>
          <w:sz w:val="28"/>
          <w:szCs w:val="28"/>
          <w:rtl w:val="true"/>
          <w:lang w:bidi="fa-IR"/>
        </w:rPr>
        <w:t xml:space="preserve">وفی ذیل هذا الجواب هناک عبارة لصاحب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یقف عندها تلامذته سوی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 عدم مساعدة نصب الطریق علی الصرف ولا علی التقیید، غایته أنّ العلم الإجمالی بنصب طرق وافیة یوجب انحلال العلم بالتکالیف الواقعیة إلی العلم بما هو مضامین الطرق المنصوبة من التکالیف الفعلیة، والإنحلال وإن کان یوجب عدم تنجّز ما لم یؤد إلیه الطریق من التکالیف الواقعیة، إلاّ أنه إذا کان رعایة العلم بالنصب لازماً، والفرض عدم اللزوم، بل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التکالیف الواقعیة کما إذا لم یکن هناک علم بالنصب فی کفایة الظن بها حال انسداد باب العلم،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منها أنّ ترتیب دلیل الإنسداد فی المسألة الأصولیة ولزوم مراعاة العلم الإجمالی بنصب الطرق إنما هو بعد انحلال العلم الإجمالی بالحکم الفقهی، وهو لا ینحلّ إلاّ إذا کانت مراعاة العلم الإجمالی بالطرق لزومیاً ومنجّزاً، والفرض عدم اللزوم بل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علّل بعضُ الشراح عدمَ اللزوم بعسر الإحتیاط فلا یلزم فیسقط العلم الإجمالی عن التنجیز، وعلّل عدمَ الجواز بأنه خلاف مذاق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التعلیل وإن کان جیداً إلاّ أنه یجعل کلام الآخوند جدلیاً؛ لأنه جواب حسب مسلّمات الآخر، حیث بنی علی عسر الإحتیاط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فالآخوند لم یبن مع العسر فی الإحتیاط الأصولی ولا علی اختلال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النوبة إلی الظن بالطریق</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الإحتیاط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یراه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یوجب سقوط العلم عن المنجّزیة، بل لا یجوز؛ لأنه خلاف مذاق الشارع، ومع عدم منجّزیة العلم بالطریق فلا یوجب انحلال العلم الإجمالی بالواقع، فلابدّ من ترتیب مقدّمات الإنسداد علی أساسه</w:t>
      </w:r>
      <w:r>
        <w:rPr>
          <w:rFonts w:eastAsia="IRNazanin" w:cs="IRNazanin"/>
          <w:color w:val="111111"/>
          <w:sz w:val="28"/>
          <w:szCs w:val="28"/>
          <w:rtl w:val="true"/>
          <w:lang w:bidi="fa-IR"/>
        </w:rPr>
        <w:t>.</w:t>
      </w:r>
      <w:bookmarkStart w:id="1829" w:name="pg16983_381657"/>
    </w:p>
    <w:p>
      <w:pPr>
        <w:pStyle w:val="Heading6"/>
        <w:numPr>
          <w:ilvl w:val="5"/>
          <w:numId w:val="1"/>
        </w:numPr>
        <w:rPr/>
      </w:pPr>
      <w:bookmarkStart w:id="1830" w:name="__RefHeading___Toc3301002_1468164448"/>
      <w:bookmarkStart w:id="1831" w:name="_Toc722"/>
      <w:bookmarkEnd w:id="1829"/>
      <w:bookmarkEnd w:id="1830"/>
      <w:r>
        <w:rPr>
          <w:rtl w:val="true"/>
        </w:rPr>
        <w:t xml:space="preserve">شرح الحائری </w:t>
      </w:r>
      <w:r>
        <w:rPr>
          <w:rtl w:val="true"/>
        </w:rPr>
        <w:t>(</w:t>
      </w:r>
      <w:r>
        <w:rPr>
          <w:rtl w:val="true"/>
        </w:rPr>
        <w:t>قدس سره</w:t>
      </w:r>
      <w:r>
        <w:rPr>
          <w:rtl w:val="true"/>
        </w:rPr>
        <w:t>)</w:t>
      </w:r>
      <w:bookmarkEnd w:id="1831"/>
    </w:p>
    <w:p>
      <w:pPr>
        <w:pStyle w:val="BookText"/>
        <w:rPr/>
      </w:pPr>
      <w:r>
        <w:rPr>
          <w:rFonts w:ascii="IRNazanin" w:hAnsi="IRNazanin" w:eastAsia="IRNazanin"/>
          <w:color w:val="111111"/>
          <w:sz w:val="28"/>
          <w:sz w:val="28"/>
          <w:szCs w:val="28"/>
          <w:rtl w:val="true"/>
          <w:lang w:bidi="fa-IR"/>
        </w:rPr>
        <w:t xml:space="preserve">ومن ثمّ شرحها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ینحو آخر برهانی بعد مقدّمة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بحثاً بین الأصولیین لم یعنون فی کلماتهم، وهو أنّ الأخذ بالطرق فی الشبهات الحکمیة هل هو عزیمة تعیینیة أو أنه رخصة یستطیع العمل بها أو الإحتیاط؟ ونظیر هذا البحث فی الأمارات القائمة فی الشبهات الموضوعیة وأنّ الأخذ بها عزیمة تعیینیة أو رخصة، له أن یترکها إلی الإحتیاط؟</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وباتضاح المقدّمة المذکورة یقول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الأخذ بالطرق لیس عزیمة وإنما رخصة، ومعه لا یکون العلم الإجمالی منجّزاً، ولا ینفی العلم الإجمالی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الشرح جیّد فی تصویر عدم اللزوم، إلاّ أنه لم یشرح عدم الجواز</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32" w:name="__RefHeading___Toc3301004_1468164448"/>
      <w:bookmarkStart w:id="1833" w:name="_Toc723"/>
      <w:bookmarkEnd w:id="1832"/>
      <w:r>
        <w:rPr>
          <w:rtl w:val="true"/>
        </w:rPr>
        <w:t xml:space="preserve">شرح آخر لکلام الآخوند </w:t>
      </w:r>
      <w:r>
        <w:rPr>
          <w:rtl w:val="true"/>
        </w:rPr>
        <w:t>(</w:t>
      </w:r>
      <w:r>
        <w:rPr>
          <w:rtl w:val="true"/>
        </w:rPr>
        <w:t>قدس سره</w:t>
      </w:r>
      <w:r>
        <w:rPr>
          <w:rtl w:val="true"/>
        </w:rPr>
        <w:t>)</w:t>
      </w:r>
      <w:bookmarkStart w:id="1834" w:name="pg16983_381659"/>
      <w:bookmarkEnd w:id="1833"/>
    </w:p>
    <w:p>
      <w:pPr>
        <w:pStyle w:val="BookText"/>
        <w:rPr/>
      </w:pPr>
      <w:bookmarkEnd w:id="1834"/>
      <w:r>
        <w:rPr>
          <w:rFonts w:ascii="IRNazanin" w:hAnsi="IRNazanin" w:eastAsia="IRNazanin"/>
          <w:color w:val="111111"/>
          <w:sz w:val="28"/>
          <w:sz w:val="28"/>
          <w:szCs w:val="28"/>
          <w:rtl w:val="true"/>
          <w:lang w:bidi="fa-IR"/>
        </w:rPr>
        <w:t>وهناک شرح ثالث یعتمد علی مقدّمة وهی أنه هل للحکم الأصولی مراحل نظیر مراحل الحکم الفقهی، أو أنه ذو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إنشائیة، وفعلیة؟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التنجیز کما علیه مشهور المتأخرین، استناداً إلی أنّ الحکم الأصولی حقیقته الإستطراق والایصال، فإذا لم یکن هو واصلاً کیف یکون موصلاً، فماهیته وفعلیته قائمة بالتنجیز ووصوله إلی المکلّف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المسلک الثانی فالعلم الإجمالی بنصب الطرق یعتمد عدم فعلیتها لعدم وصولها تفصیلاً فهو لسی بمنجّز بل لا یجوز مراعاته لعدم فعلیة الطریق وتنجّزه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التقریب لا تختص المسألة بالإنسداد، وإنما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إنّ العلم الإجمالی بالحکم الأصولی یختلف عن الحکم الفقهی، سواء فی باب الإنسداد الکبیر أم فی غیره کما إذا حصل فی باب 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فالإجمال فی الحکم الأصولی یجعله حکماً إنشائیاً ولا یکون فعلیاً ما لم یعلم به تفصیلاً فلا یکون منجّزاً بل لا تجوز مراعاته والبناء علی انحلال العلم الإجمالی الفقهی وإنما یبقی العلم الإجمالی الفقهی منعقداً ومنجّزاً</w:t>
      </w:r>
      <w:r>
        <w:rPr>
          <w:rFonts w:eastAsia="IRNazanin" w:cs="IRNazanin"/>
          <w:color w:val="111111"/>
          <w:sz w:val="28"/>
          <w:szCs w:val="28"/>
          <w:rtl w:val="true"/>
          <w:lang w:bidi="fa-IR"/>
        </w:rPr>
        <w:t>.</w:t>
      </w:r>
    </w:p>
    <w:p>
      <w:pPr>
        <w:pStyle w:val="Heading6"/>
        <w:numPr>
          <w:ilvl w:val="5"/>
          <w:numId w:val="1"/>
        </w:numPr>
        <w:rPr/>
      </w:pPr>
      <w:bookmarkStart w:id="1835" w:name="__RefHeading___Toc3301006_1468164448"/>
      <w:bookmarkStart w:id="1836" w:name="_Toc724"/>
      <w:bookmarkEnd w:id="1835"/>
      <w:r>
        <w:rPr>
          <w:rtl w:val="true"/>
        </w:rPr>
        <w:t>إشکال وجواب</w:t>
      </w:r>
      <w:bookmarkEnd w:id="1836"/>
    </w:p>
    <w:p>
      <w:pPr>
        <w:pStyle w:val="BookText"/>
        <w:rPr/>
      </w:pPr>
      <w:r>
        <w:rPr>
          <w:rFonts w:ascii="IRNazanin" w:hAnsi="IRNazanin" w:eastAsia="IRNazanin"/>
          <w:color w:val="111111"/>
          <w:sz w:val="28"/>
          <w:sz w:val="28"/>
          <w:szCs w:val="28"/>
          <w:rtl w:val="true"/>
          <w:lang w:bidi="fa-IR"/>
        </w:rPr>
        <w:t xml:space="preserve">ومما تقدّم ینبثق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نلحظ أنّ الأصولیین قد التزموا بالتنجیز فی العلم الإجمالی بالحکم الأصولی فی عدّة موارد؛ کمورد تساوی المجتهدین، حیث ذهب البعض إلی منجّزیة العلم فالقول بالإحتیاط، وکموارد تعارض الخبرین، حیث ذهب المحقّق النائینی إلی أنّ مقتضی القاعدة الاولیة هو التنجیز، وهو نوع من الإحتیاط الأصولی کما سیأتی، وفی موارد اشتباه الحجّة باللاحجّة فقد اتفقوا علی الإحتیاط بما فیهم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هامش ملحوظته هذه بأنّ عدم</w:t>
      </w:r>
      <w:bookmarkStart w:id="1837" w:name="pg16983_381661"/>
    </w:p>
    <w:p>
      <w:pPr>
        <w:pStyle w:val="BookText"/>
        <w:rPr/>
      </w:pPr>
      <w:bookmarkEnd w:id="1837"/>
      <w:r>
        <w:rPr>
          <w:rFonts w:ascii="IRNazanin" w:hAnsi="IRNazanin" w:eastAsia="IRNazanin"/>
          <w:color w:val="111111"/>
          <w:sz w:val="28"/>
          <w:sz w:val="28"/>
          <w:szCs w:val="28"/>
          <w:rtl w:val="true"/>
          <w:lang w:bidi="fa-IR"/>
        </w:rPr>
        <w:t>منجّزیة العلم الإجمالی بالحکم الأصولی فیما إذا کانت الأطراف کثیرة دون ما إذا کانت الأطراف قلیلة فإنه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الترمیم یمکن تفسیره حتی یتمّ بأنّ الکثرة توجب التوغّل فی الإبهام ولو لم تصل حدّ عدم الحصر ولم تصل حدّ الخروج عن محلّ الإبتلاء، وإزدیاد الإبهام وشدّته لا ینسجم مع ماهیة الحکم الأصولی، بخلاف ما إذا کانت الأطراف محدودة</w:t>
      </w:r>
      <w:r>
        <w:rPr>
          <w:rFonts w:eastAsia="IRNazanin" w:cs="IRNazanin"/>
          <w:color w:val="111111"/>
          <w:sz w:val="28"/>
          <w:szCs w:val="28"/>
          <w:rtl w:val="true"/>
          <w:lang w:bidi="fa-IR"/>
        </w:rPr>
        <w:t>.</w:t>
      </w:r>
    </w:p>
    <w:p>
      <w:pPr>
        <w:pStyle w:val="Heading6"/>
        <w:numPr>
          <w:ilvl w:val="5"/>
          <w:numId w:val="1"/>
        </w:numPr>
        <w:rPr/>
      </w:pPr>
      <w:bookmarkStart w:id="1838" w:name="__RefHeading___Toc3301008_1468164448"/>
      <w:bookmarkStart w:id="1839" w:name="_Toc725"/>
      <w:bookmarkEnd w:id="1838"/>
      <w:r>
        <w:rPr>
          <w:rtl w:val="true"/>
        </w:rPr>
        <w:t>درجات إراءة العلم الإجمالی عن الواقع</w:t>
      </w:r>
      <w:bookmarkEnd w:id="1839"/>
    </w:p>
    <w:p>
      <w:pPr>
        <w:pStyle w:val="BookText"/>
        <w:rPr/>
      </w:pPr>
      <w:r>
        <w:rPr>
          <w:rFonts w:ascii="IRNazanin" w:hAnsi="IRNazanin" w:eastAsia="IRNazanin"/>
          <w:color w:val="111111"/>
          <w:sz w:val="28"/>
          <w:sz w:val="28"/>
          <w:szCs w:val="28"/>
          <w:rtl w:val="true"/>
          <w:lang w:bidi="fa-IR"/>
        </w:rPr>
        <w:t>وهذا التفسیر یفتح لنا أفقاً فی بحث العلم الإجمالی وهو أنّ قلّة أطراف العلم الإجمالی وکثرتها توجب تفاوت حکایته عن الواقع تفاوتاً تشکیکیاً، فهو فی منتهی ضعف حکایته عند وصوله حدّ عدم الحصر وهذا الضعف دون الظن التفصیلی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تتصاعد نسبة حکایته کلّما قلّت الأطراف فتصل الذروة إذا تلخّصت الأطراف فی اثنین، وفی مثله لا یکون الإراءة دون الظن التفصیلی ولو کان تعبدیاً، بل هو أرفع حکایة وإراءة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کلّما ازدادت الإراءة ازدادت القیمة الإحتمالیة فی کلّ طرف، والعکس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ذکرناه ینسجم مع ما ذکر فی المعقول من أنّ العلم لیس متواطیاً وإنما ذو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نفس اختلاط الإجمال مع العلم دلیل أنّ العلم ذو مراتب ولیس حکراً علی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اللفتة ستنفع کثیراً فی مبحث العلم الإجمالی حیث سنری أنّ کثیراً من الإشکالات هناک جاءت نتیجة التسویة فی درجات العلم</w:t>
      </w:r>
      <w:r>
        <w:rPr>
          <w:rFonts w:eastAsia="IRNazanin" w:cs="IRNazanin"/>
          <w:color w:val="111111"/>
          <w:sz w:val="28"/>
          <w:szCs w:val="28"/>
          <w:rtl w:val="true"/>
          <w:lang w:bidi="fa-IR"/>
        </w:rPr>
        <w:t>.</w:t>
      </w:r>
    </w:p>
    <w:p>
      <w:pPr>
        <w:pStyle w:val="Heading6"/>
        <w:numPr>
          <w:ilvl w:val="5"/>
          <w:numId w:val="1"/>
        </w:numPr>
        <w:rPr/>
      </w:pPr>
      <w:bookmarkStart w:id="1840" w:name="__RefHeading___Toc3301010_1468164448"/>
      <w:bookmarkStart w:id="1841" w:name="_Toc726"/>
      <w:bookmarkEnd w:id="1840"/>
      <w:r>
        <w:rPr>
          <w:rtl w:val="true"/>
        </w:rPr>
        <w:t>استدلال هدایة المسترشدین لاختصاص نتیجة الإنسداد بالظن بالطریق</w:t>
      </w:r>
      <w:bookmarkEnd w:id="184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لاختصاص الحجّیة بالظن بالطریق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کوظیفة 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الإمتثال بالعلم، ومع تعذّر العلم تصل النوبة إلی الظن بالفراغ ولکن بحکم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قاعدة الفراغ فی الشبهة الموضوعیة فإنها ظن تعبدی بالفراغ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ومعه لابدّ من تحصیل الظن بحکم الشارع بفراغ عهدتنا من التکلیف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وأحکام الشارع هی الأحکام الأصولیة، فالظنُ الحجّةُ هو الظن بالطریق والحکم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علیه الآخوند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الحاکم علی الإستقلال فی باب تفریغ الذمه بالإطاعة والإمتثال إنما هو العقل، ولیس للشارع فی هذا الباب حکم مولوی یتبعه حکم العقل، ولو حکم فی هذا الباب کان بتبع حکمه إرشاداً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استقلاله بکون الواقع بما هو هو مفرغاً، وأنّ القطع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أو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جزماً، وأنّ المؤمِّن فی حال الإنسداد هو الظن بما کان القطع به مؤمِّناً حال الإنفتاح، فیکون الظن بالواقع أیضاً مؤمِّناً حال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من ضرورة الإستحصال علی حکم الشارع بالفراغ غیر وجیه؛ لأنّ المطلوب هو استحصال الحکم العقلی بالفراغ، والعقل لا یفرق بین الظن بالحکم والظن بالطریق علی مستوی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سلّمنا وجوب الفراغ بحکم الشارع إلاّ أنه یشمل الظن بالحکم الفقهی أیضاً، وذلک لأنّ الظن الذی یتعلّق بالحکم الفقهی یلازم الظن بقیام طریق معتبر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سلّمنا بحجّیة الظن بالطریق فقط، إلاّ أننا صغرویاً نتمکّن من التوسّع منجهة أنّ الظن بحکم فقهی یلازم الظن بوجود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نظیر ما صنعها الأصولیون مع الأخباریین، حیث أنّ الأخیر حصر الحجّة بما یصدر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ما حکم به العقل، وقد قبل الأصولیون هذه الکبری إلاّ أنهم حلّوا المشکلة صغرویاً،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یدرکه العقل من الأحکام یلازم صدوره من فم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یستشکل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بأنه علی هذا الأساس لابدّ من الأخذ بالحکم الفقهی المظنون بالقیاس مع أنّ القیاس مردوع</w:t>
      </w:r>
      <w:bookmarkStart w:id="1842" w:name="pg16983_381665"/>
    </w:p>
    <w:p>
      <w:pPr>
        <w:pStyle w:val="BookText"/>
        <w:rPr/>
      </w:pPr>
      <w:bookmarkEnd w:id="1842"/>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نعمل بالظن لأنه ولید القیاس وإنما بما هو ملازم للظن بقیام طریق معتبر علیه</w:t>
      </w:r>
      <w:r>
        <w:rPr>
          <w:rFonts w:eastAsia="IRNazanin" w:cs="IRNazanin"/>
          <w:color w:val="111111"/>
          <w:sz w:val="28"/>
          <w:szCs w:val="28"/>
          <w:rtl w:val="true"/>
          <w:lang w:bidi="fa-IR"/>
        </w:rPr>
        <w:t>.</w:t>
      </w:r>
    </w:p>
    <w:p>
      <w:pPr>
        <w:pStyle w:val="Heading6"/>
        <w:numPr>
          <w:ilvl w:val="5"/>
          <w:numId w:val="1"/>
        </w:numPr>
        <w:rPr/>
      </w:pPr>
      <w:bookmarkStart w:id="1843" w:name="__RefHeading___Toc3301012_1468164448"/>
      <w:bookmarkStart w:id="1844" w:name="_Toc727"/>
      <w:bookmarkEnd w:id="1843"/>
      <w:r>
        <w:rPr>
          <w:rtl w:val="true"/>
        </w:rPr>
        <w:t xml:space="preserve">تبیین استدلال صاحب الحاشیة </w:t>
      </w:r>
      <w:r>
        <w:rPr>
          <w:rtl w:val="true"/>
        </w:rPr>
        <w:t>(</w:t>
      </w:r>
      <w:r>
        <w:rPr>
          <w:rtl w:val="true"/>
        </w:rPr>
        <w:t>قدس سره</w:t>
      </w:r>
      <w:r>
        <w:rPr>
          <w:rtl w:val="true"/>
        </w:rPr>
        <w:t>)</w:t>
      </w:r>
      <w:bookmarkEnd w:id="1844"/>
    </w:p>
    <w:p>
      <w:pPr>
        <w:pStyle w:val="BookText"/>
        <w:rPr/>
      </w:pPr>
      <w:r>
        <w:rPr>
          <w:rFonts w:ascii="IRNazanin" w:hAnsi="IRNazanin" w:eastAsia="IRNazanin"/>
          <w:color w:val="111111"/>
          <w:sz w:val="28"/>
          <w:sz w:val="28"/>
          <w:szCs w:val="28"/>
          <w:rtl w:val="true"/>
          <w:lang w:bidi="fa-IR"/>
        </w:rPr>
        <w:t xml:space="preserve">ولایضاح عمق أطروحة صاحب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مناقشات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نثیر تساؤلین ونجیب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التساؤل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التنجیز یصبّ فی مرحلة إحراز التکلیف، والتعذیر یصبّ فی مرحلة إحراز الإمتثال، فهما سنخان، فکیف اجتمعا فی الحجّة حیث أنها منجّزة ومعذّرة، ولم یستشعر الأعلام التنافی فی ذلک؟</w:t>
      </w:r>
    </w:p>
    <w:p>
      <w:pPr>
        <w:pStyle w:val="BookText"/>
        <w:rPr/>
      </w:pPr>
      <w:r>
        <w:rPr>
          <w:rFonts w:ascii="IRNazanin" w:hAnsi="IRNazanin" w:eastAsia="IRNazanin"/>
          <w:color w:val="111111"/>
          <w:sz w:val="28"/>
          <w:sz w:val="28"/>
          <w:szCs w:val="28"/>
          <w:rtl w:val="true"/>
          <w:lang w:bidi="fa-IR"/>
        </w:rPr>
        <w:t>التساؤل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تکون أمارة معذّرة فهو یعنی وجود منجّز وراءها، إذ لولا التنجیز لم یکن للتعذیر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کیف یکون هذا المعذّر منجّزاً عند إصابته، إذ یلزم منه اجتماع منجّزین مع أننا بحاجة إلی 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التساؤل عین التساؤل الأول الذی أثرناه فی مطلع الحدیث فی المقدّمة الرابعة ولم نجب عنه هناک علماً أنّ الإجابة عن هذین السؤالین ستبرز لنا خصیصة فی الحکم الأصولی فی الشبهة الحکمیة، مفقودة فی کلّ العلم من الحکم الفقهی، والأمارة فی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المنجّز ابتداءً لیس خصوص الأمارات والظنون الخاصة فضلاً عن الظنون العامة، وإنما الأدلّة العقلیة والنقلیة الموجبة للإعتقاد باللّه ورسوله والشریعة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کانت وراء حصول العلم الإجمالی بالأحکام الشرعیة</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العلم لا ینعدم تکویناً بتوسط الظن الخاص أو العام وإنما یبقی علی حاله سوی أنه ینحلّ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الظن الحجّة یعلّق منجّزیته ویضیقها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المنجّز التعبدی اللاحق یحدّ من دائرة المنجّز السابق ویلخّصها به، ومن ثمّ ففی صورة الظن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أو لم یصب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العلم الإجمالی السابق علی حاله تکویناً ولکن منجّزیته تجمد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ینحلّ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 أنه فی حالة عدم إصابة الظن الواقع نحتاج إلی معذّر عن الواقع لوجود المنجّز السابق، والمعذّر هو الظن فإنه یکون بمنزلة المفرغ عن المنجّز السابق ومخرجاً عن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وبالإلتفات إلی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 الأصولی یقع فی سلسلة معالیل الحکم الفقهی ثبوتاً، لا فی سلسلة علله وإن کان کذلک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تتضح المسألة أکثر؛ حیث إنّ خصیصة الحکم الأصولی فی الشبهة الحکمیة التفریغ عن الحکم الفقهی المنجّز بالعلم الإجمالی فی صورة خطأه بل الظن مفرغ حتی فی صورة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لما کان مسؤولاً عقلاً عن الشریعة المعلومة، کان مسؤولاً عقلاً عن إحراز الإمتثال والفراغ، وهو إما أن یتمّ بالعلم الوجدانی به من خلال الإحتیاط، وإما أن یتمّ بالعلم التعبدی فی الشبهة الحکمیة، حیث یقوم بتشخیص التکالیف کخطوة أولی فی طریق الفراغ، فإن أصاب فیکون معذّراً عن الواقع</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وبالعرض هذا تبلور متانة أطروحة صاحب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وخلل مناقشة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أنّا لا نحتاج إلی مفرغ شرعی، وذلک لأنّ تعذیر الحجّة لیس أکثر من کونها مفرغة، غایته أنّ مثل الآخوند فهم من صاحب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یتحدّث عن التفریغ الموضوعی الجزئی ومن ثمّ أشکل علیه، مع أن حدیث صاحب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التفریغ فی الشبهة الحکمیة، وهو یختلف عنه فی الشبهة الموضوعیة</w:t>
      </w:r>
      <w:r>
        <w:rPr>
          <w:rFonts w:eastAsia="IRNazanin" w:cs="IRNazanin"/>
          <w:color w:val="111111"/>
          <w:sz w:val="28"/>
          <w:szCs w:val="28"/>
          <w:rtl w:val="true"/>
          <w:lang w:bidi="fa-IR"/>
        </w:rPr>
        <w:t>.</w:t>
      </w:r>
      <w:r>
        <w:rPr>
          <w:rStyle w:val="FootnoteAnchor"/>
          <w:rtl w:val="true"/>
        </w:rPr>
        <w:footnoteReference w:id="285"/>
      </w:r>
      <w:bookmarkStart w:id="1845" w:name="pg16983_381670"/>
    </w:p>
    <w:p>
      <w:pPr>
        <w:pStyle w:val="Heading5"/>
        <w:numPr>
          <w:ilvl w:val="4"/>
          <w:numId w:val="1"/>
        </w:numPr>
        <w:rPr/>
      </w:pPr>
      <w:bookmarkStart w:id="1846" w:name="__RefHeading___Toc3301014_1468164448"/>
      <w:bookmarkStart w:id="1847" w:name="_Toc728"/>
      <w:bookmarkEnd w:id="1845"/>
      <w:bookmarkEnd w:id="1846"/>
      <w:r>
        <w:rPr>
          <w:rtl w:val="true"/>
        </w:rPr>
        <w:t>التنبیه الثانی</w:t>
      </w:r>
      <w:r>
        <w:rPr>
          <w:rtl w:val="true"/>
        </w:rPr>
        <w:t xml:space="preserve">: </w:t>
      </w:r>
      <w:r>
        <w:rPr>
          <w:rtl w:val="true"/>
        </w:rPr>
        <w:t>الکشف والحکومة</w:t>
      </w:r>
      <w:bookmarkEnd w:id="1847"/>
    </w:p>
    <w:p>
      <w:pPr>
        <w:pStyle w:val="BookText"/>
        <w:rPr/>
      </w:pPr>
      <w:r>
        <w:rPr>
          <w:rFonts w:ascii="IRNazanin" w:hAnsi="IRNazanin" w:eastAsia="IRNazanin"/>
          <w:color w:val="111111"/>
          <w:sz w:val="28"/>
          <w:sz w:val="28"/>
          <w:szCs w:val="28"/>
          <w:rtl w:val="true"/>
          <w:lang w:bidi="fa-IR"/>
        </w:rPr>
        <w:t xml:space="preserve">الشیخ والآخوند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 علی أنّ مقتضی مقدّمات الإنسداد هو التبعیض فی الإحتیاط بحکم العقل، فلا تصل النوبة إلی الکشف، فالظن لیس بمحرز وإنما هو 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والمحقّق العراقی ذکر أنه مع حجّیة الظن علی الحکومة لا تصل النوبة إلی الکشف، والمحقّق النائینی والمحقّق الإصفهانی فرضا وصول النوبة إلی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ویضیف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تجری فی الأحکام العقلیة الواقعة فی سلسلة معلولات الحکم الشرعی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أسماها البعض بالأطوار العقلیة للحکم الشرعی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وعندما ندقق فی هذه اللفتة نلحظ أنها إنکار لقاعدة الملازمة فی الأحکام الأصولیة؛ لأنّ البحث لیس فی الشبهة الموضوعیة وإنما فی الشبهة الحکمیة، وحکم العقل فی الشبهة الحکمیة حکم أصولی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والمیرزا الکبیر قبل القاعدة فی الحکم الأصولی، کما یلاحظ ذلک فی البراءة حیث استدلّ علی شرعیتها بحکم العقل بها الملازم 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علی نفسه أنه مع إنکار قاعدة الملازمة کیف نفسّر إمکان أن یتعبدنا الشارع بنصب الطرق، حیث یعنی إمکان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تجری قاعدة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ویجیب أنّ الحکم الشرعی الأصولی مع وجود حکم عقلی یصبح لغواً، لعدم ترتب آثاره علیه کتنجیز الواقع حیث حصل بالعلم الإجمالی، وکتعذیره الحاصل بحکم العقل بالتبعیض فی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کلامه أنه فی صدد بیان أنّ المانع من جریان قاعدة الملازمة هو لغویة الحکم الأصولی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الشیخ والآخوند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ذکراه من التبعیض فی الإحتیاط یرجع کنهاً ولباً إلی حجّیة الظن علی الکشف ولیس قولاً فی قباله کما توهّمه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الظن علی الحکومة، فإنه یرجع فی الواقع إلی الظن علی الکشف، بل ذکرنا سابقاً أن لا فرق بین نظریة الظن علی الحکومة والتبعیض فی الإحتیاط إلاّ فی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وتصویر الرجوع تقدّم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المفرغ فی الشبهات الحکمیة یختلف سنخاً عن المفرغ فی الشبهات الموضوعیة فی أنّ الأول عین المنجّز دون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الحکم الأصولی یقع فی سلسلة الفراغ من الحکم الفقهی ثبوتاً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الإحتیاط الأصولی والفقهی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الأسس یتبلور ما ذکرناه؛ إذ أنّ الإحتیاط التام الذی أبطله الأعلام فی المقدّمة الرابعة هو الإحتیاط الفقهی، ومنه وصلت النوبة عندهم إلی تعیّن العمل بالظن، ونحن معهم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أنا قد ألفتنا سابقاً إلی أنّ الظن فی الشبهة الحکمیة حکم أصولی، وأنّ الفقهی هو المتعلّق بالشبهة الموضوعیة، فالإنتقال من الإحتیاط الکلّی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والخیارات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تعیّن العمل بالظن یساوی القول بحجّیة الحکم الأصولی وأنه معذور ومفرغ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تعیّن العمل بالظن یعنی أنه مسؤول عن الحکم بحدود بدائرة الظن ومعذور عما وراءه، فهو غیر مرتبط بالإمتثال والفراغ والتطبیق الخارجی مباشرة، وإنما بإحراز الحکم، فالعمل بالظن فعل أصولی مرتبط بالإستنباط والإراءة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الحجّیة ولیست شیئاً آخر</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بعد هذا یقع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هذه هل هی شرعیة أو عقلیة؟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شرعیة علی کلّ الأحوال، وتسمیتها بالعقلیة غفلة ولا یعدو الإسم،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بنینا فی المقدّمة الثالثة علی أنّ المنجّز شرعی، فالنتیجة هی حجّة الظن شرعاً، ولا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بنینا علی أنّ المنجّز عقلی لیس غیر، فتعیّن العمل بالظن لا یتمّ إلاّ بإبطال کلّ الخیارات فی المقدّمة الرابعة، وهو لا یکون إلاّ بتوسط الشرع دون العقل فإنه یحکم بالإحتیاط التام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کاف فی صیرورة النتیجة شرعیة، بل یکفی فی شرعیة النتیجة إثبات أو إبطال ولو شق واحد من أی مقدّمة بتوسط الشرع،</w:t>
      </w:r>
    </w:p>
    <w:p>
      <w:pPr>
        <w:pStyle w:val="BookText"/>
        <w:rPr/>
      </w:pPr>
      <w:r>
        <w:rPr>
          <w:rFonts w:ascii="IRNazanin" w:hAnsi="IRNazanin" w:eastAsia="IRNazanin"/>
          <w:color w:val="111111"/>
          <w:sz w:val="28"/>
          <w:sz w:val="28"/>
          <w:szCs w:val="28"/>
          <w:rtl w:val="true"/>
          <w:lang w:bidi="fa-IR"/>
        </w:rPr>
        <w:t>وذلک لأنّ النتیجة العقلیة لابدّ أن تکون کلّ مقدّماتها قطعیة، ومع ظنیة شیء من المقدّمات لابدّ أن تکون النتیجة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یحکم علی ضوء تعبد الشرع وبتبعه، ویقصد من حکمه اکتشافه النتیجة علی أساس أنها لازم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النتیجة بعد کون بعض مقدّماتها تعبدیة لا یمکن أن تکون من مصادیق حکم العقل المستقل وإنما هی من غیر المستقلات العقلیة التی تکون الملازمة فیها عقلیة قطعیة واللازم شرعی، نظیر غیر المستقلات العقلیة کوجوب المقدّمة</w:t>
      </w:r>
      <w:r>
        <w:rPr>
          <w:rFonts w:eastAsia="IRNazanin" w:cs="IRNazanin"/>
          <w:color w:val="111111"/>
          <w:sz w:val="28"/>
          <w:szCs w:val="28"/>
          <w:rtl w:val="true"/>
          <w:lang w:bidi="fa-IR"/>
        </w:rPr>
        <w:t>.</w:t>
      </w:r>
      <w:r>
        <w:rPr>
          <w:rStyle w:val="FootnoteAnchor"/>
          <w:rtl w:val="true"/>
        </w:rPr>
        <w:footnoteReference w:id="28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یتضح أن لا موضوع لما ذکره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w:t>
      </w:r>
      <w:bookmarkStart w:id="1848" w:name="pg16983_381677"/>
    </w:p>
    <w:p>
      <w:pPr>
        <w:pStyle w:val="BookText"/>
        <w:rPr/>
      </w:pPr>
      <w:bookmarkEnd w:id="1848"/>
      <w:r>
        <w:rPr>
          <w:rFonts w:ascii="IRNazanin" w:hAnsi="IRNazanin" w:eastAsia="IRNazanin"/>
          <w:color w:val="111111"/>
          <w:sz w:val="28"/>
          <w:sz w:val="28"/>
          <w:szCs w:val="28"/>
          <w:rtl w:val="true"/>
          <w:lang w:bidi="fa-IR"/>
        </w:rPr>
        <w:t>جریان قاعدة الملازمة، لأنّ حکم العقل لیس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أنه تصور أنّ البحث فی الإمتثال وإحرازه الفقهی، بینما الحدیث فی الإحراز الأصولی بقرینة أنّ البحث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من عدم جریان قاعدة الملازمة فی الحکم العقلی یحتاج إلی وقفة وتأمل وسنتعرض له مفصلاً فی بحث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 ضرورة التفکیک بین البُعد الفقهی والأصولی فی کلّ من الإحتیاط والظن والإمتثال العقلی؛ فإنّ الکثیر من الغفلات جاءت نتیجة الخلط بینهما</w:t>
      </w:r>
      <w:r>
        <w:rPr>
          <w:rFonts w:eastAsia="IRNazanin" w:cs="IRNazanin"/>
          <w:color w:val="111111"/>
          <w:sz w:val="28"/>
          <w:szCs w:val="28"/>
          <w:rtl w:val="true"/>
          <w:lang w:bidi="fa-IR"/>
        </w:rPr>
        <w:t>.</w:t>
      </w:r>
    </w:p>
    <w:p>
      <w:pPr>
        <w:pStyle w:val="Heading5"/>
        <w:numPr>
          <w:ilvl w:val="4"/>
          <w:numId w:val="1"/>
        </w:numPr>
        <w:rPr/>
      </w:pPr>
      <w:bookmarkStart w:id="1849" w:name="__RefHeading___Toc3301016_1468164448"/>
      <w:bookmarkStart w:id="1850" w:name="_Toc729"/>
      <w:bookmarkEnd w:id="1849"/>
      <w:r>
        <w:rPr>
          <w:rtl w:val="true"/>
        </w:rPr>
        <w:t>التنبیه الثالث</w:t>
      </w:r>
      <w:r>
        <w:rPr>
          <w:rtl w:val="true"/>
        </w:rPr>
        <w:t xml:space="preserve">: </w:t>
      </w:r>
      <w:r>
        <w:rPr>
          <w:rtl w:val="true"/>
        </w:rPr>
        <w:t>تعمیم النتیجة بلحاظ الأسباب والموارد والمراتب</w:t>
      </w:r>
      <w:bookmarkEnd w:id="1850"/>
    </w:p>
    <w:p>
      <w:pPr>
        <w:pStyle w:val="Heading6"/>
        <w:numPr>
          <w:ilvl w:val="5"/>
          <w:numId w:val="1"/>
        </w:numPr>
        <w:rPr/>
      </w:pPr>
      <w:bookmarkStart w:id="1851" w:name="__RefHeading___Toc3301018_1468164448"/>
      <w:bookmarkStart w:id="1852" w:name="_Toc730"/>
      <w:bookmarkEnd w:id="1851"/>
      <w:r>
        <w:rPr>
          <w:rtl w:val="true"/>
        </w:rPr>
        <w:t>اشارة</w:t>
      </w:r>
      <w:bookmarkEnd w:id="1852"/>
    </w:p>
    <w:p>
      <w:pPr>
        <w:pStyle w:val="BookText"/>
        <w:rPr/>
      </w:pPr>
      <w:r>
        <w:rPr>
          <w:rFonts w:ascii="IRNazanin" w:hAnsi="IRNazanin" w:eastAsia="IRNazanin"/>
          <w:color w:val="111111"/>
          <w:sz w:val="28"/>
          <w:sz w:val="28"/>
          <w:szCs w:val="28"/>
          <w:rtl w:val="true"/>
          <w:lang w:bidi="fa-IR"/>
        </w:rPr>
        <w:t xml:space="preserve">ثم إنّ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تعمیم النتیجة بلحاظ الأسباب والموارد والمراتب، ویقصد من الأول الشهرة والإجماع وخبر الواحد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سنری أنهم لا یلتزمون فی الأسباب أکثر من الأسباب المعهودة فی الإستنباط، أما مثل العلوم الغریبة فلا یعملون بها ومن ثمّ ربما یقصد من الأسباب هی التی یحتمل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من الثانی الأبواب الفقهیة 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من الثالث درجة الظن الحجّة أعمّ من الإطمئنان والظن الصادق فی کلّ درجاته</w:t>
      </w:r>
      <w:r>
        <w:rPr>
          <w:rFonts w:eastAsia="IRNazanin" w:cs="IRNazanin"/>
          <w:color w:val="111111"/>
          <w:sz w:val="28"/>
          <w:szCs w:val="28"/>
          <w:rtl w:val="true"/>
          <w:lang w:bidi="fa-IR"/>
        </w:rPr>
        <w:t>.</w:t>
      </w:r>
    </w:p>
    <w:p>
      <w:pPr>
        <w:pStyle w:val="Heading6"/>
        <w:numPr>
          <w:ilvl w:val="5"/>
          <w:numId w:val="1"/>
        </w:numPr>
        <w:rPr/>
      </w:pPr>
      <w:bookmarkStart w:id="1853" w:name="__RefHeading___Toc3301020_1468164448"/>
      <w:bookmarkStart w:id="1854" w:name="_Toc731"/>
      <w:bookmarkEnd w:id="1853"/>
      <w:r>
        <w:rPr>
          <w:rtl w:val="true"/>
        </w:rPr>
        <w:t>أقسام الطریق</w:t>
      </w:r>
      <w:bookmarkEnd w:id="1854"/>
    </w:p>
    <w:p>
      <w:pPr>
        <w:pStyle w:val="BookText"/>
        <w:rPr/>
      </w:pPr>
      <w:r>
        <w:rPr>
          <w:rFonts w:ascii="IRNazanin" w:hAnsi="IRNazanin" w:eastAsia="IRNazanin"/>
          <w:color w:val="111111"/>
          <w:sz w:val="28"/>
          <w:sz w:val="28"/>
          <w:szCs w:val="28"/>
          <w:rtl w:val="true"/>
          <w:lang w:bidi="fa-IR"/>
        </w:rPr>
        <w:t>وهناک اصطلاحات ثلاثة أخری فی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الواصل بنفسه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الواصل بطریقه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والطریق غیر الواصل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والوصول وصف لاعتبار الطریق أیضاً، لا وصف الطریق فقط، ومن ثمّ یقع السؤال أنه مع الإنسداد ما معنی کونه معتبراً؟</w:t>
      </w:r>
      <w:bookmarkStart w:id="1855" w:name="pg16983_381680"/>
    </w:p>
    <w:p>
      <w:pPr>
        <w:pStyle w:val="BookText"/>
        <w:rPr/>
      </w:pPr>
      <w:bookmarkEnd w:id="1855"/>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الإعتبار ما هو الواصل بتوسط طریق الإنسداد لا بغضّ النظر عنه، فعندما نقیم دلیل الإنسداد تارة نتیقن باعتباره من دلیل الإنسداد فهو واصل بنفسه،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بطریقه فی ظرف دلیل الإنسداد، أی أنّ دلیل الإنسداد لا یثبته وإنما لابدّ من إقامة طریق آخر علاوة علی دلیل الإنسداد، وذلک الطریق إنسداد ثان وقد یترامی إلی ثالث ورابع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إجماع أو قدر متیقن أو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یقام فی المسألة الأصولیة محضاً،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إقامة دلیل الإنسداد لا تصل لا به ولا بتوسط انسداد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لابدّ من الإحتیاط فیها باحتیاط 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الإصطلاحات أفرزَتْها مبان ثلاثة فصارت أقوالاً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البعض یصوغ دلیل الإنسداد بنحو یثبت لنا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یصاغ دلیل الإنسداد بنحو ثبت لنا الثانی إما بخصوصه أو مع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یصاغ دلیل الإنسداد بنحو یثبت لنا الثالث إما بخصوصه أو مع الأولین</w:t>
      </w:r>
      <w:r>
        <w:rPr>
          <w:rFonts w:eastAsia="IRNazanin" w:cs="IRNazanin"/>
          <w:color w:val="111111"/>
          <w:sz w:val="28"/>
          <w:szCs w:val="28"/>
          <w:rtl w:val="true"/>
          <w:lang w:bidi="fa-IR"/>
        </w:rPr>
        <w:t>.</w:t>
      </w:r>
    </w:p>
    <w:p>
      <w:pPr>
        <w:pStyle w:val="Heading6"/>
        <w:numPr>
          <w:ilvl w:val="5"/>
          <w:numId w:val="1"/>
        </w:numPr>
        <w:rPr/>
      </w:pPr>
      <w:bookmarkStart w:id="1856" w:name="__RefHeading___Toc3301022_1468164448"/>
      <w:bookmarkStart w:id="1857" w:name="_Toc732"/>
      <w:bookmarkEnd w:id="1856"/>
      <w:r>
        <w:rPr>
          <w:rtl w:val="true"/>
        </w:rPr>
        <w:t>حقیقة الحجّیة</w:t>
      </w:r>
      <w:bookmarkEnd w:id="1857"/>
    </w:p>
    <w:p>
      <w:pPr>
        <w:pStyle w:val="BookText"/>
        <w:rPr/>
      </w:pPr>
      <w:r>
        <w:rPr>
          <w:rFonts w:ascii="IRNazanin" w:hAnsi="IRNazanin" w:eastAsia="IRNazanin"/>
          <w:color w:val="111111"/>
          <w:sz w:val="28"/>
          <w:sz w:val="28"/>
          <w:szCs w:val="28"/>
          <w:rtl w:val="true"/>
          <w:lang w:bidi="fa-IR"/>
        </w:rPr>
        <w:t xml:space="preserve">وتوضیحه یعتمد علی أنّ حقیقة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هل هی نظیر الحکم الفقهی فی مراحله الثلاث الأساسیة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الإنشائیة، الفعلیة، 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له مرحلتین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الإنشاء، التنجیز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والفعلیة مندکّة فی التنجیز؟</w:t>
      </w:r>
    </w:p>
    <w:p>
      <w:pPr>
        <w:pStyle w:val="BookText"/>
        <w:rPr/>
      </w:pPr>
      <w:r>
        <w:rPr>
          <w:rFonts w:ascii="IRNazanin" w:hAnsi="IRNazanin" w:eastAsia="IRNazanin"/>
          <w:color w:val="111111"/>
          <w:sz w:val="28"/>
          <w:sz w:val="28"/>
          <w:szCs w:val="28"/>
          <w:rtl w:val="true"/>
          <w:lang w:bidi="fa-IR"/>
        </w:rPr>
        <w:t xml:space="preserve">ومَن یبنی علی الثانی لا محالة یثبت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دلیل الإنسداد ینتج لنا حجّیة الطریق الواصل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الحجّة هو</w:t>
      </w:r>
    </w:p>
    <w:p>
      <w:pPr>
        <w:pStyle w:val="BookText"/>
        <w:rPr/>
      </w:pPr>
      <w:r>
        <w:rPr>
          <w:rFonts w:ascii="IRNazanin" w:hAnsi="IRNazanin" w:eastAsia="IRNazanin"/>
          <w:color w:val="111111"/>
          <w:sz w:val="28"/>
          <w:sz w:val="28"/>
          <w:szCs w:val="28"/>
          <w:rtl w:val="true"/>
          <w:lang w:bidi="fa-IR"/>
        </w:rPr>
        <w:t>خصوص الواصل بتوسط دلیل الإنسداد وإلاّ لم یکن فعلیاً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یلتزم بالأول فلا محالة أنه سیلتزم بالقول الثالث؛ لأنّ الحجّیة لم ترهن فعلیتها بالوصول، ومن ثمّ یصوغ دلیل الإنسداد بشکل یثبت الحجّیة لکلّ طریق موجود وصل أو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w:t>
      </w:r>
    </w:p>
    <w:p>
      <w:pPr>
        <w:pStyle w:val="BookText"/>
        <w:rPr/>
      </w:pPr>
      <w:r>
        <w:rPr>
          <w:rFonts w:ascii="IRNazanin" w:hAnsi="IRNazanin" w:eastAsia="IRNazanin"/>
          <w:color w:val="111111"/>
          <w:sz w:val="28"/>
          <w:sz w:val="28"/>
          <w:szCs w:val="28"/>
          <w:rtl w:val="true"/>
          <w:lang w:bidi="fa-IR"/>
        </w:rPr>
        <w:t>الحجّة فعلیة ومن ثمّ یمکن أن تتنجّز بالعلم الإجمالی، بخلاف من التزم بالثانی فإنّ العلم الإجمالی لا یوجب الفعلیة، ومع عدم الفعلیة لا یعقل التنجیز، ومن ثمّ یمتنع الإحتیاط الأصولی فی الحکم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البحث المذکور لا یختص بدلیل الإنسداد حیث یعمّ کلّ دلیل یثبت حکماً أصولیاً، فدلیل حجّیة الخبر هل یثبت لنا الخبر الواصل بنفسه؟</w:t>
      </w:r>
    </w:p>
    <w:p>
      <w:pPr>
        <w:pStyle w:val="BookText"/>
        <w:rPr/>
      </w:pPr>
      <w:r>
        <w:rPr>
          <w:rFonts w:ascii="IRNazanin" w:hAnsi="IRNazanin" w:eastAsia="IRNazanin"/>
          <w:color w:val="111111"/>
          <w:sz w:val="28"/>
          <w:sz w:val="28"/>
          <w:szCs w:val="28"/>
          <w:rtl w:val="true"/>
          <w:lang w:bidi="fa-IR"/>
        </w:rPr>
        <w:t>ومن ثمّ إذا فحص المجتهد بشکل تام ولم یعثر علی روایة موجودة واقعاً، لا تکون حجّة علی القول الأول، وحجّة علی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لو لم یبن علی حجّیة خبر الثقة لفترة ثمّ التفت إلی شمول الدلیل له، فاعتبار خبر الثقة لم یصل إلیه فی تلک الفترة فعلی القول الأول لیس بحجّة وعلی الثالث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البحث فی الواقع عن العلاقة بین دلیل المسألة الأصولیة والحکم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 الثانی فیعتمد البناء علی أنّ الحجّیة ذات مرحلتین أیضاً، ولکن یمنع أن یکون الوصول التفصیلی بنفسه فقط؛ إذ یکفی الوصول التفصیلی بطریقه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الوصول بالوصول الوجدانی، وإنما یعمّ الوصول التفصیلی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یعرف أنّ الأحکام الأصولیة قد تترامی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نرجع إلی الآخوند فی تعمیمه النتیجة إلی الأسباب والموارد والمراتب لنستمع إلی دلیله حیث یذکر وضوح تعمیم النتیجة إلی الأسباب والموارد علی القول بالتبعیض فی الإحتیاط، عدا ما یعلم من الشارع أنه لم یکتف فیها بالظن کالفروج والدماء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التعمیم بلحاظ المرتبة فالمعیار عدم العسر والحرج</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القول بالحجّیة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الکشف والحکومة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أنّ النتیجة هی الحکم الأصولی الواصل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النتیجة عامة لکلّ الأسباب وإنما یقتصر علی القدر المتبقی وهو خبر الثقة؛</w:t>
      </w:r>
      <w:bookmarkStart w:id="1858" w:name="pg16983_381684"/>
    </w:p>
    <w:p>
      <w:pPr>
        <w:pStyle w:val="BookText"/>
        <w:rPr/>
      </w:pPr>
      <w:bookmarkEnd w:id="1858"/>
      <w:r>
        <w:rPr>
          <w:rFonts w:ascii="Amiri" w:hAnsi="Amiri" w:eastAsia="Amiri" w:cs="Amiri"/>
          <w:color w:val="111111"/>
          <w:sz w:val="28"/>
          <w:sz w:val="28"/>
          <w:szCs w:val="28"/>
          <w:rtl w:val="true"/>
          <w:lang w:bidi="ar-SA"/>
        </w:rPr>
        <w:t>لأنه ما من قائل بالإنفتاح إلاّ قال بحجّیته، وما من قائل بالإنسداد إلاّ قَبِلَه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یمکن التعمیم بلحاظ الموارد إلاّ مع الدلیل الخاص کالفروج والدماء، لذا یمکن التعمیم بلحاظ المراتب فی خبر الثقة إلاّ إذا حصل قدر متیقن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فرض اختیار اعتبار الطریق ولو بطریقة فمع وجود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الواصل بنفسه ومع وفائه بالفقه یقتصر علیه، وإلا لابدّ من إجراء الإنسداد ثانیة أو أی دلیل آخر قطعی کالإجماع کی یتوصل لطرق تعین الطرق بقدر یفی بکلّ الفقه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وأما بلحاظ المراتب والموارد فکسابقه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فرض اختیار اعتبار الطریق ولو غیر الواصل فإنه یؤدی إلی الإحتیاط الأصولی، لأنّ العلم الإجمالی سیکون منجّزاً حینئذ</w:t>
      </w:r>
      <w:r>
        <w:rPr>
          <w:rFonts w:eastAsia="IRNazanin" w:cs="IRNazanin"/>
          <w:color w:val="111111"/>
          <w:sz w:val="28"/>
          <w:szCs w:val="28"/>
          <w:rtl w:val="true"/>
          <w:lang w:bidi="fa-IR"/>
        </w:rPr>
        <w:t>.</w:t>
      </w:r>
    </w:p>
    <w:p>
      <w:pPr>
        <w:pStyle w:val="Heading5"/>
        <w:numPr>
          <w:ilvl w:val="4"/>
          <w:numId w:val="1"/>
        </w:numPr>
        <w:rPr/>
      </w:pPr>
      <w:bookmarkStart w:id="1859" w:name="__RefHeading___Toc3301024_1468164448"/>
      <w:bookmarkStart w:id="1860" w:name="_Toc733"/>
      <w:bookmarkEnd w:id="1859"/>
      <w:r>
        <w:rPr>
          <w:rtl w:val="true"/>
        </w:rPr>
        <w:t>التنبیه الرابع</w:t>
      </w:r>
      <w:r>
        <w:rPr>
          <w:rtl w:val="true"/>
        </w:rPr>
        <w:t xml:space="preserve">: </w:t>
      </w:r>
      <w:r>
        <w:rPr>
          <w:rtl w:val="true"/>
        </w:rPr>
        <w:t>فی کیفیة تعقّل عموم النهی عن القیاس فی حال الإنسداد</w:t>
      </w:r>
      <w:bookmarkEnd w:id="1860"/>
    </w:p>
    <w:p>
      <w:pPr>
        <w:pStyle w:val="Heading6"/>
        <w:numPr>
          <w:ilvl w:val="5"/>
          <w:numId w:val="1"/>
        </w:numPr>
        <w:rPr/>
      </w:pPr>
      <w:bookmarkStart w:id="1861" w:name="__RefHeading___Toc3301026_1468164448"/>
      <w:bookmarkStart w:id="1862" w:name="_Toc734"/>
      <w:bookmarkEnd w:id="1861"/>
      <w:r>
        <w:rPr>
          <w:rtl w:val="true"/>
        </w:rPr>
        <w:t>اشارة</w:t>
      </w:r>
      <w:bookmarkEnd w:id="186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رسائل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یجامع حکم العقل</w:t>
      </w:r>
    </w:p>
    <w:p>
      <w:pPr>
        <w:pStyle w:val="BookText"/>
        <w:rPr/>
      </w:pPr>
      <w:r>
        <w:rPr>
          <w:rFonts w:ascii="IRNazanin" w:hAnsi="IRNazanin" w:eastAsia="IRNazanin"/>
          <w:color w:val="111111"/>
          <w:sz w:val="28"/>
          <w:sz w:val="28"/>
          <w:szCs w:val="28"/>
          <w:rtl w:val="true"/>
          <w:lang w:bidi="fa-IR"/>
        </w:rPr>
        <w:t>بکون الظن کالعلم مناطاً للإطاعة والمعصیة، ویقبح علی الآمر والمأمور التعدی عنه، ومع ذلک یحصل الظن أو خصوص الإطمئنان من القیاس، ولا یجوز الشارع العمل به، فإنّ المنع عن العمل بما یقتضیه العقل من الظن، أو خصوص الإطمئنان لو فرض ممکناً، جری فی غیر القیاس، فلا یکون العقل مستقلاً، إذ لعله نهی عن أمارة مثل ما نهی عن القیاس بل وأزید واختفی علینا، ولا دافع لهذا الإحتمال إلاّ قبح ذلک علی الشارع، إذ احتمال صدور ممکن بالذات عن الحکیم لا یرتفع إلاّ بقبحه، وهذا من أفراد ما اشتهر من أنّ الدلیل العقلی لا یقبل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العقل بلزوم اتّباع الظن لا یقبل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موضوعه علّة تامة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اشتهر القطع بخروج القیاس عن عموم نتیجة دلیل الإنسداد؟</w:t>
      </w:r>
    </w:p>
    <w:p>
      <w:pPr>
        <w:pStyle w:val="BookText"/>
        <w:rPr/>
      </w:pPr>
      <w:r>
        <w:rPr>
          <w:rFonts w:ascii="IRNazanin" w:hAnsi="IRNazanin" w:eastAsia="IRNazanin"/>
          <w:color w:val="111111"/>
          <w:sz w:val="28"/>
          <w:sz w:val="28"/>
          <w:szCs w:val="28"/>
          <w:rtl w:val="true"/>
          <w:lang w:bidi="fa-IR"/>
        </w:rPr>
        <w:t>وأجاب الشیخ بأجوبة کثیرة، اختار منها الآخوند مجموعة وأمتنها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العقل بلزوم اتّباع الظن لیس علی نسق حکم العقل بلزوم اتّباع العلم، فإنّ الثانی تنجیزی، والأول تعلیقی علی مقدّمات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أحدها عدم وصول التعبد من الشارع فمع وجود التعبد لا موضوع لحکم العقل، کما هو الحال فی القیاس فإن النهی عنه ضروری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والإشکال مبتنٍ علی أنّ تمام موضوع الحجّیة هو الإنسداد، مع أنّ الموضوع هو الظن مع عدم التعبد الواصل، فالتعبد بالنهی عن القیاس یدلّ بالإلتزام علی وجود تعبد خاص فی الأصل العملی یلزم الرجوع إلیه وأنّ ظنّه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فهناک علمان بتعبدین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الآخوند أنّ الأحری أن یصاغ الإشکال 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1863" w:name="pg16983_381688"/>
    </w:p>
    <w:p>
      <w:pPr>
        <w:pStyle w:val="BookText"/>
        <w:rPr/>
      </w:pPr>
      <w:bookmarkEnd w:id="1863"/>
      <w:r>
        <w:rPr>
          <w:rFonts w:ascii="IRNazanin" w:hAnsi="IRNazanin" w:eastAsia="IRNazanin"/>
          <w:color w:val="111111"/>
          <w:sz w:val="28"/>
          <w:sz w:val="28"/>
          <w:szCs w:val="28"/>
          <w:rtl w:val="true"/>
          <w:lang w:bidi="fa-IR"/>
        </w:rPr>
        <w:t>النهی عن القیاس عام شامل للإنسداد وغیره، کذا الموارد الإصابة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هذا یستلزم النهی عن الواقع وهو یستلزم تحلیل الحرام وتحریم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الإشکال وجیه فی أصل النهی عن القیاس، لا فی شموله للإنسداد بعد الفراغ عن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 نفس جواب ابن قبة</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3301028_1468164448"/>
      <w:bookmarkStart w:id="1865" w:name="_Toc735"/>
      <w:bookmarkEnd w:id="1864"/>
      <w:r>
        <w:rPr>
          <w:rtl w:val="true"/>
        </w:rPr>
        <w:t>إشکال آخر فی المقام</w:t>
      </w:r>
      <w:bookmarkEnd w:id="1865"/>
    </w:p>
    <w:p>
      <w:pPr>
        <w:pStyle w:val="BookText"/>
        <w:rPr/>
      </w:pPr>
      <w:r>
        <w:rPr>
          <w:rFonts w:ascii="IRNazanin" w:hAnsi="IRNazanin" w:eastAsia="IRNazanin"/>
          <w:color w:val="111111"/>
          <w:sz w:val="28"/>
          <w:sz w:val="28"/>
          <w:szCs w:val="28"/>
          <w:rtl w:val="true"/>
          <w:lang w:bidi="fa-IR"/>
        </w:rPr>
        <w:t xml:space="preserve">وهناک إشکال آخر فی عموم النهی عن الظن القیاسی لحال الإنسداد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تسلیمه خروج الظن المزبور عن موضوع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أن لا یحکم العقل بلزوم اتّباع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المحتمل أنها منهی عنها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 تعقّل مانعیة نهی الشارع عن حکم العقل، یکون احتماله أیضاً مانعاً عن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منع الشارع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نهیُ الشارع عنه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ونمطٌ عدمُ نهی الشارع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بالخصوص ولا بالعموم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محکوماً بعدم الإعتبار أیضاً من باب أنّ الأصل عدم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ونمطٌ نهیُ الشارع عنه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النمط لو لم یکن فی البین قدر متیقن أو کان ولم یف بالفقه، فإنّ حکم العقل بالحجّیة یکون عاماً وشاملاً له أیضاً؛ إذ احتمال المنع لا یمنع عن حکم العقل؛ لأنه مع فرض عدم وفاء الظنون الأخری بالفقه، ستترتب مقدّمات الإنسداد ثانیة بالنسبة إلی الظن المحتمل، المنتج لحکم العقل بتاً بلزوم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ظهر أنها منهی عنها فی الواقع لا یؤاخذ علیها المکلّف فإنّ احتمال النهی لا یمنع من جریان مقدّمات الإنسداد، بخلاف العلم بالنهی فإنه یمنع من الجریان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ظُن بالنهی عنه فلا یشمله دلیل الإنسداد للإکتفاء بالقدر المتیقن</w:t>
      </w:r>
      <w:r>
        <w:rPr>
          <w:rFonts w:eastAsia="IRNazanin" w:cs="IRNazanin"/>
          <w:color w:val="111111"/>
          <w:sz w:val="28"/>
          <w:szCs w:val="28"/>
          <w:rtl w:val="true"/>
          <w:lang w:bidi="fa-IR"/>
        </w:rPr>
        <w:t>.</w:t>
      </w:r>
    </w:p>
    <w:p>
      <w:pPr>
        <w:pStyle w:val="Heading6"/>
        <w:numPr>
          <w:ilvl w:val="5"/>
          <w:numId w:val="1"/>
        </w:numPr>
        <w:rPr/>
      </w:pPr>
      <w:bookmarkStart w:id="1866" w:name="__RefHeading___Toc3301030_1468164448"/>
      <w:bookmarkStart w:id="1867" w:name="_Toc736"/>
      <w:bookmarkEnd w:id="1866"/>
      <w:r>
        <w:rPr>
          <w:rtl w:val="true"/>
        </w:rPr>
        <w:t>ما ذکره بعض المحققین فی الجواب عن الإشکال</w:t>
      </w:r>
      <w:bookmarkEnd w:id="1867"/>
    </w:p>
    <w:p>
      <w:pPr>
        <w:pStyle w:val="BookText"/>
        <w:rPr/>
      </w:pPr>
      <w:r>
        <w:rPr>
          <w:rFonts w:ascii="IRNazanin" w:hAnsi="IRNazanin" w:eastAsia="IRNazanin"/>
          <w:color w:val="111111"/>
          <w:sz w:val="28"/>
          <w:sz w:val="28"/>
          <w:szCs w:val="28"/>
          <w:rtl w:val="true"/>
          <w:lang w:bidi="fa-IR"/>
        </w:rPr>
        <w:t>ثم یتعرض الآخوند لجوابین ذکرهما الشیخ وعلّق علیهما الآخوند بأنهما جوابان للإشکال علی أصل النهی عن الظن لا علی الإشکال علی عمومیته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القیاس لغلبة خطئه</w:t>
      </w:r>
      <w:r>
        <w:rPr>
          <w:rFonts w:eastAsia="IRNazanin" w:cs="IRNazanin"/>
          <w:color w:val="111111"/>
          <w:sz w:val="28"/>
          <w:szCs w:val="28"/>
          <w:rtl w:val="true"/>
          <w:lang w:bidi="fa-IR"/>
        </w:rPr>
        <w:t>.</w:t>
      </w:r>
      <w:bookmarkStart w:id="1868" w:name="pg16983_381690"/>
    </w:p>
    <w:p>
      <w:pPr>
        <w:pStyle w:val="BookText"/>
        <w:rPr/>
      </w:pPr>
      <w:bookmarkEnd w:id="1868"/>
      <w:r>
        <w:rPr>
          <w:rFonts w:ascii="IRNazanin" w:hAnsi="IRNazanin" w:eastAsia="IRNazanin"/>
          <w:color w:val="111111"/>
          <w:sz w:val="28"/>
          <w:sz w:val="28"/>
          <w:szCs w:val="28"/>
          <w:rtl w:val="true"/>
          <w:lang w:bidi="fa-IR"/>
        </w:rPr>
        <w:t>والجواب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إنما کان لغلبة المفسدة علی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یظهر أنّ هذین الجوابین یصلحان أیضاً جواباً علی إشکال التعمیم؛ لأنّ العقل إنما حکم بالظن لأقربیته للواقع، فمع غلبة خطئه أو مفسدته لا یحکم العقل بحجّیته بتوسط تعبد الشارع</w:t>
      </w:r>
      <w:r>
        <w:rPr>
          <w:rFonts w:eastAsia="IRNazanin" w:cs="IRNazanin"/>
          <w:color w:val="111111"/>
          <w:sz w:val="28"/>
          <w:szCs w:val="28"/>
          <w:rtl w:val="true"/>
          <w:lang w:bidi="fa-IR"/>
        </w:rPr>
        <w:t>.</w:t>
      </w:r>
    </w:p>
    <w:p>
      <w:pPr>
        <w:pStyle w:val="Heading6"/>
        <w:numPr>
          <w:ilvl w:val="5"/>
          <w:numId w:val="1"/>
        </w:numPr>
        <w:rPr/>
      </w:pPr>
      <w:bookmarkStart w:id="1869" w:name="__RefHeading___Toc3301032_1468164448"/>
      <w:bookmarkStart w:id="1870" w:name="_Toc737"/>
      <w:bookmarkEnd w:id="1869"/>
      <w:r>
        <w:rPr>
          <w:rtl w:val="true"/>
        </w:rPr>
        <w:t>سرّ الإکتفاء علی الظنون المعهودة</w:t>
      </w:r>
      <w:bookmarkEnd w:id="1870"/>
    </w:p>
    <w:p>
      <w:pPr>
        <w:pStyle w:val="BookText"/>
        <w:rPr/>
      </w:pPr>
      <w:r>
        <w:rPr>
          <w:rFonts w:ascii="IRNazanin" w:hAnsi="IRNazanin" w:eastAsia="IRNazanin"/>
          <w:color w:val="111111"/>
          <w:sz w:val="28"/>
          <w:sz w:val="28"/>
          <w:szCs w:val="28"/>
          <w:rtl w:val="true"/>
          <w:lang w:bidi="fa-IR"/>
        </w:rPr>
        <w:t>ثمّ ما هو السر وراء اقتصار الأعلام علی الظنون المعهودة کالروایات والظهور ولم یتعدّوا إلی مثل الظنون الحاصلة من المنامات والإستخارات والعلوم الغریبة؟</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الظنون المعهودة قدر متیقن، ولیس معناه الیقین باعتبارها بلحاظ ما قبل الإنسداد وإنما ما بعد ترتیب مقدّمات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أنها إما ظنون خاصة قد اعتبرها الشارع، أو یقطع بشمول دلیل الإنسداد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تری الإنسدادی والإنفتاحی متفقین فی العمل فی 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الأصولی والأخباری فی تنبیهات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العلم الحجّة هل یشمل ما کان متولّداً من مقدّمات 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روایات متواترة تنهی عن الإستبداد بالرأی فی الوصول إلی حکم اللّه الواقعی، وتحصر الطریق والمصدر بالعقل البدیهی والکتاب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کما حصرت الطریق لحکم اللّه بالمعصوم کذلک حصرت الطریق للمعصوم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جاء التعبیر فی تلک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أنّ الطریق إلی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الجفر والمنام وإنما روایة الرواة عنهم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یستبعد المحقّق النائینی أنّ مفاد هذه الروایات تقیید الأحکام الواقعیة فی مرحلة التنجیز أو الفعلیة التامة بقول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w:t>
      </w:r>
      <w:bookmarkStart w:id="1871" w:name="pg16983_381693"/>
    </w:p>
    <w:p>
      <w:pPr>
        <w:pStyle w:val="BookText"/>
        <w:rPr/>
      </w:pPr>
      <w:bookmarkEnd w:id="1871"/>
      <w:r>
        <w:rPr>
          <w:rFonts w:ascii="IRNazanin" w:hAnsi="IRNazanin" w:eastAsia="IRNazanin"/>
          <w:color w:val="111111"/>
          <w:sz w:val="28"/>
          <w:sz w:val="28"/>
          <w:szCs w:val="28"/>
          <w:rtl w:val="true"/>
          <w:lang w:bidi="fa-IR"/>
        </w:rPr>
        <w:t>المنجّز الوحید والمعذّر الوحید هو قول المعصوم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ومثله الإخبار عن المعصوم، کما یظهر من مطاوی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الأصولی فی بحث الموافقة الإلتزامیة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أحد معانیها التی لاقت قبول کلّ الأصولیین فی لزومها هی التسلیم لأئمة الدین وأخذ الأحکام عنهم، وهو أحد معانی ولایتهم والتولّی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وهذان الجوابان یفسّران السرّ فی حصر الجمیع الطریق بالظنون المعتادة بما فی ذلک الإنسدادیون وبما فی ذلک الأصولیون، فإنهم وإن اختلفوا مع الأخباریین إلاّ أنّ الإختلاف لم یکن فی هذه النقطة</w:t>
      </w:r>
      <w:r>
        <w:rPr>
          <w:rFonts w:eastAsia="IRNazanin" w:cs="IRNazanin"/>
          <w:color w:val="111111"/>
          <w:sz w:val="28"/>
          <w:szCs w:val="28"/>
          <w:rtl w:val="true"/>
          <w:lang w:bidi="fa-IR"/>
        </w:rPr>
        <w:t>.</w:t>
      </w:r>
    </w:p>
    <w:p>
      <w:pPr>
        <w:pStyle w:val="Heading5"/>
        <w:numPr>
          <w:ilvl w:val="4"/>
          <w:numId w:val="1"/>
        </w:numPr>
        <w:rPr/>
      </w:pPr>
      <w:bookmarkStart w:id="1872" w:name="__RefHeading___Toc3301034_1468164448"/>
      <w:bookmarkStart w:id="1873" w:name="_Toc738"/>
      <w:bookmarkEnd w:id="1872"/>
      <w:r>
        <w:rPr>
          <w:rtl w:val="true"/>
        </w:rPr>
        <w:t>التنبیه الخامس</w:t>
      </w:r>
      <w:r>
        <w:rPr>
          <w:rtl w:val="true"/>
        </w:rPr>
        <w:t xml:space="preserve">: </w:t>
      </w:r>
      <w:r>
        <w:rPr>
          <w:rtl w:val="true"/>
        </w:rPr>
        <w:t>عدم الفرق بین أقسام الظن بالحکم</w:t>
      </w:r>
      <w:bookmarkEnd w:id="1873"/>
    </w:p>
    <w:p>
      <w:pPr>
        <w:pStyle w:val="BookText"/>
        <w:rPr/>
      </w:pPr>
      <w:r>
        <w:rPr>
          <w:rFonts w:ascii="IRNazanin" w:hAnsi="IRNazanin" w:eastAsia="IRNazanin"/>
          <w:color w:val="111111"/>
          <w:sz w:val="28"/>
          <w:sz w:val="28"/>
          <w:szCs w:val="28"/>
          <w:rtl w:val="true"/>
          <w:lang w:bidi="fa-IR"/>
        </w:rPr>
        <w:t xml:space="preserve">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الحجّة لا یختص بالظن بالحکم الشرعی وإنما یعمّ الظن بموضوع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الظنون القائمة علی ألفاظ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ظنون من سنخ علم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لو لم یکن فی اللغة انسداد، فالظن حجّة عند الإنسدادی، لأنه ظن بالحکم الشرعی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أمثلته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الظنون الرجالیة فإنه حتی لو لم یتمّ البناء علی الوجوه المذکورة لاعتبار قول الرجالی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ذلک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الإنسداد الکبیر فی الفقه یکفی فی اعتبار الظنون الرجالیة؛ لأنها تحرز صغری للظن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المذکورة فی علم الدرایة والحدیث المرتبطة بکیفیة الکتب واعتبارها واختلاف السنخ وکیفیة الإجازة و ما شابه ذلک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الظنون المرتبطة بمقدّمات الإستنباط حجّة؛ لأنها تولّد لنا ظناً بالحکم الشرعی وإن کانت هی غیر معتبرة فی تلک العلوم</w:t>
      </w:r>
      <w:r>
        <w:rPr>
          <w:rFonts w:eastAsia="IRNazanin" w:cs="IRNazanin"/>
          <w:color w:val="111111"/>
          <w:sz w:val="28"/>
          <w:szCs w:val="28"/>
          <w:rtl w:val="true"/>
          <w:lang w:bidi="fa-IR"/>
        </w:rPr>
        <w:t>.</w:t>
      </w:r>
      <w:bookmarkStart w:id="1874" w:name="pg16983_381695"/>
    </w:p>
    <w:p>
      <w:pPr>
        <w:pStyle w:val="Heading5"/>
        <w:numPr>
          <w:ilvl w:val="4"/>
          <w:numId w:val="1"/>
        </w:numPr>
        <w:rPr/>
      </w:pPr>
      <w:bookmarkStart w:id="1875" w:name="__RefHeading___Toc3301036_1468164448"/>
      <w:bookmarkStart w:id="1876" w:name="_Toc739"/>
      <w:bookmarkEnd w:id="1874"/>
      <w:bookmarkEnd w:id="1875"/>
      <w:r>
        <w:rPr>
          <w:rtl w:val="true"/>
        </w:rPr>
        <w:t>التنبیه السادس</w:t>
      </w:r>
      <w:r>
        <w:rPr>
          <w:rtl w:val="true"/>
        </w:rPr>
        <w:t xml:space="preserve">: </w:t>
      </w:r>
      <w:r>
        <w:rPr>
          <w:rtl w:val="true"/>
        </w:rPr>
        <w:t>الظن فی الشبهات الموضوعیة</w:t>
      </w:r>
      <w:bookmarkEnd w:id="1876"/>
    </w:p>
    <w:p>
      <w:pPr>
        <w:pStyle w:val="BookText"/>
        <w:rPr/>
      </w:pPr>
      <w:r>
        <w:rPr>
          <w:rFonts w:ascii="IRNazanin" w:hAnsi="IRNazanin" w:eastAsia="IRNazanin"/>
          <w:color w:val="111111"/>
          <w:sz w:val="28"/>
          <w:sz w:val="28"/>
          <w:szCs w:val="28"/>
          <w:rtl w:val="true"/>
          <w:lang w:bidi="fa-IR"/>
        </w:rPr>
        <w:t>هل الظن فی الشبهات الموضوعیة حجّة عند الإنسدادی أو لا؟</w:t>
      </w:r>
    </w:p>
    <w:p>
      <w:pPr>
        <w:pStyle w:val="BookText"/>
        <w:rPr/>
      </w:pPr>
      <w:r>
        <w:rPr>
          <w:rFonts w:ascii="IRNazanin" w:hAnsi="IRNazanin" w:eastAsia="IRNazanin"/>
          <w:color w:val="111111"/>
          <w:sz w:val="28"/>
          <w:sz w:val="28"/>
          <w:szCs w:val="28"/>
          <w:rtl w:val="true"/>
          <w:lang w:bidi="fa-IR"/>
        </w:rPr>
        <w:t>فی الکفایة نفی الحجّیة، ومن ثمّ فالظن فی الوصایا والأوقاف والإقرارات لیس بحجّة؛ إذ لا دلیل علی حجّیته إلاّ فی الأبواب التی انسدّ فیها العلم بالموضوع الخارجی مع العلم بشدّة اهتمام الشارع بالباب أو القاعدة أو المسألة کما فی النسب وبعض الأوقاف العامة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تمام الکلام فی تنبیهات دلیل الإنسداد التی ألفت إلیها الأعلام</w:t>
      </w:r>
      <w:r>
        <w:rPr>
          <w:rFonts w:eastAsia="IRNazanin" w:cs="IRNazanin"/>
          <w:color w:val="111111"/>
          <w:sz w:val="28"/>
          <w:szCs w:val="28"/>
          <w:rtl w:val="true"/>
          <w:lang w:bidi="fa-IR"/>
        </w:rPr>
        <w:t>.</w:t>
      </w:r>
      <w:bookmarkStart w:id="1877" w:name="pg16983_381697"/>
    </w:p>
    <w:p>
      <w:pPr>
        <w:pStyle w:val="Heading4"/>
        <w:numPr>
          <w:ilvl w:val="3"/>
          <w:numId w:val="1"/>
        </w:numPr>
        <w:rPr/>
      </w:pPr>
      <w:bookmarkStart w:id="1878" w:name="__RefHeading___Toc3301038_1468164448"/>
      <w:bookmarkStart w:id="1879" w:name="_Toc740"/>
      <w:bookmarkEnd w:id="1877"/>
      <w:bookmarkEnd w:id="1878"/>
      <w:r>
        <w:rPr/>
        <w:t>4</w:t>
      </w:r>
      <w:r>
        <w:rPr>
          <w:rtl w:val="true"/>
        </w:rPr>
        <w:t xml:space="preserve"> . </w:t>
      </w:r>
      <w:r>
        <w:rPr>
          <w:rtl w:val="true"/>
        </w:rPr>
        <w:t>المختار فی دلیل الإنسداد</w:t>
      </w:r>
      <w:bookmarkEnd w:id="1879"/>
    </w:p>
    <w:p>
      <w:pPr>
        <w:pStyle w:val="Heading5"/>
        <w:numPr>
          <w:ilvl w:val="4"/>
          <w:numId w:val="1"/>
        </w:numPr>
        <w:rPr/>
      </w:pPr>
      <w:bookmarkStart w:id="1880" w:name="__RefHeading___Toc3301040_1468164448"/>
      <w:bookmarkStart w:id="1881" w:name="_Toc741"/>
      <w:bookmarkEnd w:id="1880"/>
      <w:r>
        <w:rPr>
          <w:rtl w:val="true"/>
        </w:rPr>
        <w:t>اشارة</w:t>
      </w:r>
      <w:bookmarkEnd w:id="1881"/>
    </w:p>
    <w:p>
      <w:pPr>
        <w:pStyle w:val="BookText"/>
        <w:rPr/>
      </w:pPr>
      <w:r>
        <w:rPr>
          <w:rFonts w:ascii="IRNazanin" w:hAnsi="IRNazanin" w:eastAsia="IRNazanin"/>
          <w:color w:val="111111"/>
          <w:sz w:val="28"/>
          <w:sz w:val="28"/>
          <w:szCs w:val="28"/>
          <w:rtl w:val="true"/>
          <w:lang w:bidi="fa-IR"/>
        </w:rPr>
        <w:t>بعد هذا نعرض للمختار فی أمور ثلاث</w:t>
      </w:r>
      <w:r>
        <w:rPr>
          <w:rFonts w:eastAsia="IRNazanin" w:cs="IRNazanin"/>
          <w:color w:val="111111"/>
          <w:sz w:val="28"/>
          <w:szCs w:val="28"/>
          <w:rtl w:val="true"/>
          <w:lang w:bidi="fa-IR"/>
        </w:rPr>
        <w:t>:</w:t>
      </w:r>
    </w:p>
    <w:p>
      <w:pPr>
        <w:pStyle w:val="Heading5"/>
        <w:numPr>
          <w:ilvl w:val="4"/>
          <w:numId w:val="1"/>
        </w:numPr>
        <w:rPr/>
      </w:pPr>
      <w:bookmarkStart w:id="1882" w:name="__RefHeading___Toc3301042_1468164448"/>
      <w:bookmarkStart w:id="1883" w:name="_Toc742"/>
      <w:bookmarkEnd w:id="1882"/>
      <w:r>
        <w:rPr>
          <w:rtl w:val="true"/>
        </w:rPr>
        <w:t>الأمر الأول</w:t>
      </w:r>
      <w:r>
        <w:rPr>
          <w:rtl w:val="true"/>
        </w:rPr>
        <w:t>:</w:t>
      </w:r>
      <w:r>
        <w:rPr>
          <w:rtl w:val="true"/>
        </w:rPr>
        <w:t>صیاغة جدیدة لدلیل الإنسداد</w:t>
      </w:r>
      <w:bookmarkEnd w:id="1883"/>
    </w:p>
    <w:p>
      <w:pPr>
        <w:pStyle w:val="Heading6"/>
        <w:numPr>
          <w:ilvl w:val="5"/>
          <w:numId w:val="1"/>
        </w:numPr>
        <w:rPr/>
      </w:pPr>
      <w:bookmarkStart w:id="1884" w:name="__RefHeading___Toc3301044_1468164448"/>
      <w:bookmarkStart w:id="1885" w:name="_Toc743"/>
      <w:bookmarkEnd w:id="1884"/>
      <w:r>
        <w:rPr>
          <w:rtl w:val="true"/>
        </w:rPr>
        <w:t>اشارة</w:t>
      </w:r>
      <w:bookmarkEnd w:id="1885"/>
    </w:p>
    <w:p>
      <w:pPr>
        <w:pStyle w:val="BookText"/>
        <w:rPr/>
      </w:pPr>
      <w:r>
        <w:rPr>
          <w:rFonts w:ascii="IRNazanin" w:hAnsi="IRNazanin" w:eastAsia="IRNazanin"/>
          <w:color w:val="111111"/>
          <w:sz w:val="28"/>
          <w:sz w:val="28"/>
          <w:szCs w:val="28"/>
          <w:rtl w:val="true"/>
          <w:lang w:bidi="fa-IR"/>
        </w:rPr>
        <w:t>هناک صیاغة أخری لدلیل الإنسداد تمنع من وصول النوبة إلی الصیاغة السائدة، وهذه الصیاغة مبنیة علی العلم الإجمالی بنصب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فی التنبیه الأول الإلفات إلی 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شکّک فی جعل الشارع للطرق وحاول أن یقرّب ذلک بشواهد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لنا شواهد علی وجود العلم المذکور</w:t>
      </w:r>
      <w:r>
        <w:rPr>
          <w:rFonts w:eastAsia="IRNazanin" w:cs="IRNazanin"/>
          <w:color w:val="111111"/>
          <w:sz w:val="28"/>
          <w:szCs w:val="28"/>
          <w:rtl w:val="true"/>
          <w:lang w:bidi="fa-IR"/>
        </w:rPr>
        <w:t>.</w:t>
      </w:r>
    </w:p>
    <w:p>
      <w:pPr>
        <w:pStyle w:val="Heading6"/>
        <w:numPr>
          <w:ilvl w:val="5"/>
          <w:numId w:val="1"/>
        </w:numPr>
        <w:rPr/>
      </w:pPr>
      <w:bookmarkStart w:id="1886" w:name="__RefHeading___Toc3301046_1468164448"/>
      <w:bookmarkStart w:id="1887" w:name="_Toc744"/>
      <w:bookmarkEnd w:id="1886"/>
      <w:r>
        <w:rPr>
          <w:rtl w:val="true"/>
        </w:rPr>
        <w:t>الشاهد الأول</w:t>
      </w:r>
      <w:bookmarkEnd w:id="1887"/>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لغة القانون کلغة اللسان مشترکة بین قانون السماء وقانون البشر کما تمّت الإشارة إلی ذلک وبتفصیل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أولیات وضروریات التقنین البشری العقلائی انقسامه إلی قوانین من سنخ القوانین الفقهیة ومن سنخ القوانین الأصولیة، بل لا یمکن تشریع القوانین الفقهیة من دون تشریع القانون الأصولی إلی 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طبیعة الأغراض لا یمکن التوصل لها بالتقنینات الفقهیة فقط</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بموجب ما تقدّم یعرف أنّ الشارع قد شرّع أحکاماً أصولیة جنباً إلی جنب أحکامه الفقهیة</w:t>
      </w:r>
      <w:r>
        <w:rPr>
          <w:rFonts w:eastAsia="IRNazanin" w:cs="IRNazanin"/>
          <w:color w:val="111111"/>
          <w:sz w:val="28"/>
          <w:szCs w:val="28"/>
          <w:rtl w:val="true"/>
          <w:lang w:bidi="fa-IR"/>
        </w:rPr>
        <w:t>.</w:t>
      </w:r>
      <w:r>
        <w:rPr>
          <w:rStyle w:val="FootnoteAnchor"/>
          <w:rtl w:val="true"/>
        </w:rPr>
        <w:footnoteReference w:id="289"/>
      </w:r>
      <w:bookmarkStart w:id="1888" w:name="pg16983_381699"/>
    </w:p>
    <w:p>
      <w:pPr>
        <w:pStyle w:val="Heading6"/>
        <w:numPr>
          <w:ilvl w:val="5"/>
          <w:numId w:val="1"/>
        </w:numPr>
        <w:rPr/>
      </w:pPr>
      <w:bookmarkStart w:id="1889" w:name="__RefHeading___Toc3301048_1468164448"/>
      <w:bookmarkStart w:id="1890" w:name="_Toc745"/>
      <w:bookmarkEnd w:id="1888"/>
      <w:bookmarkEnd w:id="1889"/>
      <w:r>
        <w:rPr>
          <w:rtl w:val="true"/>
        </w:rPr>
        <w:t>الشاهد الثانی</w:t>
      </w:r>
      <w:bookmarkEnd w:id="1890"/>
    </w:p>
    <w:p>
      <w:pPr>
        <w:pStyle w:val="BookText"/>
        <w:rPr/>
      </w:pPr>
      <w:r>
        <w:rPr>
          <w:rFonts w:ascii="IRNazanin" w:hAnsi="IRNazanin" w:eastAsia="IRNazanin"/>
          <w:color w:val="111111"/>
          <w:sz w:val="28"/>
          <w:sz w:val="28"/>
          <w:szCs w:val="28"/>
          <w:rtl w:val="true"/>
          <w:lang w:bidi="fa-IR"/>
        </w:rPr>
        <w:t>ومع ثبوت العلم الإجمالی بنصب الطرق، فإن کان هناک قدر متیقن فإنه یوجب انحلال العلم إلیه، ولیس ببعید دعوی القدر المتیقن بالبیان المتقدّم فی التنبیه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القدر المتیقن أو عدم وفائه بالفقه، فلابدّ من ترتیب بقیة مقدّمات الإنسداد بالشکل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انتهی الحدیث فی الإنسداد وتنبیهاته، وقد تمّ إنجاز الحقائق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الإنسداد الکبروی أوتصویر الإنسداد کبرویاً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إرجاع التبعیض فی الإحتیاط الفقهی إلی الظن علی الحکومة، بعد التمییز بین الإحتیاط الأصولی والفقهی ومن ثمّ الإستقرار علی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إرجاع الظن علی الحکومة إلی الظن علی ا لکشف، بنکتة أنّ العقل غیر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عسر الإحتیاط الفقهی حتی بنحو 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أنّ الإحتیاط الأصولی عین العمل بالطرق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وجود دلیل عام علی حجّیة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نصب طرق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الإنسداد علی المسألة الأصولیة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إرجاع النتیجة فی الإنسداد الفقهی إلی الإنسداد</w:t>
      </w:r>
      <w:bookmarkStart w:id="1891" w:name="pg16983_381701"/>
    </w:p>
    <w:p>
      <w:pPr>
        <w:pStyle w:val="BookText"/>
        <w:rPr/>
      </w:pPr>
      <w:bookmarkEnd w:id="1891"/>
      <w:r>
        <w:rPr>
          <w:rFonts w:ascii="IRNazanin" w:hAnsi="IRNazanin" w:eastAsia="IRNazanin"/>
          <w:color w:val="111111"/>
          <w:sz w:val="28"/>
          <w:sz w:val="28"/>
          <w:szCs w:val="28"/>
          <w:rtl w:val="true"/>
          <w:lang w:bidi="fa-IR"/>
        </w:rPr>
        <w:t>الأصولی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وبالتالی فالحجّة هو الظن بالطریق، لولا القدر المتیقن وهو خبر الثقة والموثوق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الثقة والموثوق شرعاً بالإنسداد</w:t>
      </w:r>
      <w:r>
        <w:rPr>
          <w:rFonts w:eastAsia="IRNazanin" w:cs="IRNazanin"/>
          <w:color w:val="111111"/>
          <w:sz w:val="28"/>
          <w:szCs w:val="28"/>
          <w:rtl w:val="true"/>
          <w:lang w:bidi="fa-IR"/>
        </w:rPr>
        <w:t>.</w:t>
      </w:r>
    </w:p>
    <w:p>
      <w:pPr>
        <w:pStyle w:val="Heading5"/>
        <w:numPr>
          <w:ilvl w:val="4"/>
          <w:numId w:val="1"/>
        </w:numPr>
        <w:rPr/>
      </w:pPr>
      <w:bookmarkStart w:id="1892" w:name="__RefHeading___Toc3301050_1468164448"/>
      <w:bookmarkStart w:id="1893" w:name="_Toc746"/>
      <w:bookmarkEnd w:id="1892"/>
      <w:r>
        <w:rPr>
          <w:rtl w:val="true"/>
        </w:rPr>
        <w:t>الأمر الثانی</w:t>
      </w:r>
      <w:r>
        <w:rPr>
          <w:rtl w:val="true"/>
        </w:rPr>
        <w:t xml:space="preserve">: </w:t>
      </w:r>
      <w:r>
        <w:rPr>
          <w:rtl w:val="true"/>
        </w:rPr>
        <w:t>فی تاریخ الإنسداد</w:t>
      </w:r>
      <w:bookmarkEnd w:id="1893"/>
    </w:p>
    <w:p>
      <w:pPr>
        <w:pStyle w:val="BookText"/>
        <w:rPr/>
      </w:pPr>
      <w:r>
        <w:rPr>
          <w:rFonts w:ascii="IRNazanin" w:hAnsi="IRNazanin" w:eastAsia="IRNazanin"/>
          <w:color w:val="111111"/>
          <w:sz w:val="28"/>
          <w:sz w:val="28"/>
          <w:szCs w:val="28"/>
          <w:rtl w:val="true"/>
          <w:lang w:bidi="fa-IR"/>
        </w:rPr>
        <w:t xml:space="preserve">الشیخ جعل البدایة بالبهائی ارتکازاً وبذرة،، وبالخونساری تفصیلاً وبلورة إلاّ أنا بالتتبع وجدنا أنّ البذرة بذرها القدماء کالطوسی والمرتضی، حیث جاء فی کلماتهم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مجال الإستدلال علی إمضاء سیرة من سیر العقلاء، وهو یرجع بالتحلیل إلی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الإنسداد مرتکزاً فی کلمات الفقهاء حتی الوحید البهبهانی الذی شیّده وبنی علیه، وتبعه فی ذلک کثیر ممن تأخر عنه بما فی ذلک الشیخ، فإنه وإن کان کبرویاً انفتاحیاً إلاّ أنه لإشکالات صغرویة نهج منهج الإنسداد ولکن من دون تصریح</w:t>
      </w:r>
      <w:r>
        <w:rPr>
          <w:rFonts w:eastAsia="IRNazanin" w:cs="IRNazanin"/>
          <w:color w:val="111111"/>
          <w:sz w:val="28"/>
          <w:szCs w:val="28"/>
          <w:rtl w:val="true"/>
          <w:lang w:bidi="fa-IR"/>
        </w:rPr>
        <w:t>.</w:t>
      </w:r>
    </w:p>
    <w:p>
      <w:pPr>
        <w:pStyle w:val="Heading5"/>
        <w:numPr>
          <w:ilvl w:val="4"/>
          <w:numId w:val="1"/>
        </w:numPr>
        <w:rPr/>
      </w:pPr>
      <w:bookmarkStart w:id="1894" w:name="__RefHeading___Toc3301052_1468164448"/>
      <w:bookmarkStart w:id="1895" w:name="_Toc747"/>
      <w:bookmarkEnd w:id="1894"/>
      <w:r>
        <w:rPr>
          <w:rtl w:val="true"/>
        </w:rPr>
        <w:t>الأمر الثالث</w:t>
      </w:r>
      <w:r>
        <w:rPr>
          <w:rtl w:val="true"/>
        </w:rPr>
        <w:t xml:space="preserve">: </w:t>
      </w:r>
      <w:r>
        <w:rPr>
          <w:rtl w:val="true"/>
        </w:rPr>
        <w:t>فی فوائد الإنسداد وسلبیاته إلی حدّ الخطورة</w:t>
      </w:r>
      <w:bookmarkEnd w:id="1895"/>
    </w:p>
    <w:p>
      <w:pPr>
        <w:pStyle w:val="Heading6"/>
        <w:numPr>
          <w:ilvl w:val="5"/>
          <w:numId w:val="1"/>
        </w:numPr>
        <w:rPr/>
      </w:pPr>
      <w:bookmarkStart w:id="1896" w:name="__RefHeading___Toc3301054_1468164448"/>
      <w:bookmarkStart w:id="1897" w:name="_Toc748"/>
      <w:bookmarkEnd w:id="1896"/>
      <w:r>
        <w:rPr>
          <w:rtl w:val="true"/>
        </w:rPr>
        <w:t>اشارة</w:t>
      </w:r>
      <w:bookmarkEnd w:id="1897"/>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نستعرض تاریخ الفقه والفقهاء من زاویة التدوین نلحظ أنه مرّ بمراحل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الأقدمین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کالإسکافی وابن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کما یذکر الطوسی فی مقدّمة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یتحاشون تحریر الفتوی عن الروایة فجاءت کتبهم روائیة</w:t>
      </w:r>
      <w:r>
        <w:rPr>
          <w:rFonts w:eastAsia="IRNazanin" w:cs="IRNazanin"/>
          <w:color w:val="111111"/>
          <w:sz w:val="28"/>
          <w:szCs w:val="28"/>
          <w:rtl w:val="true"/>
          <w:lang w:bidi="fa-IR"/>
        </w:rPr>
        <w:t>.</w:t>
      </w:r>
      <w:bookmarkStart w:id="1898" w:name="pg16983_381703"/>
    </w:p>
    <w:p>
      <w:pPr>
        <w:pStyle w:val="BookText"/>
        <w:rPr/>
      </w:pPr>
      <w:bookmarkEnd w:id="1898"/>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تبدأ بالمفید وتنتهی بابن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فی الأعمّ الأغلب لم یکتبوا فیها استدلالیاً وإنما اختصروا علی کتب الفتوی جنباً إلی جنب کتب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وجدت کتباً استدلالیة کالإنتصار والتهذیب فهی مختزلة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تبدأ من المحقّق الحلّی وتنتهی بالشهید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ظهرت فی هذه المرحلة الکتب الإستدلالیة إلاّ أنها لیست کاملة، مع اقتصار کثیر منهم علی کتاب واحد استدلالی والبنیة 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أعلام هذه المرحلة بصیاغة أدلّةٍ لتسالمات القدماء وشهراتهم من دون أن یؤخذ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المشروع لم یأت مستوعباً لعدم تکامل کتبهم الإستدلالیة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متأخری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تبدأ بالمقدّس الأردبیلی وتنتهی إلی ما قبل الوحید وصاحب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أخذ الفقه الإستدلالی المدوّن مجاله</w:t>
      </w:r>
      <w:r>
        <w:rPr>
          <w:rFonts w:eastAsia="IRNazanin" w:cs="IRNazanin"/>
          <w:color w:val="111111"/>
          <w:sz w:val="28"/>
          <w:szCs w:val="28"/>
          <w:rtl w:val="true"/>
          <w:lang w:bidi="fa-IR"/>
        </w:rPr>
        <w:t>.</w:t>
      </w:r>
    </w:p>
    <w:p>
      <w:pPr>
        <w:pStyle w:val="Heading6"/>
        <w:numPr>
          <w:ilvl w:val="5"/>
          <w:numId w:val="1"/>
        </w:numPr>
        <w:rPr/>
      </w:pPr>
      <w:bookmarkStart w:id="1899" w:name="__RefHeading___Toc3301056_1468164448"/>
      <w:bookmarkStart w:id="1900" w:name="_Toc749"/>
      <w:bookmarkEnd w:id="1899"/>
      <w:r>
        <w:rPr>
          <w:rtl w:val="true"/>
        </w:rPr>
        <w:t>ظاهرة المرحلة الرابعة</w:t>
      </w:r>
      <w:bookmarkEnd w:id="1900"/>
    </w:p>
    <w:p>
      <w:pPr>
        <w:pStyle w:val="BookText"/>
        <w:rPr/>
      </w:pPr>
      <w:r>
        <w:rPr>
          <w:rFonts w:ascii="IRNazanin" w:hAnsi="IRNazanin" w:eastAsia="IRNazanin"/>
          <w:color w:val="111111"/>
          <w:sz w:val="28"/>
          <w:sz w:val="28"/>
          <w:szCs w:val="28"/>
          <w:rtl w:val="true"/>
          <w:lang w:bidi="fa-IR"/>
        </w:rPr>
        <w:t>ویلاحظ فی السیر الفکری لأعلام هذه المرحلة ظاهرة الإشکال بل المنع للعدید من الفتاوی التی تسالم علیها الفقهاء القدماء فضلاً عما اشتهر بینهم بحجّة عدم توفّر الدلیل الکافی، وأنّ ما ذکر من الأدلّة ضعیف فی الوقت الذی یجعل من تلک التسالمات مدرکیة</w:t>
      </w:r>
      <w:r>
        <w:rPr>
          <w:rFonts w:eastAsia="IRNazanin" w:cs="IRNazanin"/>
          <w:color w:val="111111"/>
          <w:sz w:val="28"/>
          <w:szCs w:val="28"/>
          <w:rtl w:val="true"/>
          <w:lang w:bidi="fa-IR"/>
        </w:rPr>
        <w:t>.</w:t>
      </w:r>
    </w:p>
    <w:p>
      <w:pPr>
        <w:pStyle w:val="Heading6"/>
        <w:numPr>
          <w:ilvl w:val="5"/>
          <w:numId w:val="1"/>
        </w:numPr>
        <w:rPr/>
      </w:pPr>
      <w:bookmarkStart w:id="1901" w:name="__RefHeading___Toc3301058_1468164448"/>
      <w:bookmarkStart w:id="1902" w:name="_Toc750"/>
      <w:bookmarkEnd w:id="1901"/>
      <w:r>
        <w:rPr>
          <w:rtl w:val="true"/>
        </w:rPr>
        <w:t>تقییم تلک الظاهرة</w:t>
      </w:r>
      <w:bookmarkEnd w:id="1902"/>
    </w:p>
    <w:p>
      <w:pPr>
        <w:pStyle w:val="BookText"/>
        <w:rPr/>
      </w:pPr>
      <w:r>
        <w:rPr>
          <w:rFonts w:ascii="IRNazanin" w:hAnsi="IRNazanin" w:eastAsia="IRNazanin"/>
          <w:color w:val="111111"/>
          <w:sz w:val="28"/>
          <w:sz w:val="28"/>
          <w:szCs w:val="28"/>
          <w:rtl w:val="true"/>
          <w:lang w:bidi="fa-IR"/>
        </w:rPr>
        <w:t>ولتقییم هذه المنحة الفکریة لابدّ من الإلتفات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کمیة الکتب الروائیة التی اعتمدها القدماء أکبر بکثیر من الکتب الروائیة التی اعتمد علیها المتأخرون، حیث حصروا مصادرهم الروائیة بالکتب الأربعة وبعض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یختلف تبویب وفهرست جملة من الکتب الروائیة القدیمة جداً عن تبویب الکتب الأربعة وأمثالها المتأخرة عنها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الإختلاف الکمّی والتنظیمی ینعکس علی طبیعة</w:t>
      </w:r>
    </w:p>
    <w:p>
      <w:pPr>
        <w:pStyle w:val="BookText"/>
        <w:rPr/>
      </w:pPr>
      <w:r>
        <w:rPr>
          <w:rFonts w:ascii="IRNazanin" w:hAnsi="IRNazanin" w:eastAsia="IRNazanin"/>
          <w:color w:val="111111"/>
          <w:sz w:val="28"/>
          <w:sz w:val="28"/>
          <w:szCs w:val="28"/>
          <w:rtl w:val="true"/>
          <w:lang w:bidi="fa-IR"/>
        </w:rPr>
        <w:t>الفحص ونتائجه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کیفیة تدریس الفقه الإستدلالی إلی زمن الشهید الثانی کانت بالشکل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الکتب الروائیة من أولها إلی آخرها ودراسة فقه کلّ روایة بما هی وتحدید کلّ مفاداتها وإن کانت مختلفة السنخ ومرتبطة بمسائل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یفهم ما ذکره 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فائدة من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بحوزته نسخة من التهذیب، علیها خطوط تلامیذ الشهید الثانی، حیث یعنی أنهم درسوا التهذیب روایة روایة فقهاً وسنداً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یفهم ما ذکره فخر المحققین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کان قد فسّرها عند قراءة التهذیب علیه أول مرّة بشکل یختلف عن تفسیره عندما درس التهذیب علیه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اختلفت الکیفیة من بعد الشهید وإلی یومنا هذا حیث أنها صارت علی أساس المسائل ودراسة الروایة بما هی مرتبطة بالمسألة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تخفی إیجابیة الکیفیة الأولی حیث أنّ الباحث لا یتأطر بإطار معین فی دراسة الروایة ومن ثمّ سیدرسها من کلّ جوانبها ویستخرج کلّ ما فیها من مفادات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أمکن أن نفسّر جملة من مسلّمات القدماء التی ترکوها من دون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بسبب وفرة الأدلّة المتفرقة والمتناثرة هنا وهناک ووضوح النتیجة التی تم العثور علیها بسبب المنهج الدراسی المتبع آنذاک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جملة من کتب القدماء کالإنتصار للمرتضی والخلاف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الکلامیة أو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تؤسّس علی أساس من الإستدلال علی الطریقة الإمامیة، وإنما علی أساس الإستدلال الجدلی بالتی هی أحسن مع الآخرین بالإستفادة من القواسم المشترکة أو من مسلّماتهم</w:t>
      </w:r>
      <w:r>
        <w:rPr>
          <w:rFonts w:eastAsia="IRNazanin" w:cs="IRNazanin"/>
          <w:color w:val="111111"/>
          <w:sz w:val="28"/>
          <w:szCs w:val="28"/>
          <w:rtl w:val="true"/>
          <w:lang w:bidi="fa-IR"/>
        </w:rPr>
        <w:t>.</w:t>
      </w:r>
      <w:bookmarkStart w:id="1903" w:name="pg16983_381708"/>
    </w:p>
    <w:p>
      <w:pPr>
        <w:pStyle w:val="BookText"/>
        <w:rPr/>
      </w:pPr>
      <w:bookmarkEnd w:id="1903"/>
      <w:r>
        <w:rPr>
          <w:rFonts w:ascii="IRNazanin" w:hAnsi="IRNazanin" w:eastAsia="IRNazanin"/>
          <w:color w:val="111111"/>
          <w:sz w:val="28"/>
          <w:sz w:val="28"/>
          <w:szCs w:val="28"/>
          <w:rtl w:val="true"/>
          <w:lang w:bidi="fa-IR"/>
        </w:rPr>
        <w:t>لهذا أمثاله أخذ المتأخرون بالتفکیر والبحث عن أدلّة لهذه التسالمات تنسجم مع المنهج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الأردبیلی وتلمیذیه صاحب المدارک والمعالم، کذا السبزواری بعدهم، صنّفوا هذه التسالمات مدرکیة بسبب الأدلّة مع تصورهم أنّ تمام الدلیل هو ما ذکره المتأخرون أو ما وجد فی کتبهم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متأخروا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وتبدأ من الوحید البهبهانی وتنتهی بالآخوند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والوحید قد بنی علی الإنسداد بسبب الدقة المفرطة نتیجة صراعه مع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الإستناد علی الإنسداد تمّ البناء علی مطلق الظن المتعارف بما فی ذلک الإجماع والشهرة، ومن هنا تجد عنایة کبیرة بجمیع الأقوال لتحصیل الشهرة والإجماع فی الدورات المطولة التی کتبت فی هذه الحقبة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ترکت هذه المرحلة آثارها علی المرحلة السادسة فتجد فی المتسمسک مثلاً أنه یعتمد فی موارد عدیدة علی الإجماع والشهرة، سواء فی أصل الحکم أو جبر دلیل أوترجیحه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وتمتاز بالتدقیق بسبب الأعلام الثلاثة، خاصة دقة المحقّق الإصفهانی التجزیئیة والتی انسحبت علی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سمة هذه المرحلة هی سمة المرحلة الرابعة فی موقفهم من الإجماع والشهرة عدا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حاضرة النجف الشریف، وأما فی حاضرة قم فقد بقیت ملامح المرحلة الخامسة إلی یومنا هذا</w:t>
      </w:r>
      <w:r>
        <w:rPr>
          <w:rFonts w:eastAsia="IRNazanin" w:cs="IRNazanin"/>
          <w:color w:val="111111"/>
          <w:sz w:val="28"/>
          <w:szCs w:val="28"/>
          <w:rtl w:val="true"/>
          <w:lang w:bidi="fa-IR"/>
        </w:rPr>
        <w:t>.</w:t>
      </w:r>
    </w:p>
    <w:p>
      <w:pPr>
        <w:pStyle w:val="Heading6"/>
        <w:numPr>
          <w:ilvl w:val="5"/>
          <w:numId w:val="1"/>
        </w:numPr>
        <w:rPr/>
      </w:pPr>
      <w:bookmarkStart w:id="1904" w:name="__RefHeading___Toc3301060_1468164448"/>
      <w:bookmarkStart w:id="1905" w:name="_Toc751"/>
      <w:bookmarkEnd w:id="1904"/>
      <w:r>
        <w:rPr>
          <w:rtl w:val="true"/>
        </w:rPr>
        <w:t>سلبیات الإنسداد</w:t>
      </w:r>
      <w:bookmarkEnd w:id="1905"/>
    </w:p>
    <w:p>
      <w:pPr>
        <w:pStyle w:val="BookText"/>
        <w:rPr/>
      </w:pPr>
      <w:r>
        <w:rPr>
          <w:rFonts w:ascii="IRNazanin" w:hAnsi="IRNazanin" w:eastAsia="IRNazanin"/>
          <w:color w:val="111111"/>
          <w:sz w:val="28"/>
          <w:sz w:val="28"/>
          <w:szCs w:val="28"/>
          <w:rtl w:val="true"/>
          <w:lang w:bidi="fa-IR"/>
        </w:rPr>
        <w:t>بعد هذا العرض ندخل فی صلب الموضوع</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تکریس المرحلة الخامسة وإشباعها فی البحث عن أقوال العلماء وآرائهم صار علی حساب البحث المعمّق فی الکتاب والسّنة، حیث یکتفی فی کثیر من المسائل علی الإجماع والشهرة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هی</w:t>
      </w:r>
      <w:bookmarkStart w:id="1906" w:name="pg16983_381710"/>
    </w:p>
    <w:p>
      <w:pPr>
        <w:pStyle w:val="BookText"/>
        <w:rPr/>
      </w:pPr>
      <w:bookmarkEnd w:id="1906"/>
      <w:r>
        <w:rPr>
          <w:rFonts w:ascii="IRNazanin" w:hAnsi="IRNazanin" w:eastAsia="IRNazanin"/>
          <w:color w:val="111111"/>
          <w:sz w:val="28"/>
          <w:sz w:val="28"/>
          <w:szCs w:val="28"/>
          <w:rtl w:val="true"/>
          <w:lang w:bidi="fa-IR"/>
        </w:rPr>
        <w:t xml:space="preserve">طریق غیر مباشر علی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قدر لهذه الحالة الإستمرار فسوف تظهر شذورات فی الفقه</w:t>
      </w:r>
      <w:r>
        <w:rPr>
          <w:rFonts w:eastAsia="IRNazanin" w:cs="IRNazanin"/>
          <w:color w:val="111111"/>
          <w:sz w:val="28"/>
          <w:szCs w:val="28"/>
          <w:rtl w:val="true"/>
          <w:lang w:bidi="fa-IR"/>
        </w:rPr>
        <w:t>.</w:t>
      </w:r>
    </w:p>
    <w:p>
      <w:pPr>
        <w:pStyle w:val="Heading6"/>
        <w:numPr>
          <w:ilvl w:val="5"/>
          <w:numId w:val="1"/>
        </w:numPr>
        <w:rPr/>
      </w:pPr>
      <w:bookmarkStart w:id="1907" w:name="__RefHeading___Toc3301062_1468164448"/>
      <w:bookmarkStart w:id="1908" w:name="_Toc752"/>
      <w:bookmarkEnd w:id="1907"/>
      <w:r>
        <w:rPr>
          <w:rtl w:val="true"/>
        </w:rPr>
        <w:t>ایجابیات الإنسداد</w:t>
      </w:r>
      <w:bookmarkEnd w:id="1908"/>
    </w:p>
    <w:p>
      <w:pPr>
        <w:pStyle w:val="BookText"/>
        <w:rPr/>
      </w:pPr>
      <w:r>
        <w:rPr>
          <w:rFonts w:ascii="IRNazanin" w:hAnsi="IRNazanin" w:eastAsia="IRNazanin"/>
          <w:color w:val="111111"/>
          <w:sz w:val="28"/>
          <w:sz w:val="28"/>
          <w:szCs w:val="28"/>
          <w:rtl w:val="true"/>
          <w:lang w:bidi="fa-IR"/>
        </w:rPr>
        <w:t>نعم، هناک إیجابیة فی الإنسداد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أحصی تسالمات الأصحاب وشهراتهم فی المراحل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مهم، لأنّ أقلّ فائدة یمکن أن تسجّل للإجماعات والشهرات أنها منبهة علی وجود روایات أو نکات فی الدلالة قد اعتمدها هؤلاء، ولم تسجّل لهم بسبب عدم وجود کتب استدلالیة لهم أو کیفیة دراستهم للفقه الإستدلالی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لابدّ فی مثل هذه الإجماعات والشهرات أن تکون سبباً فی لزوم الفحص للعثور علی الدلیل المباشر علی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فتاوی الفقهاء بمثابة الشروح للروایات، وقد أوصی العلاّمة ولده الفخر بالإعتناء بهذه الفائدة بل المعروف عن البعض أنّ الذی لا یلمّ بأقوال الفقهاء لا یجزیه اجتهاده حتی عن نفسه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السیر المتشرعیة المتصلة بالمعصوم، فلربما کثیر من الإجماعات والشهرات هی فی واقعها سیر متشرعیة</w:t>
      </w:r>
      <w:r>
        <w:rPr>
          <w:rFonts w:eastAsia="IRNazanin" w:cs="IRNazanin"/>
          <w:color w:val="111111"/>
          <w:sz w:val="28"/>
          <w:szCs w:val="28"/>
          <w:rtl w:val="true"/>
          <w:lang w:bidi="fa-IR"/>
        </w:rPr>
        <w:t>.</w:t>
      </w:r>
    </w:p>
    <w:p>
      <w:pPr>
        <w:pStyle w:val="Heading6"/>
        <w:numPr>
          <w:ilvl w:val="5"/>
          <w:numId w:val="1"/>
        </w:numPr>
        <w:rPr/>
      </w:pPr>
      <w:bookmarkStart w:id="1909" w:name="__RefHeading___Toc3301064_1468164448"/>
      <w:bookmarkStart w:id="1910" w:name="_Toc753"/>
      <w:bookmarkEnd w:id="1909"/>
      <w:r>
        <w:rPr>
          <w:rtl w:val="true"/>
        </w:rPr>
        <w:t>فقاهة الفقیه بالتفطن علی الأدلّة الإجتهادیة</w:t>
      </w:r>
      <w:bookmarkEnd w:id="1910"/>
    </w:p>
    <w:p>
      <w:pPr>
        <w:pStyle w:val="BookText"/>
        <w:rPr/>
      </w:pPr>
      <w:r>
        <w:rPr>
          <w:rFonts w:ascii="IRNazanin" w:hAnsi="IRNazanin" w:eastAsia="IRNazanin"/>
          <w:color w:val="111111"/>
          <w:sz w:val="28"/>
          <w:sz w:val="28"/>
          <w:szCs w:val="28"/>
          <w:rtl w:val="true"/>
          <w:lang w:bidi="fa-IR"/>
        </w:rPr>
        <w:t>ومما تقدّم یتبلور أنّ فقاهة الفقیه إنما هی بالتفطن علی الأدلّة الإجتهادیة وعدم الإتکاء علی الأصل العملی، وکذا الإجماعات بما هی هی إلاّ مع الإضطرار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یظهر من أعلام المرحلة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الإعتماد علی الإجماعات والشهرات والإکتفاء بها، وظاهرة التوسع فی الأصول</w:t>
      </w:r>
      <w:bookmarkStart w:id="1911" w:name="pg16983_381712"/>
    </w:p>
    <w:p>
      <w:pPr>
        <w:pStyle w:val="BookText"/>
        <w:rPr/>
      </w:pPr>
      <w:bookmarkEnd w:id="1911"/>
      <w:r>
        <w:rPr>
          <w:rFonts w:ascii="IRNazanin" w:hAnsi="IRNazanin" w:eastAsia="IRNazanin"/>
          <w:color w:val="111111"/>
          <w:sz w:val="28"/>
          <w:sz w:val="28"/>
          <w:szCs w:val="28"/>
          <w:rtl w:val="true"/>
          <w:lang w:bidi="fa-IR"/>
        </w:rPr>
        <w:t xml:space="preserve">العملیة وضمور البحث فی الأدلّة الإجتهادیة إلی حدّ أن أخذ البعض بتأسیس قواعد مستجدة علی 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مقبول علمیاً؛ لأنّ المفروض هو بناء الفقه علی الدلیل الإجتهادی بل الفقهاء المتضلعون یتسابقون فی توفیر أکبر قدر ممکن من الأدلّة الإجتهادیة إلی حدّ العلم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منهج منطقی، فإنّ بناء القضیة علی العلم أضمن لصحتها ومطابقتها للواقع من بنائها علی الظن فضلاً عن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ألفتنا أکثر من مرّة إلی أنّ هناک تناسباً طردیاً بین مقام الثبوت والإثبات فکلّما کانت القضیة أساسیة وأمّ وقاعدة کانت بحاجة أکبر إلی أدلّة 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 و لتفادی هذه السلبیة نلفت النظر إلی کیفیة الفحص ومعرفة مظانّ المسألة من أجل العثور علی دلیل اجتهادی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1912" w:name="__RefHeading___Toc3301066_1468164448"/>
      <w:bookmarkStart w:id="1913" w:name="_Toc754"/>
      <w:bookmarkEnd w:id="1912"/>
      <w:r>
        <w:rPr>
          <w:rtl w:val="true"/>
        </w:rPr>
        <w:t>مراحل الإستنباط الفقهیة</w:t>
      </w:r>
      <w:bookmarkEnd w:id="1913"/>
    </w:p>
    <w:p>
      <w:pPr>
        <w:pStyle w:val="BookText"/>
        <w:rPr/>
      </w:pPr>
      <w:r>
        <w:rPr>
          <w:rFonts w:ascii="IRNazanin" w:hAnsi="IRNazanin" w:eastAsia="IRNazanin"/>
          <w:color w:val="111111"/>
          <w:sz w:val="28"/>
          <w:sz w:val="28"/>
          <w:szCs w:val="28"/>
          <w:rtl w:val="true"/>
          <w:lang w:bidi="fa-IR"/>
        </w:rPr>
        <w:t>سبق أن بیّنا مراحل الإستنباط الثمانیة، وکانت الأربعة الأخیرة منها فقهیة،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الفرض الفقهی موضوعاً ومحمولاً ومخاطباً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اعتنی السابقون بهذه المرحلة اعتناء فائقاً، فی حین أهمل ذلک المتأخرون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ضرورة سیّما فی المسائل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وتحلیل الفرض الفقهی قد یحلّ المسألة إلی مسائل من خلال تحلیل الموضوع أو المحمول، ومعه سیجد الفقیه نفسه أمام منافذ متعددة لمراجعة دلیل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ملاحقة رصد الأقوال فی المسألة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فائدة ذلک بأنها تعدّ شروحاً للأحادیث وبیاناً لحیثیات متعددة فی الأدلّة والمسألة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تنبیه المباحث إلی أنّ المسألة فی أیّ الأبواب قد عنونت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وتنبیه الباحث أیضاً إلی قواعد جدیدة أصولیة وفقهیة مرتبطة بالمسألة علاوة علی الأدلّة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قد یتنبّه إلی طوائف روایات لم یکن ملتفتاً إلی دلیلیتها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إسهام ذلک فی تحریر الفرض الفقهی، ولا فرق بین القول المستدل أو غیر المستدل، إذ الثانی لما کان یعنون بعنوان کانت ذات فائدة للباحث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البعض فقاهة الفقیه وبراعته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العامة فنری فقهائنا بین من یهمل مراجعتها وبین من یدّعی ذلک کالسیّد الفقیه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وأسئلة الرواة تناولت المسائل التی کانت معنونة فی الأندیة العلمیة آنذاک، وبالتالی فالالمام بأقوال العامة قد یساهم فی معرفة خلفیات مرتکزات الأسئلة ومن ثمّ سنصل إلی المرمی الدقیق للسؤال فالجواب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وبدون ذلک لا یمکن الوصول إلی حاق فرضیة المسألة فی الروایات لعدم معرفته للجوّ العلمی المحیط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هذه اللفتة قسّم المسائل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المتلقّاة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 تلقّیها من الأئمة من خلال السؤال والجواب أو مبادرة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هذه أصلیة لأنها هی الغطاء للقسم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فرّعها الفقهاء بعد عصر النص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وکیفیة البحث تختلف فی القسمین، حیث یکفی الفحص بشکل معقول فی الثانیة ولکن تحتاج إلی مداقة وصناعة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الأول فهو یحتاج إلی جهد کبیر وفحص مستوعب ومنه مراجعة أقوال العامة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فعملیة الإستنباط تترکز فی الدرجة الأولی فی القسم الثانی،</w:t>
      </w:r>
    </w:p>
    <w:p>
      <w:pPr>
        <w:pStyle w:val="BookText"/>
        <w:rPr/>
      </w:pPr>
      <w:r>
        <w:rPr>
          <w:rFonts w:ascii="IRNazanin" w:hAnsi="IRNazanin" w:eastAsia="IRNazanin"/>
          <w:color w:val="111111"/>
          <w:sz w:val="28"/>
          <w:sz w:val="28"/>
          <w:szCs w:val="28"/>
          <w:rtl w:val="true"/>
          <w:lang w:bidi="fa-IR"/>
        </w:rPr>
        <w:t>بخلاف القسم الأول حیث تتمظهر ظاهرة التبعیة للنقل والإستقراء والتتبع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هناک أدلّة مشترکة کالکتاب استدل بها العامة ومن ثمّ لا تخلو من فذلکات ولفتات ربما لم یشر إلیها فی فقهنا، ومن ثمّ لابدّ من مراجعتها کی تکون عملیة الفحص مستوعبة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کان فهی جهود بذلت حول الکتاب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مبرر للإعتناء والمراجعة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تحصیل الآیات والروایات، وقد تبلور مدی تأثیر المرحلتین الأولی والثانیة فی التحصیل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توصیات للمرحلة الثالثة</w:t>
      </w:r>
    </w:p>
    <w:p>
      <w:pPr>
        <w:pStyle w:val="BookText"/>
        <w:rPr/>
      </w:pPr>
      <w:r>
        <w:rPr>
          <w:rFonts w:ascii="IRNazanin" w:hAnsi="IRNazanin" w:eastAsia="IRNazanin"/>
          <w:color w:val="111111"/>
          <w:sz w:val="28"/>
          <w:sz w:val="28"/>
          <w:szCs w:val="28"/>
          <w:rtl w:val="true"/>
          <w:lang w:bidi="fa-IR"/>
        </w:rPr>
        <w:t>ولکن مع ذلک تبقی توصیات من الجدیر الإلتفات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بادئ ذی 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الرجوع إلی 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بحقّ لفتة منهجیة بعد أن کان القرآن هو المحور؛ إذ سیکون الآیة قرینة علی الروایات المرتبطة بنفس المضمون، کما هو العکس بل قد یساهم القرآن فی تقسیم الروایات إلی طوائف کما یتضح ذلک بالممارسة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السبق فی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البحار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هذا لابدّ من الرجوع إلی الروایات المفسّرة، والجوامع النبویة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متممة للدستور، کلّ هذا قبل الدخول إلی تفاصیل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وتوصیة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منهج ودیدن المحدّثین فی کتبهم الروائیة، إذ بعضهم قد نهج منهج التقطیع للروایات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تواجه الباحث مسائل لا تعالج بشکل صحیح إلاّ بالرجوع إلی الروایة کاملة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لم یجعل کتاب الخمس فی الفروع وأنما فی أصول الکافی، ومن ثمّ تصوّر البعض أنّ الکافی خال من 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یعنی</w:t>
      </w:r>
    </w:p>
    <w:p>
      <w:pPr>
        <w:pStyle w:val="BookText"/>
        <w:rPr/>
      </w:pPr>
      <w:r>
        <w:rPr>
          <w:rFonts w:ascii="IRNazanin" w:hAnsi="IRNazanin" w:eastAsia="IRNazanin"/>
          <w:color w:val="111111"/>
          <w:sz w:val="28"/>
          <w:sz w:val="28"/>
          <w:szCs w:val="28"/>
          <w:rtl w:val="true"/>
          <w:lang w:bidi="fa-IR"/>
        </w:rPr>
        <w:t>تعامل هذا الإنسان مع الکتب الروائیة بشکل رسمی ومن دون اعتیاد وألفة واستیناس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الإقتصار علی الوسائل، ولابدّیة الرجوع إلی الکتب الأربعة، فإن مراجعة التهذیب تعطی بصیرة فی فقه الروایات، وقد لاحظنا أنّ روایة یذکرها الوسائل فی باب الطهارة ولکن التهذیب ذکرها 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جاءت توصیة الآخوند أنه لا یجزی الإقتصار علی الوسائل ولا تبرأ الذمة، ما لم یرجع الباحث إلیها فی مظانها، بل کان یوصی حتی بمراجعة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المرحلة لیست عقلیة وإنما هی مرحلة تتبع واستقراء وفحص فلابدّ أن یأتی مستوعباً، وهو لا یکون بالإقتصار علی الوسائل، ولا بإهمال کتب العامة، ولا بالإکتفاء بالروایات دون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لابدّ أن یستوفی الفحص کی تکون الحصیلة متکاملة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استحصال المفاد الفقهی من الأدلّة، وهو یتمّ عبر خطوات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تحصیل المفاد إجمالاً من الروایات والآیات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الإتیان بکلّ القواعد المناسبة لفرض المسألة، وهو المعبّر عنه فی کلماتهم بیان مقتضی القاعدة الاولیة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معالجة النسبة بین الخطوتین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 بمحاولة تطبیق مفاد القواعد علی مفاد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التشقیق فی فروع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منهج الشهید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وضرورة الخطوة الأولی بیّنة، فإنه لابدّ من دراسة فقه الروایات بعد إعمال القواعد الأصولیة فی مباحث الألفاظ، وتحلیل المفاهیم الترکیبیة فی الروایات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هذا یأخذ الفقیه بملاحظة القواعد الفقهیة فی المسألة بمعزل عن الروایات ومع غضّ النظر عن 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یخطو نحو التوفیق بین القواعد والروایات، وفی هذه المرحلة تمیّز فقهاء کالشهید الأول وکاشف الغطاء واللثام، حیث أنّ القاعدة الفقهیة تشمل أبواب متعدّدة ومن ثمّ أخذ هذا النوع من الفقهاء المقارنة بین الأبواب والقواعد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یأتی دون التشقیق للمسألة الکلّیة وتصویر المسألة بصور متعدّدة، وتطبیق ما توصل إلیه بعد التوفیق بین الروایات والقواعد علی کل شق 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هنا عدم انسجام النتیجة مع واحدة من الشقوق مما یفرض إعادة النظر فی صیاغة النسبة بین القواعد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الزوجة حیث یظن للوهلة الأولی أنّ موضوعها التمکین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ظهور الروایات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تشقیق المسألة نلحظ أنها ثابتة فی حالة مرض الزوجة وسفرها الواجب، مما یعنی أنّ الموضوع لیس هو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کاشف الغطاء من اللوازم الثمانیة الفاسدة أو البعیدة للقول بأنّ المعاطاة المقصود بها التملیک تفید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المنهج یوسّع أفق البحث ودائرته، کما یوفّر قواعد جدیدة لم تکن متوفّرة من قبل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علی إتمام هذه المباحث تقریراً لما أفاده شیخنا ونرجو منه تعالی إنجاز هذا العمل بعونه 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الظن</w:t>
      </w:r>
    </w:p>
    <w:p>
      <w:pPr>
        <w:pStyle w:val="BookText"/>
        <w:rPr/>
      </w:pPr>
      <w:r>
        <w:rPr>
          <w:rFonts w:ascii="IRNazanin" w:hAnsi="IRNazanin" w:eastAsia="IRNazanin"/>
          <w:color w:val="111111"/>
          <w:sz w:val="28"/>
          <w:sz w:val="28"/>
          <w:szCs w:val="28"/>
          <w:rtl w:val="true"/>
          <w:lang w:bidi="fa-IR"/>
        </w:rPr>
        <w:t xml:space="preserve">الإعتبار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المنهج الصحیح فی ترتیب مباحث الأصول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موقع باب الحجج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صغرویة مباحث الحجج لکبری الإعتبار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السیر المنهجی الصحیح لمباحث الأصول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سرّ تقدیم بحث الإعتبار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المنهج المقترح فی البحث عن الإعتبار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حقیقة الإعتبار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الإعتبار العقلائی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الإعتبار العقلائی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تعدد التسمیات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الحاجة إلی الإعتبار العقلائی وموقعه من التشریع والعقل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الإعتبار العقلائی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الفوارق بین الإعتبار الأدبی والإعتبار القانونی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اقتصار العامة علی البُعد الأدبی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دور علم المعانی فی علم الأصول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مبرّرات منهج الأصول السائد فی تصدیر مباحث الألفاظ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ثمرة تقسیم الإعتبار إلی أدبی وقانونی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علم المعصوم بالحکم الشرعی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الإمضاء الشرعی للاعتبار العقلائی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عرض أدلّة الإمضاء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العقل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نقد الدلیل الأول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الإنسداد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ساحة حجّیة الإعتبارات فی ضوء دلیل الإنسداد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شمول الإنسداد للإعتبارات المستجدة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رتبة دلیل الإنسداد فی جنب سائر الأدلّة </w:t>
      </w:r>
      <w:r>
        <w:rPr>
          <w:rFonts w:eastAsia="IRNazanin" w:cs="IRNazanin"/>
          <w:color w:val="111111"/>
          <w:sz w:val="28"/>
          <w:szCs w:val="28"/>
          <w:lang w:bidi="fa-IR"/>
        </w:rPr>
        <w:t>32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ظهور الآیة فی وظیفة الحاکم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عدم دلالة الآیة علی إمضاء الإعتبار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صغریات لاعتبارات شرعیة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مشکلة هذا التصویر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تقریب لصلاحیة الإمضاء للطبیعی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صغریات لکبریات شرعیة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الخبرویة الموضوعیة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ایکال الأمر إلی العقلاء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حقیقة الإمضاء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الفرق بین التأسیس والإمضاء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کاشفیة السکوت عن الإمضاء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المقصود من الإیکال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حجّیتها من باب الإطمئنان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وقفة فی هذا الدلیل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دور الإطمئنان الشخصی فی حصول النوعی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خلل أخری فی دلیل الإطمئنان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عدم انضباط الإطمئنان الشخصی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حجّیة الإطمئنان النوعی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جریان سیرة العقلاء علی العمل بالإطمئنان الشخصی وتحلیل هذه السیرة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النتائج التی انتهینا إلیها من أدلّة الإمضاء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الإعتبار الشرعی بنحو الإقتضاء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الردع الشرعی وعدمه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 عدم الردع فی الأصول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المشترک بین المسائل الأربعة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هیمنة الکتاب والسنّة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قوة الدلالة وأهمیة الحکم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ثمرات قاعدة التناسب الطردی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ضوابط المخالفة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المائز بین المسائل الأربعة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المائز بین المسألة الثانیة والمسائل الأخری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التناسب بین قوة دلیل الردع ودرجة التجذر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مائز المسألة الثالثة عن الرابعة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المائز بین المسألة الثالثة و الرابعة وبین المسألة الأولی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الإمضاء وعدم الردع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سریان الإمضاء فی عمود الزمان </w:t>
      </w:r>
      <w:r>
        <w:rPr>
          <w:rFonts w:eastAsia="IRNazanin" w:cs="IRNazanin"/>
          <w:color w:val="111111"/>
          <w:sz w:val="28"/>
          <w:szCs w:val="28"/>
          <w:lang w:bidi="fa-IR"/>
        </w:rPr>
        <w:t>62</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زوایا بحث إمضاء الإعتبارات العقلائیة أو ردعها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مناط الإمضاء الشرعی للإعتبار العقلائی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فقه المقاصد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الأصل الأولی هو الثبات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قرائن عدم عمومیة الإمضاء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تقییم تلک القرائن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التعبد بالظن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معانی إقتضاء الحجّیة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إمکان التعبد بالظن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محاذیر ابن قبة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جواب الشیخ الأعظم عن الإشکال الأول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جواب آخر من الشیخ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عرض آخر من البحث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عرض الشبهة بلسان الفخر الرازی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الصیغة الحدیثة للشبهة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عمق الشبهة الأولی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تقییم الجواب الأول من الشیخ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تعلیق المحقق العراقی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تقییم الجواب الثانی للشیخ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إتقان جواب الشیخ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نتائج کلام الشیخ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تقییم الجواب الثالث من الشیخ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المائز بین الجواب الثانی والثالث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الإستدلال علی رأی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الإجابة عن الشبهة الرابعة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صیاغة أخری للشبهة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ردّ الشبهة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لزوم العصمة علماً وعملاً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تقییم جواب الشیخ المشترک عن إشکالی ابن قبة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مناقشة صاحب الکفایة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نقد المناقشة الثالثة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إتقان إثارة الشیخ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تقریب الإصفهانی لمختار الشیخ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تعمیق فی تقریب الإصفهانی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نقد المناقشة الثانیة للآخوند </w:t>
      </w:r>
      <w:r>
        <w:rPr>
          <w:rFonts w:eastAsia="IRNazanin" w:cs="IRNazanin"/>
          <w:color w:val="111111"/>
          <w:sz w:val="28"/>
          <w:szCs w:val="28"/>
          <w:lang w:bidi="fa-IR"/>
        </w:rPr>
        <w:t>94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الإمکان ولیدة قاعدة التناسب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جریان قاعدة الإمکان فی العقیدة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الجمع بین الحکم الظاهری والواقعی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الأقوال فی حقیقة الحکم الظاهری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التصویب والتخطئة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التصویب المنسوب إلی جلّ الأشاعرة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التصویب المنسوب إلی المعتزلة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نظریة الشیخ فی الحکم الظاهری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کنه المصلحة السلوکیة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المناقشة فی النظریة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جواب الشیخ عن المناقشة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العرض الصحیح للمصلحة السلوکیة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نتائج العرض الصحیح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الصیاغتین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الإنقیاد فی صورة الخطأ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عرض نظریة صاحب الکفایة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اختلاف کلمات الآخوند فی تفسیر الحکم الظاهری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نتائج التفسیرات علی صعید اجتماع الحکمین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نتائج التفسیرات علی صعید التنافی فی الإرادة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رفع التنافی بذکر حلّین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أطروحة المحقق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 التنافی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حقیقة الحکم الظاهری عند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اختلاف ألسنة الأدلّة علی حجّیة خبر الواحد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وجه اتخاذ القول بجعل الحکم المماثل عند الإصفهانی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أطروحة النائینی فی الجمع بین الحکم الواقعی والظاهری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مقدّمة فی خصائص العلم التکوینی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معنی اعتبار الشیء علماً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المائز بین الأمارة والأصل المحرز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الأصل المحرز عند الآخوند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مناقشة العراقی فی الأصل التنزیلی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الإجابة عن مناقشة العراقی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تقریر الشاهرودی لمبنی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علم تعبدی أو علم وجدانی حاصل من التعبد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تساؤلات حول تقریر الشاهرودی لمبنی النائینی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اعتبار الأمارة حکم تکلیفی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صیاغات للتساؤل الثالث </w:t>
      </w:r>
      <w:r>
        <w:rPr>
          <w:rFonts w:eastAsia="IRNazanin" w:cs="IRNazanin"/>
          <w:color w:val="111111"/>
          <w:sz w:val="28"/>
          <w:szCs w:val="28"/>
          <w:lang w:bidi="fa-IR"/>
        </w:rPr>
        <w:t>126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ملاحظات علی التساؤل الثالث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أقسام التنزیل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اعتبار الأمارة من أیّ أقسام التنزیل؟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الفرق بین مصحّح الجعل وأثره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المختار فی المسألة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عدم إمکان تصرف الشارع فی موضوع القضیة العقلیة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جواب الأعلام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منجّزیة الإحتمال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ثمرات هذا المبنی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تساؤلات حول مبنی منجّزیة الإحتمال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الفرق بین نظریة حق الطاعة ونظریة منجّزیة الإحتمال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بیان نظریة حق الطاعة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المناقشة فی نظریة حق الطاعة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منشأ نظریة حق الطاعة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مدّعیاتنا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الإستدلال علی المدّعیات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الجمع بین إدراک العقل للبراء وإدراکه لمنجّزیة الإحتمال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ثمرات نظریتنا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عود إلی شبهة ابن قبة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أقسام التزاحم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التشکیک فی التنجیز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الحکم الصوری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مشکلة الإسناد فی الأمارات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الفروق بین الحکم الظاهری والتخیلی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الشک فی الحجّیة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نظریة مدرسة الوحید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نظریة أخری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تحدید دائرة العلم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مختارنا فی شرط الفعلیة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آثار الحکم الظاهری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أدلّة تعلیق الحجّة علی العلم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الأنصاری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مناقشة الآخوند فی تقریب الشیخ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ملاحظة علی مناقشة الآخوند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الحق فی الإشکال علی الشیخ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العلاقة بین حرمة الإسناد وحرمة التشریع </w:t>
      </w:r>
      <w:r>
        <w:rPr>
          <w:rFonts w:eastAsia="IRNazanin" w:cs="IRNazanin"/>
          <w:color w:val="111111"/>
          <w:sz w:val="28"/>
          <w:szCs w:val="28"/>
          <w:lang w:bidi="fa-IR"/>
        </w:rPr>
        <w:t>162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الآخوند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المناقشة فی الدلیل الثانی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ملاحظة المیرزا علی الشیخ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تتابع الملاحظات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بعض الحدیث حول الحکم الطبعی والفعلی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الحکم المطلق والحکم الحیثی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جریان استصحاب عدم الحجّیة من دون محذور تحصیل الحاصل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البراءة فی الحجّیة عند الشک فیها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عدم لغویة تنجّز المنجَّز ثانیاً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معنی التداخل الکبیر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التداخل الصغیر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معنی اشتداد التنجیز وعدم اشتداده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التعذیر مثل التنجیز یقبل الإشتداد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البدائل علی عدم حجّیة المشکوک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ویلاحظ علی هذا الدلیل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بالآیات الناهیة عن العمل بالظن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الفرق بین الشک فی الخاص والشک فی الحاکم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جواب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جواب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جواب السیّد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مختارنا فی الجواب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الظهورات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أصعدة البحث فی الظهور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أقسام الظهور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أنواع القرائن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دور علم اللغة والنحو والبلاغة فی شؤون الکلام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فهم النص فی ظلّ دراسة ظروف النص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خارطة الظهورات فی نظام الشیخ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حجّیة الظهور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منشأ حجّیة الظهور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معنی تقنین العقلاء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حجّیة الظهور من باب الضرورة الفطریة </w:t>
      </w:r>
      <w:r>
        <w:rPr>
          <w:rFonts w:eastAsia="IRNazanin" w:cs="IRNazanin"/>
          <w:color w:val="111111"/>
          <w:sz w:val="28"/>
          <w:szCs w:val="28"/>
          <w:lang w:bidi="fa-IR"/>
        </w:rPr>
        <w:t>190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لناجزیة دلالة الظهور القطعیة فی المدلول التصوری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الدلالة التعلیقیة فی المدلول التفهیمی والجدی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أیّ ظاهر هو الحجّة؟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حجّیة الظهور العرفی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حجّیة الظهور الدقّی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دائرة حجّیة الظهور عند المحقق القمی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التفصیل بین من کان فی عصر النص وبین من لم یکن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التفصیل بین من قصد إفهامه ومن لم یقصد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حجّیة الظن الشخصی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بعض موانع الوصول إلی الظهور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موجز عوامل العجز عن الوصول إلی ظهور النص الدینی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ملاحظات علی حجّیة الظهور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تأثیر البیئة علی فهم النص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تأثیر الجوّ الذهنی علی فهم النص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تأثیر العلوم علی فهم النص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تأثیر معرفة الموضوع علی فهم النص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تأثیر اختلاف الآراء فی فهم النص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تفسیر ظاهرة الإختلاف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تأثیر العلوم فی المعرفة الدینیة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لا رأی یمثّل الحقیقة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نتائج تلک المؤاخذات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تهیئة للجواب عن الملاحظات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عرض الأجوبة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معطیات الإختلاف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الإختلاف عبور عن حدود السذاجة فی إدراک الواقع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النقض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الجواب الحلّی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بطون القرآن تدریجیاً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بین 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والیقین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ثبات معرفة الواقع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التردد مع وجود الدلیل وکذا الرفض من دون دلیل غیر منهجی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الإختلاف دلیل علی وجود میزانٍ للفهم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البیئة فی قراءة النص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جانب الموضوع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جانب المحمول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التخطئة فی الجملة لا بالجملة </w:t>
      </w:r>
      <w:r>
        <w:rPr>
          <w:rFonts w:eastAsia="IRNazanin" w:cs="IRNazanin"/>
          <w:color w:val="111111"/>
          <w:sz w:val="28"/>
          <w:szCs w:val="28"/>
          <w:lang w:bidi="fa-IR"/>
        </w:rPr>
        <w:t>220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العلوم فی تشکیل قرینة الفهم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دور المعرفة البشریة فی مستوی المراد الجدی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الجواب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لیست علی وزان واحد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تغایر شاکلة الإعتبارات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الظاهر والباطن فی کلام الله علی مقتضی السنّة الکونیة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الجواب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التقطیع والنقل بالمعنی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عدم وجاهة بعض التفاصیل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دعوی الإنصراف من دون دلیل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الظن الشخصی فی حجّیة الظهور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ظواهر الکتاب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الآراء حول ظواهر الکتاب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العلاقة بین الکتاب والسنّة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شواهد الأخباریین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شواهد العلاّمة الطباطبائی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رأی العلاّمة فی المتشابه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افتراق نهج القرآن عن نهج المحاورات العرفیة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النقطتان الهامّتان فی تفسیر القرآن عند العلاّمة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المعنی الصحیح للروایات الناهیة عن تفسیر القرآن بالرأی عند العلاّمة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شواهد لنظریة العلاّمة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تلخیص النظریة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ملاحظات علی العلاّمة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المعلّم فی إراءة الطریق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تفسیر القرآن بالقرآن یحتاج إلی عصمة الفهم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خفایا القرآن یحتاج إلی الإحاطة بمراتب الخلقة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القرآن من حیث الحجّیة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الروایات الواردة فی ذیل الآیات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نظریة العلمانیین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جذور النظریة فی کلمات العرفاء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ملاحظات علی الصیاغة العرفانیة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نظریة السیّد البروجردی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السنّة ناظرة إلی القرآن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تصوّر المعیة علی صعید الحجّیة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دلیل صیاغة المعیة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آثار نظریة المعیة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العلاقة بین الکتاب والسنّة والعقل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ضرورة الرجوع إلی الظن ولو غیر المعتبر منه </w:t>
      </w:r>
      <w:r>
        <w:rPr>
          <w:rFonts w:eastAsia="IRNazanin" w:cs="IRNazanin"/>
          <w:color w:val="111111"/>
          <w:sz w:val="28"/>
          <w:szCs w:val="28"/>
          <w:lang w:bidi="fa-IR"/>
        </w:rPr>
        <w:t>262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التواتر المعنوی فی روایات المعارف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تواتر القراءات القرآنیة وعدمه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سرّ البحث فی تواتر القراءات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التشکیک فی تواتر القراءات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تقویة تواتر القراءات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أربع نقاط لبیان الحقّ فی المسألة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قطعیة القرآن سنداً ومتناً لا دلالةً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اختلاف القراءات لا یستلزم التحریف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تأثیر اختلاف القراءات فی الدلالة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مناشئ اختلاف القراءات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بطون القرآن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نتیجة النقاط الأربع عدم إثبات تواتر القراءات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دعوی الإجماع والمناقشة فیها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بیان المختار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حصول إمضاء القراءات فی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الإمضاء ظاهری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ثمرة بحث تواتر القراءات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اللفظیة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معنی الأصل اللفظی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الأصل اللفظی هل هو تعبدی أم لا؟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ثمرة هذا البحث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استخدام لغة القانون فی الشرع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المراد من الإمضاء فی باب المعاملات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ضرورة الإلمام بالمبادئ التصوریة القانونیة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أقسام الأصول اللفظیة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مرجع الأصول اللفظیة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بیان الإصفهانی لعدم التعارض بین الأصول اللفظیة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تعمیم الإشکال إلی کلّ الجعول العقلائیة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ملاحظات علی الإصفهانی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وجه حجّیة الأصول اللفظیة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شرط حجّیة الأصول اللفظیة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أهمیة هذا البحث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تعمیم البحث لکلّ علوم الأدب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مهمّة اللغوی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عدم اعتناء اللغویین بذکر السند </w:t>
      </w:r>
      <w:r>
        <w:rPr>
          <w:rFonts w:eastAsia="IRNazanin" w:cs="IRNazanin"/>
          <w:color w:val="111111"/>
          <w:sz w:val="28"/>
          <w:szCs w:val="28"/>
          <w:lang w:bidi="fa-IR"/>
        </w:rPr>
        <w:t>288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حجّیة قول اللغوی وتقییمها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معنی الإطمئنان الشخصی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الأمارات العقلائیة المستجدّة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تخریج أصولی لحجّیتها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إمضاء الشارع هل یکون للکبری أو للصغری؟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شواهد دالّة علی إمضاء الکبری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تأثیر إحراز الملاک فی الإمضاء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حجّیة قول اللغوی من باب أنه من أهل الخبرة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الإمضاء لیس للإذعان بل لمنشأه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الخطأ فی تعبیر الإطمئنان الشخصی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قانون العقلاء شریعة کاملة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وجه إمضاء الکبری من خلال الصغری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أصناف سیر العقلاء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نقاط تمهیدیة فی الإجماع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اختصاص البحث بالإجماع المنقول بخبر الواحد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المعصوم فی حجّیة الإجماع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المنکشف بالإجماع؟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فی الإستعمالات المختلفة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القولی والعملی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منشأ خاص أو منشأ عام؟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رتبة الإجماع فی الحجّیة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وراء کلِ‌ّ إجماعٍ دلیلٌ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الکاشف عن السبب أو المسبب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الإجماع المحصَّل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أدلّة حجّیة الإجماع المحصَّل بمعنی الإتفاق وتطابق الآراء بعضها مع البعض الآخر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قاعدة اللطف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مناقشة السیّد المرتضی فی قاعدة اللطف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دلیل تراکم القرائن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شروط کشف الإجماع عن وجود نص خفی علینا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قرائن تزید درجة الکشف المزبور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کاشفیة الإجماع عن السیرة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الحس الفقهی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موانع تضعف من درجة الکشف المزبور </w:t>
      </w:r>
      <w:r>
        <w:rPr>
          <w:rFonts w:eastAsia="IRNazanin" w:cs="IRNazanin"/>
          <w:color w:val="111111"/>
          <w:sz w:val="28"/>
          <w:szCs w:val="28"/>
          <w:lang w:bidi="fa-IR"/>
        </w:rPr>
        <w:t>321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إعمال النظر من المتقدّمین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تکافؤ القرائن الموجبة للتقویة أو للتضعیف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التمسک بالروایات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هل یمکن الإستدلال علی حجّیة الإجماع بخبر الواحد؟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الترتب بین الحجج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ضرورة التناسب بین الدلیل وبین المدّعی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ضرورة التناسب بین مقام الثبوت وبین مقام الإثبات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لا یمکن إثبات حجّیة الإجماع السنّی بروایة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الإجماع المنقول بخبر الواحد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شرط حجیّة خبر الواحد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ما هو دلیل توفّر الشرطین فی حجّیة الخبر؟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رأی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عویصة فی حجّیة الخبر الناقل للإجماع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تسریة العویصة إلی موارد أخری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حلّ العویصة فی تلک الموارد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حلّ العویصة فی نقل الإجماع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التفصیل هو المختار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تنبیهات بحث الإجماع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مصبّ البحث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أقسام الشهرة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أدلّة حجّیة الشهرة وتقییمها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عدم دلالة المقبولة علی الحجیّة المستقلة للشهرة الفتوائیة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دعوی وحدة الملاک فی حجّیة الخبر وحجّیة الشهرة الفتوائیة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أدلّة عدم حجّیة الشهرة </w:t>
      </w:r>
      <w:r>
        <w:rPr>
          <w:rFonts w:eastAsia="Amiri" w:cs="Amiri" w:ascii="Amiri" w:hAnsi="Amiri"/>
          <w:color w:val="111111"/>
          <w:sz w:val="28"/>
          <w:szCs w:val="28"/>
          <w:lang w:bidi="ar-SA"/>
        </w:rPr>
        <w:t>347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النراقی علی عدم حجّیة الشهرة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ملاحظة نقدیة من النراقی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إجابة عن إشکال النراقی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ملاحظة أخری علی الإستدلال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وجاهة إستدلاله </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بحجّیتها یستلزم عدم حجّیتها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إمکان إثبات حجّیتها بروایة واحدة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جابریة الشهرة وکاسریتها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تغایر ماهیة الشهرة الروائیة والعملیة مع ماهیة الشهرة الفتوائیة </w:t>
      </w:r>
      <w:r>
        <w:rPr>
          <w:rFonts w:eastAsia="IRNazanin" w:cs="IRNazanin"/>
          <w:color w:val="111111"/>
          <w:sz w:val="28"/>
          <w:szCs w:val="28"/>
          <w:lang w:bidi="fa-IR"/>
        </w:rPr>
        <w:t>350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الجبر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عدم الملازمة بین الحجّیة المستقلة وغیر المستقلة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معنی حجّیة الشهرة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تقریب لجابریة الشهرة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متعلّق الجبر والکسر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نقاط تمهیدیة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الخبر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التواتر المعنوی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الخبر المستفیض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درجات التواتر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التواتر متکفل لتأمین الطریق وأجنبی عن المضمون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الخبر الضعیف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أحکام الخبر الضعیف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الخبر المدسوس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تخریجات العمل بروایات الکتب الأربعة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درجات الحکایة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والفتوی والحکم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تقریبٌ لحجّیة الخبر الحسی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عملیة الإستنباط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البحث عن حجّیة الخبر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الحدیث الأربعة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أهمیة تلک التقسیمات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برکات تلک التقسیمات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حفظ الدین علی صعید العلم والعمل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أدلّة المانعین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العزیز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من الروایات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النبأ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سبب نزول الآیة </w:t>
      </w:r>
      <w:r>
        <w:rPr>
          <w:rFonts w:eastAsia="IRNazanin" w:cs="IRNazanin"/>
          <w:color w:val="111111"/>
          <w:sz w:val="28"/>
          <w:szCs w:val="28"/>
          <w:lang w:bidi="fa-IR"/>
        </w:rPr>
        <w:t>379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وقفة مع مفردات الآیة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شرط الدلالة علی المفهوم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الإستدلال بمفهوم الشرط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المناقشة الأولی فی هذا التقریب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التفکیک بین الشرط والموضوع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ثمرات تقسیم القیود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الفرق بین الشرط والموضوع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تقریب آخر للإستدلال بالشرط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المناقشة فی التقریب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أنماط الموضوعات الترکیبیة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ثمرة هذا التقسیم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تقریب لعدم المفهوم للجملة الشرطیة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جواب عن هذا التقریب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ثبوت المفهوم للجملة الشرطیة فی الجملة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العلاقة بین الموضوع والشرط إنضمامیة فیثبت المفهوم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المناقشة الثانیة فی الإستدلال بآیة النبأ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ملاحظات علی هذه المناقشة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هل المعالجات القانونیة تکفی فی حلّ التعارض فی الأدلّة المتصلة؟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ملاحظة الصدر علی النائینی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نقد ملاحظة الصدر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المناقشة الثالثة فی الإستدلال بآیة النبأ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ملاحظات علی هذه المناقشة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المناقشة الرابعة فی الإستدلال بآیة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مع الواسطة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حلول لهذه المناقشة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حلّ الشیخ الحائری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ملاحظة علی حلّ الحائری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حلّ الآخوند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الحلّ المختار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الإستدلال علی الحجّیة بمفهوم الوصف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الإستدلال علی الحجّیة بمفهوم التحدید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التقریب الآخر لدلالة الآیة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دائرة حجّیة خبر العادل؛ لسانه أو أعماله؟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الفرق بین التبیّن والطرح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معنی وجوب التبیّن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النفر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تقریب الإستدلال </w:t>
      </w:r>
      <w:r>
        <w:rPr>
          <w:rFonts w:eastAsia="IRNazanin" w:cs="IRNazanin"/>
          <w:color w:val="111111"/>
          <w:sz w:val="28"/>
          <w:szCs w:val="28"/>
          <w:lang w:bidi="fa-IR"/>
        </w:rPr>
        <w:t>407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الإشکالات علی الإستدلال بآیة النفر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المناقشة فی معنی لعلّ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تقییم الإشکال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ترتب الحذر علی الإنذار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تقییم الإشکال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علم المنذر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تقییم الإشکال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الإنذار علی الروایة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تثبت حجّیة الفتوی لا الروایة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لا فرق بین الفتوی والروایة فی زمن النص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الظن فی الأصول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المختار فی تقریب الإستدلال وحلّ المناقشات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استفادة الإمضاء من الکلّی الفوقانی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الإستدلال بالأولویة فی آیة النفر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جواب الإشکال الرابع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جواب الإشکال الخامس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جواب الإشکال السادس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الجواب عن الجهة المشترکة فی الإشکالات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موضوع الحجّة هو الفهم العام للدین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الکتمان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تقریب الإستدلال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بیّناه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عرض الإشکالات علی تقریب الإستدلال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الکتمان لا یتحقق فی مضمون خبر الواحد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تقییم الإشکال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یشمل الروایات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تقییم الإشکال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الذکر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التقریب الإجمالی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عرض الإشکالات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الجواب عن الإشکالات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فرق آیة الذکر مع آیتی النفر والکتمان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الشارع تکلّم بلغة العقلاء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الأذن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التقریب الإجمالی لدلالة الآیة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المناقشة فی دلالة الآیة </w:t>
      </w:r>
      <w:r>
        <w:rPr>
          <w:rFonts w:eastAsia="IRNazanin" w:cs="IRNazanin"/>
          <w:color w:val="111111"/>
          <w:sz w:val="28"/>
          <w:szCs w:val="28"/>
          <w:lang w:bidi="fa-IR"/>
        </w:rPr>
        <w:t>426</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تقویة دلالة الآیة بروایتین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عدم دلالة الروایتین علی المدّعی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إجمال ما ذکره الأعلام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ملاحظات عامّة علی ما ذکره الأعلام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تقییم الملاحظة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عرض طوائف الروایات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خلاصة الإستدلال بهذه الطوائف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حدود حجّیة الخبر بحسب الأخبار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مفاد الصحیحتین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روایة عبد العزیز بن المهتدی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المناقشة فی روایة عبد العزیز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صحیحة الحمیری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روایة إسماعیل بن الفضل الهاشمی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تدافع دعوی الشیخ والسیّد فی هذا الإجماع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ما ذُکر فی حلّ هذا التدافع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الإلفات إلی نکتة مهمة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الشک فی التدلیس علی الثقة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العلاقة بین التقنین الشرعی والبشری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تمییز سیرة المتشرعة عن سیرة العقلاء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تصادُقُ السیرتین فی مورد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تقریر دلیل سیرة المتشرعة لإثبات حجّیة الخبر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أقسام السیرة العقلائیة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فائدة التقسیم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وجود السیرة علی العمل بخبر الثقة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عدم حجّیة الخبر الموثوق بصدوره بالوثوق الشخصی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دعوی رادعیة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عن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السیرة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ردّ الدعوی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حکومة السیرة علی الآیات الناهیة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تناسب الردع مع المردوع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کون الشارع رئیس العقلاء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قضیة الدور فی الرادعیة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تصنیف الآیات الناهیة عن الظن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العلاقة الثبوتیة بین التقنین الشرعی والعقلائی </w:t>
      </w:r>
      <w:r>
        <w:rPr>
          <w:rFonts w:eastAsia="IRNazanin" w:cs="IRNazanin"/>
          <w:color w:val="111111"/>
          <w:sz w:val="28"/>
          <w:szCs w:val="28"/>
          <w:lang w:bidi="fa-IR"/>
        </w:rPr>
        <w:t>466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الفوارق بین العموم الفوقانی وما دونه من العمومات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الوجوه فی تفسیر العلاقة الثبوتیة بین التقنینین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الکشف والحکومة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تنبیهات تتعلّق بخبر الواحد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خبر الثقة أو الموثوق به؟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تعریف الخبر الموثوق به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الفارق بین خبر الثقة والخبر الموثوق به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ثمرة وجود الفارق بین خبر الثقة والخبر الموثوق به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الخبر أو عدم حجّیته فی الإعتقادیات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أهمیة المسألة وغموضها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أدلّة المانعین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المختار فی المسألة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الفارق بین الحکم الفقهی والأصولی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الحکم الفقهی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القوی الثلاثة للنفس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الایمان هو الفعل الإختیاری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إمکان التعبد فی الایمان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شبهة الدور فی وجوب الفحص فی النبوة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شبهة لغویة الحکم الفقهی بعد وجود حکم العقل فی التوحید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الأصولی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حقیقة التعبد بالظن فی العقائد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البحث فی المقتضی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البحث فی المانع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تخریج الخبر الحسن والقوی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وجه العمل بخبر الحسن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درجات الإحراز لصفات الراوی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أصالة العدالة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حسن الظاهر مغایر للعدالة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أدلّة أماریة حسن الظاهر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عدّة ملاحظات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خبر الواحد أو عدم حجّیته فی الموضوعات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عدم حجّیة خبر الواحد فی الموضوعات عند القدماء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المختار فی المسألة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تقریب المستمسک </w:t>
      </w:r>
      <w:r>
        <w:rPr>
          <w:rFonts w:eastAsia="IRNazanin" w:cs="IRNazanin"/>
          <w:color w:val="111111"/>
          <w:sz w:val="28"/>
          <w:szCs w:val="28"/>
          <w:lang w:bidi="fa-IR"/>
        </w:rPr>
        <w:t>508</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جبر الضعیف بالشهرة العملیة والفتوائیة وکسر الخبر الصحیح بهما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الآراء فی المسألة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فی جبر الشهرة العملیة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المناقشة فی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أدلّة جابریة الشهرة وتقییمها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فی جبر الشهرة الفتوائیة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إعراض المشهور عن الخبر الصحیح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جبر الدلالة وکسرها بالشهرة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 شبهة الدس فی أخبار الإمامیة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حلّ شبهة الدس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ضرورة معرفة اصطلاحات علم الحدیث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الضعیف والمدسوس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الصحیح والمعتبر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الرؤیة المجموعیة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حجّیة الخبر هل تشمل الجانب العلمی أیضاً؟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حجّیة الظن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من فوائد هذا البحث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أدلّة حجّیة الظن المطلق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الضرر المحتمل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التحقیق فی الظن بالعقوبة الأخرویة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التحقیق فی المسألة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التحقیق فی الضرر الدنیوی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تفویت المصلحة هل هو ضرر؟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العمل بالظن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الریاض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الإنسداد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مقدّمات دلیل الإنسداد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ترمیم المقدّمات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التحقیق فی المقدّمة الأولی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التحقیق فی المقدّمة الثانیة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التحقیق فی المقدّمة الثالثة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آراء الأساطین فی هذه المقدّمة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المنشأ الشرعی لتنجیز العلم الإجمالی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الصیاغة الأولی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الصیاغة الثانیة </w:t>
      </w:r>
      <w:r>
        <w:rPr>
          <w:rFonts w:eastAsia="IRNazanin" w:cs="IRNazanin"/>
          <w:color w:val="111111"/>
          <w:sz w:val="28"/>
          <w:szCs w:val="28"/>
          <w:lang w:bidi="fa-IR"/>
        </w:rPr>
        <w:t>554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الصیاغة الثالثة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الدلیل علی الصیاغة الأولی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أدلّة الصیاغة الثالثة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الصیاغة الرابعة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التحقیق فی المقدّمة الرابعة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إشکال وجواب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مؤاخذة علی التبعیض فی الإحتیاط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بیان الفرق بین التبعیض فی الإحتیاط والظن علی الحکومة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بیان المائز بین الإحتیاط الفقهی والأصولی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إبطال الإحتیاط وسائر الخیارات الأخری عدا الظن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قاعدة الحرج الثانیة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أدلّة القاعدة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إبطال البراءة وسائر الأصول النافیة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إبطال الأصول المثبتة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إبطال القرعة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إبطال الرجوع إلی من یری الإنفتاح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فی المقدّمة الخامسة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تنبیهات الإنسداد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بالطریق والظن بالواقع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دعوی الإختصاص بالظن الواقع أو بالظن بالطریق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منشأ توهّم الإختصاص بالظن بالواقع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منشأ توهّم الإختصاص بالظن بالطریق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وجود القدر المتیقن فی العلم الإجمالی بنصب الطرق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عبارة غامضة لصاحب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شرح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شرح آخر لکلام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درجات إراءة العلم الإجمالی عن الواقع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استدلال هدایة المسترشدین لاختصاص نتیجة الإنسداد بالظن بالطریق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تبیین استدلال صاحب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والحکومة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النتیجة بلحاظ الأسباب والموارد والمراتب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أقسام الطریق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حقیقة الحجّیة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تعقّل عموم النهی عن القیاس فی حال الإنسداد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سرّ الإکتفاء علی الظنون المعهودة </w:t>
      </w:r>
      <w:r>
        <w:rPr>
          <w:rFonts w:eastAsia="IRNazanin" w:cs="IRNazanin"/>
          <w:color w:val="111111"/>
          <w:sz w:val="28"/>
          <w:szCs w:val="28"/>
          <w:lang w:bidi="fa-IR"/>
        </w:rPr>
        <w:t>607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أقسام الظن بالحکم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فی الشبهات الموضوعیة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المختار فی دلیل الإنسداد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صیاغة جدیدة لدلیل الإنسداد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الشاهد الأول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الإنسداد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فوائد الإنسداد وسلبیاته إلی حدّ الخطورة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سلبیات الإنسداد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ایجابیات الإنسداد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فقاهة الفقیه بالتفطن علی الأدلّة الإجتهادیة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مراحل الإستنباط الفقهیة </w:t>
      </w:r>
      <w:r>
        <w:rPr>
          <w:rFonts w:eastAsia="IRNazanin" w:cs="IRNazanin"/>
          <w:color w:val="111111"/>
          <w:sz w:val="28"/>
          <w:szCs w:val="28"/>
          <w:lang w:bidi="fa-IR"/>
        </w:rPr>
        <w:t>619</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البحث فی 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الإعتبار ذکرتم أنّ مساحة العقل والشرع تتحدّد بأنه فی حالة عجز العقل ندخل منطقة الإعتبار الشرعی وبایعاز وتوجیه من العقل، وحدّدتم عجز العقل فی ما عدا الکلّیات العالیة، ولکن لم تحدّد مساحة کلّ من الشرع والعقلاء، وأنّ الأمر متروک للعقلاء وفی حالة عدم وجود تشریع أو ماذا، والسؤال تحدیداً عن الضابطة؟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واقعة یوجد حکم شرعی، ولکن هناک بعض الأحکام الشرعیة إمضاءات لأحکام عقلائیة أخذت موضوعاً لها، فهی ومصادیقها العقلائیة من مساحة وشؤون اعتبار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الضابطة هی کلّ حالة لا یوجد فیها تشریع مباشر مع صغرویتها بشکل وبآخر لاعتبارالشرع هی من شؤون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أمهات و جوامع الشرعی الظاهری هی مدرکات العقل الباطن، وإنّ الإعتبارات العقلائیة قد تؤخذ موضوعاً لاعتبار الشارع ومن ثمّ لا یمکن أن تعارض الإعتبار الشرعی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ذکرتم فی بحث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عملیة التطبیق علی المصادیق تارة تکون عقلیة فالمصداق العقلی التکوینی هو المصداق لا غیر، وأخری العرفیة وبتشخیص منهم کما إذا اکتفی الشارع بذلک وإن لم یکن عقلاً مصداقاً، کما فی باب الطهارات، وربما یکون هذا المثال من القسم الثانی، وأنّ المطلوب من الزوج المعاشرة بالمعروف بنظر العرف وتشخیصهم إذ لا یوجد قانون عقلائی للمصادیق، وإنما یوجد مصادیق عرفیة لیس 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موضوع الحکم المعروف عند العقلاء وهو مما یتناوله التقنین، وکان له مصادیق متنوعة کلّها قوانین عقلائیة فی العشرة وکیفیتها، ولیست صرف مصادیق عرفیة، لم یکن من القسم الثانی، وإنما کان قسماً ثالثاً فی المصداق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القسم الثانی والثالث ذکرتم أنه هناک اعتبار شرعی موضوعه اعتبار عقلائی کالشروط والمعاشرة بالمعروف والإعتبارات العقلائیة تحقق صغری لهذا الموضوع، ومعه ما فرقها عن القسم الرابع فإنه ایضاً اعتبار عقلائی صغروی لکبری عقلائیة ممضاة؟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الإمضاء فی القسم الثانی والثالث لفظی، بینما فی القسم الرابع لیس لفظیاً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أشعر أنّ البحث فی الفقه یختلف عن البحث فی الأصول ولیس جمیعه عن الردع، أو لیس جمیعه من زاویة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الحدیث تأخیر الکلام عن الردع، والحدیث أولاً عن أدلّة الإمضاء، ومن ثمّ سنصوغ السؤال بشکل أعمق، ونترک الإجابة عنه عند الحدیث عن الردع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الفرق بین ما بُحث فی علم الأصول فی بحث کیفیة استکشاف أنّ السیرة مردوعة أو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تم بحثه فی خبر الواحد 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نکتشف أنّ الأدلّة اللفظیة رادعة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ما بحث فی علم الفقه فی ضابطة المخالفة للکتاب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أنّهما بحث واحد، إلاّ أنّا نجد أنّ الأقوال والمبانی تختلف حتی عند العَلَم الواحد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فی کلمات الأعلام أنهم طبقوا الإنسداد علی الظنون والأحکام الظاهریة، لا علی الأعم وهو الإعتبار العقلائی؟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ولکنّه بما أنه 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عندما نتأمل فی کلماتهم عند عرضهم للمقدمات نجد أنها عن الإعتبار العقلائی مطلقاً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الإمضاء الشرعی هو اعتبار خاص من الشارع لما وصل إلیه العقل من تعیّن الأرجح، ولیس فیه تطبیق الکلّیات المتنوعة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شرطاً فی التطبیق أن یکون الإعتبار صغری للإعتبار الشرعی أو إنما ولو کان مساویاً،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تطبیق لکلّی شرعی علی کلّی عقلائی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هذه القرینة تدلّ علی الردع، غایته أنه تدریجی لا الإمضاء؟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فی صدد بیان المقصود من مفردة العرف، وأنّه ما یأنس به الناس، المعروف بالقرینة المذکورة، ولسنا فی صدد بیان المحمول وهو الإمضاء وعدمه من خلال هذه القرینة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التنجیز والتعذیر فی الأحکام العقلیة من أحکام العقل العملی المترتب علی العقل النظری ولیس من مدرکات العقل النظری نفسه، کما أنه لیس شرعیاً، وفی تصوری أنّ العقل العملی یحکم بالتنجیز والتعذیر فی حالة تفسیر الإمضاء بالمتابعة والتعاطی وأنّه لیس جعلاً، کما أنّ بیان الکمال وتشخیصه فی الفعل یحصل باعتبار العقلاء وتصویب الشارع لهم بمتابعته وتعاطیه، فتفسیر الإمضاء بالجعل والإعتبار مع الإصرار علی ذلک لحدّ الآن بدون دلیل، بل ربما یکون لغواً مع وجود الإعتبار العقلائی وکفایته فی الإلفات إلی کمال الفعل بعد تصویب الشارع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وإن قبلنا التنجیز والتعذیر فی مدرکات العقل، ولکنّه لا یعنی ذلک عدم الحاجة إلی الإعتبار، فإنه یؤمن جوانب أخری لا یؤمنها صرف إدراک العقل کما أشرنا إلی ذلک، ولکن فی الإعتبار العقلائی لا نقبل حتی إدراک العقل العملی للتنجیز والتعذیر بدون توسیط الشرع، وأنّ التعاطی والتصحیح من قبل الشرع یرجع فی واقعه إلی جعله واعتباره، وإلاّ لم یکن إمضاءً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نتصوّر الإعتبار مع السکوت، مع أنه متقوم باللفظ کما تقدّم؟ کیف نصوّر أنّ السکوت کالتصریح فی کون کلّ منهما دالاً، مع أنّ الثانی هو الإعتبار، وبه یتقوم ولیس دالاً؟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السکوت کالفعل وکاللفظ آلة انشاء، والإعتبار متقوم بالمبرز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لفظاً أم فعلاً أم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قبال رأی السیّد الخوئی من أنّ المبرز کاشف بحت ولیس مقوماً للإعتبار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منکم قبول التولیة فی التشریع فی طول الشارع، وهنا لا نحتاج إلی إمضاء الشارع لکلّ اعتبار عقلائی مستجد، وإنما تکفی التولیة علی شرط أن لا یکون مصادماً للکبریات الشرعیة، کما فی حکم الشرع والعقل، فإنّ الشرع بعد أنّ له التولیة یکفی فی قبول قوله أن لا یصادم کبریات العقل من دون حاجة إلی أن نتعرف علی الموافقة، وأن نضع ضوابط لها کالإنسداد وأمثاله؟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کنهاً یرجع إلی التولیة، ولکن ضمن الضابطة الموضوعیة، وهی أن یکون الإعتبار العقلائی تطبیقاً وجعلاً لمصادیق موضوع عقلائی معتبر شرعاً، وبهذا یفترق عن الشارع، فإنه وإن کان تطبیقاً لموضوعات الحکم العقلی، إلاّ أنه لمّا کان معصوماً کان التشخیص إلیه، ولم یحدّد فی ضمن ضابطة وقالب موضوعی لا یخرج عنه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الفارق بین المنشأ والمصداق؟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المنشأ هو المصداق ولکن باختلاف اللحاظ، فالذی یولّد تکویناً درجة معینة من الإحتمال ویکون سبباً فی تبانی العقلاء علیه هو المنشأ وبعد التبانی علیه واعتباره من العقلاء یکون مصداقاً للمعتبر الکلّی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یعنی کلامکم أنه فی الإعتبارات التطبیقیة یتحقق الإنعدام دائماً بانعدام الإعتبار العقلائی دون الإعتبارات العرضیة، وإلاّ لم بدأتم الکلام بالتنبیه علی وجود اعتبارات عقلائیة عرضیة؟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شبهة انعدام الإمضاء بانعدام الإعتبار العقلائی تأتی فی التطبیقی، ومن ثمّ نوّهنا بوجود الإعتبارات العرضیة، وأنها لا تستلزم الإنعدام دوماً، وإن کان الحق أنّ الإعتبار التطبیقی أیضاً لا یستلزم انعدام الإمضاء بانعدامه فی کلّ الحالات، وإنما فی حالة دون أخری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مثل هذه الحالة الإمضاء یکون لاعتبار الموضوع من قبل العقلاء، ومن ثمّ نحتاج إلی جعل شرعی آخر للحجّیة وهو بطبیعة الحال سیکون تأسیسیاً؟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ویسمّی بالإمضاء بالمعنی الأعم فی قبال الإمضاء بالمعنی الأخص الذی یکون إمضاءً للمحمول العقلائی، وفی قبال التأسیس البحت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فی مثل هذه الحالة لابدّ من قرینة معینة لکیفیة الإمضاء ومتعلّقه، ومعه لا معنی لما ستذکروه من أنّ الأصل الأولی الثبات والدیمومة؟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هو الأصل الأولی مع الشک بأدلّة عدم النسخ المثبتة عدم تقیده بالزمان ودوامه واستمراره، والقرینة إن کانت علی أنّ الإمضاء متعلّق بالمحمول العقلائی مطلقاً تکون مخصصة لأدلّة النسخ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کلامکم انصبّ علی تقییم الظاهرة الفقهیة الجدیدة، وإلاّ قد یقال بضرورة إعادة النظر فی کثیر من المعاییر الأصولیة وکثیر من الأصول الأولیة، فیعاد النظر فی العموم الأزمانی مثلاً ومدی صلاحیة الإعتبار المعاصر المتجذر لکونه قرینة حالیة مقیدة للعموم الأزمانی، کذا المخصصات المنفصلة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الأعم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بعد العمل بالعام وغیر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نمنع من إعادة النظر فی ما ذکرت، وإنما کنّا فی صدد بیان أنّ هناک ظاهرة حدیثة وهی فقهیة وإن هذه کانت بلا غطاء أصولی فهو تفقه من دون منهج، فلابدّ من اخضاعها للقواعد الأصولیة التی أشرنا إلیها، أو مراجعتها أولاً وتحدیدها ثمّ النزول لحلبة الفقه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الشیخ تصنیف للأحکام إلی صنفین علمی وظنی، والحجج بهذا القدر مصنّفة؟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الشیخ وما هو واقع فی الفقه أکثر من صنفین؛ فإنّ الأحکام العلمیة علی درجات والظنیة علی درجات، وهذا لم یبلور فی الأصول، إلاّ أنّ الحجج مصنفة، والذی یحتاج إلی تصنیفٍ هی درجات الحکم وتمییز أسسه وتفاصیله فی الفقه لکی نضع إزاء کلّ درجة ما یوازیها من الحجج المذکورة فی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ذکرته صحیح، ولکن هناک خلل أصولی، فخبر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حجّة مطلقاً و لم یثر التقیید فی الأصول، و کذا لم یثر فی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لابدّیة توفر حجّتین فی بعض المسائل الفقهیة، بل لم یثر أنّ الظن درجات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تراثنا، 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زالت الشریعة تساوی التجربة البشریة؛ حیث إنّ فی الثانیة أیضاً علمیات وظنیات، وبالتالی لم یوضّح الفرق عنها کی تکون الأولویة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أنّ القانون البشری علی مستوی السَّنّ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ظنی، والقطعی فیه یتلخص فی مقام الإثبات والتبلیغ، فی حین أنّ قطعیات الشریعة مضمونة الحقّانیة والصواب؛ لأنها قطعیة علی مستوی سَنّ القانون باعتراف المستشکل فإنه من ربّ السماء، وعلی مستوی التبلیغ، کما أنّ الظن فی الشریعة غالب المطابقة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سیتضح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أنّ الظن فی القانون البشری لا تحرز مطابقته الغالبیة، بدلیل أنّ هناک مجموعة من الظنون لم یعتمدها الشارع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جواب الشیخ أنّ تأمین العلم من مهام الإمام بأن یعرضها بکیفیة تبقی معها علمیة إلی الأبد لا من مسؤولیة الرعیة، فی حین یظهر منکم أخیراً أنّ المسؤولیة مشترکة، فلولا دور الحوزات العلمیة لتأثرت هذه الأسس ولزالت قطعیتها علی الأقل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المسؤولیة مشترکة، ولکن الحال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التقدیر الکلّی الإلهی وجود حَفَظَة للقرآن، کذا ما یرتبط بالأسس ففی التقدیر أن تبقی علمیة بِیَد الأتباع وجهودهم، ودور الفرد أن یکون مصداقاً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اجعلنی ممن تنتصر به لدینک ولا تستبدل بی غیری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ورد فی کلام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بعقل الرسول وأدبه یستدل علی عقل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بمضمونه فی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رسولک ترجمان عقلک وکتابک أبلغ ما ینطق عنک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شرح نهج البلاغة لابن أبی الحدید </w:t>
      </w:r>
      <w:r>
        <w:rPr>
          <w:rFonts w:eastAsia="IRNazanin" w:cs="IRNazanin"/>
          <w:b w:val="false"/>
          <w:bCs w:val="false"/>
          <w:i w:val="false"/>
          <w:iCs w:val="false"/>
          <w:color w:val="333333"/>
          <w:sz w:val="20"/>
          <w:szCs w:val="20"/>
        </w:rPr>
        <w:t>328/20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الکاتب فی 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الحکم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کنت فی حاجة مرسلاً فأرسل حکیماً ولا توصه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بحث شیخنا الأستاذ عن النظام السیاسی عند الشیعة الإمامیة فی دراسة مستوعبة جداً قد قرّره الشیخ مصطفی الإسکندری وقد طبع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 النظام السیاسیّ عند الإمامیة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418/3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یتضح لِمَ أنّ هذه البحوث تجد مجالها مع فرض أنّ الحجّیة للمقدّمات والمنشأ لا للحالة النفسیة، هل لعدم إمکان تعلیق القطع أو الظن أو لعدم إمکان تعلیق حجّیتها؟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وهو ظان لا یحتمل أن ینعکس ظنه وینقلب، کذا وهو قاطع، إلاّ أن نقول إنّ الحجّة هو الظن والقطع المستقر، وهذا عبارة أخری عن ملاحظة المنشأ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الطریقیة أمر تکوینی فما معنی جعلها، فهی لیست سوی الکشف عن الواقع وهو أمر تکوینی لا یقبل الجعل إلاّ بمعنی الأمر باتّباعه أو جعل الحکم الطریقی فیعود إلی الثانی أو الأول حینئذ؟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واحدة من الشبهات علی مبنی المیرزا التی لم یعالجها أحد من تلامذته سوی السیّد محمود الشاهرودی وسیأتی الحدیث عنها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والکفر،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والتقوی،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ذکرتم أنّ الإنقیاد موجود فی صورة الإصابة وعدمها، کذا فی صورة الإنفتاح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موجود فی صورة العلم بالواقع المصیب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حینئذ تصبح الفروض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ظاهری مصیب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ظاهری مخطئ ومن الواضح أنّ المکلّف فی صورة الإصابة یحصل علی کمالین، کمال الفعل وکمال الإنقیاد للحکم الواقعی فی حالة إصابة العلم، وکمال الإنقیاد للحکم الظاهری فی حالة إصابته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کیف یعقل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علی صعید الإمکان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الإنقیاد للحکم الظاهری المخطئ یتدارک ما یفوت، مع أنه کمال واحد والفائت کمالان کمال الإنقیاد وکمال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الإنقیاد فی صورة الخطأ یوازی الإنقیاد فی صورة الإصابة، فیبقی کمال الفعل الفائت من دون مقابل، اللّهم إلاّ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الإنقیاد فی صورة الخطأ ضعفی الإنقیاد فی صورة الإصابة الزائد فیه یکون قبال ما فات 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خلاف الوجدان أولاً، خاصة مع انفتاح باب العلم وإمکانه الإنقیاد للحکم الظاهری یدلّ علی حالة من الإهمال وعدم المبالاة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المکلّف لا یعرف حین العمل أنّ حکمه مصیب ومخطئ کی نتصور تفاوت الإنقیاد بینها، بل قد لا ینکشف له إلاّ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الإنقیاد الموجود فی صورة العلم یختلف سنخاً مع الإنقیاد الموجود فی الحکم الظاهری مع الخطأ، لأنه فی الأول انقیاد للحکم الواقعی دون الثانی، بالإضافة إلی اختلاف آخر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الظاهری المصیب والمخطئ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فإنّهما وإن اشترکا فی الإنقیاد للحکم الظاهری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امتیاز المصیب بالحصول علی کمال الفعل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المقابلة لیست بین انقیادیهما وإنما بین المصلحة الکامنة فی الفعل عند الإصابة والإنقیاد فی المخطئ، ومعه یمکن تصور تدارک هذا الإنقیاد ولما فات من مصلحة الفعل ولیس بمستحیل، والإمکان کاف فی حلّ الإمتناع الذی ذکره ابن قبة، والوقوع متروک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زال التهافت علی حاله، وهو نظیر ما یقال من أنّ التجری علی المعصیة وهی لیست بمعصیة أشدّ قبحاً من التجری علی المعصیة فی صورة تحققها، فمن تجری علی الخمر بکوب ماء أکثر تجریاً ممّن تجری علی الخمرة بالخمر، مع أنه بالوجدان غیر 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المستوی النظری أقبل الفرق بین التصویب والمصلحة السلوکیة، فنسلم أنّ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هو ولم یتغیر، ولکن لا تختلف الآثار بین التصویب المعتزلی والمصلحة السلوکیة لا علی مستوی الدنیا من وجوب القضاء وأمثاله کالضمان والحدّ، ولا علی مستوی الآخرة من ترتب الإثم وعدمه، بعد الإلتفات إلی أنّ کلاً منهما مقیّد بالفحص إلی حدّ استفراغ الوسع والجهل القصوری، فعلی المصلحة السلوکیة واستمرار الجهل إلی الأبد لا یترتب أیّ أثر سوی القول بأنّ هناک واقعاً مجهولاً ولکنّه منفک عن الأثر، فهو والتصویب واحد من هذه الجهة؟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القائل بالتصویب استهدف تصویب الکلّ فی الأصول والفروع، فی حین أنّ القائل بالتخطئة استهدف تخطئة الکلّ عدا فرقة جاء ذلک من خلال قول الأول بتبدل الواقع حسب نظر المجتهد، وقول الثانی إنّ الواقع علی حاله، وبالتالی فهناک ضلال وإن کان عن قصور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تصویب الکلّ لم یأت من التنظیر للتصویب المعتزلی، وإنما من سوء استفادتهم من النظریة حیث لم یلتزموا بشرطیة الفحص واستفراغ الوسع والجهل القصوری، وإلا لو التزموا بذلک لما صوّبوا الکلّ بل خطئوهم عدا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فالنتائج المختلفة التی انتهی إلیها کلّ منهما لیست بسبب اختلاف النظریة وإنما بسبب عدم الدقة فی تطبیق النظریة وإقحام الجانب السیاسی فی الجانب العلمی، فلا فرق علی مستوی التنظیر فی الجانب العملی والأثر، فی حین أنّ الإجماع علی بطلان التصویب والقول بالتخطئة یفهم منه أنّ هناک واقعاً وأنّه منشأ أثر لا أنّ هناک واقعاً وإن لم یکن له أثر، والمصلحة السلوکیة لا تؤمن هذا الهدف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الجمع بین الأحادیث المختلفة وکیفیة العمل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الإنقیاد والتسلیم للأمارة علی وزان واحد، فی حین أنّ الکمال الواقعی فی الأفعال مختلف علی نحو التشکیک، فکیف یتدارک کلّ من الفائت الکبیر والقلیل بالإنقیاد للأمارة الذی هو متواطی وبشکل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لا نقبل أنّ الإنقیاد علی مشاکلة واحدة، وإنما یختلف شدّة وضعفاً باختلاف الأفعال سواء أصاب الحکم الظاهری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ملاک الفعل إذا کان من الأهمیة بمکان لا یکفی فیه الظن، وإنما لابدّ من العلم کما تقدم، فیبقی الظن حجّة فی دائرة الملاکات المتقاربة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یلاحظ علی الإجابة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أصرّ الشیخ الأستاذ علیها وحاول أن یبیّنها ببیانات وعبارات متعددة وأمثلة متکثرة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التشکیک فی الإنقیاد و إن کان إلاّ أنه لیس بسبب التشکیک فی الواقع فقط، و إنما تربیة الإنسان ومزاجه ودرجة عقله وإیمانه والمجتمع و غیر ذلک کلّه دخیل فی اختلاف الإنقیاد وباختلاف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فالحکم الظاهری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کفتوی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حرمة الجهاد فی شرائط معینة لم یحتج الإنقیاد إلی الترک إلی کثیر مؤونة عند البعض، مع أنّ الجهاد من الأفعال الأساسیة والمهمة، فإنه إن کان واجباً واقعاً فی هذا المورد لم یعوض الإنقیاد للحرمة الظاهریة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أمکن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المصلحة السلوکیة بالبیان الذی بیّنه الشیخ الأستاذ عن الشیخ لا یصلح جواباً علی صعید الإمکان عن شبهة ابن قبة، ولا حلاًّ لمشکلة الأثر الوضعی، ولا بدیلاً کافیاً لنظریة التصویب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تعمیم البعض لها کحلّ للمشکل فی صورة الإنسداد جیّد إن کانت هناک مشکلة، وهی غیر واضحة، نعم شبهة الأثر الوضعی تتأتی فی صورة الإنسداد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لوّح الأستاذ إلی أنّ هناک بیاناً وعرضاً آخر للمصلحة السلوکیة، وهو الذی ذکره القمی وینسجم مع الروایات، عسی أن یکون شافیاً لحلّ الأسئلة العالقة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ظاهر ما عرضتموه من الروایات کون موردها هو صورة الإنسداد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 التعارض إذ مع الإنفتاح لا موضوع للتعارض ولکان بدویاً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کونها فی صورة الإنسداد لا تدلّ علی التدارک؟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روایات ظاهرة فی الإنفتاح لوجود المعصوم وإمکان الوصول إلیه، 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التعارض لیس دلیلاً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الإنسداد إذ حتی مع الإنفتاح قد یتصور التعارض إذا قلنا بأنّ الظن فی عرض العلم، وأنّه لا یجب الفحص عن الواقع بحدّ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العرضیة فرع تصویر المصلحة السلوکیة وثبوتها، وإلاّ کان الظن فی طول العلم کما صرّح بذلک الشیخ، والروایات لا دلالة فیها علی المصلحة السلوکیة کی یقال إنّ التعارض لا یدلّ علی الإنسداد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إلفات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التسلیم، والذی هو بیّن المصلحة دلیل علی أنّ فیه تعویضاً، سواء فی حالة الإنسداد أم الإنفتاح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قد یکون التعویض عن ما فات من الملاک الملزم دون الزائد مما یمکن تدارکه أو لا یمکن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العرض کسابقه لا یعالج الأُمور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الإحتیاط عقلاً، إذ لا معنی له مع التدارک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تقدیم تصویر معقول للتدارک، فکما لا یعقل فی التجری من دون معصیة أن یکون أکثر شدة فقبحاً من التجری مع الإصابة کذا فی الإنقیاد، ومن ثمّ ومع عدم تمامیة بیان التدارک لا یمکن القول بالحجّیة مع الإنفتاح، وسیکون الظن فی طول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الإنقیاد یتحقق فی حالة تخیل الحکم الظاهری بحجّة أنه یتقوم بالعنوان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کان فعلاً جانحیاً وإن تخلف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وبنفس البیان یمکن تصویره علی تصویر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مع الخطأ وعدم التسلیم لا یحصل تدارک، فی حین أنه مع الإصابة أو العلم حتی لو لم یکن تسلیم یحصل علی کمال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أجاب الشیخ الأستاذ عن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الظاهر من کلام الشیخ أنّ متعلّق الأمر حصة من الإنقیاد، وهی الإنقیاد للحکم الظاهری الموجود، فمع عدم وجوده وإن کان هناک انقیاد إلاّ أنه لیس المأمور به، بخلافه فی عَرض القمی فإنّ الإنقیاد لقول الرسول عبارة عن الإنقیاد لمقام الرسالة، ومثل هذا یتحقق حتی لو لم یکن للمصداق وجود، وإنما تخیله فقط، ولا یقید بالواقع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عن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عدم التسلیم لمقام الرسالة ولعدم الإلتفات لا یحصل التدارک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إذن بقی هناک فرق عن الواقع، ولم یتکفل تصویر التدارک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کان اللسان فی القسم الثانی التنزیل واللب الجعل لم یبق فرق بینه وبین سابقه، لأن القسم الأول لسانه تنزیل ولبه جعل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النظر عن کیفیة بیان القسمین والفرق بینهما، فإنّ واقع المطلب أنّ فی کلمات الشارع نجد نحوین من التنزیل، أحدهما یکون المشبه به جعلاً شرعیاً کالمیتة، فالتنزیل علیه یکون من سنخ الجعل بمعنی أنه جعل للموضوع للمنزل وبالتالی تترتب علیه کلّ الآثار، وأخری لا یکون کذلک بأن یکون المشبه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تکوینیاً، فلابدّ من وجه شبه، وقد ذکروا فی البلاغة أنّ التشبیه لا یکون بلحاظ کلّ أوجه الشبه وإنما بلحاظ الأثر المهم والبارز، وبالتالی لا یثبت من الجعل سوی جعل هذا الأثر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ما هو مبرر اختلاف الألسنة إذا لم تکن هی المجعولة؟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طبیعیة نجدها فی کثیر من الأدلّة وهی أنّ الشارع ینوّع فی تعبیره عن الحقیقة، ویکون ذلک من خلال الآثار واللوازم، وفی ما نحن فیه کذلک، فإنّ واقع جعل الأمارة هو جعلها علماً، إلاّ أنّ الشارع استخدم تعبیرات متعددة وتشیر إلی تلک الحقیقة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یعنی أنّ الحکم المماثل ومفهوم الحجّیة ووجوب الإتّباع کلّها تلازم جعل الأمارة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ولکنها ملازمات عقلیة کالجزئیة والشرطیة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عقلائیة لا عقلیة، ومن ثمّ کانت بحاجة إلی إمضاء شرعی، ولکن احتمال الضرر ووجوب دفعه عقلی، ومعه لا حاجة إلی جعل الإحتیاط الشرعی، بل یکفی عدم إمضاء البراءة العقلائیة فی أن یلعب الإحتمال دوره فی التنجیز، ویتضح السؤال أکثر بالإلتفات إلی ما ذکرتموه من أنّ البراءة العقلائیة تقیید فی الفعلیة التامة، فیکفی فی الشارع أن لا یقید فعلیة أحکامه التامة، فیکون احتمالها عندئذ منجزاً من دون حاجة إلی جعل الإحتیاط الشرعی؟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معنی لجعل الإحتیاط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لابدّ من الردع الشرعی عن بناء العقلاء علی البراءة، و إلاّ فالسکوت مع مثل هذا البناء القوی المتجذر إمضاء، وهو المقصود من الإحتیاط الشرعی، الذی هو احتیاط عقلی وتنجیز فی موارد البراءة العقلائیة التی ردع الشارع عنها فی قبال الإحتیاط العقلی الصرف الذی هو فی غیر موارد البراءة العقلائیة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الفعلی التام هو الحکم المعلوم وجداناً أو تعبداً، فالبراءة علی هذا تعبیر آخر عن جعل الأمارات، ولیس جعلاً فی طول الأمارات، أو تعبیر عن عدم وجودالحکم الفعلی التام فی مورد عدم العلم الوجدانی والتعبدی الذی هو لازم طبیعی لقیدیة العلم بقسمیه فی الحکم الفعلی التام؟ 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البراءة هی صیغة التقیید العقلائی أو الشرعی للفعلیة التامة بعلم خاص، والأمارات من باب جعل المصداق، فلیس الفرق حینئذ أنّ الأمارة أخذ فی موضوعها الشک عقلاً،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 ذلک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فی موضوعه الشک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معنی للقول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البرءاة أصل عملی، وإنما هی صیغة تقیید للحکم الشرعی کأی قید شرعی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السؤال سلیم جداً لو لم تکن البراءة الشرعیة جعلاً شرعیاً علاوة علی کونها تقییداً وتحدیداً، إلاّ أنّ الحق کما علیه المحقق الإصفهانی أنها فی الوقت التی هی تقیید هی جعل للترخیص، وعلی هذا الأساس کانت أصلاً وقد أخذ فی موضوعها الشک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ألفتنا سابقاً إلی أنّ التخصیص کذلک کما یکون تحدیداً بحتاً قد یکون بصیغة الجعل کما فی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تکرم العالم الفاسق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النظریة نظریة لا یصدّقها الواقع الموجود فی الأمارات، حیث إنّها تناولت أدقّ الجزئیات فی کلّ الأبواب، فأین هو حفظ شیء علی حساب شیء؟ نعم بجعل الحجج تحفظ أکثر الأحکام الواقعیة لأنها غالبیة الأصابة إلاّ أنّ هذا بُعد کمی، والنظریة تناولت البعد الکیفی وهوحفظ الأهم علی حساب المهم؟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الأهمیة المجموعیة وهی الأکثریة، فإنّ مثل هذا الکمّ یکون أهم بلحاظ المجموع بالقیاس إلی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فواحدة من زوایا التزاحم الحفظی حفظ الأکثر؛ لأنه بمجموعه 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الأهم الفردی کالدماء والفروج ویتمّ حفظها بالأمارات وإلاّ فبأصل ملزم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الأهم المجموعی کالتسهیل والسماحة التی أکّدت علیه الروایات فی الشریعة الإسلامیة، ویتمّ حفظه بالأصول الترخیصیة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الأهم الفردی أهم من ما بعده، ومن ثمّ لا یکون مورداً للأصول الترخیصیة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تفترق علاقة التنجیز الظاهری بالتنجیز الواقعی عن علاقة الحکم الظاهری بالواقعی، علماً أنّ الحکم الظاهری یجتمع مع الحکم الواقعی فی حالة إصابته؟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الکنه لا یختلفان، ولکن الحکم الظاهری یجتمع مع الواقعی، أما التنجیز الظاهری فلا یجتمع مع الواقعی، وذلک لأنّ الواقعی معلّق علی الوصول الصائب أعم من أن یکون احتمالاً أو علماً، والظاهری معلّق علی الوصول غیر الصائب أعم من أن یکون علماً أو احتمالاً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الوصول الصائب وغیر الصائب لا یجتمعان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مبناکم فی الحکم الظاهری لا تنجیز له، وإنما هو جعله قیداً فی الفعلیة التامة للواقعی وهو الذی یکون منجزاً، بل هذا علی کلّ المبانی عدا مبنی جعل الحکم المماثل، فلیس هناک علی مبناکم إلاّ جعل أصولی وضعی، وهو جعل العلمیة الذی بواسطة البراءة الشرعیة یجعل قیداً فی الفعلیة التامة للحکم الواقعی؟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قبلنا الحکم الطریقی المماثل فی الجملة فی بعض الأصول وأما فی الأمارات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اخترناه أنها جعلت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ستکون منجّزة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للواقع بواسطة أخذها قیداً فی الفعلیة التامة للواقع کما ذکر فی السؤال، وصحیح أنها لا تنجیز لها إلاّ أنه یصح أن یقال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منجزة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حکماً وضعیاً، إلاّ أنه بلحاظ أثرها، و هو تنجیز الواقع وجواز الإسناد والإستناد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کون الحجّیة منجّزة بالذات لا یمنع من أنّ لها فعلیة کسائر الأحکام الوضعیة، ولا یمنع من البحث إنّ العلم الشخصی دخیل فی فعلیتها أو لا، أو أنّ العلم الشخصی بها دخیل فی قیدیتها ولو بلحاظ بعض الآثار کجواز الإسناد والتعذیر وکذا جواز الإستناد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القضاء والإفتاء بغیر علم بورود الحکم عن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أواخر بحث إمکان التعبد بالظن ذکرتم أنّ حرمة الإسناد قضیة شرعیة قیّدت الفعلیة التامة فیها بعدم العلم النوعی بالحکم الواقعی،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قید الفعلیة التامة للحکم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أنّ الذی یظهر منکم هنا أنها مقیّدة بعدم العلم الشخصی بالحکم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هذا هو قید إضافی أو نفس ما تقدّم؟ لأنّ العلم الشخصی بالحکم الظاهری هو الذی یحقّق العلم النوعی بالحکم الواقعی فیکون فعلیاً تاماً، ومن ثمّ یکفی الإحتمال التکوینی لمثل هذا الحکم الواقعی فی تنجیزه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الکلام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إسناد الظاهری، وهناک فی اسناد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لِمَ اختلفت القیود فی الظاهری عن الواقعی؟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قضیتان لابد من التفکیک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التنجیز، وهو یتحقق بالإحتمال التکوینی للفعلیة التامة، والفعلیة التامة للحکم الواقعی تتحقق بالعلم النوعی الوجدانی أو التعبدی من دون فرق بین أن یحصل علم شخصی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دام هناک علم نوعی متحقق الفعلیة التامة فاحتمالها یکون منجّزاً، والعلم الشخصی لا یضیف للإحتمال شیئاً، حیث یبقی الإحتمال علی حاله حتی مع العلم الشخصی، ولا یضیف للتنجیز شیئاً حیث إنه حاصل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فإنه مقیّد فی فعلیته التامة بالعلم الشخصی بالحجّة والعلم النوعی، ولا یکفی صرف تنجیز الحکم فی جواز الإسناد، فقد یکون الحکم منجزاً إلاّ أنه یجوز إسناده لعدم العلم الشخصی، کما أنه لیس قید الإسناد والعلم الشخصی وحده کیفما کان، وإنما الشخصی المأخوذ فی مقدمات اعتمدها الشارع، أی المأخوذ من نوعی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أبواب النجاسات،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نجاسة البول والغائط من الإنسان ومن کلّ ما لا یؤکل لحمه إذا کان له نفس سائلة،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یعنی أنّ البراءة لا تجری فی صورة الشک، و إنما هی العلم الشخصی بعدم البیان النوعی، والعلم التعبدی فی أیدینا والشک فی وجوده سابقاً وعدمه لا أثر له، إذ حتی مع العلم بوجوده آنذاک والعلم بعدم وصوله إلینا هو البراءة، کما ذکرتم ذلک فی تحریر النزاع فی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فی الحجّیة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ویؤکّد ذلک عدم جریانه فی النحو الثانی من الشک الوجدانی، مع أنه شک فی وجود القید وعدمه فی 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المعلوم وجداناً عدمه هو وجود القید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الظاهری، العلم التعبدی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هناک شک وجدانی بالواقع، وبدلیل البراءة یحصل علم تعبدی ورفع ظاهری لفعلیة الواقع التامة، إلاّ أنه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علی مبناکم أنّ البراءة تقیید لفعلیة الحکم الواقعی التامة بالعلم وبدلیل الأمارة وجعلها علماً یتوسع القید للعلم التعبدی، فمع العلم بعدم القید مضافاً إلی عدم العلم الوجدانی بالحکم الواقعی نعلم بعدم الفعلیة التامة للواقع وجداناً، فلا شک تعبداً ولا وجداناً بالواقع، فالبراءة لیست أصلاً عملیاً أخذ فیه رفع الحیرة إذ لا حیرة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العملی لا یدلّ التزاماً علی نفی الحجّیة المشکوکة إذا کانت أمارة، لأنه هو فی طولها؟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السؤال یثار بدقة وعمق فی البراءة، وجوابه یعتمد علی التفرقة بین المدلول الإلتزامی لمؤدّی الدلیل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المدلول الإلتزامی للدلیل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 بین المدلول الإلتزامی للجعل وبین المدلول الإلتزامی للمجعول، وکیفیة الفرز بین المدلولین متروک إلی محلّه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یبتنی علی أنّ العلاقة بین الحجج الطولیة أیضاً علاقة الحکومة، کعلاقة الحجّة مع عموم النهی؟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المعروف عن غیر الآخوند أنه ورود أو حکومة، و أمّا الآخوند فیقول بالتوفیق العرفی والذی یرجع لباً إلی التخصیص، ومن ثمّ یمکن التمسک بالعموم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الدلیل الفطری ما هو مبرّر اعتبار العقلاء وتقنینهم حیث یکون لغواً؟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الدلیل الفطری یثبت لنا الحجّیة فی الجملة، وإن شئت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الحجّیة، وأمّا تفاصیل وحدود الظهور الحجّة فیتکفلها الإعتبار والتقنین، وقد ألفتنا سابقاً إلی أنّ العقل النظری یدرک المسائل الکلّیة العامة، ویدرک أنّ الشارع لم یتجاوز بتشریعه ما صمّم علیه التکوین والفطرة، دون التفاصیل والجزئیات فإنّها لیست فی متناول إدراک العقل وقدراته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روایة الکتب والحدیث وفضل الکتابة والتمسک بالکتب،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حدیثهم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مستصعب وإنّ کلامهم ذو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حدیثهم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مستصعب وإنّ کلامهم ذو 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الجمع بین الأحادیث المختلفة وکیفیة العمل بها،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القضاء والحکم بالرأی والإجتهاد والمقاییس ونحوها من الإستنباطات الظنیة فی نفس الأحکام الشرعیة، 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أمر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بالنصیحة لأئمة المسلمین واللزوم لجماعتهم ومَن هُم؟،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278/75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الروضة، أبواب المواعظ،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حجّیة ما وصل إلیه المجتهد کما یراه القائل بإمکان حصول الظهور، فالفارق بین الفریقین سیکون علمیاً لا عملیاً؟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فارق عملی ولیس فقط علمیاً، وهو أنّ المیرزا القمی حیث انتهی إلی الإنسداد فهو یطبق موازین الإنسداد، ومن ثمّ لم یقتصر فی تشخیص مدلول الکلام علی الموازین الأدبیة، وإنما یعمم إلی مثل جبر الدلالة بفهم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قال بأنّ کلّ ظن حجّة بما فی ذلک الإجماع المنقول وأمثاله، بخلاف القائل بالإنفتاح وإمکان الحصول علی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یشترک مع القائل بالإنفتاح فی فهم نص أو أکثر ولکن علی مستوی الإستظهار العام وعلی مستوی الحجج یختلفان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الأجوبة عن تلک الملاحظات فی صفحة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الآمدی، 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ذکرتموه صحیح بالنسبة إلی عدم الجزم المطلق الذی هو سفسطة مبطنة، ولکن ذلک الطرف یدعو علی ضوء نظریته وإشکالاته إلی عدم إلغاء الآخر بالتفسیق والتکفیر والتسخیف، لأنّ کلّ الإتجاهات الأخری صحیحة نسبیة، نظیر ما هو موجود فی العلوم التجریبیة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أقررتم ذلک حیث منعتم من الإنکار، وإن ذیّلتموه بقولکم من دون دلیل، فهل مع الدلیل یعنی أنّ الفکرة أخری مناقضة، فالإتجاه السنی بکلّ حیثیاته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یعدّ مناقضاً للإتجاه الشیعی، ومثله الإتجاه الإلحادی مع الإتجاه الدینی، والإتجاه الإسلامی مع غیره من الإتجاهات، فإنّ فی هذا وأمثاله نحن ننکر ما یتبناه الطرف الآخر ومع الدلیل أو بلا دلیل، وهل حینئذ مناقضة أو لا؟ ومع مناقضتها فکیف کانت غالب الإختلافات لیست بنحو المناقضة؟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العلم، والإخلاص فی طلبه وتشدید الأمر علی العالم، 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عن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الإختلاف دلیل وحدة الواقع واضح، أمّا کونه دلیل وحدة المیزان والطریق فما زال غیر واضح، والذی هو محور حدیثنا؟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دلیل وحدة الطریق والمیزان أیضاً، إذ مع فرض تخالف الأفهام سنخاً لکانت معلومتین منفصلتین، فلا معنی للإختلاف وتخطئة البعض للآخر والتناقض، ومن ثمّ ذکروا لتحقق التناقض وحدات لابدّ من توفّرها کی یتحقق التناقض، ومع عدم توفّرها ولو فی الجملة لم یکن تناقضاً، ولکانت کلّ قضیة صادقة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الألفاظ وإن کانت بطبیعتها أضعف کشفاً عن الواقع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تعبر عن العلم الحصولی وهو یحکی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الإشکالیة المثارة فی الألفاظ أنها منقولة لنا من مئات السنین، وبالتالی لا یمکن فهمها علی حدّ فهم بعضنا للآخر فی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هذه المشکلة لیست سنّة تکوینیة حیث لا نظیر لها کی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غایة ما یمکن هو هذا النمط من الوضوح، ومن ثمّ یمکن أن یدّعی أنه لا یحصل منها وضوح إطلاقاً؟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نظیر وهو دراسة اللغات القدیمة جداً التی هی أقدم من لغة الإسلام کالسریانیة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أنه غایته أنه معذّر وهو لا یعنی أنه الواقع، ومن هنا فی تصوری أنّ حلّ هذه الشبهات فی ما یرتبط بالقانون أنّنا لا ندّعی الوصول إلی الواقع، وإنما کلّ ما هناک حکم ظاهری منجّز ومعذّر قد یکون فی الواقع مصیباً وقد 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بأیدینا هو اجتهاد وفهم للإسلام لا واقع الإسلام، إلاّ أنه فهم منضبط یکون معذّراً فی قبال الفهم الذاتی الذی لا یخضع لضابطة فلا یکون معذّراً؟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الفرق بین النقل بالمعنی والإجتهاد بالدقة؟ وعلی أی أساس أُلحق التقطیع بالنقل بالمعنی دون الإجتهاد، مع أنّ فیه إعمالاً للفهم، فهو حجّة علی صاحبه لا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الإجتهاد یتکفّل الوصول إلی المراد الواقعی للمتکلم من خلال ملاحظة ودراسة مجموع کلماته ومقولاته حتی المنفصلة والجمع بینهما، فی حین أنّ النقل بالمعنی لا یعنی إلاّ بالمقولة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معنی ذلک أنّ إعمال الفهم وتحدید مدلول الکلام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نلاحظه فی طریقة الفقهاء عندما یتناولون النصوص واحدة واحدة ودراسة مفاد کلّ منها علی حدة قبل الجمع والمقارنة 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 من النقل بالمعنی؟ کلاّ، وإنما الإجتهاد یتصور فی الکلام الواحد عندما یکون بصدد استخراج المرادالواقعی النسبی من الروایة، والنقل بالمعنی مرتبط بالمدلول الإستعمالی والتفهیمی لا غیر، ومثله التقطیع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یمکن أن ننظر إلی النقل بالمعنی کالترجمة بلغة أخری کما ینقل شخص ما سمعه بالعربیة إلی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لابدّ من توفّر عنصر الخبرویة بالإضافة إلی خبر الواحد، فلابدّ أن یکون المترجم ملمّاً بمرادفات اللغة الفارسیة للعربیة، ولا نحتاج إلیه فی النقل بالمعنی بعد أن کان بلغة واحدة، والتعامل مع اللغة إرتکازی فطری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استنباط الأحکام النظریة من ظواهر القرآن إلاّ بعد معرفة تفسیرها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ورد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ضرب رجل القرآن بعضه ببعض إلاّ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استنباط الأحکام النظریة من ظواهر القرآن إلاّ بعد معرفة تفسیرها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اختلاف الأخبار وکیفیة الجمع بینها والعمل بها ووجوه الإستنباط وبیان أنواع ما یجوز الإستدلال به،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علم القرآن والذین أوتوه والمنذرون به والراسخون فی العلم،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استنباط الأحکام النظریة من ظواهر القرآن إلاّ بعد معرفة تفسیرها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استنباط الأحکام النظریة من ظواهر القرآن إلاّ بعد معرفة تفسیرها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الجمع بین الأحادیث المختلفة وکیفیة العمل بها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نصوّر الفرق بین المقامین، حیث إنّه مفروض أنه لم یخالف الکتاب فی المقام الأول، فما معنی عرضه ثانیة؟ وکیف نفسّر مخالفته مع عدم مخالفته فی المقام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فی المقام الأول یقصد منها المعارضة والمناقضة المستقرة، وفی المقام الثانی یقصد منها المخالفة غیر المستقرة کالتخصیص، فإنّ الخبر إن کان مخصصاً للقرآن، وکان الآخر موافقاً للقرآن فی عمومه رجّح الثانی، ومخالفة الأول لیست مخالفته لولا التعارض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التوحید،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إطلاق القول بأنه شیء،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استنباط الأحکام النظریة من ظواهر القرآن إلاّ بعد معرفة تفسیرها من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مرّ فی الصفحة السابقة قِسمٌ من مصادرها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یمکن أن یستشمّ هذا المعنی من بعض الروایات، کما ورد عن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یَنْطِقُ بَعْضُهُ بِبَعْضٍ وَ یَشْهَدُ بَعْضُهُ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ورد عن أبی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وَجَدْتُ لِعِلْمِیَ الَّذِی آتَانِیَ اللَّهُ عَزَّ وَجَلَّ حَمَلَةً لَنَشَرْتُ التَّوْحِیدَ وَ الإِسْلامَ وَ الإِیمَانَ وَ الدِّینَ وَ الشَّرَائِعَ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العربیة وإن کانت محدودة، والمفردات ا لمستعملة وان کانت محدودة، ولکن تبقی دائرتها أوسع بکثیر من اللفظ القرآنی بالبداهة والوجدان، ومن هنا یمکن أن یدّعی المستشکل أنّ اللفظ والتراکیب القرآنیة لا تستوعب کلّ ما یمکن تنزله لمحدودیتها بالقیاس إلی ما یمکن ترکیبه من الحروف ومفردات اللغة، ومن ثمّ نتیجة تطور وتکامل البشر هناک درجات نازلة مستجدة لا تعبّر عنها الصیاغة القرآنیة، فلابد من صیاغات جدیدة، ولیس هو بصدد نفی درجات القرآن وأم الکتاب، وأنما إشکالیته منصبة علی الوجود اللفظی للقرآن، وعدم شمولیته لما تنزل من الکمالات؟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الإلفات إلی نکتة ظریفة ألفت إلیها الفلاسفة وهی أنّ المادة لا تستوعب اللاّمحدود بشکل دفعی، وأمّا بشکل تدریجی فیمکنها استیعابه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أننا إذا جرّدنا المعانی عن مصادیقها المادیة وتمسکنا بنظریة روح المعانی، أمکن لهذه المعانی علی محدودیتها أن تغطی کلّ المستجدات علی کثرتها وعدم وقوفها عند حدّ، بل ذکر الفلاسفة أنّ المجردات لا تزداد ولا تنقص، وإنما هی ثابتة علی حدّ، فالزیادة والجدة دوماً فی المصادیق لا فی المعانی الکلّیة، وهی مهما کثرت وتغیّرت وتبدّلت تبقی مصادیق لتلک الکلّیات، من دون حاجة إلی استحداث ألفاظ جدیدة بمعان جدیدة، بل لا یمکن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الأعلام الشخصیة هی التی تزداد، لأنّ ما یوجد منها لا یغطی تلک المصادیق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ویحدّد العلم أنّ هناک نزاعاً حاداً بین أُدباء اللغة فی تغطیة اللغة القدیمة لما استجد من موضوعات وآلات وظواهر ونمط معیشة ومدنیة وعدم تغطیتها، وبالتالی لابدّ من استحداث ألفاظ جدیدة بتراکیب جدیدة تعبّر عن هذه المستجدات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جنحت الکثرة الکاثرة منهم إلی کفایة اللغة القدیمة لتغطیة کلّ المستجدات لأنها لا تعدد المصادیق، ولکن شریطة تدخل وتوسط الأخصائیین فی تصنیف المصادیق تحت کلّیاتها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بسبب أنّ الألفاظ قد وضعت للمعانی لا للمصادیق، والمعانی الکلّیة ثابتة فی عددها لتجردها لا تزداد ولا تنقص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نخلص إلی أنّ الفرق بین الصیاغة الأصولیة والفقهیة هو أنّ الأصولیة صوّرت المعیة فی الحجّیة والمعیة فی الدلالة، والفقهیة صوّرت تفصیل هذه المعیة، وأنها بنحو الطولیة لا العرضیة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شرح، شرح الشرح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فارق، وفارق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البُعد الأصولی بُعد إثباتی کاشف عن القانون، والبعد الفقهی مرتبط بکنه المدلول المنکشف فی نفسه، لا بما هو منکشف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کانت تشریعات القرآن کلّها فریضة و هی ممّا لا تنسخ، تکون النتیجة عدم إمکان نسخ القرآن بالسنّة؟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علی إمکان النسخ بالسنّة فی الوقت الذی قام الإجماع علی عدم وقوعه، وما ذکرناه تفسیر لما هو واقع، وأنّه لیس من شأن السنّة نسخ فرائض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الصیاغة الأخیرة وإن کانت جامعة وتعالج إشکالیات مهمة فی العلاقة، ولکن مازالت هناک بعض الفراغات تحتاج إلی معالجة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العقل قرینة علی فهم القرآن أو العکس فقط؟ وما هو القرینة هل خصوص العقل البدیهی أو النظری أیضاً؟ هل هناک طولیة بین العقل النظری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البدیهی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کما بین السنّة والقرآن فی عین أنهما قرینتان مزدوجتان؟ هل ینحصر دور العقل فی المسائل النظریة باستلال الأدلّة العقلیة التی ذکرها القرآن، أو من حقّه أن یفکر لوحده، وأن یصوغ أدلّة لم تذکر فی القرآن ولا السنّة، ولکن یراعی الموافقة العامة للقرآن؟ فی عملیة فهم القرآن، السنّة ناظرة وحاکمة، ومن ثمّ تحمل علی القرآن مع بقائها ضمن الجوّ القرآنی، فهل العقل یحمل علی القرآن أو العکس؟</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أطیب البیان </w:t>
      </w:r>
      <w:r>
        <w:rPr>
          <w:rFonts w:eastAsia="IRNazanin" w:cs="IRNazanin"/>
          <w:b w:val="false"/>
          <w:bCs w:val="false"/>
          <w:i w:val="false"/>
          <w:iCs w:val="false"/>
          <w:color w:val="333333"/>
          <w:sz w:val="20"/>
          <w:szCs w:val="20"/>
        </w:rPr>
        <w:t>225/13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بحارالأنوار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خلقه وما جری له فی المیثاق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البیان لابدّ من فتح باب التقلید فی العقائد علی مصراعیه کما فی الفروع، حیث یعجز العامی من اکتناه الحقیقة من الأدلّة التفصیلیة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تفاصیل العقائد دون أسسها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نلاحظ تأکید القرآن علی المعارف وآلاف الروایات فیها، کیف ینسجم مع مقولة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یجب الإعتقاد بها إلاّ إذا علم بها، فهل یقبل أن یتکلّم الأئمة بهذا القدر، ولا یجب علی أحد السعی للمعرفة والایمان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ألیس تذکرون فی الفقه أن التأکید بالتکرار یعبر عن أهمیة الحکم عند الشارع؟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التعلّم واجب علی العلماء بنحو الکفایة کی لا تندرس معالم الدین ویوجد من یدافع عن شریعة سید المرسلین، وأمّا علی العوام فلا یجب علیهم الإعتقاد إلاّ إذا 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نظیر ما یذکر فی الفروع أنّ العامی یجب علیه أن یتعلم ما یمکن أن یبتلی به لا کلّ الفقه، مع الوجوب الکفائی لتعلم البعض واجتهادهم فی کلّ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تصویر الوجوب الکفائی من أجل أن لا تندرس معالم الدین مازال لا یتناسب مع حجم هذه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ندب عینی واستحباب للتعلم، فالایمان موجّه للجمیع، وسنبحث هذه المسألة فی ذیل حجّیة خبر الواحد إن شاء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المطاعن،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مثالب عثمان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الطعن السابع نقلاً عن مصادر العامة کالاستیعاب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القرآن،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استفدنا استمرار حکم التقیة وعدم کونه موقتاً؟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السیرة قویة، فالرادع لابدّ أن یکون قویاً، فإذا لم توجد إلاّ روایة واحدة کما فیما نحن فیه لا تصلح للمعارضة، وسیکون الإمضاء من دون قید، ومن ثمّ فهمنا من روایة الأمر بقراءة أبیّ عدم الإمضاء فی خصوص المسائل العقائدیة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الإستفادة من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من یعلّمکم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استمرار التقیة إلی حین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هذا لا ینفی فکرة الأصل، وإنما یثبت رجوع الأصل العدمی إلی وجودی؟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لأنه لا شک حتی نتمسک بالأصل ونحتاج إلیه، لأنّ العلقة الوضعیة وأداة العموم مثلاً بنفسها أمارات، فلا تصل النوبة إلی الأصل کی یجعل من قبلهم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البیان معناه أنه لا معنی للتساقط مع التعارض، بعد أن کان التعارض فی المصادیق بسبب التنزل، فلا یکون إلاّ فی العموم من وجه، ولا یتحقق تعارض بنحو التباین بین الکلّیات، بل لا موقع للتکاذب، وإنما یکون من التزاحم وأمثاله؟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الغرض کما تقدم أنّ التشریع غالبی، أی أنّ الشریعة ظاهرة، فالشارع ملتفت إلی الإصطکاک، ومع ذلک صاغ الجعل کلّیاً لمصلحة، ففی مورد الإلتقاء یمکن تصور التکاذب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التکاذب فالتساقط فی مورد الالتقاء یعنی تقیید القضیة الشریعة الواقعیة ولا تبقی علی کلیتها، وهو عین ما ذکره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حینئذ فی الجعول الظاهریة الکواشف یقع التکاذب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یظهر من کلامه أو لازم کلامه نفی التعارض فی الکواشف أیضاً ما دامت مجعولة من قبل العقلاء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هذا متصور فی القوانین الخاصة لا فی قوانین العقلاء بما هم عقلاء، ومن ثمّ إمضاء الشارع مع التهذیب بالزیادة والنقیصة فی القوانین الخاصة، وأما فی القوانین العامة بما هم عقلاء فهی تمضی وتفصل من قبل الشارع لا تخَطّئ؟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العقلاء بما هم عقلاء یشمل القوانین الخاصة، وبالتالی فهی قابلة للتخطئة والزیادة والنقیصة والإمضاء والردع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أفهم أنّ العقلاء بما هم عقلاء اصطلاح یشمل القوانین العامة التی لا یختلف اثنان من العقلاء علیها، وأما القوانین الخاصة فهی للعقلاء بما هم قوم أو قبیلة أو عرف أو أبناء منطقة أو عرف أو غیر ذلک، وهی قد یمضیها الشارع وقد لا یمضیها، وقد یهذّبها بالزیادة والنقیصة، وأما القوانین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بسبب کونهم 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ممضی حتماً والشارع لا یخطئه، وإنما یفصله؟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ننکر أنّ فی القوانین الخاصة ما کان بسبب العرف والعادة، ولکن فی هذه الأقسام یمکن أن توجد للعقلاء بما هم عقلاء تقنینات وبناءات، فالمشهورات بکلّ أقسامها فی المنطق یمکن أن نجد فیها بناءات عقلائیة من حیث هم عقلاء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علی الشاهد الأول أنّ إمضاء الصغری وان کان إمضاءً للکبری إلاّ أنه لا یدلّ إلاّ علی إمضاء النکتة الکبرویة جزئیاً فی خصوص هذه الصغری، وأمّا الباقی فمسکوت عنه، وهو کاف فی عدم الإمضاء، أو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ردعه کاشف عن الإمضاء کما هو الظاهر من کلّ الشواهد، ولکنّه أول الکلام، إذ عدم الردع إنما یکشف عن الإمضاء حینما کان متصلاً بالشارع فی زمانه، وأمّا ما لم یکن کذلک فلا دلالة لعدم الردع علی الإمضاء، والإمضاء الجزئی لا یدلّ علی الإمضاء للکلّی ما لم ینضم إلیه عدم 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نقبل أنّ إمضاء الکلّی إمضاء لکلّ جزئیاته حتی المستجدة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ونقبل إمکانیة إمضاء الکلّ مباشرة باللفظ، بأخذه موضوعاً للإمضاء، ولکن الکلّی حیث لا وجود له إلاّ بوجود مصادیقه، فلا یتصور إمضاؤه المباشر بالسکوت والتقریر وعدم الردع، وإنما یتمّ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المصادیق، فأهل الخبرة لا وجود له إلاّ فی اللغوی والمفتی والمنجّم و غیرهم 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إمضاء المصداق بالتقریر وعدم الردع فهو غایة ما یکشف عن إمضاء الکلّی المتشخص فیه، فإمضاء قول اللغوی یکشف عن إمضاء الخبیر اللغوی وأمّا مطلقاً خاصة ما لم یکن، وإنما یستجدّ، فالسکوت دلیل لبی کالإجماع لا إطلاق فیه فیؤخذ بالمتیقن وهو الجزئی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الردع عن صغری من صغریات أهل الخبرة مثلاً لِمَ کان هذا هو الإستثناء، ولِمَ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ردع الصغری ردع للکبری، وبالتالی إمضاء الصغری الأُخری یکون تخصیصاً واستثناءً؟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النظر إلی قانون العقلاء کشریعة وهرم متکامل، لم یترک شیئاً إلاّ واعتبر فیه ومن ثمّ لا معنی للتعامل مع قانون من قوانین هذه الشریعة بطریقة اقتطاعیة تجزیئیة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فالشارع حینما یتعامل مع قانون ما یتعامل مع الشریعة القانونیة، لأنّ واقع هذا القانون هو أنه بعض من کلّ متکامل ومترابط، حینئذ إذا کانت ماهیة الجزئی من قبیل الموضوع المستنبط للکبری، فهو وإن کان بحاجة إلی جعل التقنین إلاّ أنه لیس مبتدءاً، لأنّ التقنین نال الکلّی أولاً وهذه من تطبیقاته، ومن ثمّ ذکر الفقهاء خطأ التعامل مع روایات إحیاء الموات وحدها و تطبیقها قبل إرجاعها إلی کبریاتها، وإلاّ أدّی ذلک إلی استغلال شخص لأراضی مدینة کاملة جراء إمکاناته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فالمنهجی دراسة القوانین الجزئیة بعد إرجاعها إلی کبریاتها التی تنزلّت عنها وتعدّ تفصیلاً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إمضائه أیضاً لا معنی لتجریده عن کلیه، وإلاّ لم ننظر إلیه بعد أن کان واقعه الکلّی إلاّ مع التصریح بذلک، وبدونه مع فرض مخاطبة الشارع للعقلاء بلغتهم وهو یعلم أنهم یفهمون أنّ هذا الجزئی وذاک واحد فی الماهیة القانونیة، فإمضاء هذا یفهموه إمضاء لذاک أیضاً، کان إمضاء الشارع للجزئی کاشفاً عن إمضاء الکلّی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لِمَ اشترط العقلاء فی خبر الواحد والذی یکون عن حس الوثاقة، أو وثاقة الصدور، واکتفوا فی أهل الخبرة الحدسی بعدم مظنة الکذب، فما هو الفرق الفارق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یکون السبب أنّ الحس یکثر معه احتمال الکذب والاشتباه، ومن ثمّ أخذت الوثاقة بمعنی عدم تعمّد الکذب مع الثبت شرطاً، أمّا فی أهل الخبرة فالضبط والثبت محرز بحکم کونه من أهل الخبرة، واحتمال الکذب أقل فی المسائل العلمیة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الإحتیاط فی الشریعة فی الأموال والدماء والفروج من سنخ هذا النوع من القانون العقلائی؟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سنخه ولکن لیس عینه، والتفاصیل فی بحث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معنی ذلک أن لا یتقدم الخاص علی العام، أو بعد العمل به علی الأقل فی مثل أدلّة الدماء والفروج والأموال؟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یعمل بالخاص حتی بعد العمل بالعام، وقد ذکرنا أنه من سنخ السیرة المزبورة لا عینه، وبالتالی لا یعنی اشتراکهما فی کلّ الأحکام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الطبرانی، المعجم الکبیر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ورماه کثیر من محدّثیهم بالضعف کما فی عون المعبود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ثمّ مدح القلة فقال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قَلِیلٌ مِنْ عِبادِیَ الشَّکُورُ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قَلِیلٌ ما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رَجُلٌ مُؤْمِنٌ مِنْ آلِ فِرْعَوْنَ یَکْتُمُ إِیمانَهُ أَ تَقْتُلُونَ رَجُلاً أَنْ یَقُولَ رَبِّیَ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آمَنَ وَ ما آمَنَ مَعَهُ إِلاّ 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أَکْثَرَهُمْ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أَکْثَرُهُمْ لا یَعْقِلُونَ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هُمْ لا یَشْعُرُونَ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جری بعد قتل عثمان من الفتن والوقائع والحروب وغیرها،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احتجاجه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أهل البصرة وغیرهم بعد انقضاء الحرب وخُطَبه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ذلک، الحدیث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أمر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بالنصیحة لأئمة المسلمین واللزوم لجماعتهم ومَن هم؟،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والسنّة والفریضة والجماعة والفرقة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الطبرانی، المعجم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الجمع بین الأحادیث المختلفة وکیفیة العمل بها،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العمل بأحادیث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المنقولة فی الکتب المعتمدة وروایتها وصحتها وثبوتها، الحدیث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تلخیص ما اخترتموه وجمعه بالتالی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الإجماع بادئ ذی بدء منبّه علی الدلیل، فلابدّ أن یتعقّبه فحص مضن، وعلی فرض عدم العثور فهو حجّة بنفسه فی الموارد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جمیع المحدّثین القدماء فضلاً عن المتأخرین، وهو کاشف قطعی عن الضرورات المذهبیة والفقهیة والمتسالمات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فی عصر الموجب للإندراس، وهو حجّة بقاعدة اللطف ودلیل کون الإمام 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المتقدّمین حجّة علی النص بدلیل تراکم الإحتمال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المتقدّمین حجّة علی سیرة المتشرعة بدلیل تراکم الإحتمال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المتأخرین فی المسائل النظریة حجّة علی رأی المعصوم بدلیل تراکم الإحتمال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فالإجماع قیمته استدراک ما ضاع أو قَصُرَ باعُنا عن الوصول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 وصحیح ولکن لا یمکن لنا أن ندّعی الکلّیة فی حجّیة الإجماع المحصّل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التکوین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کان الوجود أقوی کان ظهوره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أکثر من أنه کلّما کان الملاک أهم کان القانون الفقهی أهم وأقوی، بأنّ یکون وجوباً لا استحباباً أو وجوباً مغلظاً لا وجوباً عادیاً وهکذا، ولا یثبت ضرورة أقوائیة الدلیل الأصولی والذی هو المراد إثباته، وهو الترتب بین الحجج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الموازی التکوینی للدلیل الأصولی والذی یعدّ ظهوراً للوجود التکوینی؟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الموازی التکوینی هو أثر الأثر، فکلّما کان الوجود أقوی کان ظهوره وظهور ظهوره وهکذا 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إذا لاحظنا ترامی الآثار فلیس هناک موجبة کلّیة فی التکوین، إذ لیس إلاّ الوجود الواجب مسلسلة آثاره المترامیة، فالوجود حقیقة واحدة مشککة، والموجبة الکلیة تنعقد من فرض کثرة عرضیة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صحیح مع ملاحظة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منه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کلّ عالم الإمکان آثاره تعالی، ولکن بملاحظة حیثیة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الفواعل متکثرة، ومنها تصاغ الموجبة الکلّیة، وإن کانت بلحاظ هی روابط وآثار للمبدء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ذکرتم سابقاً أنّ النظریات تفصیل للبدیهیات، فمع فرض أنّ البدیهیة الأولی هی وجوده تعالی کان ما ذکرتموه من قانون التکوین واضحاً، ولکن مع القول إنّ البدیهیة الأولی هی استحالة اجتماع النقیضین، کیف یستقیم أنّ کلّ ما کان وجوده أقوی علی مستوی العلم الحصولی؟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البدیهیة الأولی هی العلم الحصولی بوجوده تعالی بعلم إرتکازی بسیط لا المرکب، وهو یعنی أنّ کلّ الأدلّة التی ذکرت علی وجوده منبّهات لا أکثر وکذا إنّ إنکار البدیهیة الأولی یلزمها الوقوع فی السفسطة الکلّیة، وهو حاصل فی إنکار استحالة اجتماع النقیضین وإنکاره تعالی، فإنه یلزم منه السفسطة فی کلّ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بحث فلسفی یذکر فیه أنّ إنکار أی حقیقة بما هی حقیقة یلزم منه السفسطة کلّیة، وبه یتفسر ما ورد من أنّ إنکار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إنکار کلّ الرسل، وما ورد من أن مَن أنکر حجریة الحجر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واضح بعد أن کان الدلیل الذی یعتمده فی الإنکار یتأتی فی کلّ حقیقة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التنجیز لیس للدلیل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لمفاده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فکثرة الأدلّة لا تقتضی تأکد التنجیز، اللّهم إلاّ بالواسطة، حیث إنّ تکثّر الأدلّة یکشف عن تأکد الحکم وأهمیته وبالتالی تأکد تنجیزه واشتداده؟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الأدلّة وتکثرها یوجب اشتداد التنجیز مباشرة للقانون الکلامی، وهو أنّ الحجج کلّما کانت أکثر کانت العقوبة أشدّ، بالإضافة إلی أنّ کثرة الحجج تثبت أهمیة الحکم الفقهی، وأهمیته توجب شدة تنجیزه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القرآن ما یدلّ علی ذلک، 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مُنَزِّلُها عَلَیْکُمْ فَمَنْ یَکْفُرْ بَعْدُ مِنْکُمْ فَإِنِّی أُعَذِّبُهُ عَذاباً لا أُعَذِّبُهُ أَحَداً مِنَ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یقصد من الأهمیة والتبعیة، هل ما ذکر فی قول اللغوی أنه لا یشترط إحراز الشرط فی التابع بالظن النوعی به، وإنما یشترط عدم مظنة الکذب فی الخبیر وعدم مظنة الإشتباه فی خبر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وتفصیله یأتی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المنقول هو الإجماع وهو حسی، سواء کان بمعنی الکاشف عن السبب أو عن المسبب؟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والإتفاق هو السبب، فتارة یکون النقل له، و أخری للمسبب مباشرة من دون أن ینقل کلمات الأعلام، بل قد لا توجد لهم کلمات، کما إذا لم تکن المسألة معنونة، وإنما یحکی بالإجماع رأی المعصوم الذی حدس به من خلال اتفاق الأعلام علی قاعدة تنطبق علی معقد الإجماع بفذلکة صناعیة اجتهادیة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فعل الراوی موضوع للحکم الشرعی المستفاد من التقریر، فالنقل له نقل للموضوع الشرعی؟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الراوی فعل خارجی جزئی دالّ علی الموضوع الکلّی للتقریر، وهو ما ذکرناه من رجوعه إلی الظهور، فلیس هو الموضوع، وإنما هو مصداقه وفرده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الشهرة علی الخبر خطأ؛ لأنّ ملاک حجّیة الشهرة هو الخبرویة والحدس، والخبر مرتبط بالحس، فأحدهما أجنبی عن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کان موضوع الحجّیة الظن النوعی وکانت الشهرة تفید الظن بشکل أقوی، کان معنی للقیاس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کونها جزء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تکوینی لا یحتاج إلی جعل من العقلاء أو یحتاج؟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تکوینی أفادتها الظن، ولکن للعقلاء مدخلیة فی تحدید الدرجة الإحرازیة وعدم الإفراط والتفریط فیها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هذا فالأدلّة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الأمارات أو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تحرز لنا وجود موضوع الحکم الشرعی وصغراه لابدّ أن تکون جزء الحجّة، فخبر الواحد إذا کان حجّة فی الموضوعات، حجّیته غیر مستقلة، و الأصول المحرزة أو المنقحة لصغری الموضوع لابدّ أن تکون حجّیتها غیر مستقلة، مع أنه لم یسمع أخبر أنّ الواحد مثلاً حجّة غیر مستقلة؟</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إنکم فی الأقسام الأربعة اعتبرتم الشهرة فما معنی قولکم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حیث الجبر و 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الجابرة الکاسرة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غیر المستقلة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توجد صغری لکبری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الصغری هی فی نفسها لیست 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أنها لیست صغری کالخبر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بترمیم الشهرة تکون صغری وحجّة، أو أنّ الصغری فی نفسها حجّة وصغری، ولکن الشهرة تعدم صغرویتها وحجّیتها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نجده فی توثیق الرجل، فإنّ ما ذکرتموه من أنها تفید الإطمئنان لا یخرجها عن کونها جابرة أو کاسرة، لأنّ دلیل جبرها وکسرها هو إفادتها الإطمئنان نتیجة تراکم القرائن؟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لأنّ وثاقة الرجل لیست صغری لکبری حجّیة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مَن لم یبن علی أن مدرک الجرح والتعدیل الإطمئنان، وإنما الشهادة مثلاً لا یعتدّ بالشهرة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الموجود فی مصادرنا هو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إجعلونا مخلوقین وقولوا فینا ما شئتم فلن تبلغوا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279/25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أبواب علامات الإمام وصفاته وشرائطه وما ینبغی أن ینسب إلیه وما لا ینبغی،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نفی الغلو فی النبی والأئمة صلوات الله علیه وعلیهم وبیان معانی التفویض وما لا ینبغی أن ینسب إلیهم منها وما ینبغی،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إجعل لنا ربّاً نؤب إلیثه وقولوا فینا ما شئتم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الباب،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فینا ما شئتم واجعلونا مخلوقین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الباب،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القضاء، أبواب صفات القاضی،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القضاء والإفتاء بغیر علم بورود الحکم عن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القضاء والحکم بالرأی والإجتهاد والمقاییس ونحوها من الإستنباطات الظنیة فی نفس الأحکام الشرعیة،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بالإرشادیة مطلقاً لما ذکره من کفایة الحکم العقلی عن الشرعی مع وجود حکم العقل ینکر الملازمة، لأنها تعنی ثبوت حکم شرعی 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القول بالإرشاد لا للقرینة الخاصة، وإنما لما ذکره من الإغناء لابد أنه ینکر الملازمة، إذ القول بالملازمة یلزمه القول بالمولویة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یقول أحد بالملازمة، ومع ذلک یحمل دلیلاً ما علی الإرشاد لقرینة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منکر الملازمة هذا یبقی طرفاً للنزاع مع الأخباریین، لأنّهم أنکروا الملزوم وهو حکم العقل، وأنه مادة تشریع وهو یقبله؟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یعتمد علی فرض عدم التعلیق مع کون الشرط هو الموضوع، لا أنّ التعلیق مقصود وأداة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المتمحضة به مثل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مستعمله فی معناها، لکن مع ذلک لا یثبت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الجمل الشرطیة المسوقة لبیان الموضوع، هل هناک تعلیق من دون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وحینئذ لا مشکلة فی الشکل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مفهوم لعدم التعلیق؟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الأصولیون أنّ أداة الشرط حتی المتمحضة منها مع عدم المفهوم لم تستعمل فی التعلیق وإنما فی الظرفیة، فتدلّ علی صرف الترتب، ومن هنا کان المفهوم عندهم لیس مراداً جدیاً وتفهیمیاً فحسب، وإنما هو مراد استعمالی، حیث ذکروا أنه علی حافة المدلول المطابقی، فلیس مدلولاً إلتزامیاً؟ وبالتالی فأدوات الشرط حتی المتمحضة مستعملة استعمالاً مجازیاً فی مورد الجمل الشرطیة المسوقة لبیان تحقق الموضوع، وإنما سمیت شرطیة حینئذ بملاحظة صورتها، وإلاّ فإنّ واقعها هو الحملیة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بیانکم هذا أنّکم لا تقبلون فکرة متمم الجعل فی بحث التعبدی وأخذ العلم بالحکم فی موضوع الحکم الذی هو نتیجة التقیید، حیث ظهر منکم أنّ التقیید لیس إلاّ أخذ واقع الضیق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الحدیث عن المفهوم مرتبط بالدلالة، وما ذکره المیرزا فی حقیقة الإنضمام ومآله مرتبط بالواقع ومتن القانون، مع قبوله الفرق علی صعید الدلالة، وربما یکون هو السبب فی عدم ذکره ما ذکره هناک فی هذا البحث، ویدلل ذلک قبول فکرة نتیجة التقیید بمتمم الجعل مع رفضه لإمکان التقیید لوجود مشکلة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رآها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صعید التقنین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استوعب الإخراج الأصولی لهذه النکتة علی ضوء ما تقدّم من مبانیکم من التفرقة بین القرینة المتصلة والمنفصلة، وأنّ الأولی تساهم فی تشکیل الظهور الإستعمالی والتفهیمی، وأمّا الثانیة فلها دور فی صیاغة ظهور المراد الجدی، ومن ثمّ هل تعنون من ملاحظة الأدلّة الأخری أنها قرائن منفصلة تؤثر فی صیاغة المراد الجدی القانونی کما هو الحال فی الدلیل الحاکم والمحکوم مثلاً، أو تقصدون ما ذکرتموه فی الخبر الضعیف فی المعارف فیکون الرجوع إلی الأدلّة الأخری کالرجوع إلی آراء العلماء سبباً فی الإلتفات والإلمام بکلّ احتمالات الروایة ونکاتها وزوایاها، مما یقصر عنه ذهن الإنسان لوحده، خاصة بالإلتفات إلی ما ذکرتموه من أنّ المشرع واحد والواقع واحد، والمشرع محیط بالواقع و بکلّ دلالاته علیه مما یشکل قرینة علی أنّ مراجعة الأدلّة الأخری ینفع فی العثور علی نکات فی داخل الدلیل، وبالتالی تتلائم الأدلّة فی ذاتها قبل الوصول إلی تعارض المرادات الواقعیة، ثمّ موائمتها بالحلول المذکورة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الإحتمال الثانی، وثمرته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یندر خروج إحدی الروایات المتعددة فی مفادها کمفاد ناشز، أی سیندر التعارض المستقر، وسیقلّ حجمه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ملائمة الروایة مع روایات أخری نلحظ وجود دلالات جدیدة وشقوق جدیدة، ماکنا نصل إلیها لو استعملنا الطریق الأصولی المحض من التقیید والإطلاق و غیرهما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التعلیل ینسجم مع فرض أنّ الأدلّة المثبتة لحجّیة الخبر تثبت حجّیته فی الجانب العملی فقط، وأمّا الجانب العلمی فتستقی حجّیته من دلیل آخر وهو بناء العقلاء، أمّا مع دلالة الأدلّة علی الحجّیة فی الجانبین لا نحتاج إلی الأصل العقلائی کی نعلل عدم حجّیته فی الجانب العلمی فی الأمور الخطیرة بعدم جریان الأصالة، وإنما لابدّ من التماس دلیل آخر مقید، کما قیدت أدلّة البیّنة حجّیته فی 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ونحن نبنی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وکثیر من الأصولیین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الأدلّة تتکفل بیان الحجّیة من الجانب العملی، وأمّا الجانب العلمی فدلیله سیرة العقلاء وبنائهم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یمکن القول بأنّ المفهوم یدلّ علی عدم وجوب التثبت فی خبر العادل، أمّا أنه یکفی فی العمل أن یکون به وحده أو یحتاج إلی ضمیمة، فهذا مما لا تثبته ولا تنفیه الآیة، فإنّها لیست فی مقام البیان من هذه الناحیة، وإنما یلتمس من مراجعة أدلّة الموارد واحدة واحدة، فما دلّ علی کفایته وحده أخذ به، وما دلّ علی لابدّیة التعدد فخبر العادل یؤمّن رکناً فی البیّنة وما دلّ علی لابدّیة العلم فخبر الواحد یؤمّن رقماً فی تأمین عناصر العلم، فی حین أنّ خبر الفاسق لا یکفی وحده فی مورد الوحدة، ولا یعدّ واحداً فی البیّنة، ولیس رقماً کرقم العادل فی مورد شرطیة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البیان یتضح الخلل فی الجواب الثانی، حیث لا تقیید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ویتضح الخلل فی الملاحظة علی هذا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ظاهر المفهوم، حیث إنّه ظاهر فی أنه حجّة مطلقاً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 مماثل وإنما بتنقیح المناط یکتشف عموم الملاک، وإن کان الجعل قاصراً، فهو من نوع الکشف عن استوساع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أفقه نکتة التساؤل، هل هی فی استعمال الإصطلاح وأنّ ما ذکره علی صحته ولکنّه لا یسمّی تنقیح مناط، أو أنّ ما ذکره لیس صحیحاً، ومن ثمّ کیف صحّ ما ذکروه فی تصحیح العبادة بقصد الملاک عند عدم إمکان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أردنا الإشارة إلی أنّ هناک موردین لتنقیح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توسعة الجعل، والآخر الإستفادة من الملاک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هل من ثمرة عملیة لهذا النزاع فی أصل المسألة أو أنّ الحجّیة فی الوسائط أمر مفروغ عنه، غایته أنّ الحدیث فی الإخراج العلمی الأصولی لذلک فالحدیث علمی صرف؟ مضافاً إلی أنّ الإشکال فی الشق الأول انطلق من قضیة أنّ القضیة الشرعیة لا تتکفل إیجاد نفسها ولکن لم یذکر ما هو المحذور فی ذلک، وهل هو خاص بالقضیة الشرعیة أو یعمّ کلّ القضایا؟ ثمّ هل المحذور سار فی الإحراز، أی أنّ القضیة لا تتکفل إحراز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هاهنا موردین لتنقیح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توسعة الجعل، والآخر الإستفادة من الملاک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النزاع فیما نحن فیه علمی صرف، نعم یثمر فی موارد أخری غیر الحجّیة من قبیل تصویر ترامی الشهادات فی القضاء، وترامی حکم الحاکم وسائر ترامیات المحمولات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إنّ المحذور عقلی فی کلّ قضیة، فإنه یستحیل فی القضیة أن تتکفل إیجاد موضوعها، وحتی فی الإحراز مستحیل، ولکن قد یوجد جعلان أحدهما ظاهری طریقی محرز موضوع الأول وهو لا ینفع فی الإیجاد، لأنه یحتاج إلی جعلین أصلیین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الفرق بین تنقیح المناط وفهم عدم الخصوصیة سنخاً ومورداً؟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المناط مبنی علی القطع، ومن ثمّ یجری حتی فی الأدلّة اللبیة، بینما فهم عدم الخصوصیة مبنی علی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تنقیح المناط یکون دلیلاً عاماً یوسّع دلیلاً عاماً آخر، فی حین فهم عدم الخصوصیة غالباً یکون دلیله خاصاً ویعمّم بفهم عدم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تنقیح المناط قد یکون إرجاع حکم إلی قاعدة کلّیة و قانونیة، بخلاف فهم عدم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وتنقیح المناط معالجة قانونیة، وفهم عدم الخصوصیة بحث دلالی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الإرشاد إلی الحجّیة فی خبر غیر الفاسق هو الإمضاء لسیرة العقلاء؟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الإمضاء لا یسمّی إرشاداً، لأنّ الإرشاد خبر لا غیر، بینما الإمضاء اعتبار وإنشاء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عملیة نشر الدین أول ما تبدأ ظنیة، ثمّ بعد الشیوع والذیوع تتحول إلی علمیة، ومن ثمّ یعقل الإنذار بها، بل بالإنذار المکثف والمجموعی تتحول إلی علم، وبالتالی یعقل الحذر فلا یرتفع الإجمال؟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والروایة، الوعظ، الأمر بالمعروف، تعلیم الأحکام وغیرها کلها مفردات لنشر الدین، ولکنّنا قصدنا من نشر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أخذناه قبال الفتوی والروایة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نشر خاص، وهو حفظ وإدامة حالة التواتر للدین ولو فی وسط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هذا لا یتحقق إلاّ بعد حصول العلم عند المنذر، فالحذر سیکون مترتباً علی العلم فی حین أنّ ظاهر الآیة ترتیب الحذر علی 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ما ذکرناه فی المتن من أنه مع العلم لا یکون إنذار وإنما تذکیر وإدامة، وقبل العلم لیس هناک نشر الدین بالمعنی الخاص کی یتعلّق به إنذار، وإنما هناک نشر بالمعنی العام، وإذا تعلّق به الإنذار فهو استغراقی لا مجموعی، فالتفت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الرجوع فی القضاء والفتوی إلی رواة الحدیث من الشیعة فیما رووه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مولانا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والأحکام،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کراهیة الإرتفاع إلی قضاة الجور،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الصدوق،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الکینی، الکافی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بالنصحیة لأئمة المسلمین واللزوم لجماعتهم ومَن هم؟،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 الخیف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الفروع أیضاً لا یتحمل الروایة، وإنما ما فهمه منها، فلابد أن یکون إبلاغه للفتوی لا للروایة، فلِمَ خص الإشکال بالأصول؟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الروایة حجّة علیه، ومنها یستنبط الحکم أمکن أن یبلغها، ولکن الروایة فی الأصول لیست حجّة، وإنما هی تشکّل قرینة لا أکثر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یجب علی الناس عند مضی الإمام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107/92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القرآن،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التدبر فی القرآن،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وجوب نشر الدین ینحلّ بواسطة جعول عقلائیة، ومن ثمّ لابدّ من سیر عقلائیة فی هذه الصغریات کی تکون ممضاة بالجعل الکلّی ولکن الصغریات المذکورة کالفتوی لا توجد سیرة فیها بخصوصها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هی صغری لکبری عقلائیة وهی الرجوع إلی أهل الخبرة، وهی مع وجوب نشر الدین بینهما عموم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نخرّج الإمضاء؟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الدقیق کالتالی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وجوب نشر الدین إنما یدلّ علی الحجّیة، لأنه خطاب للعقلاء بالنشر بالطرق المألوفة عندهم، حیث لم یستحدث طریقاً خاصاً، فهو یدلّ علی الإمضاء الصریح ولیس فقط عدم الردع، فتکون الآیة دالّة علی الحجّیة حینئذ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دلالة الآیة علی وجوب نشر الدین لا الفتوی فهی لا تدلّ علی وجود الفتوی آنذاک، وإنما تدلّ علی أنّ الفتوی لو کانت فهی ممضاة، فنحتاج إلی دلیل آخر لإثبات وجود سیرة أو وجود ظاهرة الفتوی أیام المعصوم، لا أنّ الآیة تدلّ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الآیة تدلّ لأنها تشیر إلی مصادیق عقلانیة موجودة من دون شک، والروایة لیست أبرز المصادیق لفهم الدین، وإنما الفتوی، فإنها أکثر إراءة لواقع الدین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الخفاء الملحوظ فی الآیات یرجع إلی البعد الأدبی، حیث فهمتم الفقه والسؤال من أهل العلم بشکل واسع لا تساعد علیه مرتکزات اللغة، ولیست المشکلة قانونیة حتی تکون مرتبطة بالدراسة التجریدیة عن قانون العقلاء؟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مستوی فهم الکبری، ولکن إنما ذکرنا الملاحظة هذه من أجل هضم فکرة أنه لو کان هناک جعل کبروی، فإنه یتنزل إلی الصغریات المتنوعة علی حدّ ما هو موجود فی قانون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وبالإضافة إلی أنّ الکبری موجودة عند العقلاء، حیث إنّ واحدة من الواجبات النظامیة هی التفقه فی القانون ونشره وتعمیم ثقافته وبث وعی الإلتزام به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التشریعات الدینیة کلّها ناظرة إلی تشریعی العقلاء وتقنینهم فتهذب وتحذف وتضیف لا أنها تنسخ ذلک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الکلینی عن علی بن إبراهیم عن ابن أبی عمیر، عن حمّاد بن عیسی عن حریز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لإسماعیل بن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دنانیر وَأَرَادَ رَجُلٌ مِنْ قُرَیْشٍ أَنْ یَخْرُجَ إِلَی الْیَمَنِ فَقَالَ إِسْمَاعِیلُ یَا أَبَتِ إِنَّ فُلاناً یُرِیدُ الْخُرُوجَ إِلَی الْیَمَنِ وَ عِنْدِی کَذَا وَ کَذَا دِینَاراً فَتَرَی أَنْ أَدْفَعَهَا إِلَیْهِ یَبْتَاعُ لِی بِهَا بِضَاعَةً مِنَ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أَمَا بَلَغَکَ أَنَّهُ یَشْرَبُ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لا تَفْعَلْ فَعَصَی إِسْمَاعِیلُ أَبَاهُ وَ دَفَعَ إِلَیْهِ دَنَانِیرَهُ فَاسْتَهْلَکَهَا وَ لَمْ یَأْتِهِ بِشَیْ‌ءٍ مِنْهَا فَخَرَجَ إِسْمَاعِیلُ وَقُضِیَ أَنَّ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حَجَّ إِسْمَاعِیلُ تِلْکَ السَّنَةَ فَجَعَلَ یَطُوفُ بِالْبَیْتِ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أْجُرْنِی وَ أَخْلِفْ عَلَیَّ فَلَحِقَهُ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فَهَمَزَهُ بِیَدِهِ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مَهْ یَا بُنَیَّ فَلا وَ اللَّهِ مَا لَکَ عَلَی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وَ لا لَکَ أَنْ یَأْجُرَکَ وَلا یُخْلِفَ عَلَیْکَ وَ قَدْ بَلَغَکَ أَنَّهُ یَشْرَبُ الْخَمْرَ فَائْتَمَنْتَهُ فَقَالَ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إِنِّی لَمْ أَرَهُ یَشْرَبُ الْخَمْرَ إِنَّمَا سَمِعْتُ النَّاسَ یَقُولُونَ،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بُنَیَّ إِنَّ اللَّهَ عَزَّ وَ جَلَّ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یُؤْمِنُ بِاللَّهِ وَ یُؤْمِنُ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یُصَدِّقُ اللَّهَ وَ یُصَدِّقُ لِلْمُؤْمِنِینَ فَإِذَا شَهِدَ عِنْدَکَ الْمُؤْمِنُونَ فَصَدِّقْهُمْ وَ لا تَأْتَمِنْ شَارِبَ الْخَمْرِ فَإِنَّ اللَّهَ عَزَّ وَ جَلَّ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تُؤْتُوا السُّفَهاءَ أَمْوالَکُمُ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سَفِیهٍ أَسْفَهُ مِنْ شَارِبِ الْخَمْرِ إِنَّ شَارِبَ الْخَمْرِ لا یُزَوَّجُ إِذَا خَطَبَ وَ لا یُشَفَّعُ إِذَا شَفَعَ وَ لا یُؤْتَمَنُ عَلَی أَمَانَةٍ فَمَنِ ائْتَمَنَهُ عَلَی أَمَانَةٍ فَاسْتَهْلَکَهَا لَمْ یَکُنْ لِلَّذِی ائْتَمَنَهُ عَلَی اللَّهِ أَنْ یَأْجُرَهُ وَ لا یُخْلِفَ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 باب آخر منه فی حفظ المال وکراهة الإضاعة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عن عبد 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یعنب ابن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بن أبی الخطّاب، عن محمد بن عبد الله، عن یونس، 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أَرَأَیْتَ مَنْ لَمْ یُقِرَّ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بِأَنَّکُمْ فِی لَیْلَةِ الْقَدْرِ کَمَا ذُکِرَتْ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یَجْحَدْهُ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قَامَتْ عَلَیْهِ الْحُجَّةُ مِمَّنْ یَثِقُ بِهِ فِی عِلْمِنَا فَلَمْ یَثِقْ بِهِ فَهُوَ کَافِرٌ وَ أَمَّا مَنْ لَمْ یَسْمَعْ ذَلِکَ فَهُوَ فِی عُذْرٍ حَتَّی یَسْمَعَ ثُمَّ 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یُؤْمِنُ بِاللَّهِ وَ یُؤْمِنُ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مقدمة العبادات،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الکفر والإرتداد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جمعها صاحب الوسائل، الحرّ العاملی، فی کتاب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بیت صادقون لا نخلو من کذّاب یکذب علینا فیسقط صدقنا بکذبه علینا عند الناس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لابدّ من التفرقة بین قاعدة احترازیة القیود المثبتة للمفهوم الصغیر وبین الأخذ بالقدر المتیقن وهو الوصف عند إجمال الدلیل أو لبّیة الدلیل، فإنه لا یثبت المفهوم، ومن ثمّ لو ورد دلیل آخر یوسّع من دائرة الحکم فإنه ینافی الدلیل الذی یأخذ القید لتصادمه مع المفهوم، ولا ینافی الدلیل الذی یکون القید قدراً متیقنا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نحن فیه دلالة الروایات علی الصحیح من باب المتیقن لا من باب آخذ الوصف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أنّ جملة من الطوائف دلالتها أعم من حجّیة الخبر أو بقاء التراث محفوظاً بدرجة العلم، مثل طائفة الحفظ والتدوین والترخیص فی روایة الکتب الحقّة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وذلک لتعذّر صلاحیة الطرق المذکورة لتوفیر العلم، بشهادة أنّ کثیراً من الأحکام التی بین أیدینا لم تصل إلاّ بخبر أو خبرین، مما یدلل علی أنّ جهود الرواة وعلی تنوعها لم توفّر الحالة العلمیة للشریعة، بل ولا یمکن ذلک، فیکون مجموع الطوائف کلّه للإلفات إلی حجّیة الخبر بالدلالة الإلتزامیة أو بدلالة الإقتضاء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ذکرهما فی هامش 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147/27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الرجوع فی القضاء والفتوی إلی رواة الحدیث من الشیعة، الحدیث</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الرجوع فی القضاء والفتوی إلی رواة الحدیث من الشیعة، الحدیث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فی القضاء والفتوی إلی رواة الحدیث من الشیعة،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عیسی بن عبید الیقطینی، ضعیف، استثناه أبو جعفر ابنُ بابویه من رجال نوادر الحکمة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أروی ما یختص بروایته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یذهب مذهب الغلاة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عیسی بن عبید الیقطینی، یونسی،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الشیخ، باب المیم من أصحاب الإمام علی بن محمد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الشیعة </w:t>
      </w:r>
      <w:r>
        <w:rPr>
          <w:rFonts w:eastAsia="IRNazanin" w:cs="IRNazanin"/>
          <w:b w:val="false"/>
          <w:bCs w:val="false"/>
          <w:i w:val="false"/>
          <w:iCs w:val="false"/>
          <w:color w:val="333333"/>
          <w:sz w:val="20"/>
          <w:szCs w:val="20"/>
        </w:rPr>
        <w:t>138/27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الرجوع فی القضاء والفتوی إلی رواة الحدیث من الشیعة،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138/27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فی سیرة المتشرعة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تقنین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یتم باللفظ أو بالعمل أو بالتقریر؟ والأول لا یحتمل، والثانی یواجه مشکلة علی السیرة و علی الأحکام الأصولیة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حیث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مجتهداً کی یمارس الإستنباط من الحجج عملاً ومنه یتفشی بین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 التقریر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یبقی السؤال عن الصحابی الذی مارس الفعل أمام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أیّ أساس فعل؟ هل کان بشکل عفوی أو بنحو التجری أو ماذا؟ والسؤال خاص بالموارد التی لیس فیها سیرة عقلائیة، وإلاّ کانت ممارسة الأصحاب من وحی الارتکاز؟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البدایة باللفظ، حتّی فی المسائل الأصولیة، ولکن لا لممارسة المعصوم الإستنباط، فإنه لیس بحاجة له، وإنما للتعلیم کما توجد شواهد علی ذلک من قبیل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سؤال الراوی، أین یعرف هذا من کتاب اللّه،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لمکان الباء، وأمثاله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 أنّا لا نملک دلیلاً لفظیاً فی المسائل سوی عمل الأصحاب الذی نقطع تبلیغهم ذلک من المعصوم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ینفع فی نفی الفهم الأول للآیات، نعم هو لا یتکفل بیان الوجه فی حجّیة السیرة؟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ولکن بمقدار تعیین المفاد الثانی وترجیحه علی الأول، ولکن مَن یرید أن یستدلّ برادعیة الآیات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الفهم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السیرة لا یصلح الجواب الرابع لنفی الرادعیة عنها، وإنما عن خصوص الظنون المشرعة فی القرآن، بخلافه فی الجواب الأول والثالث</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إشکال الآخوند بالدور من الجانبین ذکره فی ذیل الجواب الأول، مع أنه لا یتصور إلاّ مع فرض المخصص هو الإعتبار الشرعی للسیرة مع المعاصرة، ممّا یدلّ علی أنّ الجواب الأول کان یفترض أنّ السیرة المخصصة هی السیرة محمولاً لا موضوعاً، غایته أنّ هذا الجواب لم یعتن بقضیة عدم المعاصرة الذی یعالج إشکال الدور من الجانبین، فجاء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جوابه یعرف أنّ هذا الإشکال لا یرد إلاّ مع فرض أنّ المخصص هو السیرة محمولاً مع التعاصر، وجاء الحلّ بتصویر عدم التعاصر بینهما ولکن العام 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فرض أنه لیس بناسخ وإنما 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یکشف عن أنّ العموم من البدایة لا حین وروده، ومن ثمّ سیکون معاصراً مع السیرة المخصصة؛ فیلزم الدور من الجانبین؟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الدور من الجانبین إنما یکون مع تعاصر الکاشفین لا التعاصر بین المنکشفین، کما هو الحال فیما نحن فیه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عللّتم عدم حاجة مثل هذه السیر إلی الشرعیة، بأنّ المساحة عقلیة لا یمکن للشارع التصرف بها، ومعه کیف أمکن الردع الذی هو تضییق فهو 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الردع کما قد یکون تضییقاً قد یکون توسعة، ولا نقصد من عدم تصرف الشارع عدم الإمکان، وإنما عدم الشانیة، وإلاّ له أن یتصرف بالکیفیة التی ذکرناها سابقاً، وذلک من خلال إعدام الموضوع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یعنی کلامکم أنه لا یمکن الإعتماد علی الظن الخاص مع إمکان الحصول علی دلیل قطعی کالتواتر أو الدلیل العقلی؟ ثمّ إنّ بعض الآیات الناهیة موردها أساسیات العقائد وقد ذکروا أنّ المورد لا یخصص الوارد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الآیة أنه مع توفر الدلیل القطعی البدیهی، الإعتماد علی الظن المخالف والإعراض عن هذا الدلیل الفطری منهی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أنّ المورد لا یخصص الوارد الا أنه لا یخصصه شخصاً لا نوعاً وطبعاً، فالآیات الواردة فی التوحید لا یمکن التعدی منها إلی باقی العقائد فضلاً عن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بالتعلیل فیسنده سیاق الآیات وهو الظن المخالف مع الدلیل القطعی لا یقبل ولیس بحجّة وهذا نقبله حتی فی الظن المعتبر فإنه مع توفر دلیل قطعی علی خلافه لا یعتمد الظن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وجوب التقنین ووجوب الإلتزام به من باب أنه مقدّمة لحفظ النظام أو مصداق علماً أنه ذکر البعض فی الصناعات أنها تجب لأنها مقدّمة ولکنّها مقدّمة تولیدیة ومن ثمّ فهی واجبة بالوجوب النفسی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عدّها مصداقاً أو مقدّمة بعد أن کانت تولیدیة وبالتالی فهی واجبة بالوجوب الشرعی النفسی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مقاربتکم اللمیة بین الکشف والحکومة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استناداً إلی کون إحراز التکلیف واقعاً فی سلسلة المعلولات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المقاربة بین تفسیرات الحکم الظاهری فإنه ما دام الحکم الظاهری فی سلسلة المعلولات فهو لباً یرجع إلی التنجیز والتعذیر والإختلاف سیکون صوریاً لا یترتب علیه أثر ولا یشکّل فارقاً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هذه المقاربة لا تثبت أکثر من کون التنجیز والتعذیر واحتراز الإمتثال من ثمرات إحراز التکلیف لا أنه هی لباً ومن ثمّ فالتخصیص مرتبط باحراز التکلیف ولا معنی لرجوعه إلی احراز الإمتثال لباً وإنما ثمرته احراز الإمتثال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تبقی کلّ مرتبة لها خواصها ولوازمها لا أنها تشترک جمیعاً فی اللوازم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نظیر ما ذکرتموه فی الحکم الظاهری بأن غایة الجعل عند الجمیع هی التحفظ علی الواقع والتنجیز والتعذیر ولکن حقیقته اختلف فیها فکان واحداً من المبانی أنه التنجیز والتعذیر لا جمیعها ولم یقل أحد هناک بالوحدة بین الغایة والمغیی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تفصیل الجواب فی بحث الإنسداد إن شاء الله تعالی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یقال إنّ هذا التوجیه صحیح علی مبناکم من أنّ الحجّیة للمنشأ، وأما علی مبانی القوم من أنّ الحجّیة للحالة النفسانیة فیمکن فرض أنّ الحجّیة لهذا النوع من الوثوق الشخصی؟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الوصول إلی رأی عَلَم من الأعلام لابدّ من ملاحظة ارتکازه فی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یتبلور فی الفروع والمسائل المتعددة والمتشتة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الإکتفاء بالقولبة والتصریح، کما لاحظنا ذلک فی القطع فإنه علی مستوی التصریح جعلوا الحجّیة للحالة النفسانیة مع أنهم ارتکازاً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جعلوها للمنشأ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نحن فیه کذلک فإنهم وإن عبّروا بالوثوق الشخصی إلاّ أنّ فی ممشاهم العملی جعلوا المدار للوثوق النوعی وتعاملوا مع الشخصی کطریق لا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والقرینة علی ذلک ما نراه من تخطئة بعضهم لبعض مما یدلّ علی وجود مشترک علی أساسه یتحاکمون، وکذلک ما صرّح به البعض من أنّ بناء العقلاء علی حجّیة الخبر الموثوق به یدلّ علی الوثاقة النوعیة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انصبّتْ أدلّة الإمضاء الکثیرة علی خبر الثقة دون الموثوق به، ألا یعنی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فی مقام التحدید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عن حجّیة خبر الموثوق به أو یعنی أنّ خبر الثقة لیس حجّة عقلائیة فالأدلّة تأسیسیة لا إمضائیة خاصة بعد الإلتفات إلی أنّ نسبة کبیرة من الأحکام تثبت بالخبر الموثوق به وإن کانت أقلّ من خبر 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لخبر الثقة منشأ محدّد أمکن إمضاؤه، أما الخبر الموثوق به فلا یعنی سوی المطمئن به فلا یحتاج إلی إمضاء وراء إمضاء الإطمئنان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الإطمئنان وإن کنّا لا نجد الأدلّة الوافرة علی إمضائه مع أنه أساس الحجج ولکنّه أساس کلّ شیء بعد أن کان الیقین المرکب نادراً جداً ومحصوراً بالبدیهیات وما یقرب منها، فلا بدیل سوی العلم العادی وإلاّ توقف کلّ شیء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الکافی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البیان والتعریف ولزوم الحجّة،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بحار الأنوار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یجوز أخذ العلم منه ومن لا یجوز، وذمّ التقلید والنهی عن متابعة غیر المعصوم فی کلّ ما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یمکن تصویر الحکم الفقهی فی الفحص عن وجوده تعالی وتوحیده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حیث لم یثبت الشرع والشریعة فی تلک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الفحص عن النبوة فإنه بعد إدراکه توحید اللّه تعالی وإیمانه یدرک أن للّه تعالی إرادات وکراهات وأنها یترتب علیها مدح وذم وأنّ مدح الشارع وذمَّه مثوبتُه وعقوبتُه ولیس الشرع والشریعة أکثر من هذا فهو قد أدرکها ومن ثمّ یدرک العقل أنّ الفحص عن حامل هذه الشریعة کمال یترتب علیه مدح وعلی ذمه عقوبة فیلازم وجود حکم شرعی فقهی بالفحص، لیس شرطاً فی المثوبة والعقوبة أن تکون أخرویة، وهناک بعض المثوبات والعقوبات الدنیویة کما یظهر من الروایات، وقد قیل إن مثل عقوبة الظهار دنیویة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الأصولی وإن کان مثبِتاً کاشفاً إلاّ أنه یکشف عن الحکم الفقهی المتعلّق بالایمان کما هو الحال فی الفروع لا أنه یثبت لنا واقع القضیة الایمانیة، وإنما یکشف لنا قول الإمام وأنّ مفاده الحکم بوجوب الإعتقاد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شرطاً فی الحکم الأصولی الکشف مباشرة عن الحکم الفقهی وإنما یمکن أن یکون کاشفاً عن صغری وموضوع الحکم الفقهی کما هو الحال فیما نحن فیه حیث إنّ ما یثبته الحکم الأصولی هو صغری وجوب الایمان بالغیب کما سنذکر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کقضیة خارجیة لیس هناک خبر حسن غیر معارض بأدنی درجات التعارض إلاّ وقد عمل الفقهاء به مما یوجب الوثوق به ومعه ما یدرینا أنه حجّة منفرداً أو لأنه صغری للخبر الموثوق به، وما فائدة البحث فی کیفیة حجّیته؟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هناک حسن لم یعمل به إما لعدم تحریر الفرض الفقهی المرتبط به فی کلماتهم أو لذکره فی باب لا یرتبط بالمسألة وما شاکل ذلک من العوامل التی لا تجعل من الإعراض عنه معارضاً وموهناً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أنّا فی صدد معرفة الوجه فی استناد الفقهاء الأقدمین له حیث لم تسبقهم شهرة عمل کی یکون العمل به من باب الوثوق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لم یستدلّ بحسن الظاهر الذی یکتفی به فی عدالة إمام الجماعة ومرجع التقلید؟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هناک کلاماً فی کیفیة إثبات عدالة مرجع التقلید، وفی إمام الجماعة یکتفی بالظن بالعدالة، بخلاف المسألة التی ذکرناها فإنها متفق علیه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391/27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یعتبر فی الشاهد من العدالة،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397/27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یعتبر فی الشاهد من العدالة،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398/27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یعتبر فی الشاهد من العدالة،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خبر الواحد یشمل حتی المستفیض فاکتفاء العقلاء باثنین لا یخرجه عن خبر الواحد، ومن ثمّ یقع السؤال عن الفرق بین خبر الواحد والبینة فی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تصوری أنّ الشهادة فیها إنشاء واعتبار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خبر حسی من دون وساطة وبالتالی فخبر الواحد یشمل الشهادة وزیادة واعتبار العقلاء البیّنة فی موارد التحاق اعتبار لخبر خاص وهو خبر واحد حسی من دون واسطة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رأی یفسّر الشهادة أنها اعتبار وانشاء یتحقق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شمول دلیل الإمضاء الواحد لجعلین عقلائیین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وقبلنا أنّ هناک تقنینین، أحدهما لخبر الواحد فی الشبهة الحکمیة والآخر لخبر الواحد فی الشبهة الموضوعیة فی الجملة ولکن ما هی القرینة علی أنّ الإمضاء لکلا الجعلین؟ إذ صرف العموم لا یکفی بعد أن کان فی الدلیل الشرعی نظر للسیرة فانه لا عموم حینئذ کی یمکن التمسک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لما کان الردع الجزئی متعقلاً، فهلا یمکن الأخذ بالعموم الشرعی واثبات حجّیة الخبر فی الموضوعات مطلقاً حیث یعتبر رادعاً عن ذلک التفصیل والتضییق فی السیرة حتی یحصل التحاق والنزاع حینئذ قام الدلیل الشرعی علی ضرورة البیّنة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الجعل والتقنین العقلائی فیهما واحداً إلاّ أنه مقید فی الشبهة الموضوعیة وهما مصداقان تکوینیان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یکونا جعلین إلاّ أنهما یندرجان تحت جعل فوقانی والإمضاء إنما هو له، بل حتی لو قلنا إنّ الإمضاء للصغری وهی الشبهة الحکمیة فی بعض والموضوعیة فی آخر، فقد تقدم أنّ إمضاء الصغری إمضاء للکبری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والأدلّة الشرعیة الإمضایة للقوانین العقلائیة تارة تکون موازیة للقانون العقلائی بأن یکون موضوعها تکوینیاً والمحمول شرعیاً إلاّ أنها ناظرة لامضاء المحمول العقلائی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وأخری یؤخذ الموضوع العقلائی موضوعاً فیها فتکون ممضیة له ولمحموله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اللّهُ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الأول خبر الواحد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الحالین عموم الدلیل وحده لا یصلح للتوسعة وإلغاء القیود العقلائیة فلابدّ من موازنة اضافیة کیّ یدل علی ردع الشارع عن قید العقلاء، وذلک لأنّ فی العموم جنبة الإمضاء فمزجها مع التأسیس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مساحة الردع والغاء القید العقلائی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قرینة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التعمیم المذکور من الشبهات الحکمیة إلی الموضوعیة دون 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بالتأمل یتضح العکس فأصالة الطهارة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فرض کونها 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تعمیمها إلی الشبهة الحکمیة کالکتابی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لم یصل الفقیه إلی رأی قاطع بشأنه وأنه نجس أو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بنکتة أنّ مآل الشبهات الحکمیة إلی الشبهات الموضوعیة، فیتمسک بأصالة الطهارة فی هذا الکتابی وذاک الکتابی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هذه النکتة فی التعمیم غیر نکتة المستمسک؟ فإنّ نکتة المستمسک خاص بالخبر وأنّ المخبر به فعل خارجی محتواه حکم کلّی ولکنّها قریبة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الأعلام أن لا عموم ولا إطلاق مع الشروط والقیود العقلائیة، فمع الشک فی أخذ قید أو شرط عند العقلاء لا یمکن التمسک بإطلاق وعموم الدلیل الشرعی لنفیه، نعم یمکن التمسک بالعموم والإطلاق لنفی القید الشرعی المشکوک لا غیر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لمْ تجعلوا الإعراض قرینة ضعیفة علی الخلل فی الراوی بناء علی حجّیة خبر 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الإعراض قد یکون لعامل غیر ضعف السند کالشذوذ وأمثاله، بینما فی الخبر الضعیف لما لم یکن حجّة إلاّ بوثاقة کلّ راوٍ راوٍ کانت الشهرة قرینة ضعیفة علی الوثاقة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لما کان الخبر عن حس فلا یحتاج إلاّ إلی حافظة وذاکرة فالخبرة المطلوبة ما هو حدّها وکیف ننظر لها، نعم النقل بالمعنی یحتاج إلی خبرة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نشترط شیئاً فی الجانب العلمی أکثر من توفر الآلیات التی لابد منها فی کلّ اختصاص، مثلاَ حفظ القرآن یحتاج إلی خبرة فی مجاله ولا یکفی مجرد الحافظة والذاکرة بل یحتاج إلی شیء من الإلمام بعلم التجوید والعربیة أیضاً حتی لا یحصل منه تخلیط، کذلک فیما نحن فیه لا یکفی صرف کونه عادلاً فی أفعاله أو لسانه مع حفظ جید وإنما لابد من شیء من الفهم فی الحدیث والعربیة، خاصة مع السماح بالنقل بالمعنی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البیان فی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العقاب بلا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الحجّة، والحجّة یعنی المنجّز، فالرافع لموضوع البراءة تنجیز العلم لا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لتعمیمه إلی الظن الخاص فنسأل أنه قبل التعمیم کان العلم وبعد التعمیم أصبح المنجّز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هو الإصرار علی تصویر أنّ الرافع لموضوع البراءة هو العلم لا منجّزیته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إصرار سوی أنه ورد فی النص هکذا 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بیان منجّز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قبلنا قاعدة وجوب الدفع بیاناً فهی بیان علی متعلّقه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لم یتضح ورود قاعدة القبح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النتیجة الأعلام قد انتهوا إلی عدم التعارض وتقدیم البراءة ولو بالتسالم فلا معنی لترددهم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الإشکال نفسه یأتی علی الآخوند الذی جزم بالملازمة فانطباق قاعدة وجوب 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الدفع تنجز الواقع المحتمل، وقاعدة القبح تقول إنه غیر منجّز ما لم یحصل علم بالواقع، فیبقی التدافع قائماً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ذکروه من وجوه للجمع هناک مثل إجراء قاعدة الدفع قبل الفحص وقاعدة البراءة بعدها لا ینسجم مع ما ذکروه هنا، بخلاف ما ذکره الآخوند خاصة بالبیان الذی شیّدنا به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ولکنّا بالتصویر الذی ذکرناه لتشیید کلام الآخوند یتضح وجه عدم تردده فی المقام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بالبیان الذی ذکرتموه ینتج حجّیة الظن المطلق إذ به ینحل العلم الإجمالی ولا یبقی علم بوجود شریعة وإنما شک بدوی فلا حاجة إلی ضمّ باقی المقدّمات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ینتج لنا الإحتیاط فی الظن وإن شئت قل حکم العقل بضرورة الإمتثال الظنی ولیس هذا هو الظن علی الحکومة لأنه یعنی حجّیة الظن بما هو طریق وکاشف عن الواقع بحکم العقل وهذا یختلف بفارق دقیق عن الإحتیاط فی الظن جوهراً وأثراً کما سنبیّن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وسیأتی من شیخنا الأستاذ فی المقدّمة الرابعة عدم الفرق بین الظن علی الحکومة والإحتیاط فی الطرق، وسیشیر هناک إلی الفارق الدقیق ویجیب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إذا کان العام إلزامیاً فالإحتیاط یقتضی التمسک به لا تخصیصه بالخبر الدالّ علی الترخیص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لو کان العلم الإجمالی هو العلم بوجود أحکام فی الواقع فی مورد الأخبار، أو بتعبیر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بالحکم فی مورد الأخبار بلحاظ الواقع، ولکن المدّعی لیس کذلک، وإنما العلم بالحکم فی الأخبار بلحاظ قناة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والإحتیاط فی مثله لا یکون إلاّ بما ذکره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بالضبط نظیر ما یقوله الأخباریون من أنّ الحکم لا قیمة له من نفسه ما لم یکن من قناة الخبر وصادراً من فم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علم بالحکم فی غیر هذه الصورة، إذ الخبر وصدوره من فم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فالعلم الإجمالی الصغیر هو العلم بوجود أحکام من قناة الخبر وهذه الأخبار التی یبلغ عددها عشرة آلاف مثلاً تصبح بالتألیف ألفین فقناة الخبر هی المحصل من هذا التألیف، بخلاف ما لو کان العلم متعلّقاً بوجود الأحکام فی الواقع فی مورد الاخبار ودائرتها فإنّ کیفیة الإحتیاط ستأخذ لوناً آخر حینئذ</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لا یمکن القول بانحلال العلم الإجمالی الصغیر بالعلم الإجمالی الأصغر بعد التألیف کما هو الحال عند القائل بالحجّیة الخاصة والعامة فإنه یری الإنحلال بما یصل إلیه من أحکام وهی هی من حیث القدر کالأحکام بعد التألیف، وفی مثل هذه الحالة مقتضی الإحتیاط فیها هو العمل بالمثبتات وهو لیس بعسر وهو عین نتیجة الحجّیة الخاصة للظن أو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قبول الإنحلال المذکور کماً لا کیفاً، لأنّ الإحتیاط فی الدائرة الصغری فی المعاملات عسر ومتعذر ولیس حاله حال ما لو ثبت حجّیة الظن الخاص والعام، فإنّ النتائج ستکون مختلفة وإن کانت متقاربة فی القدر إلاّ أنّ العسر والحرج مفقود فیها دون ما إذا کان من خلال الإحتیاط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أنّ هناک علماً إجمالیاً فی مظنونات کلّ علم فحق الجواب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المعلومات متعددة ودائرتها أوسع من دائرة الإضطرار ومن ثمّ حتی إذا خرجت المشکوکات والموهومات یبقی علم إجمالی حقیقی بوجود أحکام فی المظنونات فهو منجز، بل لا داعی حینئذ لإثارة تعدّد العلم إذ العلم الإجمالی بالأحکام موجود فی ما عدا رقعة الإضطرار لنکتة تعدّد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وأخری تعدّد العلم تبعاً لتعدّد المعلوم والإضطرار وإن کان فی کلّ علم ولکن یبقی المعلوم فی کلّ علم أوسع دائرة من الإضطرار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ذکرتموه قبل هذا الجواب من تعدّد العلم یصلح مقدّمة لجوابکم لا جواباً مستقلاً کما یبدو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فرض وجود علم إجمالی فی المظنونات ومنجّزیته ینتج الإحتیاط فی المظنونات وهو غیر عسر، لا حجّیة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ولکن بعدما یثبت التنجیز شرعاً لا أثر للتنجیز العقلی کما سنبیّن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نسمع من قبلُ حرمة الخروج عن الدین سوی بمعنی الردة، وأما الإهمال بسبب الإستناد إلی أصل شرعی أو عقلی مفرغ، وإن أوجب الخروج عن الدین إلاّ أنه لیس محرماً وراء حرمة ترک الواجبات وفعل المحرمات حیث نعلم بارتکابها مع إجراء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جریان البراءة فی أطراف العلم الإجمالی لیس أکثر من المخالفة العملیة القطعیة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هنا یراد القول إنّ جریان البراءة فی أطراف العلم الإجمالی یوجب البناء علی عدم وجوبها وحرمتها ومن الواضح أنّ قسماً من هذه التکالیف من الضروریات والبناء علی عدم الإلزام فیها یساوق إنکارها وهو الخروج عن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بهذا البیان یتضح أنه مبنی علی أنّ صرف إنکار الضروری موجب للردة والخروج عن الدین لا بشرط أن یرجع إلی إنکار الرسالة وإلاّ لا یلزم من جریان البراءة فی الأطراف سوی المخالفة العملیة القطعیة وهو غیر الخروج من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ومبنانا مبنی المشهور من أنّ صرف إنکار الضروری یوجب الخروج</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هذا الإجماع بل الضرورة لیس حجّة مستقلة لأنّ مدرکه ما تقوم من حرمة الخروج عن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لنذکر فی ذیل دلیل الإنسداد سلبیاته وایجابیاته، وأحد سلبیاته أنّ الشهرات والإجماعات والضرورات قد تعامل معها الأعلام علی أساس أنها تعبدیة مع أنها مدرکیة، ولیس ذلک تقلیلاً من شأنها وإنما العکس حیث یحفزنا علی العثور علی الدلیل کی لا یندرس عن المداولة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نتخلص عن لبّیته وبالتالی الإقتصار علی القدر المتیقن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نتخلص من سلبیة المبنی الذی یبنی علی عدم حجّیة الشهرة والإجماع وبالتالی یرجع إلی الأصل 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ونتخلص عن إشکالیة التقلید الخفی والمبطن الذی حکم المدرسة الفقهیة لقرون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علمنا أنّ مذاق الشارع هذا بعد أن کان الهدف من التشریع تکامل الإنسان وتحقیق المصالح المخبوة فی المتعلّقات من خلال الإمتثال، فالتعبد مثلاً والنظم الإجتماعی یتحققان بأیّ صیغة کان الإمتثال، إنْ بالإمتثال الإحتمالی وإنْ بالإمتثال بالعنوان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نظر الکثیر لحسن الإحتیاط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أسلوب غیر مألوف لیس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المیرزا ذکر هذه اللفتة فی صیاغة الإجماع علی عدم الإحتیاط لا فی صیاغته الإجماع علی عدم إهمال الشریعة فهل یفرق الأمر أو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سنبیّن کلا الشقین لاحقاً إن شاء الله تعالی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هل یمکن ضبط الفرق بین الجعل والمجعول أو الدلیل والمدلول بالفرق بین الطبیعة والفرد، بین المعنی والمصداق، بین المدلول المطابقی ومنطبقه، بین الحکم الإنشائی والفعلی؟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زرارة فرد لکلّی حجّیة الخبر نظیر أصل الطهارة فی ثوب، فلم کان لوازم الأول حجّة دون الثانی، مع أنّ لوازم الأول لوازم فرد فلا یصلح مدلولاً إلتزامیاً لکلّ دلیل حجّیة خبر الواحد کی یکون حجّة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ما ذکرتموه سابقاً فی الإحتیاط وأنه الإحتیاط الأصولی أو الفقهی، فإن الأصولی والفقهی وصفان للإحتیاط فهو مرتبط بالمجتهد والمقلّد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هنا فالأصولی والفقهی کلاهما مرتبط بالمجتهد ویقصد منه حجّیة الظن المطلق لإثبات الواقع مباشرة أو لإثبات حجّیة الظن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تطبیق الإصطلاح علی ما نحن فیه إن أخذنا الظن المطلق فهو ثابت بنفسه علی الشقین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 مفاده الواقع الفقهی أو الظن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أخذنا الظن الخاص فهو وإن کان ثابتاً بطریقه إلاّ أنه لیس موضوع البحث، إضافة إلی أنه لا یتأتی فیه الإحتمال الآخر وهو ثابت بنفسه، لأنّ الثابت بنفسه فی دلیل الإنسداد علی فرضه هو الظن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الإصطلاح أجنبی عما نحن فیه سوی أنه ینفع فی نتیجته وهو فکرة الحجج المترامیة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ما ذکره الإصفهانی أنّ الإصفهانی بعد أن أبطل کلّ الخیارات المذکورة فی المقدّمة الرابعة للخروج عن عهدة العلم الإجمالی لم یبق إلاّ الظن حیث نعلم أنه طریق اعتبره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الظن الحجّة إما أن یکون الظن بالحکم الشرعی الفقهی، فالحکم الشرعی واصل بطریق واصل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یکون الظن الحجّة هو الظن بالحکم الأصولی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ببیان أننا توصلنا إلی العلم بوجود طریق معتبر اعتبره الشارع ولا طریق علمی لمعرفة هذا الطریق فنتوصل إلیه من خلال الظن فیکون الحکم الشرعی ثابتاً بطریق واصل بطریقه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صیاغة الإصفهانی تنهینا إلی حجّیة الظن شرعاً فی الجملة قطعاً، 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إنّ مطلق الظن حجّة أو بعضه، وعلی الثانی یرجع فی تعیینه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النتیجة هی الظن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أنه علی هذا قد وظف دلیل الإنسداد الذی أقیم علی الأحکام الواقعیة لتجدید إقامته علی الحکم الأصولی، لأنه یؤدی إلی العلم بوجود طریق معتبرة ولا یمکن معرفتها وتشخیصها إلاّ من خلال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الإنسداد الفقهی أثبت لنا المقدّمة الأولی فی الإنسداد الأصولی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الإنسداد الذی یثبت لنا حجّیة الظن بالحکم الفقهی أیضاً انسداد أصولی أی رتب لإثبات مسألة اصولیة وهی حجّیة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انسداد أصولی بلحاظ النتیجة وبه یفترق عن الإنسداد الذی یقام لمثل قضاء الفوائت، ومسائل القضاء فإنه انسداد فقهی، ولکن إنما عبّرنا عن هذا الإنسداد الأصولی أنه فقهی، بلحاظ مقدّمته الأولی والثانیة حیث أخذ فیها الأحکام الفقهیة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الإجابة عن السؤال فی المنجّز الشرعی بالبیان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بعد فرض عسر الإحتیاط وعدم إمکان الموافقة القطعیة لا یمکن أن تکون دائرة التنجیز الشرعی بسعة الدائرة السابقة التی کانت منجّزة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 کانت صیاغة التنجیز الشرعی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تضیقها لیست هی منجّزاً سابقاً علی منجّزیة الظن کی یرد السؤال وإنما هی عین منجّزیة الظن شرعاً، ومن هنا ذکر المیرزا صیاغته فی المقدّمة الرابعة ونحن إنما استقدمناها لأجل بیان صیغة التنجیز، وإلاّ فهو قد ذکرها فی الخیارات مما یؤکد أنّ التنجیز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یمکن الإجابة عن السؤال فی المنجّز العقلی بالبیان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امتثال کلّ حکم یتمّ بالإتیان بمتعلّقه، فامتثال الحکم الفقهی المتعلّق بالصلاة یتمّ بالإتیان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الحکم الأصولی فامتثاله یتمّ بالأخذ بمضمونه والبناء علیه والإلتزم به، فحجّیة خبر الواحد کحکم أصولی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قلنا إنه وضعی کما هو مختارکم أو تکلیفی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متابعته أو امتثاله وتطبیقه یکون بالبناء علیه والأخذ به سواء جاء بمضمونه خارجاً أم لا، فإنه مرتبط بامتثال المضمون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سیکون أی خیار من الخیارات المذکورة فی المقدّمة الرابعة أو الخامسة مفرغاً عن الحکم المعلوم بالإجمال بالبناء علیها والأخذ بها ومنجّزاً للحکم الفقهی فلا مشکلة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لم نتعقل لحدّ الآن ما یذکر فی کلمات الأعلام من أنّ امتثال الحکم الأصولی بالبناء والأخذ والإلتزام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یلحظ ذلک فی تعبیرهم فی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الأمارة لیس إلاّ جعلها علماً، فکما أنّ العلم التفصیلی لا امتثال له وراء امتثال الواقع المعلوم کذا فی العلم التعبدی، ومن ثمّ لم یکن له عقوبة مستقلة ولا مثوبة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وسنشیر إلی ذلک إن شاء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التساؤل وجیه عندی یبنی علی أنّ العلم الإجمالی المذکور فی المقدّمة الأولی منجّز عقلاً، ومن ثمّ یوجّه السؤال لمن ذهب إلی التبعیض فی الإحتیاط وأنه بم یفرق بینه وبین الظن علی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یری سقوط منجّزیة العلم الإجمالی عقلاً وأنّ المنجّز منحصر بالشرعی، أو مع وجود المنجّز الشرعی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قبله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ینتج الظن علی الکشف وإن کان المنجّز العقلی باقیاً لا معنی للتبعیض بالإحتیاط ولا الظن علی الحکومة فلا تصل النوبة للتفکیر بالفرق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فالبحث کلّه تقدیری، حیث أنکم تقبلون المنجّزیة وبالتالی حجّیة الظن علی الکشف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علی مبنانا ومبنی مثل المیرزا یکون البحث تقدیریاً، ولکن مثل الشیخ لم یفرض أنّ المقدّمة الثانیة ترسم النتیجة وبالشکل الذی ذکرناه وذکره المیرزا والإصفهانی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عین قبوله للمنجّز الشرعی انتهی إلی التبعیض فی الإحتیاط، ومع هذا لابدّ أن یکون البحث العلمی مستوعباً لکلّ الآراء، بالإضافة إلی أهمیة هذه الإثارة فی بحث الإجتهاد والتقلید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هذا احتیاط فقهی فی الشبهة الحکمیة، وهو ینافی لما تقدّم منکم أنّ الإحتیاط الفقهی خاص بالشبهة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نستهدف أمرین فی بیان الفوارق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 بین الإحتیاط الفقهی والأصولی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تبین بهذا الفراق الذی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الفقهی بالشبهة الموضوعیة والأصولی بالحکمیة وهو مورد السؤال،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الإحتیاط الفقهی هذا لیس فی الشبهة الحکمیة کما هو الحال فی الإحتیاط الأصولی وإنما هو احتیاط فقهی عند الشبهة الحکمیة إلاّ أنه لم یعالج هذه الشبهة وإنما عالج الموضوع مباشرة فهو احتیاط فقهی عند الشبهة الحکمیة فی الشبهة الموضوعیة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کالفرق بین الحکم الأصولی والحکم الفقهی، فإنّ الإحتیاط الأصولی هو حکم أصولی فهو کالعلم التعبدی، والإحتیاط الفقهی کالحکم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لا تکون لوازم الإحتیاط الأصولی حجّة لأنّ مثبتات الأصل لیست حجّة کما أنه علی هذا لم یتضح وجه العینیة فی الکمیة حینئذ والکیفیة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وتصویرکم إیاه کالعلم التفصیلی بالحکم الأصولی إخراج له عن کونه حکماً أصولیاً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فآثار العلم التفصیلی تبقی مختلفة عن آثار العلم الإجمالی فی دائرة التنجیز وعلی مستوی الإمتثال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الإحتیاط الفقهی هل هو عین العمل بالحکم الفقهی أو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نقصد من الملاحظة هذه سوی التنویه إلی أنّ الإحتیاط الفقهی عمل فقهی، والأصولی عمل أصولی، ولا نقصد من العینیة أکثر من ذلک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یمکن تصویر الإحتیاط الأصولی نتیجة مباشرة للعلم الإجمالی بالحکم الفقهی، ومعه لا یکون العمل بالإحتیاط عین العمل بالطریق إذ لابدّ من الأخذ بکلّ العموم حینئذ، إذا کان مثبتاً من دون تخصیصه بالخاص المرخص، بخلاف ما إذا کان العلم الإجمالی متعلّقاً بالطرق فإنّ الإحتیاط فیه عین العلم بالطرق عندما تکون معلومة تفصیلاً، لأنّ متعلّقه الحجّة فعندما ینجّز ینجّز کلّ الحجج، ولکن بهذا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فرقه عن تقریب السیّد الروحانی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المقدّمة الأولی، حیث یظهر منه الإحتیاط الأصولی وإن لم یصرح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والآخوند صوّرا الإحتیاط الأصولی نتیجة مباشرة للعلم الإجمالی بالحکم الشرعی، ولکنه غیر صحیح کما سنبین فی التنبیه الأول، وعلی فرض صحته فهو أیضاً عین العمل بالطرق کما سیتضح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تمایزه عن بیان السیّد الروحانی فإن کان یقصد الإحتیاط الأصولی فلا تمایز بینهما سوی أنه غیر مبلور وإنما هو ارتکازی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ارتکاز الآخوند کما یظهر من عبارة أخری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لا یثبت لمجرد انحلال العلم الإجمالی وإنما لابدّ من إثبات مقدّمات أخری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یتضح الفرق بین النوع الإستغراقی والمجموعی، إلا أن نفسّر المجموعی بما به ضرر أو حرج للعنوان کالطائفة والمذهب والذی هو بالتالی استغراقی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وان شئت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الحرج النوعی المنفی بهذه الأدلّة هو فی المورد الذی یکون عام البلوی، أو التکلیف الإبتلائی الغالب أو ما یلزم منه الحرج فی الهیئة الإجتماعیة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ما هی القرینة علی أنها تشریعات ولیست بیانات للملاکات التی بنی علی أساسها التشریع، خاصة وأنکم تمیلون إلی ما نقلتموه عن العلاّمة من أنّ القرآن الکریم عادة ما یبین الرؤیة الکونیة ثمّ یتبعه ببیان الملاکات ثمّ ببیان التشریعات الدستوریة، فعلی الأقل لابد من ملاحظة سیاق هذه الآیات لمعرفة أنها فی صدد بیان أی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الآیات لا یخلو أمرها إما أن تکون تشریعیة وإما أنها مرتبطة بجوّ التشریع وبیان ملاکاته، وبالتالی وعلی أی حال هی صادرة من اللّه تعالی من حیثیة کونه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الاولی فی البیانات الصادرة من هذه الحیثیة أنها تشریعات ما لم تقم قرینة علی الخلاف وأنها فی صدد بیان الملاک أو شیء آخر، ولم یختلف اثنان من الأعلام علی هذا الأصل، وإنما تردد البعض فی ما نحن فیه لعلة أخری وهی أنّ هذه العمومات فوقانیة جداً، علی فرض أنها تشریع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لنا الاستفادة منها حیث یعسر أو یتعذر تتنزیلها، مما شکل قرینة علی أنها لیست تشریعات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هذا الأصل الاولی هی أنّ البیانات المتکفلة لعرض الملاک أقل القلیل وأن الغالب هو التشریع ومن ثمّ کان الأصل هو ما لم تقم قرینة علی العکس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الإنسداد بسبب إجمال الأدلّة لدیه لا بسبب عدم دلالتها، وفی مثله یخطأ القائل بالإنفتاح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الإجمال الذی یستند علیه المجتهد علی شکلین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یناقش ویخطئ کلّ التقریبات لا یصل، ومن ثمّ مثله یری خطأ القائل بالإنفتاح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یصل إلی نتیجة فی الدلیل بأن لم یتمکن من حله صناعیاً، ومثل هذا لیس مجتهداً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الأساس لابدّ من التمییز بین الفتوی بالإحتیاط الذی هو من قبیل الأول، وبین الإحتیاط فی الفتوی الذی یرجع إلی الثانی، وفی مثل الأول لا یجوز الرجوع إلی غیره دون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یلحظ من کثرة الإحتیاطات من النوع الثانی وان کان یعبّر عن عدم الإجتهاد، إلاّ أنه غیر مغلق بعد أن تعرف ما ذکره الآخوند من أنه لا فقیه مطلق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جذر هذا البحث هل یرجع إلی بحث سابق وهو أننا مسؤولون عن الحکم بما هو هو أو بما هو من طریق وقناة المعصوم، ثمّ فی ذلک البحث هل یعنی أنّ قول المعصوم له موضوعیة فی الحکم بنحو الطریقیة أو أنه طریق بحت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الأخباریین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کانت کلماتهم غیر منظمة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التعبدی قید فعلیة، ویظهر من کلمات بعضهم أنّ العلم التعبدی أعم من قول المعصوم حیث یصل إلی ما فی اللوح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ومختارنا أنّ قول المعصوم القطعی سنداً ودلالة قید فعلیة، شریطة أن لا یکون من خلال العقل البدیهی فالملازمة وأنّ خبر الواحد وسائر الطرق بما هو علم تعبدی بقول المعصوم لا بما هو علم تعبدی بالواقع شرط صحة وقید واجب لأنه یرجع إلی المتابعة والتولی لهم، ونحن نری أنّ الولایة شرط 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العبادات، وأما فی المعاملات فهو واجب شرعی إلا أنه لیس شرط 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البیان یکون الأخذ بالطرق عزیمة ولیس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یصلح أن نصوغه دلیلاً شرعیاً علی عدم مشروعیة الإحتیاط، یضاف إلی صیاغة المیرزا المستوحاة من الإجماع بأنه نعلم من مذاق الشارع عدم قبوله الإحتیاط فی مقام الإمتثال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بالبیان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الاجمالی لا ینجّز الأحکام بالإحتیاط الفقهی وإنما من خلال بیاناتهم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إما أن نتنازل عن منجّزیة الظن ونستبدلها بأنها مشخص تفصیلی تبعدی للتکالیف المنجّزة مسبقاً، وعلی فرض الخطأ فهو معذر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عندما یقال إنّ الظن منجّز، یعنی أنه مفصّل للإجمال ومشخّص للمنجّز، والإنحلال الحکمی یحصل من زاویة تعذیره وتفصیله التعبدی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أن نقبل أنّ الظن منجز حقیقة، ولکن تنجیزه یختلف عن تنجیز العلم الإجمالی، فإنّ العلم الإجمالی بالتکالیف أو العلم بوجود رسول وشریعة مأخوذ فی موضوع 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فعلیة ووجود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والظن منجّز مفرغ، أو نقول إنّ للتنجیز مرحلتان إحداهما تقع فی طریق التفریغ عن الحکم والآخر مرتبط بوجود الحکم ثبوتاً أو شیء من هذا القبیل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الإلتفات إلی أنه مع وجود الإراءة هناک تنجیز، وفی الظن إراءة فهو منجّز، ومن ثمّ یشتد التنجیز فی مورد إصابته خلافاً للأعلام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المتنجّز لا یتنجّز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صورة خطأه یکون مفرغاً ومعذراً عن تنجیز العلم الإجمالی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مفرغ علی مستوی الشبهة الحکمیة لا الموضوعیة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اختلف مع مثل قاعدة الفراغ، فإنها تجری فی العمل الخارجی الجزئی الذی تم الإتیان به امتثالاً، فتحرّز امتثاله تعبداً، بینما الظن یجری فی الحکم المنجّز وقبل امتثاله فیعذر عن امتثاله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أنّ الإنتقال من منجّزیة العلم الإجمالی للحکم الفقهی لحجّیة الحکم الأصولی أعمّ من أن یکون حجّیة الظن بالواقع أو حجّیة الظن بالطریق، هل الحکم الأصولی المذکور هو الظن بالحکم الفقهی، ومعه فالبیان المذکور لا یصلح إلاّ لتصویر أنّ الحجّیة شرعیة، أما أن الحجّة هی الظن بالطریق دون الظن بالحکم فهذا ما لم یتم إثباته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الحکم الأصولی هو الظن بالطریق، فهذا لازم لتصریحهم أنّ الظن بالحجّة أعم من الظن بالواقع أو بالطریق، ولیس لازماً لخصوص تعین العمل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قل هو لازم ما ذکروه فی التنبیه الأول لا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مجموع ما تقدّم یبدو أنّ الخلاف فی النتیجة وأنه الظن الشرعی أو الظن علی الحکومة أو التبعیض فی الإحتیاط، وکلّ من الأول والثانی حکم أصولی، والثالث فقهی بتصور الأعلام إلا أنکم صورتم أنه أصولی وأنه عین الظن بالواقع، ثمّ صوّرتم أنه کلّه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خلاف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النتیجة هل هی الظن بالطریق أو الظن بالواقع أو کلاهما وناقشتم من خصه بالثانی إلاّ أنّ القضیة لم تحسم لصالح الأول فقط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الأصولی المذکور هو حجّیة الظن بالحکم الفقهی، وإثبات حجّیة الظن بالظن یأتی الحدیث عنها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یعنی أنّ کلّ الأطوار العقلیة للحکم الشرعی هی شرعیة والعقل یحکم بالملازمة لیس 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هی لیست مصادیق للعقل المستقل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العقل غیر المستقل علی شکلین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یحکم العقل بالملازمة واللازم شرعی، أی أنّ العقل کاشف عن شرعیة اللازم بموجب لزوم الملزوم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والشکل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یحکم العقل باللازم، ومن ثمّ لا یکون اللازم شرعیاً ولکنه منبثق عن ملزوم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الطاعة والتنجیز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للحکم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والإمتثال وإحرازه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بعض المبانی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الشارع عندما یبطل کلّ الخیارات الأخری یکشف العقل عن اعتبار الشارع للظن، لا أنه هو الذی یحکم بحجّیته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الذی یحکم، لأنه قد حکم العقل بمنجّزیة العلم الإجمالی، والشارع لم یفصل شیئاً سوی أنه قلّص أطراف العلم بحذف الموهومات والمشکوکات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فیبقی الباقی وهو المظنونات ضمن دائرة التنجیز ولا جدید إضافه 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بالبیان المذکور لا یثبت إلاّ الإحتیاط الفقهی فی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دائرة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إلاّ الإمتثال الإحتمالی فی الدائرة المذکورة فی حین أنا نری أنّ هناک اعتباراً للارائة الموجودة فی الظن ومن ثمّ کان منجّزاً ومعذراً، ولم یقتصر فی التنجیز علی إرائة العلم الإجمالی، کما لم یقتصر فی التعذیر علی حذف الشارع ما عدا الظن، بل الظن منجّز ومعذر، ومثل هذا لا یحکم به العقل وإنما یکشف عن شرعیته العقل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الوفاء بالفقه جدیدة، فهل المقصود منها أن ما وراء المتیقن إذا کان لا یوجب العسر والحرج فالعلم الإجمالی منجّز فیه ومن ثمّ لابد من ظن آخر حجّة وهکذا حتی یصل الأمر إلی حالة العسر والحرج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العلم الإجمالی لما کان منجّزاً والمقدّمة الرابعة لم تحذف إلاّ المشکوک والموهوم فیبقی الظن بکلّ أشکاله منجّزاً وحجّة فلِمَ کان الإقتصار علی المتیقن أولاً من ناحیة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نحتاج إلی دلیل آخر للتوسعة؟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الإنسداد لبّیة لا إطلاق فیه، ومن ثمّ اتقصر علی القدر المتیقن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الإقتصار علی القدر المتیقن فی ظرف الشک أما عدم الشک فلابدّ للإقتصار، وفیما نحن فیه نعلم ببرکة دلیل الإنسداد بأنّ التنجیز انحسر عن الشک والوهم وبقی فی دائرة الظن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التنجیز الذی کان للعلم الإجمالی بالأحکام والشریعة هو التنجیز الفقهی المستتبع للإحتیاط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ودلیل الإنسداد لم یقلص من دائرة هذا التنجیز والإحتیاط فقط کی یصح ما ذکر فی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استبدل الإحتیاط الفقهی بالإحتیاط الأصولی، ولا علم بالإطلاق فیقتصر علی المتیقن لأنه لبی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غیر بیّن ولا مبیّن، بعد أن أمکن للشارع أن یستعیض عن نصب الطرق بالعلم والعلم العادی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الإطمینان المتاخم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تکون حرکة الأئمة لبثّ علومهم وحثّهم علی حفظ وتدوین وتداول الحدیث لأجل هذا الغرض وهو توفیر قرائن متعددة بتراکمها یحصل الإطمئنان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یقال إنّ الإطمئنان یحتاج إلی جعل لأنه فی الأخیر قسم من الظن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مختارکم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مع ذلک یمکن القول إنّ الشارع اقتصر علی هذا الطریق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ثمّ لا الإنسداد وإنما انفتاح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یتعدّ إلی الظنون النازلة، وکلّ ما یفعله العقلاء لا یکون ملزماً للشارع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القول بالعلم بنصب الشارع للطریق الا أنه یمکن أن یکون الطریق هو دلیل الإنسداد المثبت لحجّیة الظن شرعاً ومعه لا دلیل علی وجود علم أسبق بنصب الشارع للطرق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وصرف تقنین العقلاء للحکم الأصولی وجری الشارع علی لغتهم لا یعنی متابعته لهم فی التفاصیل وإنما فی أصل فکرة تشریع الحکم الظاهری، فلا علم إجمالی بنصب الطرق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ولکن یبقی فرق، إذ الإنسداد الفقهی ینتهی إلی التعیین بحجّیة القدر المتیقن من الظن بالحکم الفقهی، بینما بالإنسداد الأصولی فینهینا إلی النتیجة بحجّیة القدر المتیقن من الظن علی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إلی أن تشخیص القدر المتیقن بالخبر الثقة والموثوق لم یبلور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عدم تصویر القدر المتیقن، إذ المذکور یظهر منه أنه من قبیل الإجماع المرکب، مع أنّ المفروض تصویر أنه متیقن من نفس الدلیل لقرائن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المفروض أنّ الإجماعات لا روایات وراءها، فکیف صورت کلمات الفقهاء شروحاً لها وبیاناً لأکبر قدر من حیثیاتها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الفائدة لمنهج المرحلة الخامسة وهو استقصاء آراء الفقهاء والإعتناء بکلماتهم والتدقیق فیها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36963</Words>
  <Characters>168113</Characters>
  <CharactersWithSpaces>203119</CharactersWithSpaces>
  <Paragraphs>1958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2026-08-28T10:54:10Z</dcterms:created>
  <dc:creator>ghaemiyeh.com</dc:creator>
  <dc:description/>
  <dc:language>en-US</dc:language>
  <cp:lastModifiedBy/>
  <dcterms:modified xsi:type="dcterms:W3CDTF">2026-08-28T14:24:23Z</dcterms:modified>
  <cp:revision>1</cp:revision>
  <dc:subject/>
  <dc:title>سند الاصول بحوث فی اصول القانون و مبانی الدلاله جلد 2</dc:title>
</cp:coreProperties>
</file>

<file path=docProps/custom.xml><?xml version="1.0" encoding="utf-8"?>
<Properties xmlns="http://schemas.openxmlformats.org/officeDocument/2006/custom-properties" xmlns:vt="http://schemas.openxmlformats.org/officeDocument/2006/docPropsVTypes"/>
</file>