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312.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76.xml" ContentType="application/vnd.openxmlformats-officedocument.wordprocessingml.footer+xml"/>
  <Override PartName="/word/footer4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52.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القواعد الفقهیه تقریرات محمدالسند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6964_146816444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06966_146816444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906968_1468164448">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906970_1468164448">
            <w:r>
              <w:rPr>
                <w:webHidden/>
                <w:rStyle w:val="IndexLink"/>
                <w:rtl w:val="true"/>
              </w:rPr>
              <w:t>قاعدة</w:t>
            </w:r>
            <w:r>
              <w:rPr>
                <w:rStyle w:val="IndexLink"/>
                <w:rtl w:val="true"/>
              </w:rPr>
              <w:t>:</w:t>
            </w:r>
            <w:r>
              <w:rPr>
                <w:rStyle w:val="IndexLink"/>
                <w:rtl w:val="true"/>
              </w:rPr>
              <w:t>الفراش</w:t>
            </w:r>
            <w:r>
              <w:rPr>
                <w:rStyle w:val="IndexLink"/>
                <w:rtl w:val="true"/>
              </w:rPr>
              <w:tab/>
            </w:r>
            <w:r>
              <w:rPr>
                <w:rStyle w:val="IndexLink"/>
              </w:rPr>
              <w:t>13</w:t>
            </w:r>
          </w:hyperlink>
        </w:p>
        <w:p>
          <w:pPr>
            <w:pStyle w:val="Contents3"/>
            <w:tabs>
              <w:tab w:val="clear" w:pos="8459"/>
              <w:tab w:val="right" w:pos="9026" w:leader="dot"/>
            </w:tabs>
            <w:rPr/>
          </w:pPr>
          <w:hyperlink w:anchor="__RefHeading___Toc906972_1468164448">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906974_1468164448">
            <w:r>
              <w:rPr>
                <w:webHidden/>
                <w:rStyle w:val="IndexLink"/>
                <w:rtl w:val="true"/>
              </w:rPr>
              <w:t>من قواعد باب النکاح</w:t>
            </w:r>
            <w:r>
              <w:rPr>
                <w:rStyle w:val="IndexLink"/>
                <w:rtl w:val="true"/>
              </w:rPr>
              <w:t>:</w:t>
            </w:r>
            <w:r>
              <w:rPr>
                <w:rStyle w:val="IndexLink"/>
                <w:rtl w:val="true"/>
              </w:rPr>
              <w:t>قاعدة الفراش</w:t>
            </w:r>
            <w:r>
              <w:rPr>
                <w:rStyle w:val="IndexLink"/>
                <w:rtl w:val="true"/>
              </w:rPr>
              <w:tab/>
            </w:r>
            <w:r>
              <w:rPr>
                <w:rStyle w:val="IndexLink"/>
              </w:rPr>
              <w:t>14</w:t>
            </w:r>
          </w:hyperlink>
        </w:p>
        <w:p>
          <w:pPr>
            <w:pStyle w:val="Contents4"/>
            <w:tabs>
              <w:tab w:val="clear" w:pos="8176"/>
              <w:tab w:val="right" w:pos="9026" w:leader="dot"/>
            </w:tabs>
            <w:rPr/>
          </w:pPr>
          <w:hyperlink w:anchor="__RefHeading___Toc906976_1468164448">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906978_1468164448">
            <w:r>
              <w:rPr>
                <w:webHidden/>
                <w:rStyle w:val="IndexLink"/>
                <w:rtl w:val="true"/>
              </w:rPr>
              <w:t>تتمات القاعدة فی فروع</w:t>
            </w:r>
            <w:r>
              <w:rPr>
                <w:rStyle w:val="IndexLink"/>
                <w:rtl w:val="true"/>
              </w:rPr>
              <w:t>:</w:t>
              <w:tab/>
            </w:r>
            <w:r>
              <w:rPr>
                <w:rStyle w:val="IndexLink"/>
              </w:rPr>
              <w:t>38</w:t>
            </w:r>
          </w:hyperlink>
        </w:p>
        <w:p>
          <w:pPr>
            <w:pStyle w:val="Contents4"/>
            <w:tabs>
              <w:tab w:val="clear" w:pos="8176"/>
              <w:tab w:val="right" w:pos="9026" w:leader="dot"/>
            </w:tabs>
            <w:rPr/>
          </w:pPr>
          <w:hyperlink w:anchor="__RefHeading___Toc906980_1468164448">
            <w:r>
              <w:rPr>
                <w:webHidden/>
                <w:rStyle w:val="IndexLink"/>
                <w:rtl w:val="true"/>
              </w:rPr>
              <w:t>من روایات هذا الباب</w:t>
            </w:r>
            <w:r>
              <w:rPr>
                <w:rStyle w:val="IndexLink"/>
                <w:rtl w:val="true"/>
              </w:rPr>
              <w:t>:</w:t>
              <w:tab/>
            </w:r>
            <w:r>
              <w:rPr>
                <w:rStyle w:val="IndexLink"/>
              </w:rPr>
              <w:t>39</w:t>
            </w:r>
          </w:hyperlink>
        </w:p>
        <w:p>
          <w:pPr>
            <w:pStyle w:val="Contents4"/>
            <w:tabs>
              <w:tab w:val="clear" w:pos="8176"/>
              <w:tab w:val="right" w:pos="9026" w:leader="dot"/>
            </w:tabs>
            <w:rPr/>
          </w:pPr>
          <w:hyperlink w:anchor="__RefHeading___Toc906982_1468164448">
            <w:r>
              <w:rPr>
                <w:webHidden/>
                <w:rStyle w:val="IndexLink"/>
                <w:rtl w:val="true"/>
              </w:rPr>
              <w:t>حقیقة اللعان</w:t>
            </w:r>
            <w:r>
              <w:rPr>
                <w:rStyle w:val="IndexLink"/>
                <w:rtl w:val="true"/>
              </w:rPr>
              <w:t>:</w:t>
              <w:tab/>
            </w:r>
            <w:r>
              <w:rPr>
                <w:rStyle w:val="IndexLink"/>
              </w:rPr>
              <w:t>41</w:t>
            </w:r>
          </w:hyperlink>
        </w:p>
        <w:p>
          <w:pPr>
            <w:pStyle w:val="Contents3"/>
            <w:tabs>
              <w:tab w:val="clear" w:pos="8459"/>
              <w:tab w:val="right" w:pos="9026" w:leader="dot"/>
            </w:tabs>
            <w:rPr/>
          </w:pPr>
          <w:hyperlink w:anchor="__RefHeading___Toc906984_1468164448">
            <w:r>
              <w:rPr>
                <w:webHidden/>
                <w:rStyle w:val="IndexLink"/>
                <w:rtl w:val="true"/>
              </w:rPr>
              <w:t>تنبیهات</w:t>
            </w:r>
            <w:r>
              <w:rPr>
                <w:rStyle w:val="IndexLink"/>
                <w:rtl w:val="true"/>
              </w:rPr>
              <w:tab/>
            </w:r>
            <w:r>
              <w:rPr>
                <w:rStyle w:val="IndexLink"/>
              </w:rPr>
              <w:t>50</w:t>
            </w:r>
          </w:hyperlink>
        </w:p>
        <w:p>
          <w:pPr>
            <w:pStyle w:val="Contents4"/>
            <w:tabs>
              <w:tab w:val="clear" w:pos="8176"/>
              <w:tab w:val="right" w:pos="9026" w:leader="dot"/>
            </w:tabs>
            <w:rPr/>
          </w:pPr>
          <w:hyperlink w:anchor="__RefHeading___Toc906986_1468164448">
            <w:r>
              <w:rPr>
                <w:webHidden/>
                <w:rStyle w:val="IndexLink"/>
                <w:rtl w:val="true"/>
              </w:rPr>
              <w:t>التنبیه الأوّل</w:t>
            </w:r>
            <w:r>
              <w:rPr>
                <w:rStyle w:val="IndexLink"/>
                <w:rtl w:val="true"/>
              </w:rPr>
              <w:t>:</w:t>
              <w:tab/>
            </w:r>
            <w:r>
              <w:rPr>
                <w:rStyle w:val="IndexLink"/>
              </w:rPr>
              <w:t>50</w:t>
            </w:r>
          </w:hyperlink>
        </w:p>
        <w:p>
          <w:pPr>
            <w:pStyle w:val="Contents4"/>
            <w:tabs>
              <w:tab w:val="clear" w:pos="8176"/>
              <w:tab w:val="right" w:pos="9026" w:leader="dot"/>
            </w:tabs>
            <w:rPr/>
          </w:pPr>
          <w:hyperlink w:anchor="__RefHeading___Toc906988_1468164448">
            <w:r>
              <w:rPr>
                <w:webHidden/>
                <w:rStyle w:val="IndexLink"/>
                <w:rtl w:val="true"/>
              </w:rPr>
              <w:t>التنبیه الثانی</w:t>
            </w:r>
            <w:r>
              <w:rPr>
                <w:rStyle w:val="IndexLink"/>
                <w:rtl w:val="true"/>
              </w:rPr>
              <w:t xml:space="preserve">: </w:t>
            </w:r>
            <w:r>
              <w:rPr>
                <w:rStyle w:val="IndexLink"/>
                <w:rtl w:val="true"/>
              </w:rPr>
              <w:t>رسالة فی نسب ابن الزنا وترتب أحکام الولد</w:t>
            </w:r>
            <w:r>
              <w:rPr>
                <w:rStyle w:val="IndexLink"/>
                <w:rtl w:val="true"/>
              </w:rPr>
              <w:t>:</w:t>
              <w:tab/>
            </w:r>
            <w:r>
              <w:rPr>
                <w:rStyle w:val="IndexLink"/>
              </w:rPr>
              <w:t>50</w:t>
            </w:r>
          </w:hyperlink>
        </w:p>
        <w:p>
          <w:pPr>
            <w:pStyle w:val="Contents5"/>
            <w:tabs>
              <w:tab w:val="clear" w:pos="7892"/>
              <w:tab w:val="right" w:pos="9026" w:leader="dot"/>
            </w:tabs>
            <w:rPr/>
          </w:pPr>
          <w:hyperlink w:anchor="__RefHeading___Toc906990_1468164448">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906992_1468164448">
            <w:r>
              <w:rPr>
                <w:webHidden/>
                <w:rStyle w:val="IndexLink"/>
                <w:rtl w:val="true"/>
              </w:rPr>
              <w:t>المقام الأول</w:t>
            </w:r>
            <w:r>
              <w:rPr>
                <w:rStyle w:val="IndexLink"/>
                <w:rtl w:val="true"/>
              </w:rPr>
              <w:t xml:space="preserve">: </w:t>
            </w:r>
            <w:r>
              <w:rPr>
                <w:rStyle w:val="IndexLink"/>
                <w:rtl w:val="true"/>
              </w:rPr>
              <w:t>مقتضی القاعدة</w:t>
            </w:r>
            <w:r>
              <w:rPr>
                <w:rStyle w:val="IndexLink"/>
                <w:rtl w:val="true"/>
              </w:rPr>
              <w:t>:</w:t>
              <w:tab/>
            </w:r>
            <w:r>
              <w:rPr>
                <w:rStyle w:val="IndexLink"/>
              </w:rPr>
              <w:t>55</w:t>
            </w:r>
          </w:hyperlink>
        </w:p>
        <w:p>
          <w:pPr>
            <w:pStyle w:val="Contents5"/>
            <w:tabs>
              <w:tab w:val="clear" w:pos="7892"/>
              <w:tab w:val="right" w:pos="9026" w:leader="dot"/>
            </w:tabs>
            <w:rPr/>
          </w:pPr>
          <w:hyperlink w:anchor="__RefHeading___Toc906994_1468164448">
            <w:r>
              <w:rPr>
                <w:webHidden/>
                <w:rStyle w:val="IndexLink"/>
                <w:rtl w:val="true"/>
              </w:rPr>
              <w:t>المقام الثانی</w:t>
            </w:r>
            <w:r>
              <w:rPr>
                <w:rStyle w:val="IndexLink"/>
                <w:rtl w:val="true"/>
              </w:rPr>
              <w:t xml:space="preserve">: </w:t>
            </w:r>
            <w:r>
              <w:rPr>
                <w:rStyle w:val="IndexLink"/>
                <w:rtl w:val="true"/>
              </w:rPr>
              <w:t>الادلة الخاصة</w:t>
            </w:r>
            <w:r>
              <w:rPr>
                <w:rStyle w:val="IndexLink"/>
                <w:rtl w:val="true"/>
              </w:rPr>
              <w:t>:</w:t>
              <w:tab/>
            </w:r>
            <w:r>
              <w:rPr>
                <w:rStyle w:val="IndexLink"/>
              </w:rPr>
              <w:t>56</w:t>
            </w:r>
          </w:hyperlink>
        </w:p>
        <w:p>
          <w:pPr>
            <w:pStyle w:val="Contents5"/>
            <w:tabs>
              <w:tab w:val="clear" w:pos="7892"/>
              <w:tab w:val="right" w:pos="9026" w:leader="dot"/>
            </w:tabs>
            <w:rPr/>
          </w:pPr>
          <w:hyperlink w:anchor="__RefHeading___Toc906996_1468164448">
            <w:r>
              <w:rPr>
                <w:webHidden/>
                <w:rStyle w:val="IndexLink"/>
                <w:rtl w:val="true"/>
              </w:rPr>
              <w:t xml:space="preserve">محتملات </w:t>
            </w:r>
            <w:r>
              <w:rPr>
                <w:rStyle w:val="IndexLink"/>
                <w:rtl w:val="true"/>
              </w:rPr>
              <w:t>«</w:t>
            </w:r>
            <w:r>
              <w:rPr>
                <w:rStyle w:val="IndexLink"/>
                <w:rtl w:val="true"/>
              </w:rPr>
              <w:t>وللعاهر الحجر</w:t>
            </w:r>
            <w:r>
              <w:rPr>
                <w:rStyle w:val="IndexLink"/>
                <w:rtl w:val="true"/>
              </w:rPr>
              <w:t>»:</w:t>
              <w:tab/>
            </w:r>
            <w:r>
              <w:rPr>
                <w:rStyle w:val="IndexLink"/>
              </w:rPr>
              <w:t>58</w:t>
            </w:r>
          </w:hyperlink>
        </w:p>
        <w:p>
          <w:pPr>
            <w:pStyle w:val="Contents4"/>
            <w:tabs>
              <w:tab w:val="clear" w:pos="8176"/>
              <w:tab w:val="right" w:pos="9026" w:leader="dot"/>
            </w:tabs>
            <w:rPr/>
          </w:pPr>
          <w:hyperlink w:anchor="__RefHeading___Toc906998_1468164448">
            <w:r>
              <w:rPr>
                <w:webHidden/>
                <w:rStyle w:val="IndexLink"/>
                <w:rtl w:val="true"/>
              </w:rPr>
              <w:t>التنبیه الثالث</w:t>
            </w:r>
            <w:r>
              <w:rPr>
                <w:rStyle w:val="IndexLink"/>
                <w:rtl w:val="true"/>
              </w:rPr>
              <w:t>:</w:t>
              <w:tab/>
            </w:r>
            <w:r>
              <w:rPr>
                <w:rStyle w:val="IndexLink"/>
              </w:rPr>
              <w:t>66</w:t>
            </w:r>
          </w:hyperlink>
        </w:p>
        <w:p>
          <w:pPr>
            <w:pStyle w:val="Contents4"/>
            <w:tabs>
              <w:tab w:val="clear" w:pos="8176"/>
              <w:tab w:val="right" w:pos="9026" w:leader="dot"/>
            </w:tabs>
            <w:rPr/>
          </w:pPr>
          <w:hyperlink w:anchor="__RefHeading___Toc907000_1468164448">
            <w:r>
              <w:rPr>
                <w:webHidden/>
                <w:rStyle w:val="IndexLink"/>
                <w:rtl w:val="true"/>
              </w:rPr>
              <w:t>التنبیه الرابع</w:t>
            </w:r>
            <w:r>
              <w:rPr>
                <w:rStyle w:val="IndexLink"/>
                <w:rtl w:val="true"/>
              </w:rPr>
              <w:t>:</w:t>
              <w:tab/>
            </w:r>
            <w:r>
              <w:rPr>
                <w:rStyle w:val="IndexLink"/>
              </w:rPr>
              <w:t>68</w:t>
            </w:r>
          </w:hyperlink>
        </w:p>
        <w:p>
          <w:pPr>
            <w:pStyle w:val="Contents2"/>
            <w:tabs>
              <w:tab w:val="clear" w:pos="8743"/>
              <w:tab w:val="right" w:pos="9026" w:leader="dot"/>
            </w:tabs>
            <w:rPr/>
          </w:pPr>
          <w:hyperlink w:anchor="__RefHeading___Toc907002_1468164448">
            <w:r>
              <w:rPr>
                <w:webHidden/>
                <w:rStyle w:val="IndexLink"/>
                <w:rtl w:val="true"/>
              </w:rPr>
              <w:t>قاعدة</w:t>
            </w:r>
            <w:r>
              <w:rPr>
                <w:rStyle w:val="IndexLink"/>
                <w:rtl w:val="true"/>
              </w:rPr>
              <w:t>:</w:t>
            </w:r>
            <w:r>
              <w:rPr>
                <w:rStyle w:val="IndexLink"/>
                <w:rtl w:val="true"/>
              </w:rPr>
              <w:t>یحرم من الرضاع من یحرم من النسب</w:t>
            </w:r>
            <w:r>
              <w:rPr>
                <w:rStyle w:val="IndexLink"/>
                <w:rtl w:val="true"/>
              </w:rPr>
              <w:tab/>
            </w:r>
            <w:r>
              <w:rPr>
                <w:rStyle w:val="IndexLink"/>
              </w:rPr>
              <w:t>78</w:t>
            </w:r>
          </w:hyperlink>
        </w:p>
        <w:p>
          <w:pPr>
            <w:pStyle w:val="Contents3"/>
            <w:tabs>
              <w:tab w:val="clear" w:pos="8459"/>
              <w:tab w:val="right" w:pos="9026" w:leader="dot"/>
            </w:tabs>
            <w:rPr/>
          </w:pPr>
          <w:hyperlink w:anchor="__RefHeading___Toc907004_1468164448">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907006_1468164448">
            <w:r>
              <w:rPr>
                <w:webHidden/>
                <w:rStyle w:val="IndexLink"/>
                <w:rtl w:val="true"/>
              </w:rPr>
              <w:t>من قواعد باب النکاح</w:t>
            </w:r>
            <w:r>
              <w:rPr>
                <w:rStyle w:val="IndexLink"/>
                <w:rtl w:val="true"/>
              </w:rPr>
              <w:t>:</w:t>
            </w:r>
            <w:r>
              <w:rPr>
                <w:rStyle w:val="IndexLink"/>
                <w:rtl w:val="true"/>
              </w:rPr>
              <w:t>یحرم من الرضاع ما یحرم من النسب</w:t>
            </w:r>
            <w:r>
              <w:rPr>
                <w:rStyle w:val="IndexLink"/>
                <w:rtl w:val="true"/>
              </w:rPr>
              <w:tab/>
            </w:r>
            <w:r>
              <w:rPr>
                <w:rStyle w:val="IndexLink"/>
              </w:rPr>
              <w:t>79</w:t>
            </w:r>
          </w:hyperlink>
        </w:p>
        <w:p>
          <w:pPr>
            <w:pStyle w:val="Contents4"/>
            <w:tabs>
              <w:tab w:val="clear" w:pos="8176"/>
              <w:tab w:val="right" w:pos="9026" w:leader="dot"/>
            </w:tabs>
            <w:rPr/>
          </w:pPr>
          <w:hyperlink w:anchor="__RefHeading___Toc907008_1468164448">
            <w:r>
              <w:rPr>
                <w:webHidden/>
                <w:rStyle w:val="IndexLink"/>
                <w:rtl w:val="true"/>
              </w:rPr>
              <w:t>اشارة</w:t>
            </w:r>
            <w:r>
              <w:rPr>
                <w:rStyle w:val="IndexLink"/>
                <w:rtl w:val="true"/>
              </w:rPr>
              <w:tab/>
            </w:r>
            <w:r>
              <w:rPr>
                <w:rStyle w:val="IndexLink"/>
              </w:rPr>
              <w:t>79</w:t>
            </w:r>
          </w:hyperlink>
        </w:p>
        <w:p>
          <w:pPr>
            <w:pStyle w:val="Contents4"/>
            <w:tabs>
              <w:tab w:val="clear" w:pos="8176"/>
              <w:tab w:val="right" w:pos="9026" w:leader="dot"/>
            </w:tabs>
            <w:rPr/>
          </w:pPr>
          <w:hyperlink w:anchor="__RefHeading___Toc907010_1468164448">
            <w:r>
              <w:rPr>
                <w:webHidden/>
                <w:rStyle w:val="IndexLink"/>
                <w:rtl w:val="true"/>
              </w:rPr>
              <w:t>المبحث الاول</w:t>
            </w:r>
            <w:r>
              <w:rPr>
                <w:rStyle w:val="IndexLink"/>
                <w:rtl w:val="true"/>
              </w:rPr>
              <w:t xml:space="preserve">: </w:t>
            </w:r>
            <w:r>
              <w:rPr>
                <w:rStyle w:val="IndexLink"/>
                <w:rtl w:val="true"/>
              </w:rPr>
              <w:t>فی شروط الرضاع</w:t>
            </w:r>
            <w:r>
              <w:rPr>
                <w:rStyle w:val="IndexLink"/>
                <w:rtl w:val="true"/>
              </w:rPr>
              <w:t>:</w:t>
              <w:tab/>
            </w:r>
            <w:r>
              <w:rPr>
                <w:rStyle w:val="IndexLink"/>
              </w:rPr>
              <w:t>79</w:t>
            </w:r>
          </w:hyperlink>
        </w:p>
        <w:p>
          <w:pPr>
            <w:pStyle w:val="Contents5"/>
            <w:tabs>
              <w:tab w:val="clear" w:pos="7892"/>
              <w:tab w:val="right" w:pos="9026" w:leader="dot"/>
            </w:tabs>
            <w:rPr/>
          </w:pPr>
          <w:hyperlink w:anchor="__RefHeading___Toc907012_1468164448">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907014_1468164448">
            <w:r>
              <w:rPr>
                <w:webHidden/>
                <w:rStyle w:val="IndexLink"/>
                <w:rtl w:val="true"/>
              </w:rPr>
              <w:t>الشرط الأول</w:t>
            </w:r>
            <w:r>
              <w:rPr>
                <w:rStyle w:val="IndexLink"/>
                <w:rtl w:val="true"/>
              </w:rPr>
              <w:t xml:space="preserve">: </w:t>
            </w:r>
            <w:r>
              <w:rPr>
                <w:rStyle w:val="IndexLink"/>
                <w:rtl w:val="true"/>
              </w:rPr>
              <w:t>أن یکون اللبن حاصلاً من وطئ صحیح،</w:t>
            </w:r>
            <w:r>
              <w:rPr>
                <w:rStyle w:val="IndexLink"/>
                <w:rtl w:val="true"/>
              </w:rPr>
              <w:tab/>
            </w:r>
            <w:r>
              <w:rPr>
                <w:rStyle w:val="IndexLink"/>
              </w:rPr>
              <w:t>79</w:t>
            </w:r>
          </w:hyperlink>
        </w:p>
        <w:p>
          <w:pPr>
            <w:pStyle w:val="Contents5"/>
            <w:tabs>
              <w:tab w:val="clear" w:pos="7892"/>
              <w:tab w:val="right" w:pos="9026" w:leader="dot"/>
            </w:tabs>
            <w:rPr/>
          </w:pPr>
          <w:hyperlink w:anchor="__RefHeading___Toc907016_1468164448">
            <w:r>
              <w:rPr>
                <w:webHidden/>
                <w:rStyle w:val="IndexLink"/>
                <w:rtl w:val="true"/>
              </w:rPr>
              <w:t>الشرط الثانی</w:t>
            </w:r>
            <w:r>
              <w:rPr>
                <w:rStyle w:val="IndexLink"/>
                <w:rtl w:val="true"/>
              </w:rPr>
              <w:t xml:space="preserve">: </w:t>
            </w:r>
            <w:r>
              <w:rPr>
                <w:rStyle w:val="IndexLink"/>
                <w:rtl w:val="true"/>
              </w:rPr>
              <w:t>أن یکون شرب اللبن بالامتصاص من الثدی</w:t>
            </w:r>
            <w:r>
              <w:rPr>
                <w:rStyle w:val="IndexLink"/>
                <w:rtl w:val="true"/>
              </w:rPr>
              <w:t>:</w:t>
              <w:tab/>
            </w:r>
            <w:r>
              <w:rPr>
                <w:rStyle w:val="IndexLink"/>
              </w:rPr>
              <w:t>84</w:t>
            </w:r>
          </w:hyperlink>
        </w:p>
        <w:p>
          <w:pPr>
            <w:pStyle w:val="Contents5"/>
            <w:tabs>
              <w:tab w:val="clear" w:pos="7892"/>
              <w:tab w:val="right" w:pos="9026" w:leader="dot"/>
            </w:tabs>
            <w:rPr/>
          </w:pPr>
          <w:hyperlink w:anchor="__RefHeading___Toc907018_1468164448">
            <w:r>
              <w:rPr>
                <w:webHidden/>
                <w:rStyle w:val="IndexLink"/>
                <w:rtl w:val="true"/>
              </w:rPr>
              <w:t>الشرط الثالث</w:t>
            </w:r>
            <w:r>
              <w:rPr>
                <w:rStyle w:val="IndexLink"/>
                <w:rtl w:val="true"/>
              </w:rPr>
              <w:t xml:space="preserve">: </w:t>
            </w:r>
            <w:r>
              <w:rPr>
                <w:rStyle w:val="IndexLink"/>
                <w:rtl w:val="true"/>
              </w:rPr>
              <w:t>أن تکون المرأة حیة</w:t>
            </w:r>
            <w:r>
              <w:rPr>
                <w:rStyle w:val="IndexLink"/>
                <w:rtl w:val="true"/>
              </w:rPr>
              <w:t>:</w:t>
              <w:tab/>
            </w:r>
            <w:r>
              <w:rPr>
                <w:rStyle w:val="IndexLink"/>
              </w:rPr>
              <w:t>86</w:t>
            </w:r>
          </w:hyperlink>
        </w:p>
        <w:p>
          <w:pPr>
            <w:pStyle w:val="Contents5"/>
            <w:tabs>
              <w:tab w:val="clear" w:pos="7892"/>
              <w:tab w:val="right" w:pos="9026" w:leader="dot"/>
            </w:tabs>
            <w:rPr/>
          </w:pPr>
          <w:hyperlink w:anchor="__RefHeading___Toc907020_1468164448">
            <w:r>
              <w:rPr>
                <w:webHidden/>
                <w:rStyle w:val="IndexLink"/>
                <w:rtl w:val="true"/>
              </w:rPr>
              <w:t>الشرط الرابع</w:t>
            </w:r>
            <w:r>
              <w:rPr>
                <w:rStyle w:val="IndexLink"/>
                <w:rtl w:val="true"/>
              </w:rPr>
              <w:t xml:space="preserve">: </w:t>
            </w:r>
            <w:r>
              <w:rPr>
                <w:rStyle w:val="IndexLink"/>
                <w:rtl w:val="true"/>
              </w:rPr>
              <w:t>أن یکون المرتضع فی أثناء الحولین</w:t>
            </w:r>
            <w:r>
              <w:rPr>
                <w:rStyle w:val="IndexLink"/>
                <w:rtl w:val="true"/>
              </w:rPr>
              <w:t>:</w:t>
              <w:tab/>
            </w:r>
            <w:r>
              <w:rPr>
                <w:rStyle w:val="IndexLink"/>
              </w:rPr>
              <w:t>88</w:t>
            </w:r>
          </w:hyperlink>
        </w:p>
        <w:p>
          <w:pPr>
            <w:pStyle w:val="Contents5"/>
            <w:tabs>
              <w:tab w:val="clear" w:pos="7892"/>
              <w:tab w:val="right" w:pos="9026" w:leader="dot"/>
            </w:tabs>
            <w:rPr/>
          </w:pPr>
          <w:hyperlink w:anchor="__RefHeading___Toc907022_1468164448">
            <w:r>
              <w:rPr>
                <w:webHidden/>
                <w:rStyle w:val="IndexLink"/>
                <w:rtl w:val="true"/>
              </w:rPr>
              <w:t>الشرط الخامس</w:t>
            </w:r>
            <w:r>
              <w:rPr>
                <w:rStyle w:val="IndexLink"/>
                <w:rtl w:val="true"/>
              </w:rPr>
              <w:t xml:space="preserve">: </w:t>
            </w:r>
            <w:r>
              <w:rPr>
                <w:rStyle w:val="IndexLink"/>
                <w:rtl w:val="true"/>
              </w:rPr>
              <w:t>فی کمیة الرضاع</w:t>
            </w:r>
            <w:r>
              <w:rPr>
                <w:rStyle w:val="IndexLink"/>
                <w:rtl w:val="true"/>
              </w:rPr>
              <w:t>:</w:t>
              <w:tab/>
            </w:r>
            <w:r>
              <w:rPr>
                <w:rStyle w:val="IndexLink"/>
              </w:rPr>
              <w:t>91</w:t>
            </w:r>
          </w:hyperlink>
        </w:p>
        <w:p>
          <w:pPr>
            <w:pStyle w:val="Contents6"/>
            <w:tabs>
              <w:tab w:val="clear" w:pos="7609"/>
              <w:tab w:val="right" w:pos="9026" w:leader="dot"/>
            </w:tabs>
            <w:rPr/>
          </w:pPr>
          <w:hyperlink w:anchor="__RefHeading___Toc907024_1468164448">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907026_1468164448">
            <w:r>
              <w:rPr>
                <w:webHidden/>
                <w:rStyle w:val="IndexLink"/>
                <w:rtl w:val="true"/>
              </w:rPr>
              <w:t>الوجه الأوّل</w:t>
            </w:r>
            <w:r>
              <w:rPr>
                <w:rStyle w:val="IndexLink"/>
                <w:rtl w:val="true"/>
              </w:rPr>
              <w:t xml:space="preserve">: </w:t>
            </w:r>
            <w:r>
              <w:rPr>
                <w:rStyle w:val="IndexLink"/>
                <w:rtl w:val="true"/>
              </w:rPr>
              <w:t>صراحة موثّقة زیاد بن سوقة</w:t>
            </w:r>
            <w:r>
              <w:rPr>
                <w:rStyle w:val="IndexLink"/>
                <w:rtl w:val="true"/>
              </w:rPr>
              <w:t>:</w:t>
              <w:tab/>
            </w:r>
            <w:r>
              <w:rPr>
                <w:rStyle w:val="IndexLink"/>
              </w:rPr>
              <w:t>95</w:t>
            </w:r>
          </w:hyperlink>
        </w:p>
        <w:p>
          <w:pPr>
            <w:pStyle w:val="Contents6"/>
            <w:tabs>
              <w:tab w:val="clear" w:pos="7609"/>
              <w:tab w:val="right" w:pos="9026" w:leader="dot"/>
            </w:tabs>
            <w:rPr/>
          </w:pPr>
          <w:hyperlink w:anchor="__RefHeading___Toc907028_1468164448">
            <w:r>
              <w:rPr>
                <w:webHidden/>
                <w:rStyle w:val="IndexLink"/>
                <w:rtl w:val="true"/>
              </w:rPr>
              <w:t>الوجه الثانی</w:t>
            </w:r>
            <w:r>
              <w:rPr>
                <w:rStyle w:val="IndexLink"/>
                <w:rtl w:val="true"/>
              </w:rPr>
              <w:t xml:space="preserve">: </w:t>
            </w:r>
            <w:r>
              <w:rPr>
                <w:rStyle w:val="IndexLink"/>
                <w:rtl w:val="true"/>
              </w:rPr>
              <w:t>ما فی صحیحة عبید بن زرارة</w:t>
            </w:r>
            <w:r>
              <w:rPr>
                <w:rStyle w:val="IndexLink"/>
                <w:rtl w:val="true"/>
              </w:rPr>
              <w:t>:</w:t>
              <w:tab/>
            </w:r>
            <w:r>
              <w:rPr>
                <w:rStyle w:val="IndexLink"/>
              </w:rPr>
              <w:t>96</w:t>
            </w:r>
          </w:hyperlink>
        </w:p>
        <w:p>
          <w:pPr>
            <w:pStyle w:val="Contents6"/>
            <w:tabs>
              <w:tab w:val="clear" w:pos="7609"/>
              <w:tab w:val="right" w:pos="9026" w:leader="dot"/>
            </w:tabs>
            <w:rPr/>
          </w:pPr>
          <w:hyperlink w:anchor="__RefHeading___Toc907030_1468164448">
            <w:r>
              <w:rPr>
                <w:webHidden/>
                <w:rStyle w:val="IndexLink"/>
                <w:rtl w:val="true"/>
              </w:rPr>
              <w:t>الوجه الثالث</w:t>
            </w:r>
            <w:r>
              <w:rPr>
                <w:rStyle w:val="IndexLink"/>
                <w:rtl w:val="true"/>
              </w:rPr>
              <w:t xml:space="preserve">: </w:t>
            </w:r>
            <w:r>
              <w:rPr>
                <w:rStyle w:val="IndexLink"/>
                <w:rtl w:val="true"/>
              </w:rPr>
              <w:t>کثرة ما دل علی الخمسة عشر</w:t>
            </w:r>
            <w:r>
              <w:rPr>
                <w:rStyle w:val="IndexLink"/>
                <w:rtl w:val="true"/>
              </w:rPr>
              <w:t>:</w:t>
              <w:tab/>
            </w:r>
            <w:r>
              <w:rPr>
                <w:rStyle w:val="IndexLink"/>
              </w:rPr>
              <w:t>96</w:t>
            </w:r>
          </w:hyperlink>
        </w:p>
        <w:p>
          <w:pPr>
            <w:pStyle w:val="Contents6"/>
            <w:tabs>
              <w:tab w:val="clear" w:pos="7609"/>
              <w:tab w:val="right" w:pos="9026" w:leader="dot"/>
            </w:tabs>
            <w:rPr/>
          </w:pPr>
          <w:hyperlink w:anchor="__RefHeading___Toc907032_1468164448">
            <w:r>
              <w:rPr>
                <w:webHidden/>
                <w:rStyle w:val="IndexLink"/>
                <w:rtl w:val="true"/>
              </w:rPr>
              <w:t>الوجه الرابع</w:t>
            </w:r>
            <w:r>
              <w:rPr>
                <w:rStyle w:val="IndexLink"/>
                <w:rtl w:val="true"/>
              </w:rPr>
              <w:t xml:space="preserve">: </w:t>
            </w:r>
            <w:r>
              <w:rPr>
                <w:rStyle w:val="IndexLink"/>
                <w:rtl w:val="true"/>
              </w:rPr>
              <w:t>قوة ما دل علی نفی التحریم عن العشرة</w:t>
            </w:r>
            <w:r>
              <w:rPr>
                <w:rStyle w:val="IndexLink"/>
                <w:rtl w:val="true"/>
              </w:rPr>
              <w:t>:</w:t>
              <w:tab/>
            </w:r>
            <w:r>
              <w:rPr>
                <w:rStyle w:val="IndexLink"/>
              </w:rPr>
              <w:t>96</w:t>
            </w:r>
          </w:hyperlink>
        </w:p>
        <w:p>
          <w:pPr>
            <w:pStyle w:val="Contents5"/>
            <w:tabs>
              <w:tab w:val="clear" w:pos="7892"/>
              <w:tab w:val="right" w:pos="9026" w:leader="dot"/>
            </w:tabs>
            <w:rPr/>
          </w:pPr>
          <w:hyperlink w:anchor="__RefHeading___Toc907034_1468164448">
            <w:r>
              <w:rPr>
                <w:webHidden/>
                <w:rStyle w:val="IndexLink"/>
                <w:rtl w:val="true"/>
              </w:rPr>
              <w:t>فائدة</w:t>
            </w:r>
            <w:r>
              <w:rPr>
                <w:rStyle w:val="IndexLink"/>
                <w:rtl w:val="true"/>
              </w:rPr>
              <w:t xml:space="preserve">: </w:t>
            </w:r>
            <w:r>
              <w:rPr>
                <w:rStyle w:val="IndexLink"/>
                <w:rtl w:val="true"/>
              </w:rPr>
              <w:t>المراد بالحولین التقدیر الهلالی</w:t>
            </w:r>
            <w:r>
              <w:rPr>
                <w:rStyle w:val="IndexLink"/>
                <w:rtl w:val="true"/>
              </w:rPr>
              <w:tab/>
            </w:r>
            <w:r>
              <w:rPr>
                <w:rStyle w:val="IndexLink"/>
              </w:rPr>
              <w:t>101</w:t>
            </w:r>
          </w:hyperlink>
        </w:p>
        <w:p>
          <w:pPr>
            <w:pStyle w:val="Contents5"/>
            <w:tabs>
              <w:tab w:val="clear" w:pos="7892"/>
              <w:tab w:val="right" w:pos="9026" w:leader="dot"/>
            </w:tabs>
            <w:rPr/>
          </w:pPr>
          <w:hyperlink w:anchor="__RefHeading___Toc907036_1468164448">
            <w:r>
              <w:rPr>
                <w:webHidden/>
                <w:rStyle w:val="IndexLink"/>
                <w:rtl w:val="true"/>
              </w:rPr>
              <w:t>شروط الرضاع بالعدد</w:t>
            </w:r>
            <w:r>
              <w:rPr>
                <w:rStyle w:val="IndexLink"/>
                <w:rtl w:val="true"/>
              </w:rPr>
              <w:t>:</w:t>
              <w:tab/>
            </w:r>
            <w:r>
              <w:rPr>
                <w:rStyle w:val="IndexLink"/>
              </w:rPr>
              <w:t>103</w:t>
            </w:r>
          </w:hyperlink>
        </w:p>
        <w:p>
          <w:pPr>
            <w:pStyle w:val="Contents6"/>
            <w:tabs>
              <w:tab w:val="clear" w:pos="7609"/>
              <w:tab w:val="right" w:pos="9026" w:leader="dot"/>
            </w:tabs>
            <w:rPr/>
          </w:pPr>
          <w:hyperlink w:anchor="__RefHeading___Toc907038_1468164448">
            <w:r>
              <w:rPr>
                <w:webHidden/>
                <w:rStyle w:val="IndexLink"/>
                <w:rtl w:val="true"/>
              </w:rPr>
              <w:t>الشرط الأوّل</w:t>
            </w:r>
            <w:r>
              <w:rPr>
                <w:rStyle w:val="IndexLink"/>
                <w:rtl w:val="true"/>
              </w:rPr>
              <w:t xml:space="preserve">: </w:t>
            </w:r>
            <w:r>
              <w:rPr>
                <w:rStyle w:val="IndexLink"/>
                <w:rtl w:val="true"/>
              </w:rPr>
              <w:t>کمال الرضعة</w:t>
            </w:r>
            <w:r>
              <w:rPr>
                <w:rStyle w:val="IndexLink"/>
                <w:rtl w:val="true"/>
              </w:rPr>
              <w:t>:</w:t>
              <w:tab/>
            </w:r>
            <w:r>
              <w:rPr>
                <w:rStyle w:val="IndexLink"/>
              </w:rPr>
              <w:t>103</w:t>
            </w:r>
          </w:hyperlink>
        </w:p>
        <w:p>
          <w:pPr>
            <w:pStyle w:val="Contents6"/>
            <w:tabs>
              <w:tab w:val="clear" w:pos="7609"/>
              <w:tab w:val="right" w:pos="9026" w:leader="dot"/>
            </w:tabs>
            <w:rPr/>
          </w:pPr>
          <w:hyperlink w:anchor="__RefHeading___Toc907040_1468164448">
            <w:r>
              <w:rPr>
                <w:webHidden/>
                <w:rStyle w:val="IndexLink"/>
                <w:rtl w:val="true"/>
              </w:rPr>
              <w:t>الشرط الثانی</w:t>
            </w:r>
            <w:r>
              <w:rPr>
                <w:rStyle w:val="IndexLink"/>
                <w:rtl w:val="true"/>
              </w:rPr>
              <w:t xml:space="preserve">: </w:t>
            </w:r>
            <w:r>
              <w:rPr>
                <w:rStyle w:val="IndexLink"/>
                <w:rtl w:val="true"/>
              </w:rPr>
              <w:t>توالی الرضعات</w:t>
            </w:r>
            <w:r>
              <w:rPr>
                <w:rStyle w:val="IndexLink"/>
                <w:rtl w:val="true"/>
              </w:rPr>
              <w:t>:</w:t>
              <w:tab/>
            </w:r>
            <w:r>
              <w:rPr>
                <w:rStyle w:val="IndexLink"/>
              </w:rPr>
              <w:t>105</w:t>
            </w:r>
          </w:hyperlink>
        </w:p>
        <w:p>
          <w:pPr>
            <w:pStyle w:val="Contents6"/>
            <w:tabs>
              <w:tab w:val="clear" w:pos="7609"/>
              <w:tab w:val="right" w:pos="9026" w:leader="dot"/>
            </w:tabs>
            <w:rPr/>
          </w:pPr>
          <w:hyperlink w:anchor="__RefHeading___Toc907042_1468164448">
            <w:r>
              <w:rPr>
                <w:webHidden/>
                <w:rStyle w:val="IndexLink"/>
                <w:rtl w:val="true"/>
              </w:rPr>
              <w:t>الشرط الثالث</w:t>
            </w:r>
            <w:r>
              <w:rPr>
                <w:rStyle w:val="IndexLink"/>
                <w:rtl w:val="true"/>
              </w:rPr>
              <w:t xml:space="preserve">: </w:t>
            </w:r>
            <w:r>
              <w:rPr>
                <w:rStyle w:val="IndexLink"/>
                <w:rtl w:val="true"/>
              </w:rPr>
              <w:t>اتحاد الفحل</w:t>
            </w:r>
            <w:r>
              <w:rPr>
                <w:rStyle w:val="IndexLink"/>
                <w:rtl w:val="true"/>
              </w:rPr>
              <w:t>:</w:t>
              <w:tab/>
            </w:r>
            <w:r>
              <w:rPr>
                <w:rStyle w:val="IndexLink"/>
              </w:rPr>
              <w:t>109</w:t>
            </w:r>
          </w:hyperlink>
        </w:p>
        <w:p>
          <w:pPr>
            <w:pStyle w:val="Contents6"/>
            <w:tabs>
              <w:tab w:val="clear" w:pos="7609"/>
              <w:tab w:val="right" w:pos="9026" w:leader="dot"/>
            </w:tabs>
            <w:rPr/>
          </w:pPr>
          <w:hyperlink w:anchor="__RefHeading___Toc907044_1468164448">
            <w:r>
              <w:rPr>
                <w:webHidden/>
                <w:rStyle w:val="IndexLink"/>
                <w:rtl w:val="true"/>
              </w:rPr>
              <w:t>فرع</w:t>
            </w:r>
            <w:r>
              <w:rPr>
                <w:rStyle w:val="IndexLink"/>
                <w:rtl w:val="true"/>
              </w:rPr>
              <w:t>:</w:t>
              <w:tab/>
            </w:r>
            <w:r>
              <w:rPr>
                <w:rStyle w:val="IndexLink"/>
              </w:rPr>
              <w:t>110</w:t>
            </w:r>
          </w:hyperlink>
        </w:p>
        <w:p>
          <w:pPr>
            <w:pStyle w:val="Contents6"/>
            <w:tabs>
              <w:tab w:val="clear" w:pos="7609"/>
              <w:tab w:val="right" w:pos="9026" w:leader="dot"/>
            </w:tabs>
            <w:rPr/>
          </w:pPr>
          <w:hyperlink w:anchor="__RefHeading___Toc907046_1468164448">
            <w:r>
              <w:rPr>
                <w:webHidden/>
                <w:rStyle w:val="IndexLink"/>
                <w:rtl w:val="true"/>
              </w:rPr>
              <w:t>فائدتان</w:t>
            </w:r>
            <w:r>
              <w:rPr>
                <w:rStyle w:val="IndexLink"/>
                <w:rtl w:val="true"/>
              </w:rPr>
              <w:t>:</w:t>
              <w:tab/>
            </w:r>
            <w:r>
              <w:rPr>
                <w:rStyle w:val="IndexLink"/>
              </w:rPr>
              <w:t>111</w:t>
            </w:r>
          </w:hyperlink>
        </w:p>
        <w:p>
          <w:pPr>
            <w:pStyle w:val="Contents6"/>
            <w:tabs>
              <w:tab w:val="clear" w:pos="7609"/>
              <w:tab w:val="right" w:pos="9026" w:leader="dot"/>
            </w:tabs>
            <w:rPr/>
          </w:pPr>
          <w:hyperlink w:anchor="__RefHeading___Toc907048_1468164448">
            <w:r>
              <w:rPr>
                <w:webHidden/>
                <w:rStyle w:val="IndexLink"/>
                <w:rtl w:val="true"/>
              </w:rPr>
              <w:t>الفائدة الأولی</w:t>
            </w:r>
            <w:r>
              <w:rPr>
                <w:rStyle w:val="IndexLink"/>
                <w:rtl w:val="true"/>
              </w:rPr>
              <w:t xml:space="preserve">: </w:t>
            </w:r>
            <w:r>
              <w:rPr>
                <w:rStyle w:val="IndexLink"/>
                <w:rtl w:val="true"/>
              </w:rPr>
              <w:t>فی الشهادة والإقرار فی الموضوعات المختلفة</w:t>
            </w:r>
            <w:r>
              <w:rPr>
                <w:rStyle w:val="IndexLink"/>
                <w:rtl w:val="true"/>
              </w:rPr>
              <w:t>:</w:t>
              <w:tab/>
            </w:r>
            <w:r>
              <w:rPr>
                <w:rStyle w:val="IndexLink"/>
              </w:rPr>
              <w:t>111</w:t>
            </w:r>
          </w:hyperlink>
        </w:p>
        <w:p>
          <w:pPr>
            <w:pStyle w:val="Contents6"/>
            <w:tabs>
              <w:tab w:val="clear" w:pos="7609"/>
              <w:tab w:val="right" w:pos="9026" w:leader="dot"/>
            </w:tabs>
            <w:rPr/>
          </w:pPr>
          <w:hyperlink w:anchor="__RefHeading___Toc907050_1468164448">
            <w:r>
              <w:rPr>
                <w:webHidden/>
                <w:rStyle w:val="IndexLink"/>
                <w:rtl w:val="true"/>
              </w:rPr>
              <w:t>الفائدة الثانیة</w:t>
            </w:r>
            <w:r>
              <w:rPr>
                <w:rStyle w:val="IndexLink"/>
                <w:rtl w:val="true"/>
              </w:rPr>
              <w:t xml:space="preserve">: </w:t>
            </w:r>
            <w:r>
              <w:rPr>
                <w:rStyle w:val="IndexLink"/>
                <w:rtl w:val="true"/>
              </w:rPr>
              <w:t>قبول شهادة النساء فی الرضاع</w:t>
            </w:r>
            <w:r>
              <w:rPr>
                <w:rStyle w:val="IndexLink"/>
                <w:rtl w:val="true"/>
              </w:rPr>
              <w:t>:</w:t>
              <w:tab/>
            </w:r>
            <w:r>
              <w:rPr>
                <w:rStyle w:val="IndexLink"/>
              </w:rPr>
              <w:t>111</w:t>
            </w:r>
          </w:hyperlink>
        </w:p>
        <w:p>
          <w:pPr>
            <w:pStyle w:val="Contents4"/>
            <w:tabs>
              <w:tab w:val="clear" w:pos="8176"/>
              <w:tab w:val="right" w:pos="9026" w:leader="dot"/>
            </w:tabs>
            <w:rPr/>
          </w:pPr>
          <w:hyperlink w:anchor="__RefHeading___Toc907052_1468164448">
            <w:r>
              <w:rPr>
                <w:webHidden/>
                <w:rStyle w:val="IndexLink"/>
                <w:rtl w:val="true"/>
              </w:rPr>
              <w:t>المبحث الثانی</w:t>
            </w:r>
            <w:r>
              <w:rPr>
                <w:rStyle w:val="IndexLink"/>
                <w:rtl w:val="true"/>
              </w:rPr>
              <w:t>:</w:t>
            </w:r>
            <w:r>
              <w:rPr>
                <w:rStyle w:val="IndexLink"/>
                <w:rtl w:val="true"/>
              </w:rPr>
              <w:t>فی أحکام الرضاع</w:t>
            </w:r>
            <w:r>
              <w:rPr>
                <w:rStyle w:val="IndexLink"/>
                <w:rtl w:val="true"/>
              </w:rPr>
              <w:tab/>
            </w:r>
            <w:r>
              <w:rPr>
                <w:rStyle w:val="IndexLink"/>
              </w:rPr>
              <w:t>114</w:t>
            </w:r>
          </w:hyperlink>
        </w:p>
        <w:p>
          <w:pPr>
            <w:pStyle w:val="Contents5"/>
            <w:tabs>
              <w:tab w:val="clear" w:pos="7892"/>
              <w:tab w:val="right" w:pos="9026" w:leader="dot"/>
            </w:tabs>
            <w:rPr/>
          </w:pPr>
          <w:hyperlink w:anchor="__RefHeading___Toc907054_1468164448">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907056_1468164448">
            <w:r>
              <w:rPr>
                <w:webHidden/>
                <w:rStyle w:val="IndexLink"/>
                <w:rtl w:val="true"/>
              </w:rPr>
              <w:t>عموم قاعدة التنزیل السببی</w:t>
            </w:r>
            <w:r>
              <w:rPr>
                <w:rStyle w:val="IndexLink"/>
                <w:rtl w:val="true"/>
              </w:rPr>
              <w:t>:</w:t>
              <w:tab/>
            </w:r>
            <w:r>
              <w:rPr>
                <w:rStyle w:val="IndexLink"/>
              </w:rPr>
              <w:t>115</w:t>
            </w:r>
          </w:hyperlink>
        </w:p>
        <w:p>
          <w:pPr>
            <w:pStyle w:val="Contents6"/>
            <w:tabs>
              <w:tab w:val="clear" w:pos="7609"/>
              <w:tab w:val="right" w:pos="9026" w:leader="dot"/>
            </w:tabs>
            <w:rPr/>
          </w:pPr>
          <w:hyperlink w:anchor="__RefHeading___Toc907058_1468164448">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907060_1468164448">
            <w:r>
              <w:rPr>
                <w:webHidden/>
                <w:rStyle w:val="IndexLink"/>
                <w:rtl w:val="true"/>
              </w:rPr>
              <w:t>التقریب الأول</w:t>
            </w:r>
            <w:r>
              <w:rPr>
                <w:rStyle w:val="IndexLink"/>
                <w:rtl w:val="true"/>
              </w:rPr>
              <w:t>:</w:t>
              <w:tab/>
            </w:r>
            <w:r>
              <w:rPr>
                <w:rStyle w:val="IndexLink"/>
              </w:rPr>
              <w:t>115</w:t>
            </w:r>
          </w:hyperlink>
        </w:p>
        <w:p>
          <w:pPr>
            <w:pStyle w:val="Contents6"/>
            <w:tabs>
              <w:tab w:val="clear" w:pos="7609"/>
              <w:tab w:val="right" w:pos="9026" w:leader="dot"/>
            </w:tabs>
            <w:rPr/>
          </w:pPr>
          <w:hyperlink w:anchor="__RefHeading___Toc907062_1468164448">
            <w:r>
              <w:rPr>
                <w:webHidden/>
                <w:rStyle w:val="IndexLink"/>
                <w:rtl w:val="true"/>
              </w:rPr>
              <w:t>الإشارة إلی ما ورد من الروایات فی هذا المجال</w:t>
            </w:r>
            <w:r>
              <w:rPr>
                <w:rStyle w:val="IndexLink"/>
                <w:rtl w:val="true"/>
              </w:rPr>
              <w:t>:</w:t>
              <w:tab/>
            </w:r>
            <w:r>
              <w:rPr>
                <w:rStyle w:val="IndexLink"/>
              </w:rPr>
              <w:t>115</w:t>
            </w:r>
          </w:hyperlink>
        </w:p>
        <w:p>
          <w:pPr>
            <w:pStyle w:val="Contents6"/>
            <w:tabs>
              <w:tab w:val="clear" w:pos="7609"/>
              <w:tab w:val="right" w:pos="9026" w:leader="dot"/>
            </w:tabs>
            <w:rPr/>
          </w:pPr>
          <w:hyperlink w:anchor="__RefHeading___Toc907064_1468164448">
            <w:r>
              <w:rPr>
                <w:webHidden/>
                <w:rStyle w:val="IndexLink"/>
                <w:rtl w:val="true"/>
              </w:rPr>
              <w:t>الأقوال فی عموم القاعدة</w:t>
            </w:r>
            <w:r>
              <w:rPr>
                <w:rStyle w:val="IndexLink"/>
                <w:rtl w:val="true"/>
              </w:rPr>
              <w:t>:</w:t>
              <w:tab/>
            </w:r>
            <w:r>
              <w:rPr>
                <w:rStyle w:val="IndexLink"/>
              </w:rPr>
              <w:t>117</w:t>
            </w:r>
          </w:hyperlink>
        </w:p>
        <w:p>
          <w:pPr>
            <w:pStyle w:val="Contents6"/>
            <w:tabs>
              <w:tab w:val="clear" w:pos="7609"/>
              <w:tab w:val="right" w:pos="9026" w:leader="dot"/>
            </w:tabs>
            <w:rPr/>
          </w:pPr>
          <w:hyperlink w:anchor="__RefHeading___Toc907066_1468164448">
            <w:r>
              <w:rPr>
                <w:webHidden/>
                <w:rStyle w:val="IndexLink"/>
                <w:rtl w:val="true"/>
              </w:rPr>
              <w:t>تحقیق فی عموم القاعدة</w:t>
            </w:r>
            <w:r>
              <w:rPr>
                <w:rStyle w:val="IndexLink"/>
                <w:rtl w:val="true"/>
              </w:rPr>
              <w:t>:</w:t>
              <w:tab/>
            </w:r>
            <w:r>
              <w:rPr>
                <w:rStyle w:val="IndexLink"/>
              </w:rPr>
              <w:t>123</w:t>
            </w:r>
          </w:hyperlink>
        </w:p>
        <w:p>
          <w:pPr>
            <w:pStyle w:val="Contents6"/>
            <w:tabs>
              <w:tab w:val="clear" w:pos="7609"/>
              <w:tab w:val="right" w:pos="9026" w:leader="dot"/>
            </w:tabs>
            <w:rPr/>
          </w:pPr>
          <w:hyperlink w:anchor="__RefHeading___Toc907068_1468164448">
            <w:r>
              <w:rPr>
                <w:webHidden/>
                <w:rStyle w:val="IndexLink"/>
                <w:rtl w:val="true"/>
              </w:rPr>
              <w:t>التقریب الثانی</w:t>
            </w:r>
            <w:r>
              <w:rPr>
                <w:rStyle w:val="IndexLink"/>
                <w:rtl w:val="true"/>
              </w:rPr>
              <w:t>:</w:t>
              <w:tab/>
            </w:r>
            <w:r>
              <w:rPr>
                <w:rStyle w:val="IndexLink"/>
              </w:rPr>
              <w:t>124</w:t>
            </w:r>
          </w:hyperlink>
        </w:p>
        <w:p>
          <w:pPr>
            <w:pStyle w:val="Contents6"/>
            <w:tabs>
              <w:tab w:val="clear" w:pos="7609"/>
              <w:tab w:val="right" w:pos="9026" w:leader="dot"/>
            </w:tabs>
            <w:rPr/>
          </w:pPr>
          <w:hyperlink w:anchor="__RefHeading___Toc907070_1468164448">
            <w:r>
              <w:rPr>
                <w:webHidden/>
                <w:rStyle w:val="IndexLink"/>
                <w:rtl w:val="true"/>
              </w:rPr>
              <w:t>التقریب الثالث</w:t>
            </w:r>
            <w:r>
              <w:rPr>
                <w:rStyle w:val="IndexLink"/>
                <w:rtl w:val="true"/>
              </w:rPr>
              <w:t>:</w:t>
              <w:tab/>
            </w:r>
            <w:r>
              <w:rPr>
                <w:rStyle w:val="IndexLink"/>
              </w:rPr>
              <w:t>129</w:t>
            </w:r>
          </w:hyperlink>
        </w:p>
        <w:p>
          <w:pPr>
            <w:pStyle w:val="Contents6"/>
            <w:tabs>
              <w:tab w:val="clear" w:pos="7609"/>
              <w:tab w:val="right" w:pos="9026" w:leader="dot"/>
            </w:tabs>
            <w:rPr/>
          </w:pPr>
          <w:hyperlink w:anchor="__RefHeading___Toc907072_1468164448">
            <w:r>
              <w:rPr>
                <w:webHidden/>
                <w:rStyle w:val="IndexLink"/>
                <w:rtl w:val="true"/>
              </w:rPr>
              <w:t>التقریب الرابع</w:t>
            </w:r>
            <w:r>
              <w:rPr>
                <w:rStyle w:val="IndexLink"/>
                <w:rtl w:val="true"/>
              </w:rPr>
              <w:t>:</w:t>
              <w:tab/>
            </w:r>
            <w:r>
              <w:rPr>
                <w:rStyle w:val="IndexLink"/>
              </w:rPr>
              <w:t>130</w:t>
            </w:r>
          </w:hyperlink>
        </w:p>
        <w:p>
          <w:pPr>
            <w:pStyle w:val="Contents6"/>
            <w:tabs>
              <w:tab w:val="clear" w:pos="7609"/>
              <w:tab w:val="right" w:pos="9026" w:leader="dot"/>
            </w:tabs>
            <w:rPr/>
          </w:pPr>
          <w:hyperlink w:anchor="__RefHeading___Toc907074_1468164448">
            <w:r>
              <w:rPr>
                <w:webHidden/>
                <w:rStyle w:val="IndexLink"/>
                <w:rtl w:val="true"/>
              </w:rPr>
              <w:t>التقریب الخامس</w:t>
            </w:r>
            <w:r>
              <w:rPr>
                <w:rStyle w:val="IndexLink"/>
                <w:rtl w:val="true"/>
              </w:rPr>
              <w:t>:</w:t>
              <w:tab/>
            </w:r>
            <w:r>
              <w:rPr>
                <w:rStyle w:val="IndexLink"/>
              </w:rPr>
              <w:t>131</w:t>
            </w:r>
          </w:hyperlink>
        </w:p>
        <w:p>
          <w:pPr>
            <w:pStyle w:val="Contents5"/>
            <w:tabs>
              <w:tab w:val="clear" w:pos="7892"/>
              <w:tab w:val="right" w:pos="9026" w:leader="dot"/>
            </w:tabs>
            <w:rPr/>
          </w:pPr>
          <w:hyperlink w:anchor="__RefHeading___Toc907076_1468164448">
            <w:r>
              <w:rPr>
                <w:webHidden/>
                <w:rStyle w:val="IndexLink"/>
                <w:rtl w:val="true"/>
              </w:rPr>
              <w:t>المختار فی المسألة</w:t>
            </w:r>
            <w:r>
              <w:rPr>
                <w:rStyle w:val="IndexLink"/>
                <w:rtl w:val="true"/>
              </w:rPr>
              <w:t>:</w:t>
              <w:tab/>
            </w:r>
            <w:r>
              <w:rPr>
                <w:rStyle w:val="IndexLink"/>
              </w:rPr>
              <w:t>133</w:t>
            </w:r>
          </w:hyperlink>
        </w:p>
        <w:p>
          <w:pPr>
            <w:pStyle w:val="Contents4"/>
            <w:tabs>
              <w:tab w:val="clear" w:pos="8176"/>
              <w:tab w:val="right" w:pos="9026" w:leader="dot"/>
            </w:tabs>
            <w:rPr/>
          </w:pPr>
          <w:hyperlink w:anchor="__RefHeading___Toc907078_1468164448">
            <w:r>
              <w:rPr>
                <w:webHidden/>
                <w:rStyle w:val="IndexLink"/>
                <w:rtl w:val="true"/>
              </w:rPr>
              <w:t>المبحث الثالث</w:t>
            </w:r>
            <w:r>
              <w:rPr>
                <w:rStyle w:val="IndexLink"/>
                <w:rtl w:val="true"/>
              </w:rPr>
              <w:t xml:space="preserve">: </w:t>
            </w:r>
            <w:r>
              <w:rPr>
                <w:rStyle w:val="IndexLink"/>
                <w:rtl w:val="true"/>
              </w:rPr>
              <w:t>فروع</w:t>
            </w:r>
            <w:r>
              <w:rPr>
                <w:rStyle w:val="IndexLink"/>
                <w:rtl w:val="true"/>
              </w:rPr>
              <w:tab/>
            </w:r>
            <w:r>
              <w:rPr>
                <w:rStyle w:val="IndexLink"/>
              </w:rPr>
              <w:t>136</w:t>
            </w:r>
          </w:hyperlink>
        </w:p>
        <w:p>
          <w:pPr>
            <w:pStyle w:val="Contents5"/>
            <w:tabs>
              <w:tab w:val="clear" w:pos="7892"/>
              <w:tab w:val="right" w:pos="9026" w:leader="dot"/>
            </w:tabs>
            <w:rPr/>
          </w:pPr>
          <w:hyperlink w:anchor="__RefHeading___Toc907080_1468164448">
            <w:r>
              <w:rPr>
                <w:webHidden/>
                <w:rStyle w:val="IndexLink"/>
                <w:rtl w:val="true"/>
              </w:rPr>
              <w:t>الفرع الأول</w:t>
            </w:r>
            <w:r>
              <w:rPr>
                <w:rStyle w:val="IndexLink"/>
                <w:rtl w:val="true"/>
              </w:rPr>
              <w:t>:</w:t>
              <w:tab/>
            </w:r>
            <w:r>
              <w:rPr>
                <w:rStyle w:val="IndexLink"/>
              </w:rPr>
              <w:t>136</w:t>
            </w:r>
          </w:hyperlink>
        </w:p>
        <w:p>
          <w:pPr>
            <w:pStyle w:val="Contents5"/>
            <w:tabs>
              <w:tab w:val="clear" w:pos="7892"/>
              <w:tab w:val="right" w:pos="9026" w:leader="dot"/>
            </w:tabs>
            <w:rPr/>
          </w:pPr>
          <w:hyperlink w:anchor="__RefHeading___Toc907082_1468164448">
            <w:r>
              <w:rPr>
                <w:webHidden/>
                <w:rStyle w:val="IndexLink"/>
                <w:rtl w:val="true"/>
              </w:rPr>
              <w:t>الأقوال فی المسألة</w:t>
            </w:r>
            <w:r>
              <w:rPr>
                <w:rStyle w:val="IndexLink"/>
                <w:rtl w:val="true"/>
              </w:rPr>
              <w:t>:</w:t>
              <w:tab/>
            </w:r>
            <w:r>
              <w:rPr>
                <w:rStyle w:val="IndexLink"/>
              </w:rPr>
              <w:t>148</w:t>
            </w:r>
          </w:hyperlink>
        </w:p>
        <w:p>
          <w:pPr>
            <w:pStyle w:val="Contents5"/>
            <w:tabs>
              <w:tab w:val="clear" w:pos="7892"/>
              <w:tab w:val="right" w:pos="9026" w:leader="dot"/>
            </w:tabs>
            <w:rPr/>
          </w:pPr>
          <w:hyperlink w:anchor="__RefHeading___Toc907084_1468164448">
            <w:r>
              <w:rPr>
                <w:webHidden/>
                <w:rStyle w:val="IndexLink"/>
                <w:rtl w:val="true"/>
              </w:rPr>
              <w:t>تنقیح البحث</w:t>
            </w:r>
            <w:r>
              <w:rPr>
                <w:rStyle w:val="IndexLink"/>
                <w:rtl w:val="true"/>
              </w:rPr>
              <w:t>:</w:t>
              <w:tab/>
            </w:r>
            <w:r>
              <w:rPr>
                <w:rStyle w:val="IndexLink"/>
              </w:rPr>
              <w:t>149</w:t>
            </w:r>
          </w:hyperlink>
        </w:p>
        <w:p>
          <w:pPr>
            <w:pStyle w:val="Contents2"/>
            <w:tabs>
              <w:tab w:val="clear" w:pos="8743"/>
              <w:tab w:val="right" w:pos="9026" w:leader="dot"/>
            </w:tabs>
            <w:rPr/>
          </w:pPr>
          <w:hyperlink w:anchor="__RefHeading___Toc907086_1468164448">
            <w:r>
              <w:rPr>
                <w:webHidden/>
                <w:rStyle w:val="IndexLink"/>
                <w:rtl w:val="true"/>
              </w:rPr>
              <w:t>قاعدة</w:t>
            </w:r>
            <w:r>
              <w:rPr>
                <w:rStyle w:val="IndexLink"/>
                <w:rtl w:val="true"/>
              </w:rPr>
              <w:t>:</w:t>
            </w:r>
            <w:r>
              <w:rPr>
                <w:rStyle w:val="IndexLink"/>
                <w:rtl w:val="true"/>
              </w:rPr>
              <w:t>المرأة مصدقة فی قولها علی نفسها وشؤونها</w:t>
            </w:r>
            <w:r>
              <w:rPr>
                <w:rStyle w:val="IndexLink"/>
                <w:rtl w:val="true"/>
              </w:rPr>
              <w:tab/>
            </w:r>
            <w:r>
              <w:rPr>
                <w:rStyle w:val="IndexLink"/>
              </w:rPr>
              <w:t>156</w:t>
            </w:r>
          </w:hyperlink>
        </w:p>
        <w:p>
          <w:pPr>
            <w:pStyle w:val="Contents3"/>
            <w:tabs>
              <w:tab w:val="clear" w:pos="8459"/>
              <w:tab w:val="right" w:pos="9026" w:leader="dot"/>
            </w:tabs>
            <w:rPr/>
          </w:pPr>
          <w:hyperlink w:anchor="__RefHeading___Toc907088_1468164448">
            <w:r>
              <w:rPr>
                <w:webHidden/>
                <w:rStyle w:val="IndexLink"/>
                <w:rtl w:val="true"/>
              </w:rPr>
              <w:t>اشارة</w:t>
            </w:r>
            <w:r>
              <w:rPr>
                <w:rStyle w:val="IndexLink"/>
                <w:rtl w:val="true"/>
              </w:rPr>
              <w:tab/>
            </w:r>
            <w:r>
              <w:rPr>
                <w:rStyle w:val="IndexLink"/>
              </w:rPr>
              <w:t>156</w:t>
            </w:r>
          </w:hyperlink>
        </w:p>
        <w:p>
          <w:pPr>
            <w:pStyle w:val="Contents3"/>
            <w:tabs>
              <w:tab w:val="clear" w:pos="8459"/>
              <w:tab w:val="right" w:pos="9026" w:leader="dot"/>
            </w:tabs>
            <w:rPr/>
          </w:pPr>
          <w:hyperlink w:anchor="__RefHeading___Toc907090_1468164448">
            <w:r>
              <w:rPr>
                <w:webHidden/>
                <w:rStyle w:val="IndexLink"/>
                <w:rtl w:val="true"/>
              </w:rPr>
              <w:t>من قواعد باب النکاح</w:t>
            </w:r>
            <w:r>
              <w:rPr>
                <w:rStyle w:val="IndexLink"/>
                <w:rtl w:val="true"/>
              </w:rPr>
              <w:t>:</w:t>
            </w:r>
            <w:r>
              <w:rPr>
                <w:rStyle w:val="IndexLink"/>
                <w:rtl w:val="true"/>
              </w:rPr>
              <w:t>المرأة مصدقة فی قولها علی نفسها وشؤونها</w:t>
            </w:r>
            <w:r>
              <w:rPr>
                <w:rStyle w:val="IndexLink"/>
                <w:rtl w:val="true"/>
              </w:rPr>
              <w:tab/>
            </w:r>
            <w:r>
              <w:rPr>
                <w:rStyle w:val="IndexLink"/>
              </w:rPr>
              <w:t>157</w:t>
            </w:r>
          </w:hyperlink>
        </w:p>
        <w:p>
          <w:pPr>
            <w:pStyle w:val="Contents4"/>
            <w:tabs>
              <w:tab w:val="clear" w:pos="8176"/>
              <w:tab w:val="right" w:pos="9026" w:leader="dot"/>
            </w:tabs>
            <w:rPr/>
          </w:pPr>
          <w:hyperlink w:anchor="__RefHeading___Toc907092_1468164448">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907094_1468164448">
            <w:r>
              <w:rPr>
                <w:webHidden/>
                <w:rStyle w:val="IndexLink"/>
                <w:rtl w:val="true"/>
              </w:rPr>
              <w:t>الجهة الأولی</w:t>
            </w:r>
            <w:r>
              <w:rPr>
                <w:rStyle w:val="IndexLink"/>
                <w:rtl w:val="true"/>
              </w:rPr>
              <w:t xml:space="preserve">: </w:t>
            </w:r>
            <w:r>
              <w:rPr>
                <w:rStyle w:val="IndexLink"/>
                <w:rtl w:val="true"/>
              </w:rPr>
              <w:t>الأقوال فی القاعدة</w:t>
            </w:r>
            <w:r>
              <w:rPr>
                <w:rStyle w:val="IndexLink"/>
                <w:rtl w:val="true"/>
              </w:rPr>
              <w:t>:</w:t>
              <w:tab/>
            </w:r>
            <w:r>
              <w:rPr>
                <w:rStyle w:val="IndexLink"/>
              </w:rPr>
              <w:t>157</w:t>
            </w:r>
          </w:hyperlink>
        </w:p>
        <w:p>
          <w:pPr>
            <w:pStyle w:val="Contents4"/>
            <w:tabs>
              <w:tab w:val="clear" w:pos="8176"/>
              <w:tab w:val="right" w:pos="9026" w:leader="dot"/>
            </w:tabs>
            <w:rPr/>
          </w:pPr>
          <w:hyperlink w:anchor="__RefHeading___Toc907096_1468164448">
            <w:r>
              <w:rPr>
                <w:webHidden/>
                <w:rStyle w:val="IndexLink"/>
                <w:rtl w:val="true"/>
              </w:rPr>
              <w:t>الجهة الثانیة</w:t>
            </w:r>
            <w:r>
              <w:rPr>
                <w:rStyle w:val="IndexLink"/>
                <w:rtl w:val="true"/>
              </w:rPr>
              <w:t xml:space="preserve">: </w:t>
            </w:r>
            <w:r>
              <w:rPr>
                <w:rStyle w:val="IndexLink"/>
                <w:rtl w:val="true"/>
              </w:rPr>
              <w:t>أدلة القاعدة</w:t>
            </w:r>
            <w:r>
              <w:rPr>
                <w:rStyle w:val="IndexLink"/>
                <w:rtl w:val="true"/>
              </w:rPr>
              <w:t>:</w:t>
              <w:tab/>
            </w:r>
            <w:r>
              <w:rPr>
                <w:rStyle w:val="IndexLink"/>
              </w:rPr>
              <w:t>158</w:t>
            </w:r>
          </w:hyperlink>
        </w:p>
        <w:p>
          <w:pPr>
            <w:pStyle w:val="Contents5"/>
            <w:tabs>
              <w:tab w:val="clear" w:pos="7892"/>
              <w:tab w:val="right" w:pos="9026" w:leader="dot"/>
            </w:tabs>
            <w:rPr/>
          </w:pPr>
          <w:hyperlink w:anchor="__RefHeading___Toc907098_1468164448">
            <w:r>
              <w:rPr>
                <w:webHidden/>
                <w:rStyle w:val="IndexLink"/>
                <w:rtl w:val="true"/>
              </w:rPr>
              <w:t>الدلیل الأوّل</w:t>
            </w:r>
            <w:r>
              <w:rPr>
                <w:rStyle w:val="IndexLink"/>
                <w:rtl w:val="true"/>
              </w:rPr>
              <w:t>:</w:t>
              <w:tab/>
            </w:r>
            <w:r>
              <w:rPr>
                <w:rStyle w:val="IndexLink"/>
              </w:rPr>
              <w:t>158</w:t>
            </w:r>
          </w:hyperlink>
        </w:p>
        <w:p>
          <w:pPr>
            <w:pStyle w:val="Contents5"/>
            <w:tabs>
              <w:tab w:val="clear" w:pos="7892"/>
              <w:tab w:val="right" w:pos="9026" w:leader="dot"/>
            </w:tabs>
            <w:rPr/>
          </w:pPr>
          <w:hyperlink w:anchor="__RefHeading___Toc907100_1468164448">
            <w:r>
              <w:rPr>
                <w:webHidden/>
                <w:rStyle w:val="IndexLink"/>
                <w:rtl w:val="true"/>
              </w:rPr>
              <w:t>الدلیل الثانی</w:t>
            </w:r>
            <w:r>
              <w:rPr>
                <w:rStyle w:val="IndexLink"/>
                <w:rtl w:val="true"/>
              </w:rPr>
              <w:t xml:space="preserve">: </w:t>
            </w:r>
            <w:r>
              <w:rPr>
                <w:rStyle w:val="IndexLink"/>
                <w:rtl w:val="true"/>
              </w:rPr>
              <w:t>إنَّ قبول قولها من باب أنَّ من ادعی أمراً ممکناً بلا معارض یقبل قوله</w:t>
            </w:r>
            <w:r>
              <w:rPr>
                <w:rStyle w:val="IndexLink"/>
                <w:rtl w:val="true"/>
              </w:rPr>
              <w:t>:</w:t>
              <w:tab/>
            </w:r>
            <w:r>
              <w:rPr>
                <w:rStyle w:val="IndexLink"/>
              </w:rPr>
              <w:t>158</w:t>
            </w:r>
          </w:hyperlink>
        </w:p>
        <w:p>
          <w:pPr>
            <w:pStyle w:val="Contents5"/>
            <w:tabs>
              <w:tab w:val="clear" w:pos="7892"/>
              <w:tab w:val="right" w:pos="9026" w:leader="dot"/>
            </w:tabs>
            <w:rPr/>
          </w:pPr>
          <w:hyperlink w:anchor="__RefHeading___Toc907102_1468164448">
            <w:r>
              <w:rPr>
                <w:webHidden/>
                <w:rStyle w:val="IndexLink"/>
                <w:rtl w:val="true"/>
              </w:rPr>
              <w:t>الدلیل الثالث</w:t>
            </w:r>
            <w:r>
              <w:rPr>
                <w:rStyle w:val="IndexLink"/>
                <w:rtl w:val="true"/>
              </w:rPr>
              <w:t xml:space="preserve">: </w:t>
            </w:r>
            <w:r>
              <w:rPr>
                <w:rStyle w:val="IndexLink"/>
                <w:rtl w:val="true"/>
              </w:rPr>
              <w:t>أن قبول قولها إنما هو صغری لکبری</w:t>
            </w:r>
            <w:r>
              <w:rPr>
                <w:rStyle w:val="IndexLink"/>
                <w:rtl w:val="true"/>
              </w:rPr>
              <w:t>:</w:t>
              <w:tab/>
            </w:r>
            <w:r>
              <w:rPr>
                <w:rStyle w:val="IndexLink"/>
              </w:rPr>
              <w:t>159</w:t>
            </w:r>
          </w:hyperlink>
        </w:p>
        <w:p>
          <w:pPr>
            <w:pStyle w:val="Contents5"/>
            <w:tabs>
              <w:tab w:val="clear" w:pos="7892"/>
              <w:tab w:val="right" w:pos="9026" w:leader="dot"/>
            </w:tabs>
            <w:rPr/>
          </w:pPr>
          <w:hyperlink w:anchor="__RefHeading___Toc907104_1468164448">
            <w:r>
              <w:rPr>
                <w:webHidden/>
                <w:rStyle w:val="IndexLink"/>
                <w:rtl w:val="true"/>
              </w:rPr>
              <w:t>الدلیل الرابع</w:t>
            </w:r>
            <w:r>
              <w:rPr>
                <w:rStyle w:val="IndexLink"/>
                <w:rtl w:val="true"/>
              </w:rPr>
              <w:t xml:space="preserve">: </w:t>
            </w:r>
            <w:r>
              <w:rPr>
                <w:rStyle w:val="IndexLink"/>
                <w:rtl w:val="true"/>
              </w:rPr>
              <w:t>أنَّها مصدقة علی نفسها</w:t>
            </w:r>
            <w:r>
              <w:rPr>
                <w:rStyle w:val="IndexLink"/>
                <w:rtl w:val="true"/>
              </w:rPr>
              <w:t>:</w:t>
              <w:tab/>
            </w:r>
            <w:r>
              <w:rPr>
                <w:rStyle w:val="IndexLink"/>
              </w:rPr>
              <w:t>159</w:t>
            </w:r>
          </w:hyperlink>
        </w:p>
        <w:p>
          <w:pPr>
            <w:pStyle w:val="Contents5"/>
            <w:tabs>
              <w:tab w:val="clear" w:pos="7892"/>
              <w:tab w:val="right" w:pos="9026" w:leader="dot"/>
            </w:tabs>
            <w:rPr/>
          </w:pPr>
          <w:hyperlink w:anchor="__RefHeading___Toc907106_1468164448">
            <w:r>
              <w:rPr>
                <w:webHidden/>
                <w:rStyle w:val="IndexLink"/>
                <w:rtl w:val="true"/>
              </w:rPr>
              <w:t>الدلیل الخامس</w:t>
            </w:r>
            <w:r>
              <w:rPr>
                <w:rStyle w:val="IndexLink"/>
                <w:rtl w:val="true"/>
              </w:rPr>
              <w:t xml:space="preserve">: </w:t>
            </w:r>
            <w:r>
              <w:rPr>
                <w:rStyle w:val="IndexLink"/>
                <w:rtl w:val="true"/>
              </w:rPr>
              <w:t xml:space="preserve">ان عدم قبول قولها یوجب وقوعها فی الضرر والحرج المنفیین شرعا </w:t>
            </w:r>
            <w:r>
              <w:rPr>
                <w:rStyle w:val="IndexLink"/>
                <w:rtl w:val="true"/>
              </w:rPr>
              <w:t>.</w:t>
              <w:tab/>
            </w:r>
            <w:r>
              <w:rPr>
                <w:rStyle w:val="IndexLink"/>
              </w:rPr>
              <w:t>159</w:t>
            </w:r>
          </w:hyperlink>
        </w:p>
        <w:p>
          <w:pPr>
            <w:pStyle w:val="Contents5"/>
            <w:tabs>
              <w:tab w:val="clear" w:pos="7892"/>
              <w:tab w:val="right" w:pos="9026" w:leader="dot"/>
            </w:tabs>
            <w:rPr/>
          </w:pPr>
          <w:hyperlink w:anchor="__RefHeading___Toc907108_1468164448">
            <w:r>
              <w:rPr>
                <w:webHidden/>
                <w:rStyle w:val="IndexLink"/>
                <w:rtl w:val="true"/>
              </w:rPr>
              <w:t>الدلیل السادس</w:t>
            </w:r>
            <w:r>
              <w:rPr>
                <w:rStyle w:val="IndexLink"/>
                <w:rtl w:val="true"/>
              </w:rPr>
              <w:t xml:space="preserve">: </w:t>
            </w:r>
            <w:r>
              <w:rPr>
                <w:rStyle w:val="IndexLink"/>
                <w:rtl w:val="true"/>
              </w:rPr>
              <w:t>هو النصوص الواردة فی جملة من الأبواب</w:t>
            </w:r>
            <w:r>
              <w:rPr>
                <w:rStyle w:val="IndexLink"/>
                <w:rtl w:val="true"/>
              </w:rPr>
              <w:t>:</w:t>
              <w:tab/>
            </w:r>
            <w:r>
              <w:rPr>
                <w:rStyle w:val="IndexLink"/>
              </w:rPr>
              <w:t>160</w:t>
            </w:r>
          </w:hyperlink>
        </w:p>
        <w:p>
          <w:pPr>
            <w:pStyle w:val="Contents4"/>
            <w:tabs>
              <w:tab w:val="clear" w:pos="8176"/>
              <w:tab w:val="right" w:pos="9026" w:leader="dot"/>
            </w:tabs>
            <w:rPr/>
          </w:pPr>
          <w:hyperlink w:anchor="__RefHeading___Toc907110_1468164448">
            <w:r>
              <w:rPr>
                <w:webHidden/>
                <w:rStyle w:val="IndexLink"/>
                <w:rtl w:val="true"/>
              </w:rPr>
              <w:t>الجهة الثالثة</w:t>
            </w:r>
            <w:r>
              <w:rPr>
                <w:rStyle w:val="IndexLink"/>
                <w:rtl w:val="true"/>
              </w:rPr>
              <w:t xml:space="preserve">: </w:t>
            </w:r>
            <w:r>
              <w:rPr>
                <w:rStyle w:val="IndexLink"/>
                <w:rtl w:val="true"/>
              </w:rPr>
              <w:t>المحصّل مما تقدّم فی موضوع القاعدة</w:t>
            </w:r>
            <w:r>
              <w:rPr>
                <w:rStyle w:val="IndexLink"/>
                <w:rtl w:val="true"/>
              </w:rPr>
              <w:t>:</w:t>
              <w:tab/>
            </w:r>
            <w:r>
              <w:rPr>
                <w:rStyle w:val="IndexLink"/>
              </w:rPr>
              <w:t>162</w:t>
            </w:r>
          </w:hyperlink>
        </w:p>
        <w:p>
          <w:pPr>
            <w:pStyle w:val="Contents2"/>
            <w:tabs>
              <w:tab w:val="clear" w:pos="8743"/>
              <w:tab w:val="right" w:pos="9026" w:leader="dot"/>
            </w:tabs>
            <w:rPr/>
          </w:pPr>
          <w:hyperlink w:anchor="__RefHeading___Toc907112_1468164448">
            <w:r>
              <w:rPr>
                <w:webHidden/>
                <w:rStyle w:val="IndexLink"/>
                <w:rtl w:val="true"/>
              </w:rPr>
              <w:t>قاعدة</w:t>
            </w:r>
            <w:r>
              <w:rPr>
                <w:rStyle w:val="IndexLink"/>
                <w:rtl w:val="true"/>
              </w:rPr>
              <w:t>:</w:t>
            </w:r>
            <w:r>
              <w:rPr>
                <w:rStyle w:val="IndexLink"/>
                <w:rtl w:val="true"/>
              </w:rPr>
              <w:t>حرمة تلذذ غیر الزوجین ببعضهما</w:t>
            </w:r>
            <w:r>
              <w:rPr>
                <w:rStyle w:val="IndexLink"/>
                <w:rtl w:val="true"/>
              </w:rPr>
              <w:tab/>
            </w:r>
            <w:r>
              <w:rPr>
                <w:rStyle w:val="IndexLink"/>
              </w:rPr>
              <w:t>164</w:t>
            </w:r>
          </w:hyperlink>
        </w:p>
        <w:p>
          <w:pPr>
            <w:pStyle w:val="Contents3"/>
            <w:tabs>
              <w:tab w:val="clear" w:pos="8459"/>
              <w:tab w:val="right" w:pos="9026" w:leader="dot"/>
            </w:tabs>
            <w:rPr/>
          </w:pPr>
          <w:hyperlink w:anchor="__RefHeading___Toc907114_1468164448">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907116_1468164448">
            <w:r>
              <w:rPr>
                <w:webHidden/>
                <w:rStyle w:val="IndexLink"/>
                <w:rtl w:val="true"/>
              </w:rPr>
              <w:t>من قواعد باب النکاح</w:t>
            </w:r>
            <w:r>
              <w:rPr>
                <w:rStyle w:val="IndexLink"/>
                <w:rtl w:val="true"/>
              </w:rPr>
              <w:t>:</w:t>
            </w:r>
            <w:r>
              <w:rPr>
                <w:rStyle w:val="IndexLink"/>
                <w:rtl w:val="true"/>
              </w:rPr>
              <w:t>حرمة تلذذ غیر الزوجین ببعضهما</w:t>
            </w:r>
            <w:r>
              <w:rPr>
                <w:rStyle w:val="IndexLink"/>
                <w:rtl w:val="true"/>
              </w:rPr>
              <w:tab/>
            </w:r>
            <w:r>
              <w:rPr>
                <w:rStyle w:val="IndexLink"/>
              </w:rPr>
              <w:t>165</w:t>
            </w:r>
          </w:hyperlink>
        </w:p>
        <w:p>
          <w:pPr>
            <w:pStyle w:val="Contents4"/>
            <w:tabs>
              <w:tab w:val="clear" w:pos="8176"/>
              <w:tab w:val="right" w:pos="9026" w:leader="dot"/>
            </w:tabs>
            <w:rPr/>
          </w:pPr>
          <w:hyperlink w:anchor="__RefHeading___Toc907118_1468164448">
            <w:r>
              <w:rPr>
                <w:webHidden/>
                <w:rStyle w:val="IndexLink"/>
                <w:rtl w:val="true"/>
              </w:rPr>
              <w:t>أدلة القاعدة</w:t>
            </w:r>
            <w:r>
              <w:rPr>
                <w:rStyle w:val="IndexLink"/>
                <w:rtl w:val="true"/>
              </w:rPr>
              <w:t>:</w:t>
              <w:tab/>
            </w:r>
            <w:r>
              <w:rPr>
                <w:rStyle w:val="IndexLink"/>
              </w:rPr>
              <w:t>165</w:t>
            </w:r>
          </w:hyperlink>
        </w:p>
        <w:p>
          <w:pPr>
            <w:pStyle w:val="Contents5"/>
            <w:tabs>
              <w:tab w:val="clear" w:pos="7892"/>
              <w:tab w:val="right" w:pos="9026" w:leader="dot"/>
            </w:tabs>
            <w:rPr/>
          </w:pPr>
          <w:hyperlink w:anchor="__RefHeading___Toc907120_1468164448">
            <w:r>
              <w:rPr>
                <w:webHidden/>
                <w:rStyle w:val="IndexLink"/>
                <w:rtl w:val="true"/>
              </w:rPr>
              <w:t>الدلیل الأول</w:t>
            </w:r>
            <w:r>
              <w:rPr>
                <w:rStyle w:val="IndexLink"/>
                <w:rtl w:val="true"/>
              </w:rPr>
              <w:t xml:space="preserve">: </w:t>
            </w:r>
            <w:r>
              <w:rPr>
                <w:rStyle w:val="IndexLink"/>
                <w:rtl w:val="true"/>
              </w:rPr>
              <w:t>الآیات القرآنیة</w:t>
            </w:r>
            <w:r>
              <w:rPr>
                <w:rStyle w:val="IndexLink"/>
                <w:rtl w:val="true"/>
              </w:rPr>
              <w:t>:</w:t>
              <w:tab/>
            </w:r>
            <w:r>
              <w:rPr>
                <w:rStyle w:val="IndexLink"/>
              </w:rPr>
              <w:t>165</w:t>
            </w:r>
          </w:hyperlink>
        </w:p>
        <w:p>
          <w:pPr>
            <w:pStyle w:val="Contents5"/>
            <w:tabs>
              <w:tab w:val="clear" w:pos="7892"/>
              <w:tab w:val="right" w:pos="9026" w:leader="dot"/>
            </w:tabs>
            <w:rPr/>
          </w:pPr>
          <w:hyperlink w:anchor="__RefHeading___Toc907122_1468164448">
            <w:r>
              <w:rPr>
                <w:webHidden/>
                <w:rStyle w:val="IndexLink"/>
                <w:rtl w:val="true"/>
              </w:rPr>
              <w:t>الدلیل الثانی</w:t>
            </w:r>
            <w:r>
              <w:rPr>
                <w:rStyle w:val="IndexLink"/>
                <w:rtl w:val="true"/>
              </w:rPr>
              <w:t xml:space="preserve">: </w:t>
            </w:r>
            <w:r>
              <w:rPr>
                <w:rStyle w:val="IndexLink"/>
                <w:rtl w:val="true"/>
              </w:rPr>
              <w:t>الروایات</w:t>
            </w:r>
            <w:r>
              <w:rPr>
                <w:rStyle w:val="IndexLink"/>
                <w:rtl w:val="true"/>
              </w:rPr>
              <w:t>:</w:t>
              <w:tab/>
            </w:r>
            <w:r>
              <w:rPr>
                <w:rStyle w:val="IndexLink"/>
              </w:rPr>
              <w:t>168</w:t>
            </w:r>
          </w:hyperlink>
        </w:p>
        <w:p>
          <w:pPr>
            <w:pStyle w:val="Contents2"/>
            <w:tabs>
              <w:tab w:val="clear" w:pos="8743"/>
              <w:tab w:val="right" w:pos="9026" w:leader="dot"/>
            </w:tabs>
            <w:rPr/>
          </w:pPr>
          <w:hyperlink w:anchor="__RefHeading___Toc907124_1468164448">
            <w:r>
              <w:rPr>
                <w:webHidden/>
                <w:rStyle w:val="IndexLink"/>
                <w:rtl w:val="true"/>
              </w:rPr>
              <w:t>قاعدة</w:t>
            </w:r>
            <w:r>
              <w:rPr>
                <w:rStyle w:val="IndexLink"/>
                <w:rtl w:val="true"/>
              </w:rPr>
              <w:t>:</w:t>
            </w:r>
            <w:r>
              <w:rPr>
                <w:rStyle w:val="IndexLink"/>
                <w:rtl w:val="true"/>
              </w:rPr>
              <w:t>فی وحدة ماهیة النکاح</w:t>
            </w:r>
            <w:r>
              <w:rPr>
                <w:rStyle w:val="IndexLink"/>
                <w:rtl w:val="true"/>
              </w:rPr>
              <w:tab/>
            </w:r>
            <w:r>
              <w:rPr>
                <w:rStyle w:val="IndexLink"/>
              </w:rPr>
              <w:t>174</w:t>
            </w:r>
          </w:hyperlink>
        </w:p>
        <w:p>
          <w:pPr>
            <w:pStyle w:val="Contents3"/>
            <w:tabs>
              <w:tab w:val="clear" w:pos="8459"/>
              <w:tab w:val="right" w:pos="9026" w:leader="dot"/>
            </w:tabs>
            <w:rPr/>
          </w:pPr>
          <w:hyperlink w:anchor="__RefHeading___Toc907126_1468164448">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907128_1468164448">
            <w:r>
              <w:rPr>
                <w:webHidden/>
                <w:rStyle w:val="IndexLink"/>
                <w:rtl w:val="true"/>
              </w:rPr>
              <w:t>من قواعد باب النکاح</w:t>
            </w:r>
            <w:r>
              <w:rPr>
                <w:rStyle w:val="IndexLink"/>
                <w:rtl w:val="true"/>
              </w:rPr>
              <w:t>:</w:t>
            </w:r>
            <w:r>
              <w:rPr>
                <w:rStyle w:val="IndexLink"/>
                <w:rtl w:val="true"/>
              </w:rPr>
              <w:t>فی وحدة ماهیة النکاح</w:t>
            </w:r>
            <w:r>
              <w:rPr>
                <w:rStyle w:val="IndexLink"/>
                <w:rtl w:val="true"/>
              </w:rPr>
              <w:tab/>
            </w:r>
            <w:r>
              <w:rPr>
                <w:rStyle w:val="IndexLink"/>
              </w:rPr>
              <w:t>175</w:t>
            </w:r>
          </w:hyperlink>
        </w:p>
        <w:p>
          <w:pPr>
            <w:pStyle w:val="Contents4"/>
            <w:tabs>
              <w:tab w:val="clear" w:pos="8176"/>
              <w:tab w:val="right" w:pos="9026" w:leader="dot"/>
            </w:tabs>
            <w:rPr/>
          </w:pPr>
          <w:hyperlink w:anchor="__RefHeading___Toc907130_1468164448">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907132_1468164448">
            <w:r>
              <w:rPr>
                <w:webHidden/>
                <w:rStyle w:val="IndexLink"/>
                <w:rtl w:val="true"/>
              </w:rPr>
              <w:t>الجهة الأولی</w:t>
            </w:r>
            <w:r>
              <w:rPr>
                <w:rStyle w:val="IndexLink"/>
                <w:rtl w:val="true"/>
              </w:rPr>
              <w:t xml:space="preserve">: </w:t>
            </w:r>
            <w:r>
              <w:rPr>
                <w:rStyle w:val="IndexLink"/>
                <w:rtl w:val="true"/>
              </w:rPr>
              <w:t>الأقوال فی القاعدة</w:t>
            </w:r>
            <w:r>
              <w:rPr>
                <w:rStyle w:val="IndexLink"/>
                <w:rtl w:val="true"/>
              </w:rPr>
              <w:t>:</w:t>
              <w:tab/>
            </w:r>
            <w:r>
              <w:rPr>
                <w:rStyle w:val="IndexLink"/>
              </w:rPr>
              <w:t>175</w:t>
            </w:r>
          </w:hyperlink>
        </w:p>
        <w:p>
          <w:pPr>
            <w:pStyle w:val="Contents4"/>
            <w:tabs>
              <w:tab w:val="clear" w:pos="8176"/>
              <w:tab w:val="right" w:pos="9026" w:leader="dot"/>
            </w:tabs>
            <w:rPr/>
          </w:pPr>
          <w:hyperlink w:anchor="__RefHeading___Toc907134_1468164448">
            <w:r>
              <w:rPr>
                <w:webHidden/>
                <w:rStyle w:val="IndexLink"/>
                <w:rtl w:val="true"/>
              </w:rPr>
              <w:t>الجهة الثانیة</w:t>
            </w:r>
            <w:r>
              <w:rPr>
                <w:rStyle w:val="IndexLink"/>
                <w:rtl w:val="true"/>
              </w:rPr>
              <w:t xml:space="preserve">: </w:t>
            </w:r>
            <w:r>
              <w:rPr>
                <w:rStyle w:val="IndexLink"/>
                <w:rtl w:val="true"/>
              </w:rPr>
              <w:t>الأدلة</w:t>
            </w:r>
            <w:r>
              <w:rPr>
                <w:rStyle w:val="IndexLink"/>
                <w:rtl w:val="true"/>
              </w:rPr>
              <w:t>:</w:t>
              <w:tab/>
            </w:r>
            <w:r>
              <w:rPr>
                <w:rStyle w:val="IndexLink"/>
              </w:rPr>
              <w:t>177</w:t>
            </w:r>
          </w:hyperlink>
        </w:p>
        <w:p>
          <w:pPr>
            <w:pStyle w:val="Contents4"/>
            <w:tabs>
              <w:tab w:val="clear" w:pos="8176"/>
              <w:tab w:val="right" w:pos="9026" w:leader="dot"/>
            </w:tabs>
            <w:rPr/>
          </w:pPr>
          <w:hyperlink w:anchor="__RefHeading___Toc907136_1468164448">
            <w:r>
              <w:rPr>
                <w:webHidden/>
                <w:rStyle w:val="IndexLink"/>
                <w:rtl w:val="true"/>
              </w:rPr>
              <w:t>فائدة</w:t>
            </w:r>
            <w:r>
              <w:rPr>
                <w:rStyle w:val="IndexLink"/>
                <w:rtl w:val="true"/>
              </w:rPr>
              <w:t xml:space="preserve">: </w:t>
            </w:r>
            <w:r>
              <w:rPr>
                <w:rStyle w:val="IndexLink"/>
                <w:rtl w:val="true"/>
              </w:rPr>
              <w:t>حقیقة توالد العقود</w:t>
            </w:r>
            <w:r>
              <w:rPr>
                <w:rStyle w:val="IndexLink"/>
                <w:rtl w:val="true"/>
              </w:rPr>
              <w:t>:</w:t>
              <w:tab/>
            </w:r>
            <w:r>
              <w:rPr>
                <w:rStyle w:val="IndexLink"/>
              </w:rPr>
              <w:t>179</w:t>
            </w:r>
          </w:hyperlink>
        </w:p>
        <w:p>
          <w:pPr>
            <w:pStyle w:val="Contents4"/>
            <w:tabs>
              <w:tab w:val="clear" w:pos="8176"/>
              <w:tab w:val="right" w:pos="9026" w:leader="dot"/>
            </w:tabs>
            <w:rPr/>
          </w:pPr>
          <w:hyperlink w:anchor="__RefHeading___Toc907138_1468164448">
            <w:r>
              <w:rPr>
                <w:webHidden/>
                <w:rStyle w:val="IndexLink"/>
                <w:rtl w:val="true"/>
              </w:rPr>
              <w:t>وأما الروایات فعلی طوائف</w:t>
            </w:r>
            <w:r>
              <w:rPr>
                <w:rStyle w:val="IndexLink"/>
                <w:rtl w:val="true"/>
              </w:rPr>
              <w:t>:</w:t>
              <w:tab/>
            </w:r>
            <w:r>
              <w:rPr>
                <w:rStyle w:val="IndexLink"/>
              </w:rPr>
              <w:t>182</w:t>
            </w:r>
          </w:hyperlink>
        </w:p>
        <w:p>
          <w:pPr>
            <w:pStyle w:val="Contents2"/>
            <w:tabs>
              <w:tab w:val="clear" w:pos="8743"/>
              <w:tab w:val="right" w:pos="9026" w:leader="dot"/>
            </w:tabs>
            <w:rPr/>
          </w:pPr>
          <w:hyperlink w:anchor="__RefHeading___Toc907140_1468164448">
            <w:r>
              <w:rPr>
                <w:webHidden/>
                <w:rStyle w:val="IndexLink"/>
                <w:rtl w:val="true"/>
              </w:rPr>
              <w:t>قاعدة</w:t>
            </w:r>
            <w:r>
              <w:rPr>
                <w:rStyle w:val="IndexLink"/>
                <w:rtl w:val="true"/>
              </w:rPr>
              <w:t>:</w:t>
            </w:r>
            <w:r>
              <w:rPr>
                <w:rStyle w:val="IndexLink"/>
                <w:rtl w:val="true"/>
              </w:rPr>
              <w:t>فی تداخل العدد</w:t>
            </w:r>
            <w:r>
              <w:rPr>
                <w:rStyle w:val="IndexLink"/>
                <w:rtl w:val="true"/>
              </w:rPr>
              <w:tab/>
            </w:r>
            <w:r>
              <w:rPr>
                <w:rStyle w:val="IndexLink"/>
              </w:rPr>
              <w:t>190</w:t>
            </w:r>
          </w:hyperlink>
        </w:p>
        <w:p>
          <w:pPr>
            <w:pStyle w:val="Contents3"/>
            <w:tabs>
              <w:tab w:val="clear" w:pos="8459"/>
              <w:tab w:val="right" w:pos="9026" w:leader="dot"/>
            </w:tabs>
            <w:rPr/>
          </w:pPr>
          <w:hyperlink w:anchor="__RefHeading___Toc907142_1468164448">
            <w:r>
              <w:rPr>
                <w:webHidden/>
                <w:rStyle w:val="IndexLink"/>
                <w:rtl w:val="true"/>
              </w:rPr>
              <w:t>اشارة</w:t>
            </w:r>
            <w:r>
              <w:rPr>
                <w:rStyle w:val="IndexLink"/>
                <w:rtl w:val="true"/>
              </w:rPr>
              <w:tab/>
            </w:r>
            <w:r>
              <w:rPr>
                <w:rStyle w:val="IndexLink"/>
              </w:rPr>
              <w:t>190</w:t>
            </w:r>
          </w:hyperlink>
        </w:p>
        <w:p>
          <w:pPr>
            <w:pStyle w:val="Contents3"/>
            <w:tabs>
              <w:tab w:val="clear" w:pos="8459"/>
              <w:tab w:val="right" w:pos="9026" w:leader="dot"/>
            </w:tabs>
            <w:rPr/>
          </w:pPr>
          <w:hyperlink w:anchor="__RefHeading___Toc907144_1468164448">
            <w:r>
              <w:rPr>
                <w:webHidden/>
                <w:rStyle w:val="IndexLink"/>
                <w:rtl w:val="true"/>
              </w:rPr>
              <w:t>من قواعد باب النکاح</w:t>
            </w:r>
            <w:r>
              <w:rPr>
                <w:rStyle w:val="IndexLink"/>
                <w:rtl w:val="true"/>
              </w:rPr>
              <w:t>:</w:t>
            </w:r>
            <w:r>
              <w:rPr>
                <w:rStyle w:val="IndexLink"/>
                <w:rtl w:val="true"/>
              </w:rPr>
              <w:t>فی تداخل العدد</w:t>
            </w:r>
            <w:r>
              <w:rPr>
                <w:rStyle w:val="IndexLink"/>
                <w:rtl w:val="true"/>
              </w:rPr>
              <w:tab/>
            </w:r>
            <w:r>
              <w:rPr>
                <w:rStyle w:val="IndexLink"/>
              </w:rPr>
              <w:t>191</w:t>
            </w:r>
          </w:hyperlink>
        </w:p>
        <w:p>
          <w:pPr>
            <w:pStyle w:val="Contents4"/>
            <w:tabs>
              <w:tab w:val="clear" w:pos="8176"/>
              <w:tab w:val="right" w:pos="9026" w:leader="dot"/>
            </w:tabs>
            <w:rPr/>
          </w:pPr>
          <w:hyperlink w:anchor="__RefHeading___Toc907146_1468164448">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907148_1468164448">
            <w:r>
              <w:rPr>
                <w:webHidden/>
                <w:rStyle w:val="IndexLink"/>
                <w:rtl w:val="true"/>
              </w:rPr>
              <w:t>الأمر الأوّل</w:t>
            </w:r>
            <w:r>
              <w:rPr>
                <w:rStyle w:val="IndexLink"/>
                <w:rtl w:val="true"/>
              </w:rPr>
              <w:t xml:space="preserve">: </w:t>
            </w:r>
            <w:r>
              <w:rPr>
                <w:rStyle w:val="IndexLink"/>
                <w:rtl w:val="true"/>
              </w:rPr>
              <w:t>تداخل العدد ذات الأسباب المختلفة</w:t>
            </w:r>
            <w:r>
              <w:rPr>
                <w:rStyle w:val="IndexLink"/>
                <w:rtl w:val="true"/>
              </w:rPr>
              <w:t>:</w:t>
              <w:tab/>
            </w:r>
            <w:r>
              <w:rPr>
                <w:rStyle w:val="IndexLink"/>
              </w:rPr>
              <w:t>191</w:t>
            </w:r>
          </w:hyperlink>
        </w:p>
        <w:p>
          <w:pPr>
            <w:pStyle w:val="Contents4"/>
            <w:tabs>
              <w:tab w:val="clear" w:pos="8176"/>
              <w:tab w:val="right" w:pos="9026" w:leader="dot"/>
            </w:tabs>
            <w:rPr/>
          </w:pPr>
          <w:hyperlink w:anchor="__RefHeading___Toc907150_1468164448">
            <w:r>
              <w:rPr>
                <w:webHidden/>
                <w:rStyle w:val="IndexLink"/>
                <w:rtl w:val="true"/>
              </w:rPr>
              <w:t>الأمر الثانی</w:t>
            </w:r>
            <w:r>
              <w:rPr>
                <w:rStyle w:val="IndexLink"/>
                <w:rtl w:val="true"/>
              </w:rPr>
              <w:t xml:space="preserve">: </w:t>
            </w:r>
            <w:r>
              <w:rPr>
                <w:rStyle w:val="IndexLink"/>
                <w:rtl w:val="true"/>
              </w:rPr>
              <w:t>تحریر القاعدة</w:t>
            </w:r>
            <w:r>
              <w:rPr>
                <w:rStyle w:val="IndexLink"/>
                <w:rtl w:val="true"/>
              </w:rPr>
              <w:t>:</w:t>
              <w:tab/>
            </w:r>
            <w:r>
              <w:rPr>
                <w:rStyle w:val="IndexLink"/>
              </w:rPr>
              <w:t>192</w:t>
            </w:r>
          </w:hyperlink>
        </w:p>
        <w:p>
          <w:pPr>
            <w:pStyle w:val="Contents4"/>
            <w:tabs>
              <w:tab w:val="clear" w:pos="8176"/>
              <w:tab w:val="right" w:pos="9026" w:leader="dot"/>
            </w:tabs>
            <w:rPr/>
          </w:pPr>
          <w:hyperlink w:anchor="__RefHeading___Toc907152_1468164448">
            <w:r>
              <w:rPr>
                <w:webHidden/>
                <w:rStyle w:val="IndexLink"/>
                <w:rtl w:val="true"/>
              </w:rPr>
              <w:t>الأمر الثالث</w:t>
            </w:r>
            <w:r>
              <w:rPr>
                <w:rStyle w:val="IndexLink"/>
                <w:rtl w:val="true"/>
              </w:rPr>
              <w:t xml:space="preserve">: </w:t>
            </w:r>
            <w:r>
              <w:rPr>
                <w:rStyle w:val="IndexLink"/>
                <w:rtl w:val="true"/>
              </w:rPr>
              <w:t>الروایات الواردة فی المقام</w:t>
            </w:r>
            <w:r>
              <w:rPr>
                <w:rStyle w:val="IndexLink"/>
                <w:rtl w:val="true"/>
              </w:rPr>
              <w:t>:</w:t>
              <w:tab/>
            </w:r>
            <w:r>
              <w:rPr>
                <w:rStyle w:val="IndexLink"/>
              </w:rPr>
              <w:t>193</w:t>
            </w:r>
          </w:hyperlink>
        </w:p>
        <w:p>
          <w:pPr>
            <w:pStyle w:val="Contents5"/>
            <w:tabs>
              <w:tab w:val="clear" w:pos="7892"/>
              <w:tab w:val="right" w:pos="9026" w:leader="dot"/>
            </w:tabs>
            <w:rPr/>
          </w:pPr>
          <w:hyperlink w:anchor="__RefHeading___Toc907154_1468164448">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907156_1468164448">
            <w:r>
              <w:rPr>
                <w:webHidden/>
                <w:rStyle w:val="IndexLink"/>
                <w:rtl w:val="true"/>
              </w:rPr>
              <w:t>اللسان الأول</w:t>
            </w:r>
            <w:r>
              <w:rPr>
                <w:rStyle w:val="IndexLink"/>
                <w:rtl w:val="true"/>
              </w:rPr>
              <w:t xml:space="preserve">: </w:t>
            </w:r>
            <w:r>
              <w:rPr>
                <w:rStyle w:val="IndexLink"/>
                <w:rtl w:val="true"/>
              </w:rPr>
              <w:t>عدم التداخل مطلقاً</w:t>
            </w:r>
            <w:r>
              <w:rPr>
                <w:rStyle w:val="IndexLink"/>
                <w:rtl w:val="true"/>
              </w:rPr>
              <w:t>:</w:t>
              <w:tab/>
            </w:r>
            <w:r>
              <w:rPr>
                <w:rStyle w:val="IndexLink"/>
              </w:rPr>
              <w:t>193</w:t>
            </w:r>
          </w:hyperlink>
        </w:p>
        <w:p>
          <w:pPr>
            <w:pStyle w:val="Contents5"/>
            <w:tabs>
              <w:tab w:val="clear" w:pos="7892"/>
              <w:tab w:val="right" w:pos="9026" w:leader="dot"/>
            </w:tabs>
            <w:rPr/>
          </w:pPr>
          <w:hyperlink w:anchor="__RefHeading___Toc907158_1468164448">
            <w:r>
              <w:rPr>
                <w:webHidden/>
                <w:rStyle w:val="IndexLink"/>
                <w:rtl w:val="true"/>
              </w:rPr>
              <w:t>اللسان الثانی</w:t>
            </w:r>
            <w:r>
              <w:rPr>
                <w:rStyle w:val="IndexLink"/>
                <w:rtl w:val="true"/>
              </w:rPr>
              <w:t xml:space="preserve">: </w:t>
            </w:r>
            <w:r>
              <w:rPr>
                <w:rStyle w:val="IndexLink"/>
                <w:rtl w:val="true"/>
              </w:rPr>
              <w:t>التداخل مطلقاً</w:t>
            </w:r>
            <w:r>
              <w:rPr>
                <w:rStyle w:val="IndexLink"/>
                <w:rtl w:val="true"/>
              </w:rPr>
              <w:t>:</w:t>
              <w:tab/>
            </w:r>
            <w:r>
              <w:rPr>
                <w:rStyle w:val="IndexLink"/>
              </w:rPr>
              <w:t>194</w:t>
            </w:r>
          </w:hyperlink>
        </w:p>
        <w:p>
          <w:pPr>
            <w:pStyle w:val="Contents5"/>
            <w:tabs>
              <w:tab w:val="clear" w:pos="7892"/>
              <w:tab w:val="right" w:pos="9026" w:leader="dot"/>
            </w:tabs>
            <w:rPr/>
          </w:pPr>
          <w:hyperlink w:anchor="__RefHeading___Toc907160_1468164448">
            <w:r>
              <w:rPr>
                <w:webHidden/>
                <w:rStyle w:val="IndexLink"/>
                <w:rtl w:val="true"/>
              </w:rPr>
              <w:t>اللسان الثالث</w:t>
            </w:r>
            <w:r>
              <w:rPr>
                <w:rStyle w:val="IndexLink"/>
                <w:rtl w:val="true"/>
              </w:rPr>
              <w:t xml:space="preserve">: </w:t>
            </w:r>
            <w:r>
              <w:rPr>
                <w:rStyle w:val="IndexLink"/>
                <w:rtl w:val="true"/>
              </w:rPr>
              <w:t>عدم التداخل فی صورة خاصة</w:t>
            </w:r>
            <w:r>
              <w:rPr>
                <w:rStyle w:val="IndexLink"/>
                <w:rtl w:val="true"/>
              </w:rPr>
              <w:t>:</w:t>
              <w:tab/>
            </w:r>
            <w:r>
              <w:rPr>
                <w:rStyle w:val="IndexLink"/>
              </w:rPr>
              <w:t>195</w:t>
            </w:r>
          </w:hyperlink>
        </w:p>
        <w:p>
          <w:pPr>
            <w:pStyle w:val="Contents5"/>
            <w:tabs>
              <w:tab w:val="clear" w:pos="7892"/>
              <w:tab w:val="right" w:pos="9026" w:leader="dot"/>
            </w:tabs>
            <w:rPr/>
          </w:pPr>
          <w:hyperlink w:anchor="__RefHeading___Toc907162_1468164448">
            <w:r>
              <w:rPr>
                <w:webHidden/>
                <w:rStyle w:val="IndexLink"/>
                <w:rtl w:val="true"/>
              </w:rPr>
              <w:t>اللسان الرابع</w:t>
            </w:r>
            <w:r>
              <w:rPr>
                <w:rStyle w:val="IndexLink"/>
                <w:rtl w:val="true"/>
              </w:rPr>
              <w:t xml:space="preserve">: </w:t>
            </w:r>
            <w:r>
              <w:rPr>
                <w:rStyle w:val="IndexLink"/>
                <w:rtl w:val="true"/>
              </w:rPr>
              <w:t>اعتداد الموطوءة شبهة عدّة واحدة لو طلقها زوجها</w:t>
            </w:r>
            <w:r>
              <w:rPr>
                <w:rStyle w:val="IndexLink"/>
                <w:rtl w:val="true"/>
              </w:rPr>
              <w:t>:</w:t>
              <w:tab/>
            </w:r>
            <w:r>
              <w:rPr>
                <w:rStyle w:val="IndexLink"/>
              </w:rPr>
              <w:t>197</w:t>
            </w:r>
          </w:hyperlink>
        </w:p>
        <w:p>
          <w:pPr>
            <w:pStyle w:val="Contents4"/>
            <w:tabs>
              <w:tab w:val="clear" w:pos="8176"/>
              <w:tab w:val="right" w:pos="9026" w:leader="dot"/>
            </w:tabs>
            <w:rPr/>
          </w:pPr>
          <w:hyperlink w:anchor="__RefHeading___Toc907164_1468164448">
            <w:r>
              <w:rPr>
                <w:webHidden/>
                <w:rStyle w:val="IndexLink"/>
                <w:rtl w:val="true"/>
              </w:rPr>
              <w:t>الأمر الرابع</w:t>
            </w:r>
            <w:r>
              <w:rPr>
                <w:rStyle w:val="IndexLink"/>
                <w:rtl w:val="true"/>
              </w:rPr>
              <w:t xml:space="preserve">: </w:t>
            </w:r>
            <w:r>
              <w:rPr>
                <w:rStyle w:val="IndexLink"/>
                <w:rtl w:val="true"/>
              </w:rPr>
              <w:t>تقدیم العدة التی تقدم سببها بناء علی التعدد</w:t>
            </w:r>
            <w:r>
              <w:rPr>
                <w:rStyle w:val="IndexLink"/>
                <w:rtl w:val="true"/>
              </w:rPr>
              <w:t>:</w:t>
              <w:tab/>
            </w:r>
            <w:r>
              <w:rPr>
                <w:rStyle w:val="IndexLink"/>
              </w:rPr>
              <w:t>199</w:t>
            </w:r>
          </w:hyperlink>
        </w:p>
        <w:p>
          <w:pPr>
            <w:pStyle w:val="Contents4"/>
            <w:tabs>
              <w:tab w:val="clear" w:pos="8176"/>
              <w:tab w:val="right" w:pos="9026" w:leader="dot"/>
            </w:tabs>
            <w:rPr/>
          </w:pPr>
          <w:hyperlink w:anchor="__RefHeading___Toc907166_1468164448">
            <w:r>
              <w:rPr>
                <w:webHidden/>
                <w:rStyle w:val="IndexLink"/>
                <w:rtl w:val="true"/>
              </w:rPr>
              <w:t>الأمر الخامس</w:t>
            </w:r>
            <w:r>
              <w:rPr>
                <w:rStyle w:val="IndexLink"/>
                <w:rtl w:val="true"/>
              </w:rPr>
              <w:t xml:space="preserve">: </w:t>
            </w:r>
            <w:r>
              <w:rPr>
                <w:rStyle w:val="IndexLink"/>
                <w:rtl w:val="true"/>
              </w:rPr>
              <w:t>جواز الرجوع فی العدة الرجعیة بنا ءعلی التعدد وعدمه</w:t>
            </w:r>
            <w:r>
              <w:rPr>
                <w:rStyle w:val="IndexLink"/>
                <w:rtl w:val="true"/>
              </w:rPr>
              <w:t>:</w:t>
              <w:tab/>
            </w:r>
            <w:r>
              <w:rPr>
                <w:rStyle w:val="IndexLink"/>
              </w:rPr>
              <w:t>200</w:t>
            </w:r>
          </w:hyperlink>
        </w:p>
        <w:p>
          <w:pPr>
            <w:pStyle w:val="Contents4"/>
            <w:tabs>
              <w:tab w:val="clear" w:pos="8176"/>
              <w:tab w:val="right" w:pos="9026" w:leader="dot"/>
            </w:tabs>
            <w:rPr/>
          </w:pPr>
          <w:hyperlink w:anchor="__RefHeading___Toc907168_1468164448">
            <w:r>
              <w:rPr>
                <w:webHidden/>
                <w:rStyle w:val="IndexLink"/>
                <w:rtl w:val="true"/>
              </w:rPr>
              <w:t>الأمر السادس</w:t>
            </w:r>
            <w:r>
              <w:rPr>
                <w:rStyle w:val="IndexLink"/>
                <w:rtl w:val="true"/>
              </w:rPr>
              <w:t xml:space="preserve">: </w:t>
            </w:r>
            <w:r>
              <w:rPr>
                <w:rStyle w:val="IndexLink"/>
                <w:rtl w:val="true"/>
              </w:rPr>
              <w:t>لو کانت العدة المتأخرة عدة طلاق بائن</w:t>
            </w:r>
            <w:r>
              <w:rPr>
                <w:rStyle w:val="IndexLink"/>
                <w:rtl w:val="true"/>
              </w:rPr>
              <w:t>:</w:t>
              <w:tab/>
            </w:r>
            <w:r>
              <w:rPr>
                <w:rStyle w:val="IndexLink"/>
              </w:rPr>
              <w:t>201</w:t>
            </w:r>
          </w:hyperlink>
        </w:p>
        <w:p>
          <w:pPr>
            <w:pStyle w:val="Contents4"/>
            <w:tabs>
              <w:tab w:val="clear" w:pos="8176"/>
              <w:tab w:val="right" w:pos="9026" w:leader="dot"/>
            </w:tabs>
            <w:rPr/>
          </w:pPr>
          <w:hyperlink w:anchor="__RefHeading___Toc907170_1468164448">
            <w:r>
              <w:rPr>
                <w:webHidden/>
                <w:rStyle w:val="IndexLink"/>
                <w:rtl w:val="true"/>
              </w:rPr>
              <w:t>الأمر السابع</w:t>
            </w:r>
            <w:r>
              <w:rPr>
                <w:rStyle w:val="IndexLink"/>
                <w:rtl w:val="true"/>
              </w:rPr>
              <w:t xml:space="preserve">: </w:t>
            </w:r>
            <w:r>
              <w:rPr>
                <w:rStyle w:val="IndexLink"/>
                <w:rtl w:val="true"/>
              </w:rPr>
              <w:t>لو کانت العدتان لشخص واحد</w:t>
            </w:r>
            <w:r>
              <w:rPr>
                <w:rStyle w:val="IndexLink"/>
                <w:rtl w:val="true"/>
              </w:rPr>
              <w:t>:</w:t>
              <w:tab/>
            </w:r>
            <w:r>
              <w:rPr>
                <w:rStyle w:val="IndexLink"/>
              </w:rPr>
              <w:t>202</w:t>
            </w:r>
          </w:hyperlink>
        </w:p>
        <w:p>
          <w:pPr>
            <w:pStyle w:val="Contents2"/>
            <w:tabs>
              <w:tab w:val="clear" w:pos="8743"/>
              <w:tab w:val="right" w:pos="9026" w:leader="dot"/>
            </w:tabs>
            <w:rPr/>
          </w:pPr>
          <w:hyperlink w:anchor="__RefHeading___Toc907172_1468164448">
            <w:r>
              <w:rPr>
                <w:webHidden/>
                <w:rStyle w:val="IndexLink"/>
                <w:rtl w:val="true"/>
              </w:rPr>
              <w:t>قاعدة</w:t>
            </w:r>
            <w:r>
              <w:rPr>
                <w:rStyle w:val="IndexLink"/>
                <w:rtl w:val="true"/>
              </w:rPr>
              <w:t>:</w:t>
            </w:r>
            <w:r>
              <w:rPr>
                <w:rStyle w:val="IndexLink"/>
                <w:rtl w:val="true"/>
              </w:rPr>
              <w:t>عموم حرمة المس فی الأجنبیة</w:t>
            </w:r>
            <w:r>
              <w:rPr>
                <w:rStyle w:val="IndexLink"/>
                <w:rtl w:val="true"/>
              </w:rPr>
              <w:tab/>
            </w:r>
            <w:r>
              <w:rPr>
                <w:rStyle w:val="IndexLink"/>
              </w:rPr>
              <w:t>204</w:t>
            </w:r>
          </w:hyperlink>
        </w:p>
        <w:p>
          <w:pPr>
            <w:pStyle w:val="Contents3"/>
            <w:tabs>
              <w:tab w:val="clear" w:pos="8459"/>
              <w:tab w:val="right" w:pos="9026" w:leader="dot"/>
            </w:tabs>
            <w:rPr/>
          </w:pPr>
          <w:hyperlink w:anchor="__RefHeading___Toc907174_1468164448">
            <w:r>
              <w:rPr>
                <w:webHidden/>
                <w:rStyle w:val="IndexLink"/>
                <w:rtl w:val="true"/>
              </w:rPr>
              <w:t>اشارة</w:t>
            </w:r>
            <w:r>
              <w:rPr>
                <w:rStyle w:val="IndexLink"/>
                <w:rtl w:val="true"/>
              </w:rPr>
              <w:tab/>
            </w:r>
            <w:r>
              <w:rPr>
                <w:rStyle w:val="IndexLink"/>
              </w:rPr>
              <w:t>204</w:t>
            </w:r>
          </w:hyperlink>
        </w:p>
        <w:p>
          <w:pPr>
            <w:pStyle w:val="Contents3"/>
            <w:tabs>
              <w:tab w:val="clear" w:pos="8459"/>
              <w:tab w:val="right" w:pos="9026" w:leader="dot"/>
            </w:tabs>
            <w:rPr/>
          </w:pPr>
          <w:hyperlink w:anchor="__RefHeading___Toc907176_1468164448">
            <w:r>
              <w:rPr>
                <w:webHidden/>
                <w:rStyle w:val="IndexLink"/>
                <w:rtl w:val="true"/>
              </w:rPr>
              <w:t>من قواعد باب النکاح</w:t>
            </w:r>
            <w:r>
              <w:rPr>
                <w:rStyle w:val="IndexLink"/>
                <w:rtl w:val="true"/>
              </w:rPr>
              <w:t>:</w:t>
            </w:r>
            <w:r>
              <w:rPr>
                <w:rStyle w:val="IndexLink"/>
                <w:rtl w:val="true"/>
              </w:rPr>
              <w:t>عموم حرمة اللمس فی الأجنبیة</w:t>
            </w:r>
            <w:r>
              <w:rPr>
                <w:rStyle w:val="IndexLink"/>
                <w:rtl w:val="true"/>
              </w:rPr>
              <w:tab/>
            </w:r>
            <w:r>
              <w:rPr>
                <w:rStyle w:val="IndexLink"/>
              </w:rPr>
              <w:t>205</w:t>
            </w:r>
          </w:hyperlink>
        </w:p>
        <w:p>
          <w:pPr>
            <w:pStyle w:val="Contents4"/>
            <w:tabs>
              <w:tab w:val="clear" w:pos="8176"/>
              <w:tab w:val="right" w:pos="9026" w:leader="dot"/>
            </w:tabs>
            <w:rPr/>
          </w:pPr>
          <w:hyperlink w:anchor="__RefHeading___Toc907178_1468164448">
            <w:r>
              <w:rPr>
                <w:webHidden/>
                <w:rStyle w:val="IndexLink"/>
                <w:rtl w:val="true"/>
              </w:rPr>
              <w:t>الأقوال فی القاعدة</w:t>
            </w:r>
            <w:r>
              <w:rPr>
                <w:rStyle w:val="IndexLink"/>
                <w:rtl w:val="true"/>
              </w:rPr>
              <w:t>:</w:t>
              <w:tab/>
            </w:r>
            <w:r>
              <w:rPr>
                <w:rStyle w:val="IndexLink"/>
              </w:rPr>
              <w:t>205</w:t>
            </w:r>
          </w:hyperlink>
        </w:p>
        <w:p>
          <w:pPr>
            <w:pStyle w:val="Contents4"/>
            <w:tabs>
              <w:tab w:val="clear" w:pos="8176"/>
              <w:tab w:val="right" w:pos="9026" w:leader="dot"/>
            </w:tabs>
            <w:rPr/>
          </w:pPr>
          <w:hyperlink w:anchor="__RefHeading___Toc907180_1468164448">
            <w:r>
              <w:rPr>
                <w:webHidden/>
                <w:rStyle w:val="IndexLink"/>
                <w:rtl w:val="true"/>
              </w:rPr>
              <w:t>أدلة القاعدة</w:t>
            </w:r>
            <w:r>
              <w:rPr>
                <w:rStyle w:val="IndexLink"/>
                <w:rtl w:val="true"/>
              </w:rPr>
              <w:t>:</w:t>
              <w:tab/>
            </w:r>
            <w:r>
              <w:rPr>
                <w:rStyle w:val="IndexLink"/>
              </w:rPr>
              <w:t>206</w:t>
            </w:r>
          </w:hyperlink>
        </w:p>
        <w:p>
          <w:pPr>
            <w:pStyle w:val="Contents5"/>
            <w:tabs>
              <w:tab w:val="clear" w:pos="7892"/>
              <w:tab w:val="right" w:pos="9026" w:leader="dot"/>
            </w:tabs>
            <w:rPr/>
          </w:pPr>
          <w:hyperlink w:anchor="__RefHeading___Toc907182_1468164448">
            <w:r>
              <w:rPr>
                <w:webHidden/>
                <w:rStyle w:val="IndexLink"/>
                <w:rtl w:val="true"/>
              </w:rPr>
              <w:t>اشارة</w:t>
            </w:r>
            <w:r>
              <w:rPr>
                <w:rStyle w:val="IndexLink"/>
                <w:rtl w:val="true"/>
              </w:rPr>
              <w:tab/>
            </w:r>
            <w:r>
              <w:rPr>
                <w:rStyle w:val="IndexLink"/>
              </w:rPr>
              <w:t>206</w:t>
            </w:r>
          </w:hyperlink>
        </w:p>
        <w:p>
          <w:pPr>
            <w:pStyle w:val="Contents5"/>
            <w:tabs>
              <w:tab w:val="clear" w:pos="7892"/>
              <w:tab w:val="right" w:pos="9026" w:leader="dot"/>
            </w:tabs>
            <w:rPr/>
          </w:pPr>
          <w:hyperlink w:anchor="__RefHeading___Toc907184_1468164448">
            <w:r>
              <w:rPr>
                <w:webHidden/>
                <w:rStyle w:val="IndexLink"/>
                <w:rtl w:val="true"/>
              </w:rPr>
              <w:t>الدلیل الأوّل</w:t>
            </w:r>
            <w:r>
              <w:rPr>
                <w:rStyle w:val="IndexLink"/>
                <w:rtl w:val="true"/>
              </w:rPr>
              <w:t xml:space="preserve">: </w:t>
            </w:r>
            <w:r>
              <w:rPr>
                <w:rStyle w:val="IndexLink"/>
                <w:rtl w:val="true"/>
              </w:rPr>
              <w:t>اقتضاء أدلة حرمة النظر</w:t>
            </w:r>
            <w:r>
              <w:rPr>
                <w:rStyle w:val="IndexLink"/>
                <w:rtl w:val="true"/>
              </w:rPr>
              <w:t>:</w:t>
              <w:tab/>
            </w:r>
            <w:r>
              <w:rPr>
                <w:rStyle w:val="IndexLink"/>
              </w:rPr>
              <w:t>206</w:t>
            </w:r>
          </w:hyperlink>
        </w:p>
        <w:p>
          <w:pPr>
            <w:pStyle w:val="Contents5"/>
            <w:tabs>
              <w:tab w:val="clear" w:pos="7892"/>
              <w:tab w:val="right" w:pos="9026" w:leader="dot"/>
            </w:tabs>
            <w:rPr/>
          </w:pPr>
          <w:hyperlink w:anchor="__RefHeading___Toc907186_1468164448">
            <w:r>
              <w:rPr>
                <w:webHidden/>
                <w:rStyle w:val="IndexLink"/>
                <w:rtl w:val="true"/>
              </w:rPr>
              <w:t>الدلیل الثانی</w:t>
            </w:r>
            <w:r>
              <w:rPr>
                <w:rStyle w:val="IndexLink"/>
                <w:rtl w:val="true"/>
              </w:rPr>
              <w:t xml:space="preserve">: </w:t>
            </w:r>
            <w:r>
              <w:rPr>
                <w:rStyle w:val="IndexLink"/>
                <w:rtl w:val="true"/>
              </w:rPr>
              <w:t>روایات مصافحة الأجنبیة</w:t>
            </w:r>
            <w:r>
              <w:rPr>
                <w:rStyle w:val="IndexLink"/>
                <w:rtl w:val="true"/>
              </w:rPr>
              <w:t>:</w:t>
              <w:tab/>
            </w:r>
            <w:r>
              <w:rPr>
                <w:rStyle w:val="IndexLink"/>
              </w:rPr>
              <w:t>207</w:t>
            </w:r>
          </w:hyperlink>
        </w:p>
        <w:p>
          <w:pPr>
            <w:pStyle w:val="Contents5"/>
            <w:tabs>
              <w:tab w:val="clear" w:pos="7892"/>
              <w:tab w:val="right" w:pos="9026" w:leader="dot"/>
            </w:tabs>
            <w:rPr/>
          </w:pPr>
          <w:hyperlink w:anchor="__RefHeading___Toc907188_1468164448">
            <w:r>
              <w:rPr>
                <w:webHidden/>
                <w:rStyle w:val="IndexLink"/>
                <w:rtl w:val="true"/>
              </w:rPr>
              <w:t>الدلیل الثالث</w:t>
            </w:r>
            <w:r>
              <w:rPr>
                <w:rStyle w:val="IndexLink"/>
                <w:rtl w:val="true"/>
              </w:rPr>
              <w:t xml:space="preserve">: </w:t>
            </w:r>
            <w:r>
              <w:rPr>
                <w:rStyle w:val="IndexLink"/>
                <w:rtl w:val="true"/>
              </w:rPr>
              <w:t>روایات مباشرة الرجل للرجل من دون ثیاب</w:t>
            </w:r>
            <w:r>
              <w:rPr>
                <w:rStyle w:val="IndexLink"/>
                <w:rtl w:val="true"/>
              </w:rPr>
              <w:t>:</w:t>
              <w:tab/>
            </w:r>
            <w:r>
              <w:rPr>
                <w:rStyle w:val="IndexLink"/>
              </w:rPr>
              <w:t>210</w:t>
            </w:r>
          </w:hyperlink>
        </w:p>
        <w:p>
          <w:pPr>
            <w:pStyle w:val="Contents5"/>
            <w:tabs>
              <w:tab w:val="clear" w:pos="7892"/>
              <w:tab w:val="right" w:pos="9026" w:leader="dot"/>
            </w:tabs>
            <w:rPr/>
          </w:pPr>
          <w:hyperlink w:anchor="__RefHeading___Toc907190_1468164448">
            <w:r>
              <w:rPr>
                <w:webHidden/>
                <w:rStyle w:val="IndexLink"/>
                <w:rtl w:val="true"/>
              </w:rPr>
              <w:t>الدلیل الرابع</w:t>
            </w:r>
            <w:r>
              <w:rPr>
                <w:rStyle w:val="IndexLink"/>
                <w:rtl w:val="true"/>
              </w:rPr>
              <w:t xml:space="preserve">: </w:t>
            </w:r>
            <w:r>
              <w:rPr>
                <w:rStyle w:val="IndexLink"/>
                <w:rtl w:val="true"/>
              </w:rPr>
              <w:t>روایات حرمة تقبیل الصبی الممیز</w:t>
            </w:r>
            <w:r>
              <w:rPr>
                <w:rStyle w:val="IndexLink"/>
                <w:rtl w:val="true"/>
              </w:rPr>
              <w:t>:</w:t>
              <w:tab/>
            </w:r>
            <w:r>
              <w:rPr>
                <w:rStyle w:val="IndexLink"/>
              </w:rPr>
              <w:t>211</w:t>
            </w:r>
          </w:hyperlink>
        </w:p>
        <w:p>
          <w:pPr>
            <w:pStyle w:val="Contents2"/>
            <w:tabs>
              <w:tab w:val="clear" w:pos="8743"/>
              <w:tab w:val="right" w:pos="9026" w:leader="dot"/>
            </w:tabs>
            <w:rPr/>
          </w:pPr>
          <w:hyperlink w:anchor="__RefHeading___Toc907192_1468164448">
            <w:r>
              <w:rPr>
                <w:webHidden/>
                <w:rStyle w:val="IndexLink"/>
                <w:rtl w:val="true"/>
              </w:rPr>
              <w:t>قاعدة</w:t>
            </w:r>
            <w:r>
              <w:rPr>
                <w:rStyle w:val="IndexLink"/>
                <w:rtl w:val="true"/>
              </w:rPr>
              <w:t>:</w:t>
            </w:r>
            <w:r>
              <w:rPr>
                <w:rStyle w:val="IndexLink"/>
                <w:rtl w:val="true"/>
              </w:rPr>
              <w:t>فی التبرج بالزینة</w:t>
            </w:r>
            <w:r>
              <w:rPr>
                <w:rStyle w:val="IndexLink"/>
                <w:rtl w:val="true"/>
              </w:rPr>
              <w:tab/>
            </w:r>
            <w:r>
              <w:rPr>
                <w:rStyle w:val="IndexLink"/>
              </w:rPr>
              <w:t>213</w:t>
            </w:r>
          </w:hyperlink>
        </w:p>
        <w:p>
          <w:pPr>
            <w:pStyle w:val="Contents3"/>
            <w:tabs>
              <w:tab w:val="clear" w:pos="8459"/>
              <w:tab w:val="right" w:pos="9026" w:leader="dot"/>
            </w:tabs>
            <w:rPr/>
          </w:pPr>
          <w:hyperlink w:anchor="__RefHeading___Toc907194_1468164448">
            <w:r>
              <w:rPr>
                <w:webHidden/>
                <w:rStyle w:val="IndexLink"/>
                <w:rtl w:val="true"/>
              </w:rPr>
              <w:t>اشارة</w:t>
            </w:r>
            <w:r>
              <w:rPr>
                <w:rStyle w:val="IndexLink"/>
                <w:rtl w:val="true"/>
              </w:rPr>
              <w:tab/>
            </w:r>
            <w:r>
              <w:rPr>
                <w:rStyle w:val="IndexLink"/>
              </w:rPr>
              <w:t>213</w:t>
            </w:r>
          </w:hyperlink>
        </w:p>
        <w:p>
          <w:pPr>
            <w:pStyle w:val="Contents3"/>
            <w:tabs>
              <w:tab w:val="clear" w:pos="8459"/>
              <w:tab w:val="right" w:pos="9026" w:leader="dot"/>
            </w:tabs>
            <w:rPr/>
          </w:pPr>
          <w:hyperlink w:anchor="__RefHeading___Toc907196_1468164448">
            <w:r>
              <w:rPr>
                <w:webHidden/>
                <w:rStyle w:val="IndexLink"/>
                <w:rtl w:val="true"/>
              </w:rPr>
              <w:t>من قواعد باب النکاح</w:t>
            </w:r>
            <w:r>
              <w:rPr>
                <w:rStyle w:val="IndexLink"/>
                <w:rtl w:val="true"/>
              </w:rPr>
              <w:t>:</w:t>
            </w:r>
            <w:r>
              <w:rPr>
                <w:rStyle w:val="IndexLink"/>
                <w:rtl w:val="true"/>
              </w:rPr>
              <w:t>فی التبرج بالزینة</w:t>
            </w:r>
            <w:r>
              <w:rPr>
                <w:rStyle w:val="IndexLink"/>
                <w:rtl w:val="true"/>
              </w:rPr>
              <w:tab/>
            </w:r>
            <w:r>
              <w:rPr>
                <w:rStyle w:val="IndexLink"/>
              </w:rPr>
              <w:t>214</w:t>
            </w:r>
          </w:hyperlink>
        </w:p>
        <w:p>
          <w:pPr>
            <w:pStyle w:val="Contents4"/>
            <w:tabs>
              <w:tab w:val="clear" w:pos="8176"/>
              <w:tab w:val="right" w:pos="9026" w:leader="dot"/>
            </w:tabs>
            <w:rPr/>
          </w:pPr>
          <w:hyperlink w:anchor="__RefHeading___Toc907198_1468164448">
            <w:r>
              <w:rPr>
                <w:webHidden/>
                <w:rStyle w:val="IndexLink"/>
                <w:rtl w:val="true"/>
              </w:rPr>
              <w:t>اشارة</w:t>
            </w:r>
            <w:r>
              <w:rPr>
                <w:rStyle w:val="IndexLink"/>
                <w:rtl w:val="true"/>
              </w:rPr>
              <w:tab/>
            </w:r>
            <w:r>
              <w:rPr>
                <w:rStyle w:val="IndexLink"/>
              </w:rPr>
              <w:t>214</w:t>
            </w:r>
          </w:hyperlink>
        </w:p>
        <w:p>
          <w:pPr>
            <w:pStyle w:val="Contents4"/>
            <w:tabs>
              <w:tab w:val="clear" w:pos="8176"/>
              <w:tab w:val="right" w:pos="9026" w:leader="dot"/>
            </w:tabs>
            <w:rPr/>
          </w:pPr>
          <w:hyperlink w:anchor="__RefHeading___Toc907200_1468164448">
            <w:r>
              <w:rPr>
                <w:webHidden/>
                <w:rStyle w:val="IndexLink"/>
                <w:rtl w:val="true"/>
              </w:rPr>
              <w:t>النقطة الاولی</w:t>
            </w:r>
            <w:r>
              <w:rPr>
                <w:rStyle w:val="IndexLink"/>
                <w:rtl w:val="true"/>
              </w:rPr>
              <w:t xml:space="preserve">: </w:t>
            </w:r>
            <w:r>
              <w:rPr>
                <w:rStyle w:val="IndexLink"/>
                <w:rtl w:val="true"/>
              </w:rPr>
              <w:t>الأقوال فی المسألة</w:t>
            </w:r>
            <w:r>
              <w:rPr>
                <w:rStyle w:val="IndexLink"/>
                <w:rtl w:val="true"/>
              </w:rPr>
              <w:t>:</w:t>
              <w:tab/>
            </w:r>
            <w:r>
              <w:rPr>
                <w:rStyle w:val="IndexLink"/>
              </w:rPr>
              <w:t>214</w:t>
            </w:r>
          </w:hyperlink>
        </w:p>
        <w:p>
          <w:pPr>
            <w:pStyle w:val="Contents4"/>
            <w:tabs>
              <w:tab w:val="clear" w:pos="8176"/>
              <w:tab w:val="right" w:pos="9026" w:leader="dot"/>
            </w:tabs>
            <w:rPr/>
          </w:pPr>
          <w:hyperlink w:anchor="__RefHeading___Toc907202_1468164448">
            <w:r>
              <w:rPr>
                <w:webHidden/>
                <w:rStyle w:val="IndexLink"/>
                <w:rtl w:val="true"/>
              </w:rPr>
              <w:t>النقطة الثانیة</w:t>
            </w:r>
            <w:r>
              <w:rPr>
                <w:rStyle w:val="IndexLink"/>
                <w:rtl w:val="true"/>
              </w:rPr>
              <w:t xml:space="preserve">: </w:t>
            </w:r>
            <w:r>
              <w:rPr>
                <w:rStyle w:val="IndexLink"/>
                <w:rtl w:val="true"/>
              </w:rPr>
              <w:t>تحریر محل البحث</w:t>
            </w:r>
            <w:r>
              <w:rPr>
                <w:rStyle w:val="IndexLink"/>
                <w:rtl w:val="true"/>
              </w:rPr>
              <w:t>:</w:t>
              <w:tab/>
            </w:r>
            <w:r>
              <w:rPr>
                <w:rStyle w:val="IndexLink"/>
              </w:rPr>
              <w:t>215</w:t>
            </w:r>
          </w:hyperlink>
        </w:p>
        <w:p>
          <w:pPr>
            <w:pStyle w:val="Contents4"/>
            <w:tabs>
              <w:tab w:val="clear" w:pos="8176"/>
              <w:tab w:val="right" w:pos="9026" w:leader="dot"/>
            </w:tabs>
            <w:rPr/>
          </w:pPr>
          <w:hyperlink w:anchor="__RefHeading___Toc907204_1468164448">
            <w:r>
              <w:rPr>
                <w:webHidden/>
                <w:rStyle w:val="IndexLink"/>
                <w:rtl w:val="true"/>
              </w:rPr>
              <w:t>النقطة الثالثة</w:t>
            </w:r>
            <w:r>
              <w:rPr>
                <w:rStyle w:val="IndexLink"/>
                <w:rtl w:val="true"/>
              </w:rPr>
              <w:t xml:space="preserve">: </w:t>
            </w:r>
            <w:r>
              <w:rPr>
                <w:rStyle w:val="IndexLink"/>
                <w:rtl w:val="true"/>
              </w:rPr>
              <w:t>القول فی تحدید الزینة الظاهرة</w:t>
            </w:r>
            <w:r>
              <w:rPr>
                <w:rStyle w:val="IndexLink"/>
                <w:rtl w:val="true"/>
              </w:rPr>
              <w:t>:</w:t>
              <w:tab/>
            </w:r>
            <w:r>
              <w:rPr>
                <w:rStyle w:val="IndexLink"/>
              </w:rPr>
              <w:t>216</w:t>
            </w:r>
          </w:hyperlink>
        </w:p>
        <w:p>
          <w:pPr>
            <w:pStyle w:val="Contents4"/>
            <w:tabs>
              <w:tab w:val="clear" w:pos="8176"/>
              <w:tab w:val="right" w:pos="9026" w:leader="dot"/>
            </w:tabs>
            <w:rPr/>
          </w:pPr>
          <w:hyperlink w:anchor="__RefHeading___Toc907206_1468164448">
            <w:r>
              <w:rPr>
                <w:webHidden/>
                <w:rStyle w:val="IndexLink"/>
                <w:rtl w:val="true"/>
              </w:rPr>
              <w:t>النقطة الرابعة</w:t>
            </w:r>
            <w:r>
              <w:rPr>
                <w:rStyle w:val="IndexLink"/>
                <w:rtl w:val="true"/>
              </w:rPr>
              <w:t xml:space="preserve">: </w:t>
            </w:r>
            <w:r>
              <w:rPr>
                <w:rStyle w:val="IndexLink"/>
                <w:rtl w:val="true"/>
              </w:rPr>
              <w:t>استطراد حکم إقامة علاقة الصداقة مع الأجنبیة</w:t>
            </w:r>
            <w:r>
              <w:rPr>
                <w:rStyle w:val="IndexLink"/>
                <w:rtl w:val="true"/>
              </w:rPr>
              <w:t>:</w:t>
              <w:tab/>
            </w:r>
            <w:r>
              <w:rPr>
                <w:rStyle w:val="IndexLink"/>
              </w:rPr>
              <w:t>225</w:t>
            </w:r>
          </w:hyperlink>
        </w:p>
        <w:p>
          <w:pPr>
            <w:pStyle w:val="Contents2"/>
            <w:tabs>
              <w:tab w:val="clear" w:pos="8743"/>
              <w:tab w:val="right" w:pos="9026" w:leader="dot"/>
            </w:tabs>
            <w:rPr/>
          </w:pPr>
          <w:hyperlink w:anchor="__RefHeading___Toc907208_1468164448">
            <w:r>
              <w:rPr>
                <w:webHidden/>
                <w:rStyle w:val="IndexLink"/>
                <w:rtl w:val="true"/>
              </w:rPr>
              <w:t>قاعدة</w:t>
            </w:r>
            <w:r>
              <w:rPr>
                <w:rStyle w:val="IndexLink"/>
                <w:rtl w:val="true"/>
              </w:rPr>
              <w:t>:</w:t>
            </w:r>
            <w:r>
              <w:rPr>
                <w:rStyle w:val="IndexLink"/>
                <w:rtl w:val="true"/>
              </w:rPr>
              <w:t xml:space="preserve">فی الفرق بین النکاح </w:t>
            </w:r>
            <w:r>
              <w:rPr>
                <w:rStyle w:val="IndexLink"/>
                <w:rtl w:val="true"/>
              </w:rPr>
              <w:t>(</w:t>
            </w:r>
            <w:r>
              <w:rPr>
                <w:rStyle w:val="IndexLink"/>
                <w:rtl w:val="true"/>
              </w:rPr>
              <w:t>الإحصان</w:t>
            </w:r>
            <w:r>
              <w:rPr>
                <w:rStyle w:val="IndexLink"/>
                <w:rtl w:val="true"/>
              </w:rPr>
              <w:t>)</w:t>
            </w:r>
            <w:r>
              <w:rPr>
                <w:rStyle w:val="IndexLink"/>
                <w:rtl w:val="true"/>
              </w:rPr>
              <w:t xml:space="preserve">و السفاح </w:t>
            </w:r>
            <w:r>
              <w:rPr>
                <w:rStyle w:val="IndexLink"/>
                <w:rtl w:val="true"/>
              </w:rPr>
              <w:t>(</w:t>
            </w:r>
            <w:r>
              <w:rPr>
                <w:rStyle w:val="IndexLink"/>
                <w:rtl w:val="true"/>
              </w:rPr>
              <w:t>الزنا</w:t>
            </w:r>
            <w:r>
              <w:rPr>
                <w:rStyle w:val="IndexLink"/>
                <w:rtl w:val="true"/>
              </w:rPr>
              <w:t>)</w:t>
              <w:tab/>
            </w:r>
            <w:r>
              <w:rPr>
                <w:rStyle w:val="IndexLink"/>
              </w:rPr>
              <w:t>229</w:t>
            </w:r>
          </w:hyperlink>
        </w:p>
        <w:p>
          <w:pPr>
            <w:pStyle w:val="Contents3"/>
            <w:tabs>
              <w:tab w:val="clear" w:pos="8459"/>
              <w:tab w:val="right" w:pos="9026" w:leader="dot"/>
            </w:tabs>
            <w:rPr/>
          </w:pPr>
          <w:hyperlink w:anchor="__RefHeading___Toc907210_1468164448">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907212_1468164448">
            <w:r>
              <w:rPr>
                <w:webHidden/>
                <w:rStyle w:val="IndexLink"/>
                <w:rtl w:val="true"/>
              </w:rPr>
              <w:t>من قواعد باب النکاح</w:t>
            </w:r>
            <w:r>
              <w:rPr>
                <w:rStyle w:val="IndexLink"/>
                <w:rtl w:val="true"/>
              </w:rPr>
              <w:t>:</w:t>
            </w:r>
            <w:r>
              <w:rPr>
                <w:rStyle w:val="IndexLink"/>
                <w:rtl w:val="true"/>
              </w:rPr>
              <w:t xml:space="preserve">فی الفرق بین النکاح </w:t>
            </w:r>
            <w:r>
              <w:rPr>
                <w:rStyle w:val="IndexLink"/>
                <w:rtl w:val="true"/>
              </w:rPr>
              <w:t>(</w:t>
            </w:r>
            <w:r>
              <w:rPr>
                <w:rStyle w:val="IndexLink"/>
                <w:rtl w:val="true"/>
              </w:rPr>
              <w:t>الإحصان</w:t>
            </w:r>
            <w:r>
              <w:rPr>
                <w:rStyle w:val="IndexLink"/>
                <w:rtl w:val="true"/>
              </w:rPr>
              <w:t xml:space="preserve">) </w:t>
            </w:r>
            <w:r>
              <w:rPr>
                <w:rStyle w:val="IndexLink"/>
                <w:rtl w:val="true"/>
              </w:rPr>
              <w:t xml:space="preserve">والسفاح </w:t>
            </w:r>
            <w:r>
              <w:rPr>
                <w:rStyle w:val="IndexLink"/>
                <w:rtl w:val="true"/>
              </w:rPr>
              <w:t>(</w:t>
            </w:r>
            <w:r>
              <w:rPr>
                <w:rStyle w:val="IndexLink"/>
                <w:rtl w:val="true"/>
              </w:rPr>
              <w:t>الزنا</w:t>
            </w:r>
            <w:r>
              <w:rPr>
                <w:rStyle w:val="IndexLink"/>
                <w:rtl w:val="true"/>
              </w:rPr>
              <w:t>)</w:t>
              <w:tab/>
            </w:r>
            <w:r>
              <w:rPr>
                <w:rStyle w:val="IndexLink"/>
              </w:rPr>
              <w:t>230</w:t>
            </w:r>
          </w:hyperlink>
        </w:p>
        <w:p>
          <w:pPr>
            <w:pStyle w:val="Contents2"/>
            <w:tabs>
              <w:tab w:val="clear" w:pos="8743"/>
              <w:tab w:val="right" w:pos="9026" w:leader="dot"/>
            </w:tabs>
            <w:rPr/>
          </w:pPr>
          <w:hyperlink w:anchor="__RefHeading___Toc907214_1468164448">
            <w:r>
              <w:rPr>
                <w:webHidden/>
                <w:rStyle w:val="IndexLink"/>
                <w:rtl w:val="true"/>
              </w:rPr>
              <w:t>قاعدة</w:t>
            </w:r>
            <w:r>
              <w:rPr>
                <w:rStyle w:val="IndexLink"/>
                <w:rtl w:val="true"/>
              </w:rPr>
              <w:t>:</w:t>
            </w:r>
            <w:r>
              <w:rPr>
                <w:rStyle w:val="IndexLink"/>
                <w:rtl w:val="true"/>
              </w:rPr>
              <w:t>فی المال او الحق المأخوذ استمالة أو اکراها</w:t>
            </w:r>
            <w:r>
              <w:rPr>
                <w:rStyle w:val="IndexLink"/>
                <w:rtl w:val="true"/>
              </w:rPr>
              <w:tab/>
            </w:r>
            <w:r>
              <w:rPr>
                <w:rStyle w:val="IndexLink"/>
              </w:rPr>
              <w:t>238</w:t>
            </w:r>
          </w:hyperlink>
        </w:p>
        <w:p>
          <w:pPr>
            <w:pStyle w:val="Contents3"/>
            <w:tabs>
              <w:tab w:val="clear" w:pos="8459"/>
              <w:tab w:val="right" w:pos="9026" w:leader="dot"/>
            </w:tabs>
            <w:rPr/>
          </w:pPr>
          <w:hyperlink w:anchor="__RefHeading___Toc907216_1468164448">
            <w:r>
              <w:rPr>
                <w:webHidden/>
                <w:rStyle w:val="IndexLink"/>
                <w:rtl w:val="true"/>
              </w:rPr>
              <w:t>اشارة</w:t>
            </w:r>
            <w:r>
              <w:rPr>
                <w:rStyle w:val="IndexLink"/>
                <w:rtl w:val="true"/>
              </w:rPr>
              <w:tab/>
            </w:r>
            <w:r>
              <w:rPr>
                <w:rStyle w:val="IndexLink"/>
              </w:rPr>
              <w:t>238</w:t>
            </w:r>
          </w:hyperlink>
        </w:p>
        <w:p>
          <w:pPr>
            <w:pStyle w:val="Contents3"/>
            <w:tabs>
              <w:tab w:val="clear" w:pos="8459"/>
              <w:tab w:val="right" w:pos="9026" w:leader="dot"/>
            </w:tabs>
            <w:rPr/>
          </w:pPr>
          <w:hyperlink w:anchor="__RefHeading___Toc907218_1468164448">
            <w:r>
              <w:rPr>
                <w:webHidden/>
                <w:rStyle w:val="IndexLink"/>
                <w:rtl w:val="true"/>
              </w:rPr>
              <w:t>من قواعد أبواب المعاملات</w:t>
            </w:r>
            <w:r>
              <w:rPr>
                <w:rStyle w:val="IndexLink"/>
                <w:rtl w:val="true"/>
              </w:rPr>
              <w:t>:</w:t>
            </w:r>
            <w:r>
              <w:rPr>
                <w:rStyle w:val="IndexLink"/>
                <w:rtl w:val="true"/>
              </w:rPr>
              <w:t>فی المال أو الحق المأخوذ استمالة أو إکراها</w:t>
            </w:r>
            <w:r>
              <w:rPr>
                <w:rStyle w:val="IndexLink"/>
                <w:rtl w:val="true"/>
              </w:rPr>
              <w:tab/>
            </w:r>
            <w:r>
              <w:rPr>
                <w:rStyle w:val="IndexLink"/>
              </w:rPr>
              <w:t>239</w:t>
            </w:r>
          </w:hyperlink>
        </w:p>
        <w:p>
          <w:pPr>
            <w:pStyle w:val="Contents2"/>
            <w:tabs>
              <w:tab w:val="clear" w:pos="8743"/>
              <w:tab w:val="right" w:pos="9026" w:leader="dot"/>
            </w:tabs>
            <w:rPr/>
          </w:pPr>
          <w:hyperlink w:anchor="__RefHeading___Toc907220_1468164448">
            <w:r>
              <w:rPr>
                <w:webHidden/>
                <w:rStyle w:val="IndexLink"/>
                <w:rtl w:val="true"/>
              </w:rPr>
              <w:t>قاعدة</w:t>
            </w:r>
            <w:r>
              <w:rPr>
                <w:rStyle w:val="IndexLink"/>
                <w:rtl w:val="true"/>
              </w:rPr>
              <w:t>:</w:t>
            </w:r>
            <w:r>
              <w:rPr>
                <w:rStyle w:val="IndexLink"/>
                <w:rtl w:val="true"/>
              </w:rPr>
              <w:t>فی لزوم الفحص الموضوعی قبل البینة أو الیمین</w:t>
            </w:r>
            <w:r>
              <w:rPr>
                <w:rStyle w:val="IndexLink"/>
                <w:rtl w:val="true"/>
              </w:rPr>
              <w:tab/>
            </w:r>
            <w:r>
              <w:rPr>
                <w:rStyle w:val="IndexLink"/>
              </w:rPr>
              <w:t>248</w:t>
            </w:r>
          </w:hyperlink>
        </w:p>
        <w:p>
          <w:pPr>
            <w:pStyle w:val="Contents3"/>
            <w:tabs>
              <w:tab w:val="clear" w:pos="8459"/>
              <w:tab w:val="right" w:pos="9026" w:leader="dot"/>
            </w:tabs>
            <w:rPr/>
          </w:pPr>
          <w:hyperlink w:anchor="__RefHeading___Toc907222_1468164448">
            <w:r>
              <w:rPr>
                <w:webHidden/>
                <w:rStyle w:val="IndexLink"/>
                <w:rtl w:val="true"/>
              </w:rPr>
              <w:t>اشارة</w:t>
            </w:r>
            <w:r>
              <w:rPr>
                <w:rStyle w:val="IndexLink"/>
                <w:rtl w:val="true"/>
              </w:rPr>
              <w:tab/>
            </w:r>
            <w:r>
              <w:rPr>
                <w:rStyle w:val="IndexLink"/>
              </w:rPr>
              <w:t>248</w:t>
            </w:r>
          </w:hyperlink>
        </w:p>
        <w:p>
          <w:pPr>
            <w:pStyle w:val="Contents3"/>
            <w:tabs>
              <w:tab w:val="clear" w:pos="8459"/>
              <w:tab w:val="right" w:pos="9026" w:leader="dot"/>
            </w:tabs>
            <w:rPr/>
          </w:pPr>
          <w:hyperlink w:anchor="__RefHeading___Toc907224_1468164448">
            <w:r>
              <w:rPr>
                <w:webHidden/>
                <w:rStyle w:val="IndexLink"/>
                <w:rtl w:val="true"/>
              </w:rPr>
              <w:t>من القواعد العامة</w:t>
            </w:r>
            <w:r>
              <w:rPr>
                <w:rStyle w:val="IndexLink"/>
                <w:rtl w:val="true"/>
              </w:rPr>
              <w:t>:</w:t>
            </w:r>
            <w:r>
              <w:rPr>
                <w:rStyle w:val="IndexLink"/>
                <w:rtl w:val="true"/>
              </w:rPr>
              <w:t>فی لزوم الفحص الموضوعی قبل البینة أو الیمین</w:t>
            </w:r>
            <w:r>
              <w:rPr>
                <w:rStyle w:val="IndexLink"/>
                <w:rtl w:val="true"/>
              </w:rPr>
              <w:tab/>
            </w:r>
            <w:r>
              <w:rPr>
                <w:rStyle w:val="IndexLink"/>
              </w:rPr>
              <w:t>249</w:t>
            </w:r>
          </w:hyperlink>
        </w:p>
        <w:p>
          <w:pPr>
            <w:pStyle w:val="Contents4"/>
            <w:tabs>
              <w:tab w:val="clear" w:pos="8176"/>
              <w:tab w:val="right" w:pos="9026" w:leader="dot"/>
            </w:tabs>
            <w:rPr/>
          </w:pPr>
          <w:hyperlink w:anchor="__RefHeading___Toc907226_1468164448">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907228_1468164448">
            <w:r>
              <w:rPr>
                <w:webHidden/>
                <w:rStyle w:val="IndexLink"/>
                <w:rtl w:val="true"/>
              </w:rPr>
              <w:t>فرع</w:t>
            </w:r>
            <w:r>
              <w:rPr>
                <w:rStyle w:val="IndexLink"/>
                <w:rtl w:val="true"/>
              </w:rPr>
              <w:t>:</w:t>
              <w:tab/>
            </w:r>
            <w:r>
              <w:rPr>
                <w:rStyle w:val="IndexLink"/>
              </w:rPr>
              <w:t>252</w:t>
            </w:r>
          </w:hyperlink>
        </w:p>
        <w:p>
          <w:pPr>
            <w:pStyle w:val="Contents2"/>
            <w:tabs>
              <w:tab w:val="clear" w:pos="8743"/>
              <w:tab w:val="right" w:pos="9026" w:leader="dot"/>
            </w:tabs>
            <w:rPr/>
          </w:pPr>
          <w:hyperlink w:anchor="__RefHeading___Toc907230_1468164448">
            <w:r>
              <w:rPr>
                <w:webHidden/>
                <w:rStyle w:val="IndexLink"/>
                <w:rtl w:val="true"/>
              </w:rPr>
              <w:t>قاعدة</w:t>
            </w:r>
            <w:r>
              <w:rPr>
                <w:rStyle w:val="IndexLink"/>
                <w:rtl w:val="true"/>
              </w:rPr>
              <w:t>:</w:t>
            </w:r>
            <w:r>
              <w:rPr>
                <w:rStyle w:val="IndexLink"/>
                <w:rtl w:val="true"/>
              </w:rPr>
              <w:t>فی نظام التحکیم والصلح والنزاعات</w:t>
            </w:r>
            <w:r>
              <w:rPr>
                <w:rStyle w:val="IndexLink"/>
                <w:rtl w:val="true"/>
              </w:rPr>
              <w:tab/>
            </w:r>
            <w:r>
              <w:rPr>
                <w:rStyle w:val="IndexLink"/>
              </w:rPr>
              <w:t>255</w:t>
            </w:r>
          </w:hyperlink>
        </w:p>
        <w:p>
          <w:pPr>
            <w:pStyle w:val="Contents3"/>
            <w:tabs>
              <w:tab w:val="clear" w:pos="8459"/>
              <w:tab w:val="right" w:pos="9026" w:leader="dot"/>
            </w:tabs>
            <w:rPr/>
          </w:pPr>
          <w:hyperlink w:anchor="__RefHeading___Toc907232_1468164448">
            <w:r>
              <w:rPr>
                <w:webHidden/>
                <w:rStyle w:val="IndexLink"/>
                <w:rtl w:val="true"/>
              </w:rPr>
              <w:t>اشارة</w:t>
            </w:r>
            <w:r>
              <w:rPr>
                <w:rStyle w:val="IndexLink"/>
                <w:rtl w:val="true"/>
              </w:rPr>
              <w:tab/>
            </w:r>
            <w:r>
              <w:rPr>
                <w:rStyle w:val="IndexLink"/>
              </w:rPr>
              <w:t>255</w:t>
            </w:r>
          </w:hyperlink>
        </w:p>
        <w:p>
          <w:pPr>
            <w:pStyle w:val="Contents3"/>
            <w:tabs>
              <w:tab w:val="clear" w:pos="8459"/>
              <w:tab w:val="right" w:pos="9026" w:leader="dot"/>
            </w:tabs>
            <w:rPr/>
          </w:pPr>
          <w:hyperlink w:anchor="__RefHeading___Toc907234_1468164448">
            <w:r>
              <w:rPr>
                <w:webHidden/>
                <w:rStyle w:val="IndexLink"/>
                <w:rtl w:val="true"/>
              </w:rPr>
              <w:t>من قواعد باب القضاء والنزاعات</w:t>
            </w:r>
            <w:r>
              <w:rPr>
                <w:rStyle w:val="IndexLink"/>
                <w:rtl w:val="true"/>
              </w:rPr>
              <w:t>:</w:t>
            </w:r>
            <w:r>
              <w:rPr>
                <w:rStyle w:val="IndexLink"/>
                <w:rtl w:val="true"/>
              </w:rPr>
              <w:t>فی نظام التحکیم والصلح فی النزاعات</w:t>
            </w:r>
            <w:r>
              <w:rPr>
                <w:rStyle w:val="IndexLink"/>
                <w:rtl w:val="true"/>
              </w:rPr>
              <w:tab/>
            </w:r>
            <w:r>
              <w:rPr>
                <w:rStyle w:val="IndexLink"/>
              </w:rPr>
              <w:t>256</w:t>
            </w:r>
          </w:hyperlink>
        </w:p>
        <w:p>
          <w:pPr>
            <w:pStyle w:val="Contents4"/>
            <w:tabs>
              <w:tab w:val="clear" w:pos="8176"/>
              <w:tab w:val="right" w:pos="9026" w:leader="dot"/>
            </w:tabs>
            <w:rPr/>
          </w:pPr>
          <w:hyperlink w:anchor="__RefHeading___Toc907236_1468164448">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907238_1468164448">
            <w:r>
              <w:rPr>
                <w:webHidden/>
                <w:rStyle w:val="IndexLink"/>
                <w:rtl w:val="true"/>
              </w:rPr>
              <w:t>موائز الصلح</w:t>
            </w:r>
            <w:r>
              <w:rPr>
                <w:rStyle w:val="IndexLink"/>
                <w:rtl w:val="true"/>
              </w:rPr>
              <w:t>:</w:t>
              <w:tab/>
            </w:r>
            <w:r>
              <w:rPr>
                <w:rStyle w:val="IndexLink"/>
              </w:rPr>
              <w:t>256</w:t>
            </w:r>
          </w:hyperlink>
        </w:p>
        <w:p>
          <w:pPr>
            <w:pStyle w:val="Contents4"/>
            <w:tabs>
              <w:tab w:val="clear" w:pos="8176"/>
              <w:tab w:val="right" w:pos="9026" w:leader="dot"/>
            </w:tabs>
            <w:rPr/>
          </w:pPr>
          <w:hyperlink w:anchor="__RefHeading___Toc907240_1468164448">
            <w:r>
              <w:rPr>
                <w:webHidden/>
                <w:rStyle w:val="IndexLink"/>
                <w:rtl w:val="true"/>
              </w:rPr>
              <w:t>التحکیم</w:t>
            </w:r>
            <w:r>
              <w:rPr>
                <w:rStyle w:val="IndexLink"/>
                <w:rtl w:val="true"/>
              </w:rPr>
              <w:t>:</w:t>
              <w:tab/>
            </w:r>
            <w:r>
              <w:rPr>
                <w:rStyle w:val="IndexLink"/>
              </w:rPr>
              <w:t>260</w:t>
            </w:r>
          </w:hyperlink>
        </w:p>
        <w:p>
          <w:pPr>
            <w:pStyle w:val="Contents5"/>
            <w:tabs>
              <w:tab w:val="clear" w:pos="7892"/>
              <w:tab w:val="right" w:pos="9026" w:leader="dot"/>
            </w:tabs>
            <w:rPr/>
          </w:pPr>
          <w:hyperlink w:anchor="__RefHeading___Toc907242_1468164448">
            <w:r>
              <w:rPr>
                <w:webHidden/>
                <w:rStyle w:val="IndexLink"/>
                <w:rtl w:val="true"/>
              </w:rPr>
              <w:t>اشارة</w:t>
            </w:r>
            <w:r>
              <w:rPr>
                <w:rStyle w:val="IndexLink"/>
                <w:rtl w:val="true"/>
              </w:rPr>
              <w:tab/>
            </w:r>
            <w:r>
              <w:rPr>
                <w:rStyle w:val="IndexLink"/>
              </w:rPr>
              <w:t>260</w:t>
            </w:r>
          </w:hyperlink>
        </w:p>
        <w:p>
          <w:pPr>
            <w:pStyle w:val="Contents5"/>
            <w:tabs>
              <w:tab w:val="clear" w:pos="7892"/>
              <w:tab w:val="right" w:pos="9026" w:leader="dot"/>
            </w:tabs>
            <w:rPr/>
          </w:pPr>
          <w:hyperlink w:anchor="__RefHeading___Toc907244_1468164448">
            <w:r>
              <w:rPr>
                <w:webHidden/>
                <w:rStyle w:val="IndexLink"/>
                <w:rtl w:val="true"/>
              </w:rPr>
              <w:t>الأمر الأوّل</w:t>
            </w:r>
            <w:r>
              <w:rPr>
                <w:rStyle w:val="IndexLink"/>
                <w:rtl w:val="true"/>
              </w:rPr>
              <w:t xml:space="preserve">: </w:t>
            </w:r>
            <w:r>
              <w:rPr>
                <w:rStyle w:val="IndexLink"/>
                <w:rtl w:val="true"/>
              </w:rPr>
              <w:t>ان حقیقة التحکیم هو تراضی الخصمین</w:t>
            </w:r>
            <w:r>
              <w:rPr>
                <w:rStyle w:val="IndexLink"/>
                <w:rtl w:val="true"/>
              </w:rPr>
              <w:t>:</w:t>
              <w:tab/>
            </w:r>
            <w:r>
              <w:rPr>
                <w:rStyle w:val="IndexLink"/>
              </w:rPr>
              <w:t>260</w:t>
            </w:r>
          </w:hyperlink>
        </w:p>
        <w:p>
          <w:pPr>
            <w:pStyle w:val="Contents6"/>
            <w:tabs>
              <w:tab w:val="clear" w:pos="7609"/>
              <w:tab w:val="right" w:pos="9026" w:leader="dot"/>
            </w:tabs>
            <w:rPr/>
          </w:pPr>
          <w:hyperlink w:anchor="__RefHeading___Toc907246_1468164448">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907248_1468164448">
            <w:r>
              <w:rPr>
                <w:webHidden/>
                <w:rStyle w:val="IndexLink"/>
                <w:rtl w:val="true"/>
              </w:rPr>
              <w:t>أدلة قاضی التحکیم</w:t>
            </w:r>
            <w:r>
              <w:rPr>
                <w:rStyle w:val="IndexLink"/>
                <w:rtl w:val="true"/>
              </w:rPr>
              <w:t>:</w:t>
              <w:tab/>
            </w:r>
            <w:r>
              <w:rPr>
                <w:rStyle w:val="IndexLink"/>
              </w:rPr>
              <w:t>260</w:t>
            </w:r>
          </w:hyperlink>
        </w:p>
        <w:p>
          <w:pPr>
            <w:pStyle w:val="Contents5"/>
            <w:tabs>
              <w:tab w:val="clear" w:pos="7892"/>
              <w:tab w:val="right" w:pos="9026" w:leader="dot"/>
            </w:tabs>
            <w:rPr/>
          </w:pPr>
          <w:hyperlink w:anchor="__RefHeading___Toc907250_1468164448">
            <w:r>
              <w:rPr>
                <w:webHidden/>
                <w:rStyle w:val="IndexLink"/>
                <w:rtl w:val="true"/>
              </w:rPr>
              <w:t>الأمر الثانی</w:t>
            </w:r>
            <w:r>
              <w:rPr>
                <w:rStyle w:val="IndexLink"/>
                <w:rtl w:val="true"/>
              </w:rPr>
              <w:t xml:space="preserve">: </w:t>
            </w:r>
            <w:r>
              <w:rPr>
                <w:rStyle w:val="IndexLink"/>
                <w:rtl w:val="true"/>
              </w:rPr>
              <w:t>فی مشروعیة التحکیم</w:t>
            </w:r>
            <w:r>
              <w:rPr>
                <w:rStyle w:val="IndexLink"/>
                <w:rtl w:val="true"/>
              </w:rPr>
              <w:t>:</w:t>
              <w:tab/>
            </w:r>
            <w:r>
              <w:rPr>
                <w:rStyle w:val="IndexLink"/>
              </w:rPr>
              <w:t>260</w:t>
            </w:r>
          </w:hyperlink>
        </w:p>
        <w:p>
          <w:pPr>
            <w:pStyle w:val="Contents6"/>
            <w:tabs>
              <w:tab w:val="clear" w:pos="7609"/>
              <w:tab w:val="right" w:pos="9026" w:leader="dot"/>
            </w:tabs>
            <w:rPr/>
          </w:pPr>
          <w:hyperlink w:anchor="__RefHeading___Toc907252_1468164448">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907254_1468164448">
            <w:r>
              <w:rPr>
                <w:webHidden/>
                <w:rStyle w:val="IndexLink"/>
                <w:rtl w:val="true"/>
              </w:rPr>
              <w:t>کلمات الاعلام فی ادلته</w:t>
            </w:r>
            <w:r>
              <w:rPr>
                <w:rStyle w:val="IndexLink"/>
                <w:rtl w:val="true"/>
              </w:rPr>
              <w:t>:</w:t>
              <w:tab/>
            </w:r>
            <w:r>
              <w:rPr>
                <w:rStyle w:val="IndexLink"/>
              </w:rPr>
              <w:t>263</w:t>
            </w:r>
          </w:hyperlink>
        </w:p>
        <w:p>
          <w:pPr>
            <w:pStyle w:val="Contents5"/>
            <w:tabs>
              <w:tab w:val="clear" w:pos="7892"/>
              <w:tab w:val="right" w:pos="9026" w:leader="dot"/>
            </w:tabs>
            <w:rPr/>
          </w:pPr>
          <w:hyperlink w:anchor="__RefHeading___Toc907256_1468164448">
            <w:r>
              <w:rPr>
                <w:webHidden/>
                <w:rStyle w:val="IndexLink"/>
                <w:rtl w:val="true"/>
              </w:rPr>
              <w:t>الأمر الثالث</w:t>
            </w:r>
            <w:r>
              <w:rPr>
                <w:rStyle w:val="IndexLink"/>
                <w:rtl w:val="true"/>
              </w:rPr>
              <w:t xml:space="preserve">: </w:t>
            </w:r>
            <w:r>
              <w:rPr>
                <w:rStyle w:val="IndexLink"/>
                <w:rtl w:val="true"/>
              </w:rPr>
              <w:t>الفوارق بین أنماط التحکیم والصلح</w:t>
            </w:r>
            <w:r>
              <w:rPr>
                <w:rStyle w:val="IndexLink"/>
                <w:rtl w:val="true"/>
              </w:rPr>
              <w:t>:</w:t>
              <w:tab/>
            </w:r>
            <w:r>
              <w:rPr>
                <w:rStyle w:val="IndexLink"/>
              </w:rPr>
              <w:t>269</w:t>
            </w:r>
          </w:hyperlink>
        </w:p>
        <w:p>
          <w:pPr>
            <w:pStyle w:val="Contents5"/>
            <w:tabs>
              <w:tab w:val="clear" w:pos="7892"/>
              <w:tab w:val="right" w:pos="9026" w:leader="dot"/>
            </w:tabs>
            <w:rPr/>
          </w:pPr>
          <w:hyperlink w:anchor="__RefHeading___Toc907258_1468164448">
            <w:r>
              <w:rPr>
                <w:webHidden/>
                <w:rStyle w:val="IndexLink"/>
                <w:rtl w:val="true"/>
              </w:rPr>
              <w:t>الأمر الرابع</w:t>
            </w:r>
            <w:r>
              <w:rPr>
                <w:rStyle w:val="IndexLink"/>
                <w:rtl w:val="true"/>
              </w:rPr>
              <w:t xml:space="preserve">: </w:t>
            </w:r>
            <w:r>
              <w:rPr>
                <w:rStyle w:val="IndexLink"/>
                <w:rtl w:val="true"/>
              </w:rPr>
              <w:t>الحکمان توکیل أو تحکیم</w:t>
            </w:r>
            <w:r>
              <w:rPr>
                <w:rStyle w:val="IndexLink"/>
                <w:rtl w:val="true"/>
              </w:rPr>
              <w:t>:</w:t>
              <w:tab/>
            </w:r>
            <w:r>
              <w:rPr>
                <w:rStyle w:val="IndexLink"/>
              </w:rPr>
              <w:t>271</w:t>
            </w:r>
          </w:hyperlink>
        </w:p>
        <w:p>
          <w:pPr>
            <w:pStyle w:val="Contents6"/>
            <w:tabs>
              <w:tab w:val="clear" w:pos="7609"/>
              <w:tab w:val="right" w:pos="9026" w:leader="dot"/>
            </w:tabs>
            <w:rPr/>
          </w:pPr>
          <w:hyperlink w:anchor="__RefHeading___Toc907260_1468164448">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907262_1468164448">
            <w:r>
              <w:rPr>
                <w:webHidden/>
                <w:rStyle w:val="IndexLink"/>
                <w:rtl w:val="true"/>
              </w:rPr>
              <w:t>المشرف علی نظام التحکیم</w:t>
            </w:r>
            <w:r>
              <w:rPr>
                <w:rStyle w:val="IndexLink"/>
                <w:rtl w:val="true"/>
              </w:rPr>
              <w:t>:</w:t>
              <w:tab/>
            </w:r>
            <w:r>
              <w:rPr>
                <w:rStyle w:val="IndexLink"/>
              </w:rPr>
              <w:t>275</w:t>
            </w:r>
          </w:hyperlink>
        </w:p>
        <w:p>
          <w:pPr>
            <w:pStyle w:val="Contents5"/>
            <w:tabs>
              <w:tab w:val="clear" w:pos="7892"/>
              <w:tab w:val="right" w:pos="9026" w:leader="dot"/>
            </w:tabs>
            <w:rPr/>
          </w:pPr>
          <w:hyperlink w:anchor="__RefHeading___Toc907264_1468164448">
            <w:r>
              <w:rPr>
                <w:webHidden/>
                <w:rStyle w:val="IndexLink"/>
                <w:rtl w:val="true"/>
              </w:rPr>
              <w:t>الأمر الخامس</w:t>
            </w:r>
            <w:r>
              <w:rPr>
                <w:rStyle w:val="IndexLink"/>
                <w:rtl w:val="true"/>
              </w:rPr>
              <w:t>:</w:t>
            </w:r>
            <w:r>
              <w:rPr>
                <w:rStyle w:val="IndexLink"/>
                <w:rtl w:val="true"/>
              </w:rPr>
              <w:t>الباعث للحکمین ومن له انفاذهما</w:t>
            </w:r>
            <w:r>
              <w:rPr>
                <w:rStyle w:val="IndexLink"/>
                <w:rtl w:val="true"/>
              </w:rPr>
              <w:t>:</w:t>
              <w:tab/>
            </w:r>
            <w:r>
              <w:rPr>
                <w:rStyle w:val="IndexLink"/>
              </w:rPr>
              <w:t>275</w:t>
            </w:r>
          </w:hyperlink>
        </w:p>
        <w:p>
          <w:pPr>
            <w:pStyle w:val="Contents6"/>
            <w:tabs>
              <w:tab w:val="clear" w:pos="7609"/>
              <w:tab w:val="right" w:pos="9026" w:leader="dot"/>
            </w:tabs>
            <w:rPr/>
          </w:pPr>
          <w:hyperlink w:anchor="__RefHeading___Toc907266_1468164448">
            <w:r>
              <w:rPr>
                <w:webHidden/>
                <w:rStyle w:val="IndexLink"/>
                <w:rtl w:val="true"/>
              </w:rPr>
              <w:t>اشارة</w:t>
            </w:r>
            <w:r>
              <w:rPr>
                <w:rStyle w:val="IndexLink"/>
                <w:rtl w:val="true"/>
              </w:rPr>
              <w:tab/>
            </w:r>
            <w:r>
              <w:rPr>
                <w:rStyle w:val="IndexLink"/>
              </w:rPr>
              <w:t>275</w:t>
            </w:r>
          </w:hyperlink>
        </w:p>
        <w:p>
          <w:pPr>
            <w:pStyle w:val="Contents6"/>
            <w:tabs>
              <w:tab w:val="clear" w:pos="7609"/>
              <w:tab w:val="right" w:pos="9026" w:leader="dot"/>
            </w:tabs>
            <w:rPr/>
          </w:pPr>
          <w:hyperlink w:anchor="__RefHeading___Toc907268_1468164448">
            <w:r>
              <w:rPr>
                <w:webHidden/>
                <w:rStyle w:val="IndexLink"/>
                <w:rtl w:val="true"/>
              </w:rPr>
              <w:t>أدلة وشواهد الاقوال</w:t>
            </w:r>
            <w:r>
              <w:rPr>
                <w:rStyle w:val="IndexLink"/>
                <w:rtl w:val="true"/>
              </w:rPr>
              <w:t>:</w:t>
              <w:tab/>
            </w:r>
            <w:r>
              <w:rPr>
                <w:rStyle w:val="IndexLink"/>
              </w:rPr>
              <w:t>275</w:t>
            </w:r>
          </w:hyperlink>
        </w:p>
        <w:p>
          <w:pPr>
            <w:pStyle w:val="Contents6"/>
            <w:tabs>
              <w:tab w:val="clear" w:pos="7609"/>
              <w:tab w:val="right" w:pos="9026" w:leader="dot"/>
            </w:tabs>
            <w:rPr/>
          </w:pPr>
          <w:hyperlink w:anchor="__RefHeading___Toc907270_1468164448">
            <w:r>
              <w:rPr>
                <w:webHidden/>
                <w:rStyle w:val="IndexLink"/>
                <w:rtl w:val="true"/>
              </w:rPr>
              <w:t>قاعدة</w:t>
            </w:r>
            <w:r>
              <w:rPr>
                <w:rStyle w:val="IndexLink"/>
                <w:rtl w:val="true"/>
              </w:rPr>
              <w:t xml:space="preserve">: </w:t>
            </w:r>
            <w:r>
              <w:rPr>
                <w:rStyle w:val="IndexLink"/>
                <w:rtl w:val="true"/>
              </w:rPr>
              <w:t>إنَّ الإجبار بالحکم متأخر عن أداء الواجب الحسبی طوعانیة</w:t>
            </w:r>
            <w:r>
              <w:rPr>
                <w:rStyle w:val="IndexLink"/>
                <w:rtl w:val="true"/>
              </w:rPr>
              <w:t>:</w:t>
              <w:tab/>
            </w:r>
            <w:r>
              <w:rPr>
                <w:rStyle w:val="IndexLink"/>
              </w:rPr>
              <w:t>277</w:t>
            </w:r>
          </w:hyperlink>
        </w:p>
        <w:p>
          <w:pPr>
            <w:pStyle w:val="Contents6"/>
            <w:tabs>
              <w:tab w:val="clear" w:pos="7609"/>
              <w:tab w:val="right" w:pos="9026" w:leader="dot"/>
            </w:tabs>
            <w:rPr/>
          </w:pPr>
          <w:hyperlink w:anchor="__RefHeading___Toc907272_1468164448">
            <w:r>
              <w:rPr>
                <w:webHidden/>
                <w:rStyle w:val="IndexLink"/>
                <w:rtl w:val="true"/>
              </w:rPr>
              <w:t>قاعدة</w:t>
            </w:r>
            <w:r>
              <w:rPr>
                <w:rStyle w:val="IndexLink"/>
                <w:rtl w:val="true"/>
              </w:rPr>
              <w:t xml:space="preserve">: </w:t>
            </w:r>
            <w:r>
              <w:rPr>
                <w:rStyle w:val="IndexLink"/>
                <w:rtl w:val="true"/>
              </w:rPr>
              <w:t>عمومیة القضاء بالموازین أو بأنواع التحکیم</w:t>
            </w:r>
            <w:r>
              <w:rPr>
                <w:rStyle w:val="IndexLink"/>
                <w:rtl w:val="true"/>
              </w:rPr>
              <w:t>:</w:t>
              <w:tab/>
            </w:r>
            <w:r>
              <w:rPr>
                <w:rStyle w:val="IndexLink"/>
              </w:rPr>
              <w:t>277</w:t>
            </w:r>
          </w:hyperlink>
        </w:p>
        <w:p>
          <w:pPr>
            <w:pStyle w:val="Contents5"/>
            <w:tabs>
              <w:tab w:val="clear" w:pos="7892"/>
              <w:tab w:val="right" w:pos="9026" w:leader="dot"/>
            </w:tabs>
            <w:rPr/>
          </w:pPr>
          <w:hyperlink w:anchor="__RefHeading___Toc907274_1468164448">
            <w:r>
              <w:rPr>
                <w:webHidden/>
                <w:rStyle w:val="IndexLink"/>
                <w:rtl w:val="true"/>
              </w:rPr>
              <w:t>الأمر السادس</w:t>
            </w:r>
            <w:r>
              <w:rPr>
                <w:rStyle w:val="IndexLink"/>
                <w:rtl w:val="true"/>
              </w:rPr>
              <w:t xml:space="preserve">: </w:t>
            </w:r>
            <w:r>
              <w:rPr>
                <w:rStyle w:val="IndexLink"/>
                <w:rtl w:val="true"/>
              </w:rPr>
              <w:t>حکم البعث</w:t>
            </w:r>
            <w:r>
              <w:rPr>
                <w:rStyle w:val="IndexLink"/>
                <w:rtl w:val="true"/>
              </w:rPr>
              <w:t>!:</w:t>
              <w:tab/>
            </w:r>
            <w:r>
              <w:rPr>
                <w:rStyle w:val="IndexLink"/>
              </w:rPr>
              <w:t>278</w:t>
            </w:r>
          </w:hyperlink>
        </w:p>
        <w:p>
          <w:pPr>
            <w:pStyle w:val="Contents5"/>
            <w:tabs>
              <w:tab w:val="clear" w:pos="7892"/>
              <w:tab w:val="right" w:pos="9026" w:leader="dot"/>
            </w:tabs>
            <w:rPr/>
          </w:pPr>
          <w:hyperlink w:anchor="__RefHeading___Toc907276_1468164448">
            <w:r>
              <w:rPr>
                <w:webHidden/>
                <w:rStyle w:val="IndexLink"/>
                <w:rtl w:val="true"/>
              </w:rPr>
              <w:t>الأمر السابع</w:t>
            </w:r>
            <w:r>
              <w:rPr>
                <w:rStyle w:val="IndexLink"/>
                <w:rtl w:val="true"/>
              </w:rPr>
              <w:t xml:space="preserve">: </w:t>
            </w:r>
            <w:r>
              <w:rPr>
                <w:rStyle w:val="IndexLink"/>
                <w:rtl w:val="true"/>
              </w:rPr>
              <w:t>الفصل بالولایة والفتوی</w:t>
            </w:r>
            <w:r>
              <w:rPr>
                <w:rStyle w:val="IndexLink"/>
                <w:rtl w:val="true"/>
              </w:rPr>
              <w:t>:</w:t>
              <w:tab/>
            </w:r>
            <w:r>
              <w:rPr>
                <w:rStyle w:val="IndexLink"/>
              </w:rPr>
              <w:t>278</w:t>
            </w:r>
          </w:hyperlink>
        </w:p>
        <w:p>
          <w:pPr>
            <w:pStyle w:val="Contents5"/>
            <w:tabs>
              <w:tab w:val="clear" w:pos="7892"/>
              <w:tab w:val="right" w:pos="9026" w:leader="dot"/>
            </w:tabs>
            <w:rPr/>
          </w:pPr>
          <w:hyperlink w:anchor="__RefHeading___Toc907278_1468164448">
            <w:r>
              <w:rPr>
                <w:webHidden/>
                <w:rStyle w:val="IndexLink"/>
                <w:rtl w:val="true"/>
              </w:rPr>
              <w:t>الأمر الثامن</w:t>
            </w:r>
            <w:r>
              <w:rPr>
                <w:rStyle w:val="IndexLink"/>
                <w:rtl w:val="true"/>
              </w:rPr>
              <w:t xml:space="preserve">: </w:t>
            </w:r>
            <w:r>
              <w:rPr>
                <w:rStyle w:val="IndexLink"/>
                <w:rtl w:val="true"/>
              </w:rPr>
              <w:t>حکم تعدد الحکمین وجواز کونهما اجنبیین</w:t>
            </w:r>
            <w:r>
              <w:rPr>
                <w:rStyle w:val="IndexLink"/>
                <w:rtl w:val="true"/>
              </w:rPr>
              <w:t>:</w:t>
              <w:tab/>
            </w:r>
            <w:r>
              <w:rPr>
                <w:rStyle w:val="IndexLink"/>
              </w:rPr>
              <w:t>280</w:t>
            </w:r>
          </w:hyperlink>
        </w:p>
        <w:p>
          <w:pPr>
            <w:pStyle w:val="Contents5"/>
            <w:tabs>
              <w:tab w:val="clear" w:pos="7892"/>
              <w:tab w:val="right" w:pos="9026" w:leader="dot"/>
            </w:tabs>
            <w:rPr/>
          </w:pPr>
          <w:hyperlink w:anchor="__RefHeading___Toc907280_1468164448">
            <w:r>
              <w:rPr>
                <w:webHidden/>
                <w:rStyle w:val="IndexLink"/>
                <w:rtl w:val="true"/>
              </w:rPr>
              <w:t>الأمر التاسع</w:t>
            </w:r>
            <w:r>
              <w:rPr>
                <w:rStyle w:val="IndexLink"/>
                <w:rtl w:val="true"/>
              </w:rPr>
              <w:t xml:space="preserve">: </w:t>
            </w:r>
            <w:r>
              <w:rPr>
                <w:rStyle w:val="IndexLink"/>
                <w:rtl w:val="true"/>
              </w:rPr>
              <w:t>فی شرائط الحکمین</w:t>
            </w:r>
            <w:r>
              <w:rPr>
                <w:rStyle w:val="IndexLink"/>
                <w:rtl w:val="true"/>
              </w:rPr>
              <w:t>:</w:t>
              <w:tab/>
            </w:r>
            <w:r>
              <w:rPr>
                <w:rStyle w:val="IndexLink"/>
              </w:rPr>
              <w:t>281</w:t>
            </w:r>
          </w:hyperlink>
        </w:p>
        <w:p>
          <w:pPr>
            <w:pStyle w:val="Contents5"/>
            <w:tabs>
              <w:tab w:val="clear" w:pos="7892"/>
              <w:tab w:val="right" w:pos="9026" w:leader="dot"/>
            </w:tabs>
            <w:rPr/>
          </w:pPr>
          <w:hyperlink w:anchor="__RefHeading___Toc907282_1468164448">
            <w:r>
              <w:rPr>
                <w:webHidden/>
                <w:rStyle w:val="IndexLink"/>
                <w:rtl w:val="true"/>
              </w:rPr>
              <w:t>الأمر العاشر</w:t>
            </w:r>
            <w:r>
              <w:rPr>
                <w:rStyle w:val="IndexLink"/>
                <w:rtl w:val="true"/>
              </w:rPr>
              <w:t xml:space="preserve">: </w:t>
            </w:r>
            <w:r>
              <w:rPr>
                <w:rStyle w:val="IndexLink"/>
                <w:rtl w:val="true"/>
              </w:rPr>
              <w:t>حکم اختلاف الحکمین</w:t>
            </w:r>
            <w:r>
              <w:rPr>
                <w:rStyle w:val="IndexLink"/>
                <w:rtl w:val="true"/>
              </w:rPr>
              <w:t>:</w:t>
              <w:tab/>
            </w:r>
            <w:r>
              <w:rPr>
                <w:rStyle w:val="IndexLink"/>
              </w:rPr>
              <w:t>282</w:t>
            </w:r>
          </w:hyperlink>
        </w:p>
        <w:p>
          <w:pPr>
            <w:pStyle w:val="Contents5"/>
            <w:tabs>
              <w:tab w:val="clear" w:pos="7892"/>
              <w:tab w:val="right" w:pos="9026" w:leader="dot"/>
            </w:tabs>
            <w:rPr/>
          </w:pPr>
          <w:hyperlink w:anchor="__RefHeading___Toc907284_1468164448">
            <w:r>
              <w:rPr>
                <w:webHidden/>
                <w:rStyle w:val="IndexLink"/>
                <w:rtl w:val="true"/>
              </w:rPr>
              <w:t>الأمر الحادی عشر</w:t>
            </w:r>
            <w:r>
              <w:rPr>
                <w:rStyle w:val="IndexLink"/>
                <w:rtl w:val="true"/>
              </w:rPr>
              <w:t xml:space="preserve">: </w:t>
            </w:r>
            <w:r>
              <w:rPr>
                <w:rStyle w:val="IndexLink"/>
                <w:rtl w:val="true"/>
              </w:rPr>
              <w:t>حکم غیاب أحد الزوجین</w:t>
            </w:r>
            <w:r>
              <w:rPr>
                <w:rStyle w:val="IndexLink"/>
                <w:rtl w:val="true"/>
              </w:rPr>
              <w:t>:</w:t>
              <w:tab/>
            </w:r>
            <w:r>
              <w:rPr>
                <w:rStyle w:val="IndexLink"/>
              </w:rPr>
              <w:t>283</w:t>
            </w:r>
          </w:hyperlink>
        </w:p>
        <w:p>
          <w:pPr>
            <w:pStyle w:val="Contents5"/>
            <w:tabs>
              <w:tab w:val="clear" w:pos="7892"/>
              <w:tab w:val="right" w:pos="9026" w:leader="dot"/>
            </w:tabs>
            <w:rPr/>
          </w:pPr>
          <w:hyperlink w:anchor="__RefHeading___Toc907286_1468164448">
            <w:r>
              <w:rPr>
                <w:webHidden/>
                <w:rStyle w:val="IndexLink"/>
                <w:rtl w:val="true"/>
              </w:rPr>
              <w:t>الأمر الثانی عشر</w:t>
            </w:r>
            <w:r>
              <w:rPr>
                <w:rStyle w:val="IndexLink"/>
                <w:rtl w:val="true"/>
              </w:rPr>
              <w:t xml:space="preserve">: </w:t>
            </w:r>
            <w:r>
              <w:rPr>
                <w:rStyle w:val="IndexLink"/>
                <w:rtl w:val="true"/>
              </w:rPr>
              <w:t>التحکیم فی القوانین الوضعیة</w:t>
            </w:r>
            <w:r>
              <w:rPr>
                <w:rStyle w:val="IndexLink"/>
                <w:rtl w:val="true"/>
              </w:rPr>
              <w:t>:</w:t>
              <w:tab/>
            </w:r>
            <w:r>
              <w:rPr>
                <w:rStyle w:val="IndexLink"/>
              </w:rPr>
              <w:t>283</w:t>
            </w:r>
          </w:hyperlink>
        </w:p>
        <w:p>
          <w:pPr>
            <w:pStyle w:val="Contents2"/>
            <w:tabs>
              <w:tab w:val="clear" w:pos="8743"/>
              <w:tab w:val="right" w:pos="9026" w:leader="dot"/>
            </w:tabs>
            <w:rPr/>
          </w:pPr>
          <w:hyperlink w:anchor="__RefHeading___Toc907288_1468164448">
            <w:r>
              <w:rPr>
                <w:webHidden/>
                <w:rStyle w:val="IndexLink"/>
                <w:rtl w:val="true"/>
              </w:rPr>
              <w:t>قاعدة</w:t>
            </w:r>
            <w:r>
              <w:rPr>
                <w:rStyle w:val="IndexLink"/>
                <w:rtl w:val="true"/>
              </w:rPr>
              <w:t>:</w:t>
            </w:r>
            <w:r>
              <w:rPr>
                <w:rStyle w:val="IndexLink"/>
                <w:rtl w:val="true"/>
              </w:rPr>
              <w:t>حق المرأة العشرة بالمعروف أو التسریح بإحسان</w:t>
            </w:r>
            <w:r>
              <w:rPr>
                <w:rStyle w:val="IndexLink"/>
                <w:rtl w:val="true"/>
              </w:rPr>
              <w:tab/>
            </w:r>
            <w:r>
              <w:rPr>
                <w:rStyle w:val="IndexLink"/>
              </w:rPr>
              <w:t>285</w:t>
            </w:r>
          </w:hyperlink>
        </w:p>
        <w:p>
          <w:pPr>
            <w:pStyle w:val="Contents3"/>
            <w:tabs>
              <w:tab w:val="clear" w:pos="8459"/>
              <w:tab w:val="right" w:pos="9026" w:leader="dot"/>
            </w:tabs>
            <w:rPr/>
          </w:pPr>
          <w:hyperlink w:anchor="__RefHeading___Toc907290_1468164448">
            <w:r>
              <w:rPr>
                <w:webHidden/>
                <w:rStyle w:val="IndexLink"/>
                <w:rtl w:val="true"/>
              </w:rPr>
              <w:t>اشارة</w:t>
            </w:r>
            <w:r>
              <w:rPr>
                <w:rStyle w:val="IndexLink"/>
                <w:rtl w:val="true"/>
              </w:rPr>
              <w:tab/>
            </w:r>
            <w:r>
              <w:rPr>
                <w:rStyle w:val="IndexLink"/>
              </w:rPr>
              <w:t>285</w:t>
            </w:r>
          </w:hyperlink>
        </w:p>
        <w:p>
          <w:pPr>
            <w:pStyle w:val="Contents3"/>
            <w:tabs>
              <w:tab w:val="clear" w:pos="8459"/>
              <w:tab w:val="right" w:pos="9026" w:leader="dot"/>
            </w:tabs>
            <w:rPr/>
          </w:pPr>
          <w:hyperlink w:anchor="__RefHeading___Toc907292_1468164448">
            <w:r>
              <w:rPr>
                <w:webHidden/>
                <w:rStyle w:val="IndexLink"/>
                <w:rtl w:val="true"/>
              </w:rPr>
              <w:t>من قواعد باب النکاح</w:t>
            </w:r>
            <w:r>
              <w:rPr>
                <w:rStyle w:val="IndexLink"/>
                <w:rtl w:val="true"/>
              </w:rPr>
              <w:t>:</w:t>
            </w:r>
            <w:r>
              <w:rPr>
                <w:rStyle w:val="IndexLink"/>
                <w:rtl w:val="true"/>
              </w:rPr>
              <w:t>حق المرأة العشرة بالمعروف أو التسریح بإحسان</w:t>
            </w:r>
            <w:r>
              <w:rPr>
                <w:rStyle w:val="IndexLink"/>
                <w:rtl w:val="true"/>
              </w:rPr>
              <w:tab/>
            </w:r>
            <w:r>
              <w:rPr>
                <w:rStyle w:val="IndexLink"/>
              </w:rPr>
              <w:t>286</w:t>
            </w:r>
          </w:hyperlink>
        </w:p>
        <w:p>
          <w:pPr>
            <w:pStyle w:val="Contents4"/>
            <w:tabs>
              <w:tab w:val="clear" w:pos="8176"/>
              <w:tab w:val="right" w:pos="9026" w:leader="dot"/>
            </w:tabs>
            <w:rPr/>
          </w:pPr>
          <w:hyperlink w:anchor="__RefHeading___Toc907294_1468164448">
            <w:r>
              <w:rPr>
                <w:webHidden/>
                <w:rStyle w:val="IndexLink"/>
                <w:rtl w:val="true"/>
              </w:rPr>
              <w:t>اشارة</w:t>
            </w:r>
            <w:r>
              <w:rPr>
                <w:rStyle w:val="IndexLink"/>
                <w:rtl w:val="true"/>
              </w:rPr>
              <w:tab/>
            </w:r>
            <w:r>
              <w:rPr>
                <w:rStyle w:val="IndexLink"/>
              </w:rPr>
              <w:t>286</w:t>
            </w:r>
          </w:hyperlink>
        </w:p>
        <w:p>
          <w:pPr>
            <w:pStyle w:val="Contents4"/>
            <w:tabs>
              <w:tab w:val="clear" w:pos="8176"/>
              <w:tab w:val="right" w:pos="9026" w:leader="dot"/>
            </w:tabs>
            <w:rPr/>
          </w:pPr>
          <w:hyperlink w:anchor="__RefHeading___Toc907296_1468164448">
            <w:r>
              <w:rPr>
                <w:webHidden/>
                <w:rStyle w:val="IndexLink"/>
                <w:rtl w:val="true"/>
              </w:rPr>
              <w:t>الجهة الأولی</w:t>
            </w:r>
            <w:r>
              <w:rPr>
                <w:rStyle w:val="IndexLink"/>
                <w:rtl w:val="true"/>
              </w:rPr>
              <w:t xml:space="preserve">: </w:t>
            </w:r>
            <w:r>
              <w:rPr>
                <w:rStyle w:val="IndexLink"/>
                <w:rtl w:val="true"/>
              </w:rPr>
              <w:t>فی کون حق الوطی من حقوق المرأة</w:t>
            </w:r>
            <w:r>
              <w:rPr>
                <w:rStyle w:val="IndexLink"/>
                <w:rtl w:val="true"/>
              </w:rPr>
              <w:t>:</w:t>
              <w:tab/>
            </w:r>
            <w:r>
              <w:rPr>
                <w:rStyle w:val="IndexLink"/>
              </w:rPr>
              <w:t>286</w:t>
            </w:r>
          </w:hyperlink>
        </w:p>
        <w:p>
          <w:pPr>
            <w:pStyle w:val="Contents4"/>
            <w:tabs>
              <w:tab w:val="clear" w:pos="8176"/>
              <w:tab w:val="right" w:pos="9026" w:leader="dot"/>
            </w:tabs>
            <w:rPr/>
          </w:pPr>
          <w:hyperlink w:anchor="__RefHeading___Toc907298_1468164448">
            <w:r>
              <w:rPr>
                <w:webHidden/>
                <w:rStyle w:val="IndexLink"/>
                <w:rtl w:val="true"/>
              </w:rPr>
              <w:t>الجهة الثانیة</w:t>
            </w:r>
            <w:r>
              <w:rPr>
                <w:rStyle w:val="IndexLink"/>
                <w:rtl w:val="true"/>
              </w:rPr>
              <w:t xml:space="preserve">: </w:t>
            </w:r>
            <w:r>
              <w:rPr>
                <w:rStyle w:val="IndexLink"/>
                <w:rtl w:val="true"/>
              </w:rPr>
              <w:t>وحدة موضوع العیوب والإیلاء والظهار من جهة حق الوطی</w:t>
            </w:r>
            <w:r>
              <w:rPr>
                <w:rStyle w:val="IndexLink"/>
                <w:rtl w:val="true"/>
              </w:rPr>
              <w:t>:</w:t>
              <w:tab/>
            </w:r>
            <w:r>
              <w:rPr>
                <w:rStyle w:val="IndexLink"/>
              </w:rPr>
              <w:t>287</w:t>
            </w:r>
          </w:hyperlink>
        </w:p>
        <w:p>
          <w:pPr>
            <w:pStyle w:val="Contents4"/>
            <w:tabs>
              <w:tab w:val="clear" w:pos="8176"/>
              <w:tab w:val="right" w:pos="9026" w:leader="dot"/>
            </w:tabs>
            <w:rPr/>
          </w:pPr>
          <w:hyperlink w:anchor="__RefHeading___Toc907300_1468164448">
            <w:r>
              <w:rPr>
                <w:webHidden/>
                <w:rStyle w:val="IndexLink"/>
                <w:rtl w:val="true"/>
              </w:rPr>
              <w:t>الجهة الثالثة</w:t>
            </w:r>
            <w:r>
              <w:rPr>
                <w:rStyle w:val="IndexLink"/>
                <w:rtl w:val="true"/>
              </w:rPr>
              <w:t xml:space="preserve">: </w:t>
            </w:r>
            <w:r>
              <w:rPr>
                <w:rStyle w:val="IndexLink"/>
                <w:rtl w:val="true"/>
              </w:rPr>
              <w:t>عموم حق استعداء المرأة بالطلاق مع عدم العشرة بالمعروف من دون تقیید ذلک بخصوص النفقة</w:t>
            </w:r>
            <w:r>
              <w:rPr>
                <w:rStyle w:val="IndexLink"/>
                <w:rtl w:val="true"/>
              </w:rPr>
              <w:tab/>
            </w:r>
            <w:r>
              <w:rPr>
                <w:rStyle w:val="IndexLink"/>
              </w:rPr>
              <w:t>290</w:t>
            </w:r>
          </w:hyperlink>
        </w:p>
        <w:p>
          <w:pPr>
            <w:pStyle w:val="Contents4"/>
            <w:tabs>
              <w:tab w:val="clear" w:pos="8176"/>
              <w:tab w:val="right" w:pos="9026" w:leader="dot"/>
            </w:tabs>
            <w:rPr/>
          </w:pPr>
          <w:hyperlink w:anchor="__RefHeading___Toc907302_1468164448">
            <w:r>
              <w:rPr>
                <w:webHidden/>
                <w:rStyle w:val="IndexLink"/>
                <w:rtl w:val="true"/>
              </w:rPr>
              <w:t>الجهة الرابع</w:t>
            </w:r>
            <w:r>
              <w:rPr>
                <w:rStyle w:val="IndexLink"/>
                <w:rtl w:val="true"/>
              </w:rPr>
              <w:t xml:space="preserve">: </w:t>
            </w:r>
            <w:r>
              <w:rPr>
                <w:rStyle w:val="IndexLink"/>
                <w:rtl w:val="true"/>
              </w:rPr>
              <w:t>تتمة القاعدة</w:t>
            </w:r>
            <w:r>
              <w:rPr>
                <w:rStyle w:val="IndexLink"/>
                <w:rtl w:val="true"/>
              </w:rPr>
              <w:t>:</w:t>
              <w:tab/>
            </w:r>
            <w:r>
              <w:rPr>
                <w:rStyle w:val="IndexLink"/>
              </w:rPr>
              <w:t>297</w:t>
            </w:r>
          </w:hyperlink>
        </w:p>
        <w:p>
          <w:pPr>
            <w:pStyle w:val="Contents5"/>
            <w:tabs>
              <w:tab w:val="clear" w:pos="7892"/>
              <w:tab w:val="right" w:pos="9026" w:leader="dot"/>
            </w:tabs>
            <w:rPr/>
          </w:pPr>
          <w:hyperlink w:anchor="__RefHeading___Toc907304_1468164448">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907306_1468164448">
            <w:r>
              <w:rPr>
                <w:webHidden/>
                <w:rStyle w:val="IndexLink"/>
                <w:rtl w:val="true"/>
              </w:rPr>
              <w:t>فصل</w:t>
            </w:r>
            <w:r>
              <w:rPr>
                <w:rStyle w:val="IndexLink"/>
                <w:rtl w:val="true"/>
              </w:rPr>
              <w:t>:</w:t>
              <w:tab/>
            </w:r>
            <w:r>
              <w:rPr>
                <w:rStyle w:val="IndexLink"/>
              </w:rPr>
              <w:t>305</w:t>
            </w:r>
          </w:hyperlink>
        </w:p>
        <w:p>
          <w:pPr>
            <w:pStyle w:val="Contents5"/>
            <w:tabs>
              <w:tab w:val="clear" w:pos="7892"/>
              <w:tab w:val="right" w:pos="9026" w:leader="dot"/>
            </w:tabs>
            <w:rPr/>
          </w:pPr>
          <w:hyperlink w:anchor="__RefHeading___Toc907308_1468164448">
            <w:r>
              <w:rPr>
                <w:webHidden/>
                <w:rStyle w:val="IndexLink"/>
                <w:rtl w:val="true"/>
              </w:rPr>
              <w:t>الأحکام الأُخری التابعة للقاعدة</w:t>
            </w:r>
            <w:r>
              <w:rPr>
                <w:rStyle w:val="IndexLink"/>
                <w:rtl w:val="true"/>
              </w:rPr>
              <w:t>:</w:t>
              <w:tab/>
            </w:r>
            <w:r>
              <w:rPr>
                <w:rStyle w:val="IndexLink"/>
              </w:rPr>
              <w:t>306</w:t>
            </w:r>
          </w:hyperlink>
        </w:p>
        <w:p>
          <w:pPr>
            <w:pStyle w:val="Contents5"/>
            <w:tabs>
              <w:tab w:val="clear" w:pos="7892"/>
              <w:tab w:val="right" w:pos="9026" w:leader="dot"/>
            </w:tabs>
            <w:rPr/>
          </w:pPr>
          <w:hyperlink w:anchor="__RefHeading___Toc907310_1468164448">
            <w:r>
              <w:rPr>
                <w:webHidden/>
                <w:rStyle w:val="IndexLink"/>
                <w:rtl w:val="true"/>
              </w:rPr>
              <w:t>من یتصدی للإجبار</w:t>
            </w:r>
            <w:r>
              <w:rPr>
                <w:rStyle w:val="IndexLink"/>
                <w:rtl w:val="true"/>
              </w:rPr>
              <w:t>:</w:t>
              <w:tab/>
            </w:r>
            <w:r>
              <w:rPr>
                <w:rStyle w:val="IndexLink"/>
              </w:rPr>
              <w:t>308</w:t>
            </w:r>
          </w:hyperlink>
        </w:p>
        <w:p>
          <w:pPr>
            <w:pStyle w:val="Contents4"/>
            <w:tabs>
              <w:tab w:val="clear" w:pos="8176"/>
              <w:tab w:val="right" w:pos="9026" w:leader="dot"/>
            </w:tabs>
            <w:rPr/>
          </w:pPr>
          <w:hyperlink w:anchor="__RefHeading___Toc907312_1468164448">
            <w:r>
              <w:rPr>
                <w:webHidden/>
                <w:rStyle w:val="IndexLink"/>
                <w:rtl w:val="true"/>
              </w:rPr>
              <w:t>الجهة الخامسة</w:t>
            </w:r>
            <w:r>
              <w:rPr>
                <w:rStyle w:val="IndexLink"/>
                <w:rtl w:val="true"/>
              </w:rPr>
              <w:t xml:space="preserve">: </w:t>
            </w:r>
            <w:r>
              <w:rPr>
                <w:rStyle w:val="IndexLink"/>
                <w:rtl w:val="true"/>
              </w:rPr>
              <w:t>قاعدة فی حقوق العشرة الزوجیة أو الطلاق</w:t>
            </w:r>
            <w:r>
              <w:rPr>
                <w:rStyle w:val="IndexLink"/>
                <w:rtl w:val="true"/>
              </w:rPr>
              <w:t>:</w:t>
              <w:tab/>
            </w:r>
            <w:r>
              <w:rPr>
                <w:rStyle w:val="IndexLink"/>
              </w:rPr>
              <w:t>309</w:t>
            </w:r>
          </w:hyperlink>
        </w:p>
        <w:p>
          <w:pPr>
            <w:pStyle w:val="Contents5"/>
            <w:tabs>
              <w:tab w:val="clear" w:pos="7892"/>
              <w:tab w:val="right" w:pos="9026" w:leader="dot"/>
            </w:tabs>
            <w:rPr/>
          </w:pPr>
          <w:hyperlink w:anchor="__RefHeading___Toc907314_1468164448">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907316_1468164448">
            <w:r>
              <w:rPr>
                <w:webHidden/>
                <w:rStyle w:val="IndexLink"/>
                <w:rtl w:val="true"/>
              </w:rPr>
              <w:t>أولاً</w:t>
            </w:r>
            <w:r>
              <w:rPr>
                <w:rStyle w:val="IndexLink"/>
                <w:rtl w:val="true"/>
              </w:rPr>
              <w:t xml:space="preserve">: </w:t>
            </w:r>
            <w:r>
              <w:rPr>
                <w:rStyle w:val="IndexLink"/>
                <w:rtl w:val="true"/>
              </w:rPr>
              <w:t>الاستدلال بالآیات</w:t>
            </w:r>
            <w:r>
              <w:rPr>
                <w:rStyle w:val="IndexLink"/>
                <w:rtl w:val="true"/>
              </w:rPr>
              <w:t>:</w:t>
              <w:tab/>
            </w:r>
            <w:r>
              <w:rPr>
                <w:rStyle w:val="IndexLink"/>
              </w:rPr>
              <w:t>312</w:t>
            </w:r>
          </w:hyperlink>
        </w:p>
        <w:p>
          <w:pPr>
            <w:pStyle w:val="Contents5"/>
            <w:tabs>
              <w:tab w:val="clear" w:pos="7892"/>
              <w:tab w:val="right" w:pos="9026" w:leader="dot"/>
            </w:tabs>
            <w:rPr/>
          </w:pPr>
          <w:hyperlink w:anchor="__RefHeading___Toc907318_1468164448">
            <w:r>
              <w:rPr>
                <w:webHidden/>
                <w:rStyle w:val="IndexLink"/>
                <w:rtl w:val="true"/>
              </w:rPr>
              <w:t>ثانیاً</w:t>
            </w:r>
            <w:r>
              <w:rPr>
                <w:rStyle w:val="IndexLink"/>
                <w:rtl w:val="true"/>
              </w:rPr>
              <w:t xml:space="preserve">: </w:t>
            </w:r>
            <w:r>
              <w:rPr>
                <w:rStyle w:val="IndexLink"/>
                <w:rtl w:val="true"/>
              </w:rPr>
              <w:t>الاستدلال بالروایات</w:t>
            </w:r>
            <w:r>
              <w:rPr>
                <w:rStyle w:val="IndexLink"/>
                <w:rtl w:val="true"/>
              </w:rPr>
              <w:t>:</w:t>
              <w:tab/>
            </w:r>
            <w:r>
              <w:rPr>
                <w:rStyle w:val="IndexLink"/>
              </w:rPr>
              <w:t>317</w:t>
            </w:r>
          </w:hyperlink>
        </w:p>
        <w:p>
          <w:pPr>
            <w:pStyle w:val="Contents6"/>
            <w:tabs>
              <w:tab w:val="clear" w:pos="7609"/>
              <w:tab w:val="right" w:pos="9026" w:leader="dot"/>
            </w:tabs>
            <w:rPr/>
          </w:pPr>
          <w:hyperlink w:anchor="__RefHeading___Toc907320_1468164448">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907322_1468164448">
            <w:r>
              <w:rPr>
                <w:webHidden/>
                <w:rStyle w:val="IndexLink"/>
                <w:rtl w:val="true"/>
              </w:rPr>
              <w:t>الطائفة الأولی</w:t>
            </w:r>
            <w:r>
              <w:rPr>
                <w:rStyle w:val="IndexLink"/>
                <w:rtl w:val="true"/>
              </w:rPr>
              <w:t>:</w:t>
              <w:tab/>
            </w:r>
            <w:r>
              <w:rPr>
                <w:rStyle w:val="IndexLink"/>
              </w:rPr>
              <w:t>317</w:t>
            </w:r>
          </w:hyperlink>
        </w:p>
        <w:p>
          <w:pPr>
            <w:pStyle w:val="Contents6"/>
            <w:tabs>
              <w:tab w:val="clear" w:pos="7609"/>
              <w:tab w:val="right" w:pos="9026" w:leader="dot"/>
            </w:tabs>
            <w:rPr/>
          </w:pPr>
          <w:hyperlink w:anchor="__RefHeading___Toc907324_1468164448">
            <w:r>
              <w:rPr>
                <w:webHidden/>
                <w:rStyle w:val="IndexLink"/>
                <w:rtl w:val="true"/>
              </w:rPr>
              <w:t>الطائفة الثانیة</w:t>
            </w:r>
            <w:r>
              <w:rPr>
                <w:rStyle w:val="IndexLink"/>
                <w:rtl w:val="true"/>
              </w:rPr>
              <w:t>:</w:t>
              <w:tab/>
            </w:r>
            <w:r>
              <w:rPr>
                <w:rStyle w:val="IndexLink"/>
              </w:rPr>
              <w:t>317</w:t>
            </w:r>
          </w:hyperlink>
        </w:p>
        <w:p>
          <w:pPr>
            <w:pStyle w:val="Contents6"/>
            <w:tabs>
              <w:tab w:val="clear" w:pos="7609"/>
              <w:tab w:val="right" w:pos="9026" w:leader="dot"/>
            </w:tabs>
            <w:rPr/>
          </w:pPr>
          <w:hyperlink w:anchor="__RefHeading___Toc907326_1468164448">
            <w:r>
              <w:rPr>
                <w:webHidden/>
                <w:rStyle w:val="IndexLink"/>
                <w:rtl w:val="true"/>
              </w:rPr>
              <w:t>الطائفة الثالثة</w:t>
            </w:r>
            <w:r>
              <w:rPr>
                <w:rStyle w:val="IndexLink"/>
                <w:rtl w:val="true"/>
              </w:rPr>
              <w:t>:</w:t>
              <w:tab/>
            </w:r>
            <w:r>
              <w:rPr>
                <w:rStyle w:val="IndexLink"/>
              </w:rPr>
              <w:t>321</w:t>
            </w:r>
          </w:hyperlink>
        </w:p>
        <w:p>
          <w:pPr>
            <w:pStyle w:val="Contents5"/>
            <w:tabs>
              <w:tab w:val="clear" w:pos="7892"/>
              <w:tab w:val="right" w:pos="9026" w:leader="dot"/>
            </w:tabs>
            <w:rPr/>
          </w:pPr>
          <w:hyperlink w:anchor="__RefHeading___Toc907328_1468164448">
            <w:r>
              <w:rPr>
                <w:webHidden/>
                <w:rStyle w:val="IndexLink"/>
                <w:rtl w:val="true"/>
              </w:rPr>
              <w:t>امّا الروایات فهی علی لسانین</w:t>
            </w:r>
            <w:r>
              <w:rPr>
                <w:rStyle w:val="IndexLink"/>
                <w:rtl w:val="true"/>
              </w:rPr>
              <w:t>:</w:t>
              <w:tab/>
            </w:r>
            <w:r>
              <w:rPr>
                <w:rStyle w:val="IndexLink"/>
              </w:rPr>
              <w:t>324</w:t>
            </w:r>
          </w:hyperlink>
        </w:p>
        <w:p>
          <w:pPr>
            <w:pStyle w:val="Contents6"/>
            <w:tabs>
              <w:tab w:val="clear" w:pos="7609"/>
              <w:tab w:val="right" w:pos="9026" w:leader="dot"/>
            </w:tabs>
            <w:rPr/>
          </w:pPr>
          <w:hyperlink w:anchor="__RefHeading___Toc907330_1468164448">
            <w:r>
              <w:rPr>
                <w:webHidden/>
                <w:rStyle w:val="IndexLink"/>
                <w:rtl w:val="true"/>
              </w:rPr>
              <w:t>اللسان الأوّل</w:t>
            </w:r>
            <w:r>
              <w:rPr>
                <w:rStyle w:val="IndexLink"/>
                <w:rtl w:val="true"/>
              </w:rPr>
              <w:t>:</w:t>
              <w:tab/>
            </w:r>
            <w:r>
              <w:rPr>
                <w:rStyle w:val="IndexLink"/>
              </w:rPr>
              <w:t>324</w:t>
            </w:r>
          </w:hyperlink>
        </w:p>
        <w:p>
          <w:pPr>
            <w:pStyle w:val="Contents6"/>
            <w:tabs>
              <w:tab w:val="clear" w:pos="7609"/>
              <w:tab w:val="right" w:pos="9026" w:leader="dot"/>
            </w:tabs>
            <w:rPr/>
          </w:pPr>
          <w:hyperlink w:anchor="__RefHeading___Toc907332_1468164448">
            <w:r>
              <w:rPr>
                <w:webHidden/>
                <w:rStyle w:val="IndexLink"/>
                <w:rtl w:val="true"/>
              </w:rPr>
              <w:t>اللسان الثانی</w:t>
            </w:r>
            <w:r>
              <w:rPr>
                <w:rStyle w:val="IndexLink"/>
                <w:rtl w:val="true"/>
              </w:rPr>
              <w:t>:</w:t>
              <w:tab/>
            </w:r>
            <w:r>
              <w:rPr>
                <w:rStyle w:val="IndexLink"/>
              </w:rPr>
              <w:t>325</w:t>
            </w:r>
          </w:hyperlink>
        </w:p>
        <w:p>
          <w:pPr>
            <w:pStyle w:val="Contents5"/>
            <w:tabs>
              <w:tab w:val="clear" w:pos="7892"/>
              <w:tab w:val="right" w:pos="9026" w:leader="dot"/>
            </w:tabs>
            <w:rPr/>
          </w:pPr>
          <w:hyperlink w:anchor="__RefHeading___Toc907334_1468164448">
            <w:r>
              <w:rPr>
                <w:webHidden/>
                <w:rStyle w:val="IndexLink"/>
                <w:rtl w:val="true"/>
              </w:rPr>
              <w:t>فروع فی حق القسمة</w:t>
            </w:r>
            <w:r>
              <w:rPr>
                <w:rStyle w:val="IndexLink"/>
                <w:rtl w:val="true"/>
              </w:rPr>
              <w:t>:</w:t>
              <w:tab/>
            </w:r>
            <w:r>
              <w:rPr>
                <w:rStyle w:val="IndexLink"/>
              </w:rPr>
              <w:t>328</w:t>
            </w:r>
          </w:hyperlink>
        </w:p>
        <w:p>
          <w:pPr>
            <w:pStyle w:val="Contents5"/>
            <w:tabs>
              <w:tab w:val="clear" w:pos="7892"/>
              <w:tab w:val="right" w:pos="9026" w:leader="dot"/>
            </w:tabs>
            <w:rPr/>
          </w:pPr>
          <w:hyperlink w:anchor="__RefHeading___Toc907336_1468164448">
            <w:r>
              <w:rPr>
                <w:webHidden/>
                <w:rStyle w:val="IndexLink"/>
                <w:rtl w:val="true"/>
              </w:rPr>
              <w:t>حکم العدل والتسویة بین الزوجات</w:t>
            </w:r>
            <w:r>
              <w:rPr>
                <w:rStyle w:val="IndexLink"/>
                <w:rtl w:val="true"/>
              </w:rPr>
              <w:t>:</w:t>
              <w:tab/>
            </w:r>
            <w:r>
              <w:rPr>
                <w:rStyle w:val="IndexLink"/>
              </w:rPr>
              <w:t>335</w:t>
            </w:r>
          </w:hyperlink>
        </w:p>
        <w:p>
          <w:pPr>
            <w:pStyle w:val="Contents5"/>
            <w:tabs>
              <w:tab w:val="clear" w:pos="7892"/>
              <w:tab w:val="right" w:pos="9026" w:leader="dot"/>
            </w:tabs>
            <w:rPr/>
          </w:pPr>
          <w:hyperlink w:anchor="__RefHeading___Toc907338_1468164448">
            <w:r>
              <w:rPr>
                <w:webHidden/>
                <w:rStyle w:val="IndexLink"/>
                <w:rtl w:val="true"/>
              </w:rPr>
              <w:t>حکم خروج الزوجة من البیت</w:t>
            </w:r>
            <w:r>
              <w:rPr>
                <w:rStyle w:val="IndexLink"/>
                <w:rtl w:val="true"/>
              </w:rPr>
              <w:t>:</w:t>
              <w:tab/>
            </w:r>
            <w:r>
              <w:rPr>
                <w:rStyle w:val="IndexLink"/>
              </w:rPr>
              <w:t>338</w:t>
            </w:r>
          </w:hyperlink>
        </w:p>
        <w:p>
          <w:pPr>
            <w:pStyle w:val="Contents2"/>
            <w:tabs>
              <w:tab w:val="clear" w:pos="8743"/>
              <w:tab w:val="right" w:pos="9026" w:leader="dot"/>
            </w:tabs>
            <w:rPr/>
          </w:pPr>
          <w:hyperlink w:anchor="__RefHeading___Toc907340_1468164448">
            <w:r>
              <w:rPr>
                <w:webHidden/>
                <w:rStyle w:val="IndexLink"/>
                <w:rtl w:val="true"/>
              </w:rPr>
              <w:t>قاعدة</w:t>
            </w:r>
            <w:r>
              <w:rPr>
                <w:rStyle w:val="IndexLink"/>
                <w:rtl w:val="true"/>
              </w:rPr>
              <w:t>:</w:t>
            </w:r>
            <w:r>
              <w:rPr>
                <w:rStyle w:val="IndexLink"/>
                <w:rtl w:val="true"/>
              </w:rPr>
              <w:t>شرطیة الإسلام فی الولایة</w:t>
            </w:r>
            <w:r>
              <w:rPr>
                <w:rStyle w:val="IndexLink"/>
                <w:rtl w:val="true"/>
              </w:rPr>
              <w:tab/>
            </w:r>
            <w:r>
              <w:rPr>
                <w:rStyle w:val="IndexLink"/>
              </w:rPr>
              <w:t>375</w:t>
            </w:r>
          </w:hyperlink>
        </w:p>
        <w:p>
          <w:pPr>
            <w:pStyle w:val="Contents3"/>
            <w:tabs>
              <w:tab w:val="clear" w:pos="8459"/>
              <w:tab w:val="right" w:pos="9026" w:leader="dot"/>
            </w:tabs>
            <w:rPr/>
          </w:pPr>
          <w:hyperlink w:anchor="__RefHeading___Toc907342_1468164448">
            <w:r>
              <w:rPr>
                <w:webHidden/>
                <w:rStyle w:val="IndexLink"/>
                <w:rtl w:val="true"/>
              </w:rPr>
              <w:t>اشارة</w:t>
            </w:r>
            <w:r>
              <w:rPr>
                <w:rStyle w:val="IndexLink"/>
                <w:rtl w:val="true"/>
              </w:rPr>
              <w:tab/>
            </w:r>
            <w:r>
              <w:rPr>
                <w:rStyle w:val="IndexLink"/>
              </w:rPr>
              <w:t>375</w:t>
            </w:r>
          </w:hyperlink>
        </w:p>
        <w:p>
          <w:pPr>
            <w:pStyle w:val="Contents3"/>
            <w:tabs>
              <w:tab w:val="clear" w:pos="8459"/>
              <w:tab w:val="right" w:pos="9026" w:leader="dot"/>
            </w:tabs>
            <w:rPr/>
          </w:pPr>
          <w:hyperlink w:anchor="__RefHeading___Toc907344_1468164448">
            <w:r>
              <w:rPr>
                <w:webHidden/>
                <w:rStyle w:val="IndexLink"/>
                <w:rtl w:val="true"/>
              </w:rPr>
              <w:t>من القواعد العامة</w:t>
            </w:r>
            <w:r>
              <w:rPr>
                <w:rStyle w:val="IndexLink"/>
                <w:rtl w:val="true"/>
              </w:rPr>
              <w:t>:</w:t>
            </w:r>
            <w:r>
              <w:rPr>
                <w:rStyle w:val="IndexLink"/>
                <w:rtl w:val="true"/>
              </w:rPr>
              <w:t>شرطیة الإسلام فی الولایة</w:t>
            </w:r>
            <w:r>
              <w:rPr>
                <w:rStyle w:val="IndexLink"/>
                <w:rtl w:val="true"/>
              </w:rPr>
              <w:tab/>
            </w:r>
            <w:r>
              <w:rPr>
                <w:rStyle w:val="IndexLink"/>
              </w:rPr>
              <w:t>376</w:t>
            </w:r>
          </w:hyperlink>
        </w:p>
        <w:p>
          <w:pPr>
            <w:pStyle w:val="Contents4"/>
            <w:tabs>
              <w:tab w:val="clear" w:pos="8176"/>
              <w:tab w:val="right" w:pos="9026" w:leader="dot"/>
            </w:tabs>
            <w:rPr/>
          </w:pPr>
          <w:hyperlink w:anchor="__RefHeading___Toc907346_1468164448">
            <w:r>
              <w:rPr>
                <w:webHidden/>
                <w:rStyle w:val="IndexLink"/>
                <w:rtl w:val="true"/>
              </w:rPr>
              <w:t>اشارة</w:t>
            </w:r>
            <w:r>
              <w:rPr>
                <w:rStyle w:val="IndexLink"/>
                <w:rtl w:val="true"/>
              </w:rPr>
              <w:tab/>
            </w:r>
            <w:r>
              <w:rPr>
                <w:rStyle w:val="IndexLink"/>
              </w:rPr>
              <w:t>376</w:t>
            </w:r>
          </w:hyperlink>
        </w:p>
        <w:p>
          <w:pPr>
            <w:pStyle w:val="Contents4"/>
            <w:tabs>
              <w:tab w:val="clear" w:pos="8176"/>
              <w:tab w:val="right" w:pos="9026" w:leader="dot"/>
            </w:tabs>
            <w:rPr/>
          </w:pPr>
          <w:hyperlink w:anchor="__RefHeading___Toc907348_1468164448">
            <w:r>
              <w:rPr>
                <w:webHidden/>
                <w:rStyle w:val="IndexLink"/>
                <w:rtl w:val="true"/>
              </w:rPr>
              <w:t>مفاد القاعدة</w:t>
            </w:r>
            <w:r>
              <w:rPr>
                <w:rStyle w:val="IndexLink"/>
                <w:rtl w:val="true"/>
              </w:rPr>
              <w:t>:</w:t>
              <w:tab/>
            </w:r>
            <w:r>
              <w:rPr>
                <w:rStyle w:val="IndexLink"/>
              </w:rPr>
              <w:t>376</w:t>
            </w:r>
          </w:hyperlink>
        </w:p>
        <w:p>
          <w:pPr>
            <w:pStyle w:val="Contents4"/>
            <w:tabs>
              <w:tab w:val="clear" w:pos="8176"/>
              <w:tab w:val="right" w:pos="9026" w:leader="dot"/>
            </w:tabs>
            <w:rPr/>
          </w:pPr>
          <w:hyperlink w:anchor="__RefHeading___Toc907350_1468164448">
            <w:r>
              <w:rPr>
                <w:webHidden/>
                <w:rStyle w:val="IndexLink"/>
                <w:rtl w:val="true"/>
              </w:rPr>
              <w:t>أدلة القاعدة</w:t>
            </w:r>
            <w:r>
              <w:rPr>
                <w:rStyle w:val="IndexLink"/>
                <w:rtl w:val="true"/>
              </w:rPr>
              <w:t>:</w:t>
              <w:tab/>
            </w:r>
            <w:r>
              <w:rPr>
                <w:rStyle w:val="IndexLink"/>
              </w:rPr>
              <w:t>376</w:t>
            </w:r>
          </w:hyperlink>
        </w:p>
        <w:p>
          <w:pPr>
            <w:pStyle w:val="Contents5"/>
            <w:tabs>
              <w:tab w:val="clear" w:pos="7892"/>
              <w:tab w:val="right" w:pos="9026" w:leader="dot"/>
            </w:tabs>
            <w:rPr/>
          </w:pPr>
          <w:hyperlink w:anchor="__RefHeading___Toc907352_1468164448">
            <w:r>
              <w:rPr>
                <w:webHidden/>
                <w:rStyle w:val="IndexLink"/>
                <w:rtl w:val="true"/>
              </w:rPr>
              <w:t>الدلیل الاول</w:t>
            </w:r>
            <w:r>
              <w:rPr>
                <w:rStyle w:val="IndexLink"/>
                <w:rtl w:val="true"/>
              </w:rPr>
              <w:t xml:space="preserve">: </w:t>
            </w:r>
            <w:r>
              <w:rPr>
                <w:rStyle w:val="IndexLink"/>
                <w:rtl w:val="true"/>
              </w:rPr>
              <w:t>الایات الکریمة</w:t>
            </w:r>
            <w:r>
              <w:rPr>
                <w:rStyle w:val="IndexLink"/>
                <w:rtl w:val="true"/>
              </w:rPr>
              <w:t>:</w:t>
              <w:tab/>
            </w:r>
            <w:r>
              <w:rPr>
                <w:rStyle w:val="IndexLink"/>
              </w:rPr>
              <w:t>376</w:t>
            </w:r>
          </w:hyperlink>
        </w:p>
        <w:p>
          <w:pPr>
            <w:pStyle w:val="Contents5"/>
            <w:tabs>
              <w:tab w:val="clear" w:pos="7892"/>
              <w:tab w:val="right" w:pos="9026" w:leader="dot"/>
            </w:tabs>
            <w:rPr/>
          </w:pPr>
          <w:hyperlink w:anchor="__RefHeading___Toc907354_1468164448">
            <w:r>
              <w:rPr>
                <w:webHidden/>
                <w:rStyle w:val="IndexLink"/>
                <w:rtl w:val="true"/>
              </w:rPr>
              <w:t>الدلیل الثانی الروایات</w:t>
            </w:r>
            <w:r>
              <w:rPr>
                <w:rStyle w:val="IndexLink"/>
                <w:rtl w:val="true"/>
              </w:rPr>
              <w:t>:</w:t>
              <w:tab/>
            </w:r>
            <w:r>
              <w:rPr>
                <w:rStyle w:val="IndexLink"/>
              </w:rPr>
              <w:t>377</w:t>
            </w:r>
          </w:hyperlink>
        </w:p>
        <w:p>
          <w:pPr>
            <w:pStyle w:val="Contents2"/>
            <w:tabs>
              <w:tab w:val="clear" w:pos="8743"/>
              <w:tab w:val="right" w:pos="9026" w:leader="dot"/>
            </w:tabs>
            <w:rPr/>
          </w:pPr>
          <w:hyperlink w:anchor="__RefHeading___Toc907356_1468164448">
            <w:r>
              <w:rPr>
                <w:webHidden/>
                <w:rStyle w:val="IndexLink"/>
                <w:rtl w:val="true"/>
              </w:rPr>
              <w:t>قاعدة</w:t>
            </w:r>
            <w:r>
              <w:rPr>
                <w:rStyle w:val="IndexLink"/>
                <w:rtl w:val="true"/>
              </w:rPr>
              <w:t>:</w:t>
            </w:r>
            <w:r>
              <w:rPr>
                <w:rStyle w:val="IndexLink"/>
                <w:rtl w:val="true"/>
              </w:rPr>
              <w:t>فی عموم قاعدة ولایة الأرحام</w:t>
            </w:r>
            <w:r>
              <w:rPr>
                <w:rStyle w:val="IndexLink"/>
                <w:rtl w:val="true"/>
              </w:rPr>
              <w:tab/>
            </w:r>
            <w:r>
              <w:rPr>
                <w:rStyle w:val="IndexLink"/>
              </w:rPr>
              <w:t>381</w:t>
            </w:r>
          </w:hyperlink>
        </w:p>
        <w:p>
          <w:pPr>
            <w:pStyle w:val="Contents3"/>
            <w:tabs>
              <w:tab w:val="clear" w:pos="8459"/>
              <w:tab w:val="right" w:pos="9026" w:leader="dot"/>
            </w:tabs>
            <w:rPr/>
          </w:pPr>
          <w:hyperlink w:anchor="__RefHeading___Toc907358_1468164448">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907360_1468164448">
            <w:r>
              <w:rPr>
                <w:webHidden/>
                <w:rStyle w:val="IndexLink"/>
                <w:rtl w:val="true"/>
              </w:rPr>
              <w:t>من قواعد باب النکاح</w:t>
            </w:r>
            <w:r>
              <w:rPr>
                <w:rStyle w:val="IndexLink"/>
                <w:rtl w:val="true"/>
              </w:rPr>
              <w:t>:</w:t>
            </w:r>
            <w:r>
              <w:rPr>
                <w:rStyle w:val="IndexLink"/>
                <w:rtl w:val="true"/>
              </w:rPr>
              <w:t>فی عموم قاعدة ولایة الأرحام</w:t>
            </w:r>
            <w:r>
              <w:rPr>
                <w:rStyle w:val="IndexLink"/>
                <w:rtl w:val="true"/>
              </w:rPr>
              <w:tab/>
            </w:r>
            <w:r>
              <w:rPr>
                <w:rStyle w:val="IndexLink"/>
              </w:rPr>
              <w:t>382</w:t>
            </w:r>
          </w:hyperlink>
        </w:p>
        <w:p>
          <w:pPr>
            <w:pStyle w:val="Contents4"/>
            <w:tabs>
              <w:tab w:val="clear" w:pos="8176"/>
              <w:tab w:val="right" w:pos="9026" w:leader="dot"/>
            </w:tabs>
            <w:rPr/>
          </w:pPr>
          <w:hyperlink w:anchor="__RefHeading___Toc907362_1468164448">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907364_1468164448">
            <w:r>
              <w:rPr>
                <w:webHidden/>
                <w:rStyle w:val="IndexLink"/>
                <w:rtl w:val="true"/>
              </w:rPr>
              <w:t>المبحث الأوَّل</w:t>
            </w:r>
            <w:r>
              <w:rPr>
                <w:rStyle w:val="IndexLink"/>
                <w:rtl w:val="true"/>
              </w:rPr>
              <w:t xml:space="preserve">: </w:t>
            </w:r>
            <w:r>
              <w:rPr>
                <w:rStyle w:val="IndexLink"/>
                <w:rtl w:val="true"/>
              </w:rPr>
              <w:t>الأقوال فی القاعدة</w:t>
            </w:r>
            <w:r>
              <w:rPr>
                <w:rStyle w:val="IndexLink"/>
                <w:rtl w:val="true"/>
              </w:rPr>
              <w:t>:</w:t>
              <w:tab/>
            </w:r>
            <w:r>
              <w:rPr>
                <w:rStyle w:val="IndexLink"/>
              </w:rPr>
              <w:t>382</w:t>
            </w:r>
          </w:hyperlink>
        </w:p>
        <w:p>
          <w:pPr>
            <w:pStyle w:val="Contents4"/>
            <w:tabs>
              <w:tab w:val="clear" w:pos="8176"/>
              <w:tab w:val="right" w:pos="9026" w:leader="dot"/>
            </w:tabs>
            <w:rPr/>
          </w:pPr>
          <w:hyperlink w:anchor="__RefHeading___Toc907366_1468164448">
            <w:r>
              <w:rPr>
                <w:webHidden/>
                <w:rStyle w:val="IndexLink"/>
                <w:rtl w:val="true"/>
              </w:rPr>
              <w:t>المبحث الثانی</w:t>
            </w:r>
            <w:r>
              <w:rPr>
                <w:rStyle w:val="IndexLink"/>
                <w:rtl w:val="true"/>
              </w:rPr>
              <w:t xml:space="preserve">: </w:t>
            </w:r>
            <w:r>
              <w:rPr>
                <w:rStyle w:val="IndexLink"/>
                <w:rtl w:val="true"/>
              </w:rPr>
              <w:t>الأدلة</w:t>
            </w:r>
            <w:r>
              <w:rPr>
                <w:rStyle w:val="IndexLink"/>
                <w:rtl w:val="true"/>
              </w:rPr>
              <w:t>:</w:t>
              <w:tab/>
            </w:r>
            <w:r>
              <w:rPr>
                <w:rStyle w:val="IndexLink"/>
              </w:rPr>
              <w:t>384</w:t>
            </w:r>
          </w:hyperlink>
        </w:p>
        <w:p>
          <w:pPr>
            <w:pStyle w:val="Contents4"/>
            <w:tabs>
              <w:tab w:val="clear" w:pos="8176"/>
              <w:tab w:val="right" w:pos="9026" w:leader="dot"/>
            </w:tabs>
            <w:rPr/>
          </w:pPr>
          <w:hyperlink w:anchor="__RefHeading___Toc907368_1468164448">
            <w:r>
              <w:rPr>
                <w:webHidden/>
                <w:rStyle w:val="IndexLink"/>
                <w:rtl w:val="true"/>
              </w:rPr>
              <w:t>المبحث الثالث</w:t>
            </w:r>
            <w:r>
              <w:rPr>
                <w:rStyle w:val="IndexLink"/>
                <w:rtl w:val="true"/>
              </w:rPr>
              <w:t xml:space="preserve">: </w:t>
            </w:r>
            <w:r>
              <w:rPr>
                <w:rStyle w:val="IndexLink"/>
                <w:rtl w:val="true"/>
              </w:rPr>
              <w:t>تنبیهات</w:t>
            </w:r>
            <w:r>
              <w:rPr>
                <w:rStyle w:val="IndexLink"/>
                <w:rtl w:val="true"/>
              </w:rPr>
              <w:t>:</w:t>
              <w:tab/>
            </w:r>
            <w:r>
              <w:rPr>
                <w:rStyle w:val="IndexLink"/>
              </w:rPr>
              <w:t>387</w:t>
            </w:r>
          </w:hyperlink>
        </w:p>
        <w:p>
          <w:pPr>
            <w:pStyle w:val="Contents5"/>
            <w:tabs>
              <w:tab w:val="clear" w:pos="7892"/>
              <w:tab w:val="right" w:pos="9026" w:leader="dot"/>
            </w:tabs>
            <w:rPr/>
          </w:pPr>
          <w:hyperlink w:anchor="__RefHeading___Toc907370_1468164448">
            <w:r>
              <w:rPr>
                <w:webHidden/>
                <w:rStyle w:val="IndexLink"/>
                <w:rtl w:val="true"/>
              </w:rPr>
              <w:t>اشارة</w:t>
            </w:r>
            <w:r>
              <w:rPr>
                <w:rStyle w:val="IndexLink"/>
                <w:rtl w:val="true"/>
              </w:rPr>
              <w:tab/>
            </w:r>
            <w:r>
              <w:rPr>
                <w:rStyle w:val="IndexLink"/>
              </w:rPr>
              <w:t>387</w:t>
            </w:r>
          </w:hyperlink>
        </w:p>
        <w:p>
          <w:pPr>
            <w:pStyle w:val="Contents5"/>
            <w:tabs>
              <w:tab w:val="clear" w:pos="7892"/>
              <w:tab w:val="right" w:pos="9026" w:leader="dot"/>
            </w:tabs>
            <w:rPr/>
          </w:pPr>
          <w:hyperlink w:anchor="__RefHeading___Toc907372_1468164448">
            <w:r>
              <w:rPr>
                <w:webHidden/>
                <w:rStyle w:val="IndexLink"/>
                <w:rtl w:val="true"/>
              </w:rPr>
              <w:t>فرع</w:t>
            </w:r>
            <w:r>
              <w:rPr>
                <w:rStyle w:val="IndexLink"/>
                <w:rtl w:val="true"/>
              </w:rPr>
              <w:t>:</w:t>
              <w:tab/>
            </w:r>
            <w:r>
              <w:rPr>
                <w:rStyle w:val="IndexLink"/>
              </w:rPr>
              <w:t>409</w:t>
            </w:r>
          </w:hyperlink>
        </w:p>
        <w:p>
          <w:pPr>
            <w:pStyle w:val="Contents2"/>
            <w:tabs>
              <w:tab w:val="clear" w:pos="8743"/>
              <w:tab w:val="right" w:pos="9026" w:leader="dot"/>
            </w:tabs>
            <w:rPr/>
          </w:pPr>
          <w:hyperlink w:anchor="__RefHeading___Toc907374_1468164448">
            <w:r>
              <w:rPr>
                <w:webHidden/>
                <w:rStyle w:val="IndexLink"/>
                <w:rtl w:val="true"/>
              </w:rPr>
              <w:t>قاعدة</w:t>
            </w:r>
            <w:r>
              <w:rPr>
                <w:rStyle w:val="IndexLink"/>
                <w:rtl w:val="true"/>
              </w:rPr>
              <w:t>:</w:t>
            </w:r>
            <w:r>
              <w:rPr>
                <w:rStyle w:val="IndexLink"/>
                <w:rtl w:val="true"/>
              </w:rPr>
              <w:t>فی حرمة وقوع الفتنة الشهویة</w:t>
            </w:r>
            <w:r>
              <w:rPr>
                <w:rStyle w:val="IndexLink"/>
                <w:rtl w:val="true"/>
              </w:rPr>
              <w:tab/>
            </w:r>
            <w:r>
              <w:rPr>
                <w:rStyle w:val="IndexLink"/>
              </w:rPr>
              <w:t>412</w:t>
            </w:r>
          </w:hyperlink>
        </w:p>
        <w:p>
          <w:pPr>
            <w:pStyle w:val="Contents3"/>
            <w:tabs>
              <w:tab w:val="clear" w:pos="8459"/>
              <w:tab w:val="right" w:pos="9026" w:leader="dot"/>
            </w:tabs>
            <w:rPr/>
          </w:pPr>
          <w:hyperlink w:anchor="__RefHeading___Toc907376_1468164448">
            <w:r>
              <w:rPr>
                <w:webHidden/>
                <w:rStyle w:val="IndexLink"/>
                <w:rtl w:val="true"/>
              </w:rPr>
              <w:t>اشارة</w:t>
            </w:r>
            <w:r>
              <w:rPr>
                <w:rStyle w:val="IndexLink"/>
                <w:rtl w:val="true"/>
              </w:rPr>
              <w:tab/>
            </w:r>
            <w:r>
              <w:rPr>
                <w:rStyle w:val="IndexLink"/>
              </w:rPr>
              <w:t>412</w:t>
            </w:r>
          </w:hyperlink>
        </w:p>
        <w:p>
          <w:pPr>
            <w:pStyle w:val="Contents3"/>
            <w:tabs>
              <w:tab w:val="clear" w:pos="8459"/>
              <w:tab w:val="right" w:pos="9026" w:leader="dot"/>
            </w:tabs>
            <w:rPr/>
          </w:pPr>
          <w:hyperlink w:anchor="__RefHeading___Toc907378_1468164448">
            <w:r>
              <w:rPr>
                <w:webHidden/>
                <w:rStyle w:val="IndexLink"/>
                <w:rtl w:val="true"/>
              </w:rPr>
              <w:t>من قواعد باب النکاح</w:t>
            </w:r>
            <w:r>
              <w:rPr>
                <w:rStyle w:val="IndexLink"/>
                <w:rtl w:val="true"/>
              </w:rPr>
              <w:t>:</w:t>
            </w:r>
            <w:r>
              <w:rPr>
                <w:rStyle w:val="IndexLink"/>
                <w:rtl w:val="true"/>
              </w:rPr>
              <w:t>فی حرمة وقوع الفتنة الشهویة</w:t>
            </w:r>
            <w:r>
              <w:rPr>
                <w:rStyle w:val="IndexLink"/>
                <w:rtl w:val="true"/>
              </w:rPr>
              <w:tab/>
            </w:r>
            <w:r>
              <w:rPr>
                <w:rStyle w:val="IndexLink"/>
              </w:rPr>
              <w:t>413</w:t>
            </w:r>
          </w:hyperlink>
        </w:p>
        <w:p>
          <w:pPr>
            <w:pStyle w:val="Contents4"/>
            <w:tabs>
              <w:tab w:val="clear" w:pos="8176"/>
              <w:tab w:val="right" w:pos="9026" w:leader="dot"/>
            </w:tabs>
            <w:rPr/>
          </w:pPr>
          <w:hyperlink w:anchor="__RefHeading___Toc907380_1468164448">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907382_1468164448">
            <w:r>
              <w:rPr>
                <w:webHidden/>
                <w:rStyle w:val="IndexLink"/>
                <w:rtl w:val="true"/>
              </w:rPr>
              <w:t>معنی الریبة</w:t>
            </w:r>
            <w:r>
              <w:rPr>
                <w:rStyle w:val="IndexLink"/>
                <w:rtl w:val="true"/>
              </w:rPr>
              <w:t>:</w:t>
              <w:tab/>
            </w:r>
            <w:r>
              <w:rPr>
                <w:rStyle w:val="IndexLink"/>
              </w:rPr>
              <w:t>413</w:t>
            </w:r>
          </w:hyperlink>
        </w:p>
        <w:p>
          <w:pPr>
            <w:pStyle w:val="Contents5"/>
            <w:tabs>
              <w:tab w:val="clear" w:pos="7892"/>
              <w:tab w:val="right" w:pos="9026" w:leader="dot"/>
            </w:tabs>
            <w:rPr/>
          </w:pPr>
          <w:hyperlink w:anchor="__RefHeading___Toc907384_1468164448">
            <w:r>
              <w:rPr>
                <w:webHidden/>
                <w:rStyle w:val="IndexLink"/>
                <w:rtl w:val="true"/>
              </w:rPr>
              <w:t>کلمات اهل اللغة</w:t>
            </w:r>
            <w:r>
              <w:rPr>
                <w:rStyle w:val="IndexLink"/>
                <w:rtl w:val="true"/>
              </w:rPr>
              <w:t>:</w:t>
              <w:tab/>
            </w:r>
            <w:r>
              <w:rPr>
                <w:rStyle w:val="IndexLink"/>
              </w:rPr>
              <w:t>413</w:t>
            </w:r>
          </w:hyperlink>
        </w:p>
        <w:p>
          <w:pPr>
            <w:pStyle w:val="Contents5"/>
            <w:tabs>
              <w:tab w:val="clear" w:pos="7892"/>
              <w:tab w:val="right" w:pos="9026" w:leader="dot"/>
            </w:tabs>
            <w:rPr/>
          </w:pPr>
          <w:hyperlink w:anchor="__RefHeading___Toc907386_1468164448">
            <w:r>
              <w:rPr>
                <w:webHidden/>
                <w:rStyle w:val="IndexLink"/>
                <w:rtl w:val="true"/>
              </w:rPr>
              <w:t>المعنی الأوّل</w:t>
            </w:r>
            <w:r>
              <w:rPr>
                <w:rStyle w:val="IndexLink"/>
                <w:rtl w:val="true"/>
              </w:rPr>
              <w:t xml:space="preserve">: </w:t>
            </w:r>
            <w:r>
              <w:rPr>
                <w:rStyle w:val="IndexLink"/>
                <w:rtl w:val="true"/>
              </w:rPr>
              <w:t>خوف الوقوع فی الحرام</w:t>
            </w:r>
            <w:r>
              <w:rPr>
                <w:rStyle w:val="IndexLink"/>
                <w:rtl w:val="true"/>
              </w:rPr>
              <w:t>:</w:t>
              <w:tab/>
            </w:r>
            <w:r>
              <w:rPr>
                <w:rStyle w:val="IndexLink"/>
              </w:rPr>
              <w:t>415</w:t>
            </w:r>
          </w:hyperlink>
        </w:p>
        <w:p>
          <w:pPr>
            <w:pStyle w:val="Contents5"/>
            <w:tabs>
              <w:tab w:val="clear" w:pos="7892"/>
              <w:tab w:val="right" w:pos="9026" w:leader="dot"/>
            </w:tabs>
            <w:rPr/>
          </w:pPr>
          <w:hyperlink w:anchor="__RefHeading___Toc907388_1468164448">
            <w:r>
              <w:rPr>
                <w:webHidden/>
                <w:rStyle w:val="IndexLink"/>
                <w:rtl w:val="true"/>
              </w:rPr>
              <w:t>المعنی الثانی</w:t>
            </w:r>
            <w:r>
              <w:rPr>
                <w:rStyle w:val="IndexLink"/>
                <w:rtl w:val="true"/>
              </w:rPr>
              <w:t xml:space="preserve">: </w:t>
            </w:r>
            <w:r>
              <w:rPr>
                <w:rStyle w:val="IndexLink"/>
                <w:rtl w:val="true"/>
              </w:rPr>
              <w:t>ما یخطر بالبال من النظر دون التلذذ به</w:t>
            </w:r>
            <w:r>
              <w:rPr>
                <w:rStyle w:val="IndexLink"/>
                <w:rtl w:val="true"/>
              </w:rPr>
              <w:t>:</w:t>
              <w:tab/>
            </w:r>
            <w:r>
              <w:rPr>
                <w:rStyle w:val="IndexLink"/>
              </w:rPr>
              <w:t>416</w:t>
            </w:r>
          </w:hyperlink>
        </w:p>
        <w:p>
          <w:pPr>
            <w:pStyle w:val="Contents5"/>
            <w:tabs>
              <w:tab w:val="clear" w:pos="7892"/>
              <w:tab w:val="right" w:pos="9026" w:leader="dot"/>
            </w:tabs>
            <w:rPr/>
          </w:pPr>
          <w:hyperlink w:anchor="__RefHeading___Toc907390_1468164448">
            <w:r>
              <w:rPr>
                <w:webHidden/>
                <w:rStyle w:val="IndexLink"/>
                <w:rtl w:val="true"/>
              </w:rPr>
              <w:t>المعنی الثالث</w:t>
            </w:r>
            <w:r>
              <w:rPr>
                <w:rStyle w:val="IndexLink"/>
                <w:rtl w:val="true"/>
              </w:rPr>
              <w:t xml:space="preserve">: </w:t>
            </w:r>
            <w:r>
              <w:rPr>
                <w:rStyle w:val="IndexLink"/>
                <w:rtl w:val="true"/>
              </w:rPr>
              <w:t>خوف الافتتان</w:t>
            </w:r>
            <w:r>
              <w:rPr>
                <w:rStyle w:val="IndexLink"/>
                <w:rtl w:val="true"/>
              </w:rPr>
              <w:t>:</w:t>
              <w:tab/>
            </w:r>
            <w:r>
              <w:rPr>
                <w:rStyle w:val="IndexLink"/>
              </w:rPr>
              <w:t>416</w:t>
            </w:r>
          </w:hyperlink>
        </w:p>
        <w:p>
          <w:pPr>
            <w:pStyle w:val="Contents4"/>
            <w:tabs>
              <w:tab w:val="clear" w:pos="8176"/>
              <w:tab w:val="right" w:pos="9026" w:leader="dot"/>
            </w:tabs>
            <w:rPr/>
          </w:pPr>
          <w:hyperlink w:anchor="__RefHeading___Toc907392_1468164448">
            <w:r>
              <w:rPr>
                <w:webHidden/>
                <w:rStyle w:val="IndexLink"/>
                <w:rtl w:val="true"/>
              </w:rPr>
              <w:t xml:space="preserve">أدلة القاعدة </w:t>
            </w:r>
            <w:r>
              <w:rPr>
                <w:rStyle w:val="IndexLink"/>
                <w:rtl w:val="true"/>
              </w:rPr>
              <w:t>:</w:t>
              <w:tab/>
            </w:r>
            <w:r>
              <w:rPr>
                <w:rStyle w:val="IndexLink"/>
              </w:rPr>
              <w:t>417</w:t>
            </w:r>
          </w:hyperlink>
        </w:p>
        <w:p>
          <w:pPr>
            <w:pStyle w:val="Contents5"/>
            <w:tabs>
              <w:tab w:val="clear" w:pos="7892"/>
              <w:tab w:val="right" w:pos="9026" w:leader="dot"/>
            </w:tabs>
            <w:rPr/>
          </w:pPr>
          <w:hyperlink w:anchor="__RefHeading___Toc907394_1468164448">
            <w:r>
              <w:rPr>
                <w:webHidden/>
                <w:rStyle w:val="IndexLink"/>
                <w:rtl w:val="true"/>
              </w:rPr>
              <w:t xml:space="preserve">اولا </w:t>
            </w:r>
            <w:r>
              <w:rPr>
                <w:rStyle w:val="IndexLink"/>
                <w:rtl w:val="true"/>
              </w:rPr>
              <w:t xml:space="preserve">: </w:t>
            </w:r>
            <w:r>
              <w:rPr>
                <w:rStyle w:val="IndexLink"/>
                <w:rtl w:val="true"/>
              </w:rPr>
              <w:t>الآیات الکریمة</w:t>
            </w:r>
            <w:r>
              <w:rPr>
                <w:rStyle w:val="IndexLink"/>
                <w:rtl w:val="true"/>
              </w:rPr>
              <w:t>:</w:t>
              <w:tab/>
            </w:r>
            <w:r>
              <w:rPr>
                <w:rStyle w:val="IndexLink"/>
              </w:rPr>
              <w:t>417</w:t>
            </w:r>
          </w:hyperlink>
        </w:p>
        <w:p>
          <w:pPr>
            <w:pStyle w:val="Contents5"/>
            <w:tabs>
              <w:tab w:val="clear" w:pos="7892"/>
              <w:tab w:val="right" w:pos="9026" w:leader="dot"/>
            </w:tabs>
            <w:rPr/>
          </w:pPr>
          <w:hyperlink w:anchor="__RefHeading___Toc907396_1468164448">
            <w:r>
              <w:rPr>
                <w:webHidden/>
                <w:rStyle w:val="IndexLink"/>
                <w:rtl w:val="true"/>
              </w:rPr>
              <w:t xml:space="preserve">ثانیا </w:t>
            </w:r>
            <w:r>
              <w:rPr>
                <w:rStyle w:val="IndexLink"/>
                <w:rtl w:val="true"/>
              </w:rPr>
              <w:t xml:space="preserve">: </w:t>
            </w:r>
            <w:r>
              <w:rPr>
                <w:rStyle w:val="IndexLink"/>
                <w:rtl w:val="true"/>
              </w:rPr>
              <w:t xml:space="preserve">الروایات </w:t>
            </w:r>
            <w:r>
              <w:rPr>
                <w:rStyle w:val="IndexLink"/>
                <w:rtl w:val="true"/>
              </w:rPr>
              <w:t>.</w:t>
              <w:tab/>
            </w:r>
            <w:r>
              <w:rPr>
                <w:rStyle w:val="IndexLink"/>
              </w:rPr>
              <w:t>418</w:t>
            </w:r>
          </w:hyperlink>
        </w:p>
        <w:p>
          <w:pPr>
            <w:pStyle w:val="Contents2"/>
            <w:tabs>
              <w:tab w:val="clear" w:pos="8743"/>
              <w:tab w:val="right" w:pos="9026" w:leader="dot"/>
            </w:tabs>
            <w:rPr/>
          </w:pPr>
          <w:hyperlink w:anchor="__RefHeading___Toc907398_1468164448">
            <w:r>
              <w:rPr>
                <w:webHidden/>
                <w:rStyle w:val="IndexLink"/>
                <w:rtl w:val="true"/>
              </w:rPr>
              <w:t>قاعدة</w:t>
            </w:r>
            <w:r>
              <w:rPr>
                <w:rStyle w:val="IndexLink"/>
                <w:rtl w:val="true"/>
              </w:rPr>
              <w:t>:</w:t>
            </w:r>
            <w:r>
              <w:rPr>
                <w:rStyle w:val="IndexLink"/>
                <w:rtl w:val="true"/>
              </w:rPr>
              <w:t>عدم بطلان الإحرام ببطلان النسک</w:t>
            </w:r>
            <w:r>
              <w:rPr>
                <w:rStyle w:val="IndexLink"/>
                <w:rtl w:val="true"/>
              </w:rPr>
              <w:tab/>
            </w:r>
            <w:r>
              <w:rPr>
                <w:rStyle w:val="IndexLink"/>
              </w:rPr>
              <w:t>421</w:t>
            </w:r>
          </w:hyperlink>
        </w:p>
        <w:p>
          <w:pPr>
            <w:pStyle w:val="Contents3"/>
            <w:tabs>
              <w:tab w:val="clear" w:pos="8459"/>
              <w:tab w:val="right" w:pos="9026" w:leader="dot"/>
            </w:tabs>
            <w:rPr/>
          </w:pPr>
          <w:hyperlink w:anchor="__RefHeading___Toc907400_1468164448">
            <w:r>
              <w:rPr>
                <w:webHidden/>
                <w:rStyle w:val="IndexLink"/>
                <w:rtl w:val="true"/>
              </w:rPr>
              <w:t>اشارة</w:t>
            </w:r>
            <w:r>
              <w:rPr>
                <w:rStyle w:val="IndexLink"/>
                <w:rtl w:val="true"/>
              </w:rPr>
              <w:tab/>
            </w:r>
            <w:r>
              <w:rPr>
                <w:rStyle w:val="IndexLink"/>
              </w:rPr>
              <w:t>421</w:t>
            </w:r>
          </w:hyperlink>
        </w:p>
        <w:p>
          <w:pPr>
            <w:pStyle w:val="Contents3"/>
            <w:tabs>
              <w:tab w:val="clear" w:pos="8459"/>
              <w:tab w:val="right" w:pos="9026" w:leader="dot"/>
            </w:tabs>
            <w:rPr/>
          </w:pPr>
          <w:hyperlink w:anchor="__RefHeading___Toc907402_1468164448">
            <w:r>
              <w:rPr>
                <w:webHidden/>
                <w:rStyle w:val="IndexLink"/>
                <w:rtl w:val="true"/>
              </w:rPr>
              <w:t>من قواعد باب الحج</w:t>
            </w:r>
            <w:r>
              <w:rPr>
                <w:rStyle w:val="IndexLink"/>
                <w:rtl w:val="true"/>
              </w:rPr>
              <w:t>:</w:t>
            </w:r>
            <w:r>
              <w:rPr>
                <w:rStyle w:val="IndexLink"/>
                <w:rtl w:val="true"/>
              </w:rPr>
              <w:t>عدم بطلان الاحرام ببطلان النسک</w:t>
            </w:r>
            <w:r>
              <w:rPr>
                <w:rStyle w:val="IndexLink"/>
                <w:rtl w:val="true"/>
              </w:rPr>
              <w:tab/>
            </w:r>
            <w:r>
              <w:rPr>
                <w:rStyle w:val="IndexLink"/>
              </w:rPr>
              <w:t>422</w:t>
            </w:r>
          </w:hyperlink>
        </w:p>
        <w:p>
          <w:pPr>
            <w:pStyle w:val="Contents4"/>
            <w:tabs>
              <w:tab w:val="clear" w:pos="8176"/>
              <w:tab w:val="right" w:pos="9026" w:leader="dot"/>
            </w:tabs>
            <w:rPr/>
          </w:pPr>
          <w:hyperlink w:anchor="__RefHeading___Toc907404_1468164448">
            <w:r>
              <w:rPr>
                <w:webHidden/>
                <w:rStyle w:val="IndexLink"/>
                <w:rtl w:val="true"/>
              </w:rPr>
              <w:t>اشارة</w:t>
            </w:r>
            <w:r>
              <w:rPr>
                <w:rStyle w:val="IndexLink"/>
                <w:rtl w:val="true"/>
              </w:rPr>
              <w:tab/>
            </w:r>
            <w:r>
              <w:rPr>
                <w:rStyle w:val="IndexLink"/>
              </w:rPr>
              <w:t>422</w:t>
            </w:r>
          </w:hyperlink>
        </w:p>
        <w:p>
          <w:pPr>
            <w:pStyle w:val="Contents4"/>
            <w:tabs>
              <w:tab w:val="clear" w:pos="8176"/>
              <w:tab w:val="right" w:pos="9026" w:leader="dot"/>
            </w:tabs>
            <w:rPr/>
          </w:pPr>
          <w:hyperlink w:anchor="__RefHeading___Toc907406_1468164448">
            <w:r>
              <w:rPr>
                <w:webHidden/>
                <w:rStyle w:val="IndexLink"/>
                <w:rtl w:val="true"/>
              </w:rPr>
              <w:t>المقام الأول</w:t>
            </w:r>
            <w:r>
              <w:rPr>
                <w:rStyle w:val="IndexLink"/>
                <w:rtl w:val="true"/>
              </w:rPr>
              <w:t xml:space="preserve">: </w:t>
            </w:r>
            <w:r>
              <w:rPr>
                <w:rStyle w:val="IndexLink"/>
                <w:rtl w:val="true"/>
              </w:rPr>
              <w:t>مقتضی القاعدة</w:t>
            </w:r>
            <w:r>
              <w:rPr>
                <w:rStyle w:val="IndexLink"/>
                <w:rtl w:val="true"/>
              </w:rPr>
              <w:t>:</w:t>
              <w:tab/>
            </w:r>
            <w:r>
              <w:rPr>
                <w:rStyle w:val="IndexLink"/>
              </w:rPr>
              <w:t>422</w:t>
            </w:r>
          </w:hyperlink>
        </w:p>
        <w:p>
          <w:pPr>
            <w:pStyle w:val="Contents4"/>
            <w:tabs>
              <w:tab w:val="clear" w:pos="8176"/>
              <w:tab w:val="right" w:pos="9026" w:leader="dot"/>
            </w:tabs>
            <w:rPr/>
          </w:pPr>
          <w:hyperlink w:anchor="__RefHeading___Toc907408_1468164448">
            <w:r>
              <w:rPr>
                <w:webHidden/>
                <w:rStyle w:val="IndexLink"/>
                <w:rtl w:val="true"/>
              </w:rPr>
              <w:t>المقام الثانی</w:t>
            </w:r>
            <w:r>
              <w:rPr>
                <w:rStyle w:val="IndexLink"/>
                <w:rtl w:val="true"/>
              </w:rPr>
              <w:t xml:space="preserve">: </w:t>
            </w:r>
            <w:r>
              <w:rPr>
                <w:rStyle w:val="IndexLink"/>
                <w:rtl w:val="true"/>
              </w:rPr>
              <w:t>مقتضی الروایات</w:t>
            </w:r>
            <w:r>
              <w:rPr>
                <w:rStyle w:val="IndexLink"/>
                <w:rtl w:val="true"/>
              </w:rPr>
              <w:t>:</w:t>
              <w:tab/>
            </w:r>
            <w:r>
              <w:rPr>
                <w:rStyle w:val="IndexLink"/>
              </w:rPr>
              <w:t>423</w:t>
            </w:r>
          </w:hyperlink>
        </w:p>
        <w:p>
          <w:pPr>
            <w:pStyle w:val="Contents4"/>
            <w:tabs>
              <w:tab w:val="clear" w:pos="8176"/>
              <w:tab w:val="right" w:pos="9026" w:leader="dot"/>
            </w:tabs>
            <w:rPr/>
          </w:pPr>
          <w:hyperlink w:anchor="__RefHeading___Toc907410_1468164448">
            <w:r>
              <w:rPr>
                <w:webHidden/>
                <w:rStyle w:val="IndexLink"/>
                <w:rtl w:val="true"/>
              </w:rPr>
              <w:t xml:space="preserve">فائدة </w:t>
            </w:r>
            <w:r>
              <w:rPr>
                <w:rStyle w:val="IndexLink"/>
                <w:rtl w:val="true"/>
              </w:rPr>
              <w:t>:</w:t>
              <w:tab/>
            </w:r>
            <w:r>
              <w:rPr>
                <w:rStyle w:val="IndexLink"/>
              </w:rPr>
              <w:t>426</w:t>
            </w:r>
          </w:hyperlink>
        </w:p>
        <w:p>
          <w:pPr>
            <w:pStyle w:val="Contents2"/>
            <w:tabs>
              <w:tab w:val="clear" w:pos="8743"/>
              <w:tab w:val="right" w:pos="9026" w:leader="dot"/>
            </w:tabs>
            <w:rPr/>
          </w:pPr>
          <w:hyperlink w:anchor="__RefHeading___Toc907412_1468164448">
            <w:r>
              <w:rPr>
                <w:webHidden/>
                <w:rStyle w:val="IndexLink"/>
                <w:rtl w:val="true"/>
              </w:rPr>
              <w:t>قاعدة</w:t>
            </w:r>
            <w:r>
              <w:rPr>
                <w:rStyle w:val="IndexLink"/>
                <w:rtl w:val="true"/>
              </w:rPr>
              <w:t>:</w:t>
            </w:r>
            <w:r>
              <w:rPr>
                <w:rStyle w:val="IndexLink"/>
                <w:rtl w:val="true"/>
              </w:rPr>
              <w:t>فی تقوّم مشروعیة التمتع بالإحرام من بُعْد</w:t>
            </w:r>
            <w:r>
              <w:rPr>
                <w:rStyle w:val="IndexLink"/>
                <w:rtl w:val="true"/>
              </w:rPr>
              <w:tab/>
            </w:r>
            <w:r>
              <w:rPr>
                <w:rStyle w:val="IndexLink"/>
              </w:rPr>
              <w:t>427</w:t>
            </w:r>
          </w:hyperlink>
        </w:p>
        <w:p>
          <w:pPr>
            <w:pStyle w:val="Contents3"/>
            <w:tabs>
              <w:tab w:val="clear" w:pos="8459"/>
              <w:tab w:val="right" w:pos="9026" w:leader="dot"/>
            </w:tabs>
            <w:rPr/>
          </w:pPr>
          <w:hyperlink w:anchor="__RefHeading___Toc907414_1468164448">
            <w:r>
              <w:rPr>
                <w:webHidden/>
                <w:rStyle w:val="IndexLink"/>
                <w:rtl w:val="true"/>
              </w:rPr>
              <w:t>اشارة</w:t>
            </w:r>
            <w:r>
              <w:rPr>
                <w:rStyle w:val="IndexLink"/>
                <w:rtl w:val="true"/>
              </w:rPr>
              <w:tab/>
            </w:r>
            <w:r>
              <w:rPr>
                <w:rStyle w:val="IndexLink"/>
              </w:rPr>
              <w:t>427</w:t>
            </w:r>
          </w:hyperlink>
        </w:p>
        <w:p>
          <w:pPr>
            <w:pStyle w:val="Contents3"/>
            <w:tabs>
              <w:tab w:val="clear" w:pos="8459"/>
              <w:tab w:val="right" w:pos="9026" w:leader="dot"/>
            </w:tabs>
            <w:rPr/>
          </w:pPr>
          <w:hyperlink w:anchor="__RefHeading___Toc907416_1468164448">
            <w:r>
              <w:rPr>
                <w:webHidden/>
                <w:rStyle w:val="IndexLink"/>
                <w:rtl w:val="true"/>
              </w:rPr>
              <w:t>من قواعد باب الحج</w:t>
            </w:r>
            <w:r>
              <w:rPr>
                <w:rStyle w:val="IndexLink"/>
                <w:rtl w:val="true"/>
              </w:rPr>
              <w:t>:</w:t>
            </w:r>
            <w:r>
              <w:rPr>
                <w:rStyle w:val="IndexLink"/>
                <w:rtl w:val="true"/>
              </w:rPr>
              <w:t>فی تقوّم مشروعیة التمتع بالإحرام من بعد</w:t>
            </w:r>
            <w:r>
              <w:rPr>
                <w:rStyle w:val="IndexLink"/>
                <w:rtl w:val="true"/>
              </w:rPr>
              <w:tab/>
            </w:r>
            <w:r>
              <w:rPr>
                <w:rStyle w:val="IndexLink"/>
              </w:rPr>
              <w:t>428</w:t>
            </w:r>
          </w:hyperlink>
        </w:p>
        <w:p>
          <w:pPr>
            <w:pStyle w:val="Contents4"/>
            <w:tabs>
              <w:tab w:val="clear" w:pos="8176"/>
              <w:tab w:val="right" w:pos="9026" w:leader="dot"/>
            </w:tabs>
            <w:rPr/>
          </w:pPr>
          <w:hyperlink w:anchor="__RefHeading___Toc907418_1468164448">
            <w:r>
              <w:rPr>
                <w:webHidden/>
                <w:rStyle w:val="IndexLink"/>
                <w:rtl w:val="true"/>
              </w:rPr>
              <w:t>اشارة</w:t>
            </w:r>
            <w:r>
              <w:rPr>
                <w:rStyle w:val="IndexLink"/>
                <w:rtl w:val="true"/>
              </w:rPr>
              <w:tab/>
            </w:r>
            <w:r>
              <w:rPr>
                <w:rStyle w:val="IndexLink"/>
              </w:rPr>
              <w:t>428</w:t>
            </w:r>
          </w:hyperlink>
        </w:p>
        <w:p>
          <w:pPr>
            <w:pStyle w:val="Contents4"/>
            <w:tabs>
              <w:tab w:val="clear" w:pos="8176"/>
              <w:tab w:val="right" w:pos="9026" w:leader="dot"/>
            </w:tabs>
            <w:rPr/>
          </w:pPr>
          <w:hyperlink w:anchor="__RefHeading___Toc907420_1468164448">
            <w:r>
              <w:rPr>
                <w:webHidden/>
                <w:rStyle w:val="IndexLink"/>
                <w:rtl w:val="true"/>
              </w:rPr>
              <w:t>الأقوال فی القاعدة</w:t>
            </w:r>
            <w:r>
              <w:rPr>
                <w:rStyle w:val="IndexLink"/>
                <w:rtl w:val="true"/>
              </w:rPr>
              <w:t>:</w:t>
              <w:tab/>
            </w:r>
            <w:r>
              <w:rPr>
                <w:rStyle w:val="IndexLink"/>
              </w:rPr>
              <w:t>429</w:t>
            </w:r>
          </w:hyperlink>
        </w:p>
        <w:p>
          <w:pPr>
            <w:pStyle w:val="Contents4"/>
            <w:tabs>
              <w:tab w:val="clear" w:pos="8176"/>
              <w:tab w:val="right" w:pos="9026" w:leader="dot"/>
            </w:tabs>
            <w:rPr/>
          </w:pPr>
          <w:hyperlink w:anchor="__RefHeading___Toc907422_1468164448">
            <w:r>
              <w:rPr>
                <w:webHidden/>
                <w:rStyle w:val="IndexLink"/>
                <w:rtl w:val="true"/>
              </w:rPr>
              <w:t>أدلة الأقوال</w:t>
            </w:r>
            <w:r>
              <w:rPr>
                <w:rStyle w:val="IndexLink"/>
                <w:rtl w:val="true"/>
              </w:rPr>
              <w:t>:</w:t>
              <w:tab/>
            </w:r>
            <w:r>
              <w:rPr>
                <w:rStyle w:val="IndexLink"/>
              </w:rPr>
              <w:t>430</w:t>
            </w:r>
          </w:hyperlink>
        </w:p>
        <w:p>
          <w:pPr>
            <w:pStyle w:val="Contents5"/>
            <w:tabs>
              <w:tab w:val="clear" w:pos="7892"/>
              <w:tab w:val="right" w:pos="9026" w:leader="dot"/>
            </w:tabs>
            <w:rPr/>
          </w:pPr>
          <w:hyperlink w:anchor="__RefHeading___Toc907424_1468164448">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907426_1468164448">
            <w:r>
              <w:rPr>
                <w:webHidden/>
                <w:rStyle w:val="IndexLink"/>
                <w:rtl w:val="true"/>
              </w:rPr>
              <w:t>أولا</w:t>
            </w:r>
            <w:r>
              <w:rPr>
                <w:rStyle w:val="IndexLink"/>
                <w:rtl w:val="true"/>
              </w:rPr>
              <w:t xml:space="preserve">: </w:t>
            </w:r>
            <w:r>
              <w:rPr>
                <w:rStyle w:val="IndexLink"/>
                <w:rtl w:val="true"/>
              </w:rPr>
              <w:t>بالروایات الخاصة</w:t>
            </w:r>
            <w:r>
              <w:rPr>
                <w:rStyle w:val="IndexLink"/>
                <w:rtl w:val="true"/>
              </w:rPr>
              <w:t>:</w:t>
              <w:tab/>
            </w:r>
            <w:r>
              <w:rPr>
                <w:rStyle w:val="IndexLink"/>
              </w:rPr>
              <w:t>432</w:t>
            </w:r>
          </w:hyperlink>
        </w:p>
        <w:p>
          <w:pPr>
            <w:pStyle w:val="Contents5"/>
            <w:tabs>
              <w:tab w:val="clear" w:pos="7892"/>
              <w:tab w:val="right" w:pos="9026" w:leader="dot"/>
            </w:tabs>
            <w:rPr/>
          </w:pPr>
          <w:hyperlink w:anchor="__RefHeading___Toc907428_1468164448">
            <w:r>
              <w:rPr>
                <w:webHidden/>
                <w:rStyle w:val="IndexLink"/>
                <w:rtl w:val="true"/>
              </w:rPr>
              <w:t>وثانیاً</w:t>
            </w:r>
            <w:r>
              <w:rPr>
                <w:rStyle w:val="IndexLink"/>
                <w:rtl w:val="true"/>
              </w:rPr>
              <w:t xml:space="preserve">: </w:t>
            </w:r>
            <w:r>
              <w:rPr>
                <w:rStyle w:val="IndexLink"/>
                <w:rtl w:val="true"/>
              </w:rPr>
              <w:t>بمقتضی القاعدة</w:t>
            </w:r>
            <w:r>
              <w:rPr>
                <w:rStyle w:val="IndexLink"/>
                <w:rtl w:val="true"/>
              </w:rPr>
              <w:tab/>
            </w:r>
            <w:r>
              <w:rPr>
                <w:rStyle w:val="IndexLink"/>
              </w:rPr>
              <w:t>433</w:t>
            </w:r>
          </w:hyperlink>
        </w:p>
        <w:p>
          <w:pPr>
            <w:pStyle w:val="Contents2"/>
            <w:tabs>
              <w:tab w:val="clear" w:pos="8743"/>
              <w:tab w:val="right" w:pos="9026" w:leader="dot"/>
            </w:tabs>
            <w:rPr/>
          </w:pPr>
          <w:hyperlink w:anchor="__RefHeading___Toc907430_1468164448">
            <w:r>
              <w:rPr>
                <w:webHidden/>
                <w:rStyle w:val="IndexLink"/>
                <w:rtl w:val="true"/>
              </w:rPr>
              <w:t>قاعدة</w:t>
            </w:r>
            <w:r>
              <w:rPr>
                <w:rStyle w:val="IndexLink"/>
                <w:rtl w:val="true"/>
              </w:rPr>
              <w:t>:</w:t>
            </w:r>
            <w:r>
              <w:rPr>
                <w:rStyle w:val="IndexLink"/>
                <w:rtl w:val="true"/>
              </w:rPr>
              <w:t>فی صحة النسک مع الخلل غیر العمدی فی الطواف والسعی</w:t>
            </w:r>
            <w:r>
              <w:rPr>
                <w:rStyle w:val="IndexLink"/>
                <w:rtl w:val="true"/>
              </w:rPr>
              <w:tab/>
            </w:r>
            <w:r>
              <w:rPr>
                <w:rStyle w:val="IndexLink"/>
              </w:rPr>
              <w:t>440</w:t>
            </w:r>
          </w:hyperlink>
        </w:p>
        <w:p>
          <w:pPr>
            <w:pStyle w:val="Contents3"/>
            <w:tabs>
              <w:tab w:val="clear" w:pos="8459"/>
              <w:tab w:val="right" w:pos="9026" w:leader="dot"/>
            </w:tabs>
            <w:rPr/>
          </w:pPr>
          <w:hyperlink w:anchor="__RefHeading___Toc907432_1468164448">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907434_1468164448">
            <w:r>
              <w:rPr>
                <w:webHidden/>
                <w:rStyle w:val="IndexLink"/>
                <w:rtl w:val="true"/>
              </w:rPr>
              <w:t>من قواعد باب الحج</w:t>
            </w:r>
            <w:r>
              <w:rPr>
                <w:rStyle w:val="IndexLink"/>
                <w:rtl w:val="true"/>
              </w:rPr>
              <w:t>:</w:t>
            </w:r>
            <w:r>
              <w:rPr>
                <w:rStyle w:val="IndexLink"/>
                <w:rtl w:val="true"/>
              </w:rPr>
              <w:t>فی صحة النسک مع الخلل غیر العمدی فی الطواف والسعی</w:t>
            </w:r>
            <w:r>
              <w:rPr>
                <w:rStyle w:val="IndexLink"/>
                <w:rtl w:val="true"/>
              </w:rPr>
              <w:tab/>
            </w:r>
            <w:r>
              <w:rPr>
                <w:rStyle w:val="IndexLink"/>
              </w:rPr>
              <w:t>441</w:t>
            </w:r>
          </w:hyperlink>
        </w:p>
        <w:p>
          <w:pPr>
            <w:pStyle w:val="Contents4"/>
            <w:tabs>
              <w:tab w:val="clear" w:pos="8176"/>
              <w:tab w:val="right" w:pos="9026" w:leader="dot"/>
            </w:tabs>
            <w:rPr/>
          </w:pPr>
          <w:hyperlink w:anchor="__RefHeading___Toc907436_1468164448">
            <w:r>
              <w:rPr>
                <w:webHidden/>
                <w:rStyle w:val="IndexLink"/>
                <w:rtl w:val="true"/>
              </w:rPr>
              <w:t>الأقوال</w:t>
            </w:r>
            <w:r>
              <w:rPr>
                <w:rStyle w:val="IndexLink"/>
                <w:rtl w:val="true"/>
              </w:rPr>
              <w:t>:</w:t>
              <w:tab/>
            </w:r>
            <w:r>
              <w:rPr>
                <w:rStyle w:val="IndexLink"/>
              </w:rPr>
              <w:t>441</w:t>
            </w:r>
          </w:hyperlink>
        </w:p>
        <w:p>
          <w:pPr>
            <w:pStyle w:val="Contents4"/>
            <w:tabs>
              <w:tab w:val="clear" w:pos="8176"/>
              <w:tab w:val="right" w:pos="9026" w:leader="dot"/>
            </w:tabs>
            <w:rPr/>
          </w:pPr>
          <w:hyperlink w:anchor="__RefHeading___Toc907438_1468164448">
            <w:r>
              <w:rPr>
                <w:webHidden/>
                <w:rStyle w:val="IndexLink"/>
                <w:rtl w:val="true"/>
              </w:rPr>
              <w:t>الأدلة</w:t>
            </w:r>
            <w:r>
              <w:rPr>
                <w:rStyle w:val="IndexLink"/>
                <w:rtl w:val="true"/>
              </w:rPr>
              <w:t>:</w:t>
              <w:tab/>
            </w:r>
            <w:r>
              <w:rPr>
                <w:rStyle w:val="IndexLink"/>
              </w:rPr>
              <w:t>441</w:t>
            </w:r>
          </w:hyperlink>
        </w:p>
        <w:p>
          <w:pPr>
            <w:pStyle w:val="Contents2"/>
            <w:tabs>
              <w:tab w:val="clear" w:pos="8743"/>
              <w:tab w:val="right" w:pos="9026" w:leader="dot"/>
            </w:tabs>
            <w:rPr/>
          </w:pPr>
          <w:hyperlink w:anchor="__RefHeading___Toc907440_1468164448">
            <w:r>
              <w:rPr>
                <w:webHidden/>
                <w:rStyle w:val="IndexLink"/>
                <w:rtl w:val="true"/>
              </w:rPr>
              <w:t>قاعدة</w:t>
            </w:r>
            <w:r>
              <w:rPr>
                <w:rStyle w:val="IndexLink"/>
                <w:rtl w:val="true"/>
              </w:rPr>
              <w:t>:</w:t>
            </w:r>
            <w:r>
              <w:rPr>
                <w:rStyle w:val="IndexLink"/>
                <w:rtl w:val="true"/>
              </w:rPr>
              <w:t>بطلان إدخال نسک فی نسک</w:t>
            </w:r>
            <w:r>
              <w:rPr>
                <w:rStyle w:val="IndexLink"/>
                <w:rtl w:val="true"/>
              </w:rPr>
              <w:tab/>
            </w:r>
            <w:r>
              <w:rPr>
                <w:rStyle w:val="IndexLink"/>
              </w:rPr>
              <w:t>446</w:t>
            </w:r>
          </w:hyperlink>
        </w:p>
        <w:p>
          <w:pPr>
            <w:pStyle w:val="Contents3"/>
            <w:tabs>
              <w:tab w:val="clear" w:pos="8459"/>
              <w:tab w:val="right" w:pos="9026" w:leader="dot"/>
            </w:tabs>
            <w:rPr/>
          </w:pPr>
          <w:hyperlink w:anchor="__RefHeading___Toc907442_1468164448">
            <w:r>
              <w:rPr>
                <w:webHidden/>
                <w:rStyle w:val="IndexLink"/>
                <w:rtl w:val="true"/>
              </w:rPr>
              <w:t>اشارة</w:t>
            </w:r>
            <w:r>
              <w:rPr>
                <w:rStyle w:val="IndexLink"/>
                <w:rtl w:val="true"/>
              </w:rPr>
              <w:tab/>
            </w:r>
            <w:r>
              <w:rPr>
                <w:rStyle w:val="IndexLink"/>
              </w:rPr>
              <w:t>446</w:t>
            </w:r>
          </w:hyperlink>
        </w:p>
        <w:p>
          <w:pPr>
            <w:pStyle w:val="Contents3"/>
            <w:tabs>
              <w:tab w:val="clear" w:pos="8459"/>
              <w:tab w:val="right" w:pos="9026" w:leader="dot"/>
            </w:tabs>
            <w:rPr/>
          </w:pPr>
          <w:hyperlink w:anchor="__RefHeading___Toc907444_1468164448">
            <w:r>
              <w:rPr>
                <w:webHidden/>
                <w:rStyle w:val="IndexLink"/>
                <w:rtl w:val="true"/>
              </w:rPr>
              <w:t>من قواعد باب الحج</w:t>
            </w:r>
            <w:r>
              <w:rPr>
                <w:rStyle w:val="IndexLink"/>
                <w:rtl w:val="true"/>
              </w:rPr>
              <w:t>:</w:t>
            </w:r>
            <w:r>
              <w:rPr>
                <w:rStyle w:val="IndexLink"/>
                <w:rtl w:val="true"/>
              </w:rPr>
              <w:t>بطلان إدخال نسک فی نسک</w:t>
            </w:r>
            <w:r>
              <w:rPr>
                <w:rStyle w:val="IndexLink"/>
                <w:rtl w:val="true"/>
              </w:rPr>
              <w:tab/>
            </w:r>
            <w:r>
              <w:rPr>
                <w:rStyle w:val="IndexLink"/>
              </w:rPr>
              <w:t>447</w:t>
            </w:r>
          </w:hyperlink>
        </w:p>
        <w:p>
          <w:pPr>
            <w:pStyle w:val="Contents4"/>
            <w:tabs>
              <w:tab w:val="clear" w:pos="8176"/>
              <w:tab w:val="right" w:pos="9026" w:leader="dot"/>
            </w:tabs>
            <w:rPr/>
          </w:pPr>
          <w:hyperlink w:anchor="__RefHeading___Toc907446_1468164448">
            <w:r>
              <w:rPr>
                <w:webHidden/>
                <w:rStyle w:val="IndexLink"/>
                <w:rtl w:val="true"/>
              </w:rPr>
              <w:t>اشارة</w:t>
            </w:r>
            <w:r>
              <w:rPr>
                <w:rStyle w:val="IndexLink"/>
                <w:rtl w:val="true"/>
              </w:rPr>
              <w:tab/>
            </w:r>
            <w:r>
              <w:rPr>
                <w:rStyle w:val="IndexLink"/>
              </w:rPr>
              <w:t>447</w:t>
            </w:r>
          </w:hyperlink>
        </w:p>
        <w:p>
          <w:pPr>
            <w:pStyle w:val="Contents4"/>
            <w:tabs>
              <w:tab w:val="clear" w:pos="8176"/>
              <w:tab w:val="right" w:pos="9026" w:leader="dot"/>
            </w:tabs>
            <w:rPr/>
          </w:pPr>
          <w:hyperlink w:anchor="__RefHeading___Toc907448_1468164448">
            <w:r>
              <w:rPr>
                <w:webHidden/>
                <w:rStyle w:val="IndexLink"/>
                <w:rtl w:val="true"/>
              </w:rPr>
              <w:t>تتمتان للقاعدة</w:t>
            </w:r>
            <w:r>
              <w:rPr>
                <w:rStyle w:val="IndexLink"/>
                <w:rtl w:val="true"/>
              </w:rPr>
              <w:t>:</w:t>
              <w:tab/>
            </w:r>
            <w:r>
              <w:rPr>
                <w:rStyle w:val="IndexLink"/>
              </w:rPr>
              <w:t>452</w:t>
            </w:r>
          </w:hyperlink>
        </w:p>
        <w:p>
          <w:pPr>
            <w:pStyle w:val="Contents5"/>
            <w:tabs>
              <w:tab w:val="clear" w:pos="7892"/>
              <w:tab w:val="right" w:pos="9026" w:leader="dot"/>
            </w:tabs>
            <w:rPr/>
          </w:pPr>
          <w:hyperlink w:anchor="__RefHeading___Toc907450_1468164448">
            <w:r>
              <w:rPr>
                <w:webHidden/>
                <w:rStyle w:val="IndexLink"/>
                <w:rtl w:val="true"/>
              </w:rPr>
              <w:t xml:space="preserve">التتمة الاولی </w:t>
            </w:r>
            <w:r>
              <w:rPr>
                <w:rStyle w:val="IndexLink"/>
                <w:rtl w:val="true"/>
              </w:rPr>
              <w:t>: (</w:t>
            </w:r>
            <w:r>
              <w:rPr>
                <w:rStyle w:val="IndexLink"/>
                <w:rtl w:val="true"/>
              </w:rPr>
              <w:t>عموم القاعدة</w:t>
            </w:r>
            <w:r>
              <w:rPr>
                <w:rStyle w:val="IndexLink"/>
                <w:rtl w:val="true"/>
              </w:rPr>
              <w:t>):</w:t>
              <w:tab/>
            </w:r>
            <w:r>
              <w:rPr>
                <w:rStyle w:val="IndexLink"/>
              </w:rPr>
              <w:t>452</w:t>
            </w:r>
          </w:hyperlink>
        </w:p>
        <w:p>
          <w:pPr>
            <w:pStyle w:val="Contents6"/>
            <w:tabs>
              <w:tab w:val="clear" w:pos="7609"/>
              <w:tab w:val="right" w:pos="9026" w:leader="dot"/>
            </w:tabs>
            <w:rPr/>
          </w:pPr>
          <w:hyperlink w:anchor="__RefHeading___Toc907452_1468164448">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907454_1468164448">
            <w:r>
              <w:rPr>
                <w:webHidden/>
                <w:rStyle w:val="IndexLink"/>
                <w:rtl w:val="true"/>
              </w:rPr>
              <w:t>الأول</w:t>
            </w:r>
            <w:r>
              <w:rPr>
                <w:rStyle w:val="IndexLink"/>
                <w:rtl w:val="true"/>
              </w:rPr>
              <w:t xml:space="preserve">: </w:t>
            </w:r>
            <w:r>
              <w:rPr>
                <w:rStyle w:val="IndexLink"/>
                <w:rtl w:val="true"/>
              </w:rPr>
              <w:t>فی شمول القاعدة لغیر العامد</w:t>
            </w:r>
            <w:r>
              <w:rPr>
                <w:rStyle w:val="IndexLink"/>
                <w:rtl w:val="true"/>
              </w:rPr>
              <w:t>:</w:t>
              <w:tab/>
            </w:r>
            <w:r>
              <w:rPr>
                <w:rStyle w:val="IndexLink"/>
              </w:rPr>
              <w:t>452</w:t>
            </w:r>
          </w:hyperlink>
        </w:p>
        <w:p>
          <w:pPr>
            <w:pStyle w:val="Contents6"/>
            <w:tabs>
              <w:tab w:val="clear" w:pos="7609"/>
              <w:tab w:val="right" w:pos="9026" w:leader="dot"/>
            </w:tabs>
            <w:rPr/>
          </w:pPr>
          <w:hyperlink w:anchor="__RefHeading___Toc907456_1468164448">
            <w:r>
              <w:rPr>
                <w:webHidden/>
                <w:rStyle w:val="IndexLink"/>
                <w:rtl w:val="true"/>
              </w:rPr>
              <w:t>الثانی</w:t>
            </w:r>
            <w:r>
              <w:rPr>
                <w:rStyle w:val="IndexLink"/>
                <w:rtl w:val="true"/>
              </w:rPr>
              <w:t xml:space="preserve">: </w:t>
            </w:r>
            <w:r>
              <w:rPr>
                <w:rStyle w:val="IndexLink"/>
                <w:rtl w:val="true"/>
              </w:rPr>
              <w:t>الظاهر عدم عموم القاعدة</w:t>
            </w:r>
            <w:r>
              <w:rPr>
                <w:rStyle w:val="IndexLink"/>
                <w:rtl w:val="true"/>
              </w:rPr>
              <w:tab/>
            </w:r>
            <w:r>
              <w:rPr>
                <w:rStyle w:val="IndexLink"/>
              </w:rPr>
              <w:t>452</w:t>
            </w:r>
          </w:hyperlink>
        </w:p>
        <w:p>
          <w:pPr>
            <w:pStyle w:val="Contents5"/>
            <w:tabs>
              <w:tab w:val="clear" w:pos="7892"/>
              <w:tab w:val="right" w:pos="9026" w:leader="dot"/>
            </w:tabs>
            <w:rPr/>
          </w:pPr>
          <w:hyperlink w:anchor="__RefHeading___Toc907458_1468164448">
            <w:r>
              <w:rPr>
                <w:webHidden/>
                <w:rStyle w:val="IndexLink"/>
                <w:rtl w:val="true"/>
              </w:rPr>
              <w:t xml:space="preserve">التتمة الثانیة </w:t>
            </w:r>
            <w:r>
              <w:rPr>
                <w:rStyle w:val="IndexLink"/>
                <w:rtl w:val="true"/>
              </w:rPr>
              <w:t>:</w:t>
              <w:tab/>
            </w:r>
            <w:r>
              <w:rPr>
                <w:rStyle w:val="IndexLink"/>
              </w:rPr>
              <w:t>453</w:t>
            </w:r>
          </w:hyperlink>
        </w:p>
        <w:p>
          <w:pPr>
            <w:pStyle w:val="Contents2"/>
            <w:tabs>
              <w:tab w:val="clear" w:pos="8743"/>
              <w:tab w:val="right" w:pos="9026" w:leader="dot"/>
            </w:tabs>
            <w:rPr/>
          </w:pPr>
          <w:hyperlink w:anchor="__RefHeading___Toc907460_1468164448">
            <w:r>
              <w:rPr>
                <w:webHidden/>
                <w:rStyle w:val="IndexLink"/>
                <w:rtl w:val="true"/>
              </w:rPr>
              <w:t>قاعدة</w:t>
            </w:r>
            <w:r>
              <w:rPr>
                <w:rStyle w:val="IndexLink"/>
                <w:rtl w:val="true"/>
              </w:rPr>
              <w:t>:</w:t>
            </w:r>
            <w:r>
              <w:rPr>
                <w:rStyle w:val="IndexLink"/>
                <w:rtl w:val="true"/>
              </w:rPr>
              <w:t>لزوم الحج من قابل بفساد الحج</w:t>
            </w:r>
            <w:r>
              <w:rPr>
                <w:rStyle w:val="IndexLink"/>
                <w:rtl w:val="true"/>
              </w:rPr>
              <w:tab/>
            </w:r>
            <w:r>
              <w:rPr>
                <w:rStyle w:val="IndexLink"/>
              </w:rPr>
              <w:t>454</w:t>
            </w:r>
          </w:hyperlink>
        </w:p>
        <w:p>
          <w:pPr>
            <w:pStyle w:val="Contents3"/>
            <w:tabs>
              <w:tab w:val="clear" w:pos="8459"/>
              <w:tab w:val="right" w:pos="9026" w:leader="dot"/>
            </w:tabs>
            <w:rPr/>
          </w:pPr>
          <w:hyperlink w:anchor="__RefHeading___Toc907462_1468164448">
            <w:r>
              <w:rPr>
                <w:webHidden/>
                <w:rStyle w:val="IndexLink"/>
                <w:rtl w:val="true"/>
              </w:rPr>
              <w:t>اشارة</w:t>
            </w:r>
            <w:r>
              <w:rPr>
                <w:rStyle w:val="IndexLink"/>
                <w:rtl w:val="true"/>
              </w:rPr>
              <w:tab/>
            </w:r>
            <w:r>
              <w:rPr>
                <w:rStyle w:val="IndexLink"/>
              </w:rPr>
              <w:t>454</w:t>
            </w:r>
          </w:hyperlink>
        </w:p>
        <w:p>
          <w:pPr>
            <w:pStyle w:val="Contents3"/>
            <w:tabs>
              <w:tab w:val="clear" w:pos="8459"/>
              <w:tab w:val="right" w:pos="9026" w:leader="dot"/>
            </w:tabs>
            <w:rPr/>
          </w:pPr>
          <w:hyperlink w:anchor="__RefHeading___Toc907464_1468164448">
            <w:r>
              <w:rPr>
                <w:webHidden/>
                <w:rStyle w:val="IndexLink"/>
                <w:rtl w:val="true"/>
              </w:rPr>
              <w:t>من قواعد باب الحج</w:t>
            </w:r>
            <w:r>
              <w:rPr>
                <w:rStyle w:val="IndexLink"/>
                <w:rtl w:val="true"/>
              </w:rPr>
              <w:t>:</w:t>
            </w:r>
            <w:r>
              <w:rPr>
                <w:rStyle w:val="IndexLink"/>
                <w:rtl w:val="true"/>
              </w:rPr>
              <w:t>لزوم الحج من قابل بفساد الحج</w:t>
            </w:r>
            <w:r>
              <w:rPr>
                <w:rStyle w:val="IndexLink"/>
                <w:rtl w:val="true"/>
              </w:rPr>
              <w:tab/>
            </w:r>
            <w:r>
              <w:rPr>
                <w:rStyle w:val="IndexLink"/>
              </w:rPr>
              <w:t>455</w:t>
            </w:r>
          </w:hyperlink>
        </w:p>
        <w:p>
          <w:pPr>
            <w:pStyle w:val="Contents4"/>
            <w:tabs>
              <w:tab w:val="clear" w:pos="8176"/>
              <w:tab w:val="right" w:pos="9026" w:leader="dot"/>
            </w:tabs>
            <w:rPr/>
          </w:pPr>
          <w:hyperlink w:anchor="__RefHeading___Toc907466_1468164448">
            <w:r>
              <w:rPr>
                <w:webHidden/>
                <w:rStyle w:val="IndexLink"/>
                <w:rtl w:val="true"/>
              </w:rPr>
              <w:t>تحریر البحث</w:t>
            </w:r>
            <w:r>
              <w:rPr>
                <w:rStyle w:val="IndexLink"/>
                <w:rtl w:val="true"/>
              </w:rPr>
              <w:t>:</w:t>
              <w:tab/>
            </w:r>
            <w:r>
              <w:rPr>
                <w:rStyle w:val="IndexLink"/>
              </w:rPr>
              <w:t>455</w:t>
            </w:r>
          </w:hyperlink>
        </w:p>
        <w:p>
          <w:pPr>
            <w:pStyle w:val="Contents4"/>
            <w:tabs>
              <w:tab w:val="clear" w:pos="8176"/>
              <w:tab w:val="right" w:pos="9026" w:leader="dot"/>
            </w:tabs>
            <w:rPr/>
          </w:pPr>
          <w:hyperlink w:anchor="__RefHeading___Toc907468_1468164448">
            <w:r>
              <w:rPr>
                <w:webHidden/>
                <w:rStyle w:val="IndexLink"/>
                <w:rtl w:val="true"/>
              </w:rPr>
              <w:t>الکلام فی مقامین</w:t>
            </w:r>
            <w:r>
              <w:rPr>
                <w:rStyle w:val="IndexLink"/>
                <w:rtl w:val="true"/>
              </w:rPr>
              <w:t>:</w:t>
              <w:tab/>
            </w:r>
            <w:r>
              <w:rPr>
                <w:rStyle w:val="IndexLink"/>
              </w:rPr>
              <w:t>455</w:t>
            </w:r>
          </w:hyperlink>
        </w:p>
        <w:p>
          <w:pPr>
            <w:pStyle w:val="Contents5"/>
            <w:tabs>
              <w:tab w:val="clear" w:pos="7892"/>
              <w:tab w:val="right" w:pos="9026" w:leader="dot"/>
            </w:tabs>
            <w:rPr/>
          </w:pPr>
          <w:hyperlink w:anchor="__RefHeading___Toc907470_1468164448">
            <w:r>
              <w:rPr>
                <w:webHidden/>
                <w:rStyle w:val="IndexLink"/>
                <w:rtl w:val="true"/>
              </w:rPr>
              <w:t>الأول</w:t>
            </w:r>
            <w:r>
              <w:rPr>
                <w:rStyle w:val="IndexLink"/>
                <w:rtl w:val="true"/>
              </w:rPr>
              <w:t xml:space="preserve">: </w:t>
            </w:r>
            <w:r>
              <w:rPr>
                <w:rStyle w:val="IndexLink"/>
                <w:rtl w:val="true"/>
              </w:rPr>
              <w:t>مقتضی القاعدة</w:t>
            </w:r>
            <w:r>
              <w:rPr>
                <w:rStyle w:val="IndexLink"/>
                <w:rtl w:val="true"/>
              </w:rPr>
              <w:t>:</w:t>
              <w:tab/>
            </w:r>
            <w:r>
              <w:rPr>
                <w:rStyle w:val="IndexLink"/>
              </w:rPr>
              <w:t>455</w:t>
            </w:r>
          </w:hyperlink>
        </w:p>
        <w:p>
          <w:pPr>
            <w:pStyle w:val="Contents5"/>
            <w:tabs>
              <w:tab w:val="clear" w:pos="7892"/>
              <w:tab w:val="right" w:pos="9026" w:leader="dot"/>
            </w:tabs>
            <w:rPr/>
          </w:pPr>
          <w:hyperlink w:anchor="__RefHeading___Toc907472_1468164448">
            <w:r>
              <w:rPr>
                <w:webHidden/>
                <w:rStyle w:val="IndexLink"/>
                <w:rtl w:val="true"/>
              </w:rPr>
              <w:t xml:space="preserve">المقام الثانی </w:t>
            </w:r>
            <w:r>
              <w:rPr>
                <w:rStyle w:val="IndexLink"/>
                <w:rtl w:val="true"/>
              </w:rPr>
              <w:t xml:space="preserve">: </w:t>
            </w:r>
            <w:r>
              <w:rPr>
                <w:rStyle w:val="IndexLink"/>
                <w:rtl w:val="true"/>
              </w:rPr>
              <w:t>الروایات</w:t>
            </w:r>
            <w:r>
              <w:rPr>
                <w:rStyle w:val="IndexLink"/>
                <w:rtl w:val="true"/>
              </w:rPr>
              <w:t>:</w:t>
              <w:tab/>
            </w:r>
            <w:r>
              <w:rPr>
                <w:rStyle w:val="IndexLink"/>
              </w:rPr>
              <w:t>456</w:t>
            </w:r>
          </w:hyperlink>
        </w:p>
        <w:p>
          <w:pPr>
            <w:pStyle w:val="Contents2"/>
            <w:tabs>
              <w:tab w:val="clear" w:pos="8743"/>
              <w:tab w:val="right" w:pos="9026" w:leader="dot"/>
            </w:tabs>
            <w:rPr/>
          </w:pPr>
          <w:hyperlink w:anchor="__RefHeading___Toc907474_1468164448">
            <w:r>
              <w:rPr>
                <w:webHidden/>
                <w:rStyle w:val="IndexLink"/>
                <w:rtl w:val="true"/>
              </w:rPr>
              <w:t>قاعدة</w:t>
            </w:r>
            <w:r>
              <w:rPr>
                <w:rStyle w:val="IndexLink"/>
                <w:rtl w:val="true"/>
              </w:rPr>
              <w:t>:</w:t>
            </w:r>
            <w:r>
              <w:rPr>
                <w:rStyle w:val="IndexLink"/>
                <w:rtl w:val="true"/>
              </w:rPr>
              <w:t>تباین أو وحدة أنواع الحج فی کون الإفراد والقران وظیفة الحاضر</w:t>
            </w:r>
            <w:r>
              <w:rPr>
                <w:rStyle w:val="IndexLink"/>
                <w:rtl w:val="true"/>
              </w:rPr>
              <w:tab/>
            </w:r>
            <w:r>
              <w:rPr>
                <w:rStyle w:val="IndexLink"/>
              </w:rPr>
              <w:t>460</w:t>
            </w:r>
          </w:hyperlink>
        </w:p>
        <w:p>
          <w:pPr>
            <w:pStyle w:val="Contents3"/>
            <w:tabs>
              <w:tab w:val="clear" w:pos="8459"/>
              <w:tab w:val="right" w:pos="9026" w:leader="dot"/>
            </w:tabs>
            <w:rPr/>
          </w:pPr>
          <w:hyperlink w:anchor="__RefHeading___Toc907476_1468164448">
            <w:r>
              <w:rPr>
                <w:webHidden/>
                <w:rStyle w:val="IndexLink"/>
                <w:rtl w:val="true"/>
              </w:rPr>
              <w:t>اشارة</w:t>
            </w:r>
            <w:r>
              <w:rPr>
                <w:rStyle w:val="IndexLink"/>
                <w:rtl w:val="true"/>
              </w:rPr>
              <w:tab/>
            </w:r>
            <w:r>
              <w:rPr>
                <w:rStyle w:val="IndexLink"/>
              </w:rPr>
              <w:t>460</w:t>
            </w:r>
          </w:hyperlink>
        </w:p>
        <w:p>
          <w:pPr>
            <w:pStyle w:val="Contents3"/>
            <w:tabs>
              <w:tab w:val="clear" w:pos="8459"/>
              <w:tab w:val="right" w:pos="9026" w:leader="dot"/>
            </w:tabs>
            <w:rPr/>
          </w:pPr>
          <w:hyperlink w:anchor="__RefHeading___Toc907478_1468164448">
            <w:r>
              <w:rPr>
                <w:webHidden/>
                <w:rStyle w:val="IndexLink"/>
                <w:rtl w:val="true"/>
              </w:rPr>
              <w:t>من قواعد باب الحج</w:t>
            </w:r>
            <w:r>
              <w:rPr>
                <w:rStyle w:val="IndexLink"/>
                <w:rtl w:val="true"/>
              </w:rPr>
              <w:t>:</w:t>
            </w:r>
            <w:r>
              <w:rPr>
                <w:rStyle w:val="IndexLink"/>
                <w:rtl w:val="true"/>
              </w:rPr>
              <w:t>تباین أو وحدة أنواع الحج فی کون الإفراد والقران وظیفة الحاضر</w:t>
            </w:r>
            <w:r>
              <w:rPr>
                <w:rStyle w:val="IndexLink"/>
                <w:rtl w:val="true"/>
              </w:rPr>
              <w:tab/>
            </w:r>
            <w:r>
              <w:rPr>
                <w:rStyle w:val="IndexLink"/>
              </w:rPr>
              <w:t>461</w:t>
            </w:r>
          </w:hyperlink>
        </w:p>
        <w:p>
          <w:pPr>
            <w:pStyle w:val="Contents2"/>
            <w:tabs>
              <w:tab w:val="clear" w:pos="8743"/>
              <w:tab w:val="right" w:pos="9026" w:leader="dot"/>
            </w:tabs>
            <w:rPr/>
          </w:pPr>
          <w:hyperlink w:anchor="__RefHeading___Toc907480_1468164448">
            <w:r>
              <w:rPr>
                <w:webHidden/>
                <w:rStyle w:val="IndexLink"/>
                <w:rtl w:val="true"/>
              </w:rPr>
              <w:t>قاعدة</w:t>
            </w:r>
            <w:r>
              <w:rPr>
                <w:rStyle w:val="IndexLink"/>
                <w:rtl w:val="true"/>
              </w:rPr>
              <w:t>:</w:t>
            </w:r>
            <w:r>
              <w:rPr>
                <w:rStyle w:val="IndexLink"/>
                <w:rtl w:val="true"/>
              </w:rPr>
              <w:t>قاعدتا المصلحة ودفع الأفسد بالفاسد</w:t>
            </w:r>
            <w:r>
              <w:rPr>
                <w:rStyle w:val="IndexLink"/>
                <w:rtl w:val="true"/>
              </w:rPr>
              <w:tab/>
            </w:r>
            <w:r>
              <w:rPr>
                <w:rStyle w:val="IndexLink"/>
              </w:rPr>
              <w:t>467</w:t>
            </w:r>
          </w:hyperlink>
        </w:p>
        <w:p>
          <w:pPr>
            <w:pStyle w:val="Contents3"/>
            <w:tabs>
              <w:tab w:val="clear" w:pos="8459"/>
              <w:tab w:val="right" w:pos="9026" w:leader="dot"/>
            </w:tabs>
            <w:rPr/>
          </w:pPr>
          <w:hyperlink w:anchor="__RefHeading___Toc907482_1468164448">
            <w:r>
              <w:rPr>
                <w:webHidden/>
                <w:rStyle w:val="IndexLink"/>
                <w:rtl w:val="true"/>
              </w:rPr>
              <w:t>اشارة</w:t>
            </w:r>
            <w:r>
              <w:rPr>
                <w:rStyle w:val="IndexLink"/>
                <w:rtl w:val="true"/>
              </w:rPr>
              <w:tab/>
            </w:r>
            <w:r>
              <w:rPr>
                <w:rStyle w:val="IndexLink"/>
              </w:rPr>
              <w:t>467</w:t>
            </w:r>
          </w:hyperlink>
        </w:p>
        <w:p>
          <w:pPr>
            <w:pStyle w:val="Contents3"/>
            <w:tabs>
              <w:tab w:val="clear" w:pos="8459"/>
              <w:tab w:val="right" w:pos="9026" w:leader="dot"/>
            </w:tabs>
            <w:rPr/>
          </w:pPr>
          <w:hyperlink w:anchor="__RefHeading___Toc907484_1468164448">
            <w:r>
              <w:rPr>
                <w:webHidden/>
                <w:rStyle w:val="IndexLink"/>
                <w:rtl w:val="true"/>
              </w:rPr>
              <w:t>من قواعد الفقه السیاسی</w:t>
            </w:r>
            <w:r>
              <w:rPr>
                <w:rStyle w:val="IndexLink"/>
                <w:rtl w:val="true"/>
              </w:rPr>
              <w:t>:</w:t>
            </w:r>
            <w:r>
              <w:rPr>
                <w:rStyle w:val="IndexLink"/>
                <w:rtl w:val="true"/>
              </w:rPr>
              <w:t>قاعدتا المصلحة ودفع الأفسد بالفاسد</w:t>
            </w:r>
            <w:r>
              <w:rPr>
                <w:rStyle w:val="IndexLink"/>
                <w:rtl w:val="true"/>
              </w:rPr>
              <w:tab/>
            </w:r>
            <w:r>
              <w:rPr>
                <w:rStyle w:val="IndexLink"/>
              </w:rPr>
              <w:t>468</w:t>
            </w:r>
          </w:hyperlink>
        </w:p>
        <w:p>
          <w:pPr>
            <w:pStyle w:val="Contents4"/>
            <w:tabs>
              <w:tab w:val="clear" w:pos="8176"/>
              <w:tab w:val="right" w:pos="9026" w:leader="dot"/>
            </w:tabs>
            <w:rPr/>
          </w:pPr>
          <w:hyperlink w:anchor="__RefHeading___Toc907486_1468164448">
            <w:r>
              <w:rPr>
                <w:webHidden/>
                <w:rStyle w:val="IndexLink"/>
                <w:rtl w:val="true"/>
              </w:rPr>
              <w:t>معنی قاعدة الفاسد</w:t>
            </w:r>
            <w:r>
              <w:rPr>
                <w:rStyle w:val="IndexLink"/>
                <w:rtl w:val="true"/>
              </w:rPr>
              <w:t>:</w:t>
              <w:tab/>
            </w:r>
            <w:r>
              <w:rPr>
                <w:rStyle w:val="IndexLink"/>
              </w:rPr>
              <w:t>468</w:t>
            </w:r>
          </w:hyperlink>
        </w:p>
        <w:p>
          <w:pPr>
            <w:pStyle w:val="Contents2"/>
            <w:tabs>
              <w:tab w:val="clear" w:pos="8743"/>
              <w:tab w:val="right" w:pos="9026" w:leader="dot"/>
            </w:tabs>
            <w:rPr/>
          </w:pPr>
          <w:hyperlink w:anchor="__RefHeading___Toc907488_1468164448">
            <w:r>
              <w:rPr>
                <w:webHidden/>
                <w:rStyle w:val="IndexLink"/>
                <w:rtl w:val="true"/>
              </w:rPr>
              <w:t>قاعدة</w:t>
            </w:r>
            <w:r>
              <w:rPr>
                <w:rStyle w:val="IndexLink"/>
                <w:rtl w:val="true"/>
              </w:rPr>
              <w:t>:</w:t>
            </w:r>
            <w:r>
              <w:rPr>
                <w:rStyle w:val="IndexLink"/>
                <w:rtl w:val="true"/>
              </w:rPr>
              <w:t>المصلحة</w:t>
            </w:r>
            <w:r>
              <w:rPr>
                <w:rStyle w:val="IndexLink"/>
                <w:rtl w:val="true"/>
              </w:rPr>
              <w:tab/>
            </w:r>
            <w:r>
              <w:rPr>
                <w:rStyle w:val="IndexLink"/>
              </w:rPr>
              <w:t>471</w:t>
            </w:r>
          </w:hyperlink>
        </w:p>
        <w:p>
          <w:pPr>
            <w:pStyle w:val="Contents3"/>
            <w:tabs>
              <w:tab w:val="clear" w:pos="8459"/>
              <w:tab w:val="right" w:pos="9026" w:leader="dot"/>
            </w:tabs>
            <w:rPr/>
          </w:pPr>
          <w:hyperlink w:anchor="__RefHeading___Toc907490_1468164448">
            <w:r>
              <w:rPr>
                <w:webHidden/>
                <w:rStyle w:val="IndexLink"/>
                <w:rtl w:val="true"/>
              </w:rPr>
              <w:t>اشارة</w:t>
            </w:r>
            <w:r>
              <w:rPr>
                <w:rStyle w:val="IndexLink"/>
                <w:rtl w:val="true"/>
              </w:rPr>
              <w:tab/>
            </w:r>
            <w:r>
              <w:rPr>
                <w:rStyle w:val="IndexLink"/>
              </w:rPr>
              <w:t>471</w:t>
            </w:r>
          </w:hyperlink>
        </w:p>
        <w:p>
          <w:pPr>
            <w:pStyle w:val="Contents3"/>
            <w:tabs>
              <w:tab w:val="clear" w:pos="8459"/>
              <w:tab w:val="right" w:pos="9026" w:leader="dot"/>
            </w:tabs>
            <w:rPr/>
          </w:pPr>
          <w:hyperlink w:anchor="__RefHeading___Toc907492_1468164448">
            <w:r>
              <w:rPr>
                <w:webHidden/>
                <w:rStyle w:val="IndexLink"/>
                <w:rtl w:val="true"/>
              </w:rPr>
              <w:t>الجهة الأولی</w:t>
            </w:r>
            <w:r>
              <w:rPr>
                <w:rStyle w:val="IndexLink"/>
                <w:rtl w:val="true"/>
              </w:rPr>
              <w:t xml:space="preserve">: </w:t>
            </w:r>
            <w:r>
              <w:rPr>
                <w:rStyle w:val="IndexLink"/>
                <w:rtl w:val="true"/>
              </w:rPr>
              <w:t>قاعدة مشروّعیة المصلحة و تفسیرها</w:t>
            </w:r>
            <w:r>
              <w:rPr>
                <w:rStyle w:val="IndexLink"/>
                <w:rtl w:val="true"/>
              </w:rPr>
              <w:t>:</w:t>
              <w:tab/>
            </w:r>
            <w:r>
              <w:rPr>
                <w:rStyle w:val="IndexLink"/>
              </w:rPr>
              <w:t>471</w:t>
            </w:r>
          </w:hyperlink>
        </w:p>
        <w:p>
          <w:pPr>
            <w:pStyle w:val="Contents3"/>
            <w:tabs>
              <w:tab w:val="clear" w:pos="8459"/>
              <w:tab w:val="right" w:pos="9026" w:leader="dot"/>
            </w:tabs>
            <w:rPr/>
          </w:pPr>
          <w:hyperlink w:anchor="__RefHeading___Toc907494_1468164448">
            <w:r>
              <w:rPr>
                <w:webHidden/>
                <w:rStyle w:val="IndexLink"/>
                <w:rtl w:val="true"/>
              </w:rPr>
              <w:t>الجهة الثانیة</w:t>
            </w:r>
            <w:r>
              <w:rPr>
                <w:rStyle w:val="IndexLink"/>
                <w:rtl w:val="true"/>
              </w:rPr>
              <w:t xml:space="preserve">: </w:t>
            </w:r>
            <w:r>
              <w:rPr>
                <w:rStyle w:val="IndexLink"/>
                <w:rtl w:val="true"/>
              </w:rPr>
              <w:t>معانی المصلحة</w:t>
            </w:r>
            <w:r>
              <w:rPr>
                <w:rStyle w:val="IndexLink"/>
                <w:rtl w:val="true"/>
              </w:rPr>
              <w:t>:</w:t>
              <w:tab/>
            </w:r>
            <w:r>
              <w:rPr>
                <w:rStyle w:val="IndexLink"/>
              </w:rPr>
              <w:t>471</w:t>
            </w:r>
          </w:hyperlink>
        </w:p>
        <w:p>
          <w:pPr>
            <w:pStyle w:val="Contents3"/>
            <w:tabs>
              <w:tab w:val="clear" w:pos="8459"/>
              <w:tab w:val="right" w:pos="9026" w:leader="dot"/>
            </w:tabs>
            <w:rPr/>
          </w:pPr>
          <w:hyperlink w:anchor="__RefHeading___Toc907496_1468164448">
            <w:r>
              <w:rPr>
                <w:webHidden/>
                <w:rStyle w:val="IndexLink"/>
                <w:rtl w:val="true"/>
              </w:rPr>
              <w:t>الجهة الثالثة</w:t>
            </w:r>
            <w:r>
              <w:rPr>
                <w:rStyle w:val="IndexLink"/>
                <w:rtl w:val="true"/>
              </w:rPr>
              <w:t xml:space="preserve">: </w:t>
            </w:r>
            <w:r>
              <w:rPr>
                <w:rStyle w:val="IndexLink"/>
                <w:rtl w:val="true"/>
              </w:rPr>
              <w:t>أدلّة القائلین بمشروعیة المصلحة</w:t>
            </w:r>
            <w:r>
              <w:rPr>
                <w:rStyle w:val="IndexLink"/>
                <w:rtl w:val="true"/>
              </w:rPr>
              <w:t>:</w:t>
              <w:tab/>
            </w:r>
            <w:r>
              <w:rPr>
                <w:rStyle w:val="IndexLink"/>
              </w:rPr>
              <w:t>473</w:t>
            </w:r>
          </w:hyperlink>
        </w:p>
        <w:p>
          <w:pPr>
            <w:pStyle w:val="Contents4"/>
            <w:tabs>
              <w:tab w:val="clear" w:pos="8176"/>
              <w:tab w:val="right" w:pos="9026" w:leader="dot"/>
            </w:tabs>
            <w:rPr/>
          </w:pPr>
          <w:hyperlink w:anchor="__RefHeading___Toc907498_1468164448">
            <w:r>
              <w:rPr>
                <w:webHidden/>
                <w:rStyle w:val="IndexLink"/>
                <w:rtl w:val="true"/>
              </w:rPr>
              <w:t>اشارة</w:t>
            </w:r>
            <w:r>
              <w:rPr>
                <w:rStyle w:val="IndexLink"/>
                <w:rtl w:val="true"/>
              </w:rPr>
              <w:tab/>
            </w:r>
            <w:r>
              <w:rPr>
                <w:rStyle w:val="IndexLink"/>
              </w:rPr>
              <w:t>473</w:t>
            </w:r>
          </w:hyperlink>
        </w:p>
        <w:p>
          <w:pPr>
            <w:pStyle w:val="Contents4"/>
            <w:tabs>
              <w:tab w:val="clear" w:pos="8176"/>
              <w:tab w:val="right" w:pos="9026" w:leader="dot"/>
            </w:tabs>
            <w:rPr/>
          </w:pPr>
          <w:hyperlink w:anchor="__RefHeading___Toc907500_1468164448">
            <w:r>
              <w:rPr>
                <w:webHidden/>
                <w:rStyle w:val="IndexLink"/>
                <w:rtl w:val="true"/>
              </w:rPr>
              <w:t>الوجه الأول والثانی</w:t>
            </w:r>
            <w:r>
              <w:rPr>
                <w:rStyle w:val="IndexLink"/>
                <w:rtl w:val="true"/>
              </w:rPr>
              <w:t xml:space="preserve">: </w:t>
            </w:r>
            <w:r>
              <w:rPr>
                <w:rStyle w:val="IndexLink"/>
                <w:rtl w:val="true"/>
              </w:rPr>
              <w:t>قاعدة</w:t>
            </w:r>
            <w:r>
              <w:rPr>
                <w:rStyle w:val="IndexLink"/>
                <w:rtl w:val="true"/>
              </w:rPr>
              <w:t xml:space="preserve">: </w:t>
            </w:r>
            <w:r>
              <w:rPr>
                <w:rStyle w:val="IndexLink"/>
                <w:rtl w:val="true"/>
              </w:rPr>
              <w:t>سدّ الذرائع والمصالح المرسلة</w:t>
            </w:r>
            <w:r>
              <w:rPr>
                <w:rStyle w:val="IndexLink"/>
                <w:rtl w:val="true"/>
              </w:rPr>
              <w:t>:</w:t>
              <w:tab/>
            </w:r>
            <w:r>
              <w:rPr>
                <w:rStyle w:val="IndexLink"/>
              </w:rPr>
              <w:t>474</w:t>
            </w:r>
          </w:hyperlink>
        </w:p>
        <w:p>
          <w:pPr>
            <w:pStyle w:val="Contents4"/>
            <w:tabs>
              <w:tab w:val="clear" w:pos="8176"/>
              <w:tab w:val="right" w:pos="9026" w:leader="dot"/>
            </w:tabs>
            <w:rPr/>
          </w:pPr>
          <w:hyperlink w:anchor="__RefHeading___Toc907502_1468164448">
            <w:r>
              <w:rPr>
                <w:webHidden/>
                <w:rStyle w:val="IndexLink"/>
                <w:rtl w:val="true"/>
              </w:rPr>
              <w:t xml:space="preserve">الوجه الثالث </w:t>
            </w:r>
            <w:r>
              <w:rPr>
                <w:rStyle w:val="IndexLink"/>
                <w:rtl w:val="true"/>
              </w:rPr>
              <w:t xml:space="preserve">: </w:t>
            </w:r>
            <w:r>
              <w:rPr>
                <w:rStyle w:val="IndexLink"/>
                <w:rtl w:val="true"/>
              </w:rPr>
              <w:t>العناوین الثانویة</w:t>
            </w:r>
            <w:r>
              <w:rPr>
                <w:rStyle w:val="IndexLink"/>
                <w:rtl w:val="true"/>
              </w:rPr>
              <w:t>:</w:t>
              <w:tab/>
            </w:r>
            <w:r>
              <w:rPr>
                <w:rStyle w:val="IndexLink"/>
              </w:rPr>
              <w:t>475</w:t>
            </w:r>
          </w:hyperlink>
        </w:p>
        <w:p>
          <w:pPr>
            <w:pStyle w:val="Contents4"/>
            <w:tabs>
              <w:tab w:val="clear" w:pos="8176"/>
              <w:tab w:val="right" w:pos="9026" w:leader="dot"/>
            </w:tabs>
            <w:rPr/>
          </w:pPr>
          <w:hyperlink w:anchor="__RefHeading___Toc907504_1468164448">
            <w:r>
              <w:rPr>
                <w:webHidden/>
                <w:rStyle w:val="IndexLink"/>
                <w:rtl w:val="true"/>
              </w:rPr>
              <w:t xml:space="preserve">الوجه الرابع </w:t>
            </w:r>
            <w:r>
              <w:rPr>
                <w:rStyle w:val="IndexLink"/>
                <w:rtl w:val="true"/>
              </w:rPr>
              <w:t xml:space="preserve">: </w:t>
            </w:r>
            <w:r>
              <w:rPr>
                <w:rStyle w:val="IndexLink"/>
                <w:rtl w:val="true"/>
              </w:rPr>
              <w:t>قاعدة التزاحم</w:t>
            </w:r>
            <w:r>
              <w:rPr>
                <w:rStyle w:val="IndexLink"/>
                <w:rtl w:val="true"/>
              </w:rPr>
              <w:t>:</w:t>
              <w:tab/>
            </w:r>
            <w:r>
              <w:rPr>
                <w:rStyle w:val="IndexLink"/>
              </w:rPr>
              <w:t>475</w:t>
            </w:r>
          </w:hyperlink>
        </w:p>
        <w:p>
          <w:pPr>
            <w:pStyle w:val="Contents4"/>
            <w:tabs>
              <w:tab w:val="clear" w:pos="8176"/>
              <w:tab w:val="right" w:pos="9026" w:leader="dot"/>
            </w:tabs>
            <w:rPr/>
          </w:pPr>
          <w:hyperlink w:anchor="__RefHeading___Toc907506_1468164448">
            <w:r>
              <w:rPr>
                <w:webHidden/>
                <w:rStyle w:val="IndexLink"/>
                <w:rtl w:val="true"/>
              </w:rPr>
              <w:t xml:space="preserve">الوجه الخامس </w:t>
            </w:r>
            <w:r>
              <w:rPr>
                <w:rStyle w:val="IndexLink"/>
                <w:rtl w:val="true"/>
              </w:rPr>
              <w:t>:</w:t>
            </w:r>
            <w:r>
              <w:rPr>
                <w:rStyle w:val="IndexLink"/>
                <w:rtl w:val="true"/>
              </w:rPr>
              <w:t>قاعدة لا ضرر</w:t>
            </w:r>
            <w:r>
              <w:rPr>
                <w:rStyle w:val="IndexLink"/>
                <w:rtl w:val="true"/>
              </w:rPr>
              <w:t>:</w:t>
              <w:tab/>
            </w:r>
            <w:r>
              <w:rPr>
                <w:rStyle w:val="IndexLink"/>
              </w:rPr>
              <w:t>486</w:t>
            </w:r>
          </w:hyperlink>
        </w:p>
        <w:p>
          <w:pPr>
            <w:pStyle w:val="Contents4"/>
            <w:tabs>
              <w:tab w:val="clear" w:pos="8176"/>
              <w:tab w:val="right" w:pos="9026" w:leader="dot"/>
            </w:tabs>
            <w:rPr/>
          </w:pPr>
          <w:hyperlink w:anchor="__RefHeading___Toc907508_1468164448">
            <w:r>
              <w:rPr>
                <w:webHidden/>
                <w:rStyle w:val="IndexLink"/>
                <w:rtl w:val="true"/>
              </w:rPr>
              <w:t xml:space="preserve">الوجه السادس </w:t>
            </w:r>
            <w:r>
              <w:rPr>
                <w:rStyle w:val="IndexLink"/>
                <w:rtl w:val="true"/>
              </w:rPr>
              <w:t>:</w:t>
            </w:r>
            <w:r>
              <w:rPr>
                <w:rStyle w:val="IndexLink"/>
                <w:rtl w:val="true"/>
              </w:rPr>
              <w:t>حکم العقل بتقدیم الأهم</w:t>
            </w:r>
            <w:r>
              <w:rPr>
                <w:rStyle w:val="IndexLink"/>
                <w:rtl w:val="true"/>
              </w:rPr>
              <w:t>:</w:t>
              <w:tab/>
            </w:r>
            <w:r>
              <w:rPr>
                <w:rStyle w:val="IndexLink"/>
              </w:rPr>
              <w:t>487</w:t>
            </w:r>
          </w:hyperlink>
        </w:p>
        <w:p>
          <w:pPr>
            <w:pStyle w:val="Contents4"/>
            <w:tabs>
              <w:tab w:val="clear" w:pos="8176"/>
              <w:tab w:val="right" w:pos="9026" w:leader="dot"/>
            </w:tabs>
            <w:rPr/>
          </w:pPr>
          <w:hyperlink w:anchor="__RefHeading___Toc907510_1468164448">
            <w:r>
              <w:rPr>
                <w:webHidden/>
                <w:rStyle w:val="IndexLink"/>
                <w:rtl w:val="true"/>
              </w:rPr>
              <w:t xml:space="preserve">الوجه السابع </w:t>
            </w:r>
            <w:r>
              <w:rPr>
                <w:rStyle w:val="IndexLink"/>
                <w:rtl w:val="true"/>
              </w:rPr>
              <w:t xml:space="preserve">: </w:t>
            </w:r>
            <w:r>
              <w:rPr>
                <w:rStyle w:val="IndexLink"/>
                <w:rtl w:val="true"/>
              </w:rPr>
              <w:t>دفع الأفسد بالفاسد</w:t>
            </w:r>
            <w:r>
              <w:rPr>
                <w:rStyle w:val="IndexLink"/>
                <w:rtl w:val="true"/>
              </w:rPr>
              <w:t>:</w:t>
              <w:tab/>
            </w:r>
            <w:r>
              <w:rPr>
                <w:rStyle w:val="IndexLink"/>
              </w:rPr>
              <w:t>488</w:t>
            </w:r>
          </w:hyperlink>
        </w:p>
        <w:p>
          <w:pPr>
            <w:pStyle w:val="Contents4"/>
            <w:tabs>
              <w:tab w:val="clear" w:pos="8176"/>
              <w:tab w:val="right" w:pos="9026" w:leader="dot"/>
            </w:tabs>
            <w:rPr/>
          </w:pPr>
          <w:hyperlink w:anchor="__RefHeading___Toc907512_1468164448">
            <w:r>
              <w:rPr>
                <w:webHidden/>
                <w:rStyle w:val="IndexLink"/>
                <w:rtl w:val="true"/>
              </w:rPr>
              <w:t xml:space="preserve">الوجه الثامن </w:t>
            </w:r>
            <w:r>
              <w:rPr>
                <w:rStyle w:val="IndexLink"/>
                <w:rtl w:val="true"/>
              </w:rPr>
              <w:t>:</w:t>
            </w:r>
            <w:r>
              <w:rPr>
                <w:rStyle w:val="IndexLink"/>
                <w:rtl w:val="true"/>
              </w:rPr>
              <w:t>منطقة الفراغ</w:t>
            </w:r>
            <w:r>
              <w:rPr>
                <w:rStyle w:val="IndexLink"/>
                <w:rtl w:val="true"/>
              </w:rPr>
              <w:t>:</w:t>
              <w:tab/>
            </w:r>
            <w:r>
              <w:rPr>
                <w:rStyle w:val="IndexLink"/>
              </w:rPr>
              <w:t>492</w:t>
            </w:r>
          </w:hyperlink>
        </w:p>
        <w:p>
          <w:pPr>
            <w:pStyle w:val="Contents4"/>
            <w:tabs>
              <w:tab w:val="clear" w:pos="8176"/>
              <w:tab w:val="right" w:pos="9026" w:leader="dot"/>
            </w:tabs>
            <w:rPr/>
          </w:pPr>
          <w:hyperlink w:anchor="__RefHeading___Toc907514_1468164448">
            <w:r>
              <w:rPr>
                <w:webHidden/>
                <w:rStyle w:val="IndexLink"/>
                <w:rtl w:val="true"/>
              </w:rPr>
              <w:t xml:space="preserve">الوجه التاسع </w:t>
            </w:r>
            <w:r>
              <w:rPr>
                <w:rStyle w:val="IndexLink"/>
                <w:rtl w:val="true"/>
              </w:rPr>
              <w:t>:</w:t>
            </w:r>
            <w:r>
              <w:rPr>
                <w:rStyle w:val="IndexLink"/>
                <w:rtl w:val="true"/>
              </w:rPr>
              <w:t>جعل الشروط الإلزامیة</w:t>
            </w:r>
            <w:r>
              <w:rPr>
                <w:rStyle w:val="IndexLink"/>
                <w:rtl w:val="true"/>
              </w:rPr>
              <w:t>:</w:t>
              <w:tab/>
            </w:r>
            <w:r>
              <w:rPr>
                <w:rStyle w:val="IndexLink"/>
              </w:rPr>
              <w:t>498</w:t>
            </w:r>
          </w:hyperlink>
        </w:p>
        <w:p>
          <w:pPr>
            <w:pStyle w:val="Contents4"/>
            <w:tabs>
              <w:tab w:val="clear" w:pos="8176"/>
              <w:tab w:val="right" w:pos="9026" w:leader="dot"/>
            </w:tabs>
            <w:rPr/>
          </w:pPr>
          <w:hyperlink w:anchor="__RefHeading___Toc907516_1468164448">
            <w:r>
              <w:rPr>
                <w:webHidden/>
                <w:rStyle w:val="IndexLink"/>
                <w:rtl w:val="true"/>
              </w:rPr>
              <w:t xml:space="preserve">الوجه العاشر </w:t>
            </w:r>
            <w:r>
              <w:rPr>
                <w:rStyle w:val="IndexLink"/>
                <w:rtl w:val="true"/>
              </w:rPr>
              <w:t>:</w:t>
            </w:r>
            <w:r>
              <w:rPr>
                <w:rStyle w:val="IndexLink"/>
                <w:rtl w:val="true"/>
              </w:rPr>
              <w:t>دور الزمان والمکان فی الإجتهاد</w:t>
            </w:r>
            <w:r>
              <w:rPr>
                <w:rStyle w:val="IndexLink"/>
                <w:rtl w:val="true"/>
              </w:rPr>
              <w:t>:</w:t>
              <w:tab/>
            </w:r>
            <w:r>
              <w:rPr>
                <w:rStyle w:val="IndexLink"/>
              </w:rPr>
              <w:t>499</w:t>
            </w:r>
          </w:hyperlink>
        </w:p>
        <w:p>
          <w:pPr>
            <w:pStyle w:val="Contents4"/>
            <w:tabs>
              <w:tab w:val="clear" w:pos="8176"/>
              <w:tab w:val="right" w:pos="9026" w:leader="dot"/>
            </w:tabs>
            <w:rPr/>
          </w:pPr>
          <w:hyperlink w:anchor="__RefHeading___Toc907518_1468164448">
            <w:r>
              <w:rPr>
                <w:webHidden/>
                <w:rStyle w:val="IndexLink"/>
                <w:rtl w:val="true"/>
              </w:rPr>
              <w:t xml:space="preserve">الوجه الحادی عشر </w:t>
            </w:r>
            <w:r>
              <w:rPr>
                <w:rStyle w:val="IndexLink"/>
                <w:rtl w:val="true"/>
              </w:rPr>
              <w:t>:</w:t>
            </w:r>
            <w:r>
              <w:rPr>
                <w:rStyle w:val="IndexLink"/>
                <w:rtl w:val="true"/>
              </w:rPr>
              <w:t>قصةُ داود</w:t>
            </w:r>
            <w:r>
              <w:rPr>
                <w:rStyle w:val="IndexLink"/>
                <w:rtl w:val="true"/>
              </w:rPr>
              <w:t>(</w:t>
            </w:r>
            <w:r>
              <w:rPr>
                <w:rStyle w:val="IndexLink"/>
                <w:rtl w:val="true"/>
              </w:rPr>
              <w:t>علیه السلام</w:t>
            </w:r>
            <w:r>
              <w:rPr>
                <w:rStyle w:val="IndexLink"/>
                <w:rtl w:val="true"/>
              </w:rPr>
              <w:t>):</w:t>
              <w:tab/>
            </w:r>
            <w:r>
              <w:rPr>
                <w:rStyle w:val="IndexLink"/>
              </w:rPr>
              <w:t>500</w:t>
            </w:r>
          </w:hyperlink>
        </w:p>
        <w:p>
          <w:pPr>
            <w:pStyle w:val="Contents4"/>
            <w:tabs>
              <w:tab w:val="clear" w:pos="8176"/>
              <w:tab w:val="right" w:pos="9026" w:leader="dot"/>
            </w:tabs>
            <w:rPr/>
          </w:pPr>
          <w:hyperlink w:anchor="__RefHeading___Toc907520_1468164448">
            <w:r>
              <w:rPr>
                <w:webHidden/>
                <w:rStyle w:val="IndexLink"/>
                <w:rtl w:val="true"/>
              </w:rPr>
              <w:t>الوجه الثانی عشر</w:t>
            </w:r>
            <w:r>
              <w:rPr>
                <w:rStyle w:val="IndexLink"/>
                <w:rtl w:val="true"/>
              </w:rPr>
              <w:t xml:space="preserve">: </w:t>
            </w:r>
            <w:r>
              <w:rPr>
                <w:rStyle w:val="IndexLink"/>
                <w:rtl w:val="true"/>
              </w:rPr>
              <w:t>الحکم الولائی</w:t>
            </w:r>
            <w:r>
              <w:rPr>
                <w:rStyle w:val="IndexLink"/>
                <w:rtl w:val="true"/>
              </w:rPr>
              <w:t>:</w:t>
              <w:tab/>
            </w:r>
            <w:r>
              <w:rPr>
                <w:rStyle w:val="IndexLink"/>
              </w:rPr>
              <w:t>501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90_120362"/>
      <w:bookmarkStart w:id="1" w:name="pg13690_120362"/>
      <w:bookmarkEnd w:id="1"/>
    </w:p>
    <w:p>
      <w:pPr>
        <w:pStyle w:val="Heading2"/>
        <w:numPr>
          <w:ilvl w:val="1"/>
          <w:numId w:val="1"/>
        </w:numPr>
        <w:rPr/>
      </w:pPr>
      <w:bookmarkStart w:id="2" w:name="pg13690_120362"/>
      <w:bookmarkStart w:id="3" w:name="__RefHeading___Toc906964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ascii="IRNazanin" w:hAnsi="IRNazanin" w:eastAsia="IRNazanin"/>
          <w:color w:val="111111"/>
          <w:sz w:val="28"/>
          <w:sz w:val="28"/>
          <w:szCs w:val="28"/>
          <w:lang w:bidi="fa-IR"/>
        </w:rPr>
        <w:t>۱۹۶۲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بحوث فی‌القواعد‌الفقهیه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محمدالسند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مشتاق الساعدی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محکمات‌الثقلین؛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صادق،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5215</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 اساس جلد چهارم،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۲۰۱۶</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بر اساس تقریرات محمد السند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law -- *Formulae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ساعدی، مشتاق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۱۶۹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۳۲۴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۴۸۰۳۲۹۰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6966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بحوث فی‌القواعد‌الفقهیه المجلد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تقریرات محمدالسند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بقلم مشتاق الساعدی</w:t>
      </w:r>
      <w:bookmarkStart w:id="7" w:name="pg13690_120368"/>
    </w:p>
    <w:p>
      <w:pPr>
        <w:pStyle w:val="Heading2"/>
        <w:numPr>
          <w:ilvl w:val="1"/>
          <w:numId w:val="1"/>
        </w:numPr>
        <w:rPr/>
      </w:pPr>
      <w:bookmarkStart w:id="8" w:name="__RefHeading___Toc906968_1468164448"/>
      <w:bookmarkStart w:id="9" w:name="_Toc3"/>
      <w:bookmarkEnd w:id="7"/>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 لله رب العالمین والصلاة والسلام علی اشرف البشریة وأزکاهم المصطفی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ارفع العباد وأطهرهم علی وبنیه آل محمد وعلی من تبعهم بإحسان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یدی القارئ اللبیب نقدم الجزء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القواعد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تقریرات بحث الفقه لاستاذنا آیة الله الشیخ محمد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جاء هذا الجزء مکملاً للجزء الأول من الکتاب الذی بحثنا فیه ثمانی عشرة قاعدة 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واحتوی هذا الجزء علی أربع وعشرین قاعدة فقهیة من أبواب شتی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مصدقة فی قولها علی نفسها وشؤونها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حرمة تلذذ غیر الزوجین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وحدة ماهیة النکاح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تداخل العدد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حرمة المس فی الأجنبیة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التبرج بالزینة</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الفرق بین النکاح والسفاح</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 او الحق المأخوذ استمالة أو اکراها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فی لزوم الفحص الموضوعی قبل البینة أو الیمین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نظام التحکیم والصلح فی النزاعات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المرأة العشرة بالمعروف أو التسریح بإحسان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شرطیة الإسلام فی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عموم قاعدة ولایة الأرحام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حرمة وقوع الفتنة الشهویة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الإحرام ببطلان النسک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تقوّم مشروعیة التمتع بالإحرام من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النسک مع الخلل غیر العمدی فی الطواف والسعی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إدخال نسک فی نسک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الحج من قابل بفساد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تباین أو وحدة أنواع 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الأفسد بالفاسد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ویتبعه ان شاء الله تعالی 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راجین من الله تعالی دوام التوفیق لخدمة شریعة سید المرسلین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 دعوانا ان الحمد لله رب العالمین</w:t>
      </w:r>
    </w:p>
    <w:p>
      <w:pPr>
        <w:pStyle w:val="BookText"/>
        <w:rPr/>
      </w:pPr>
      <w:r>
        <w:rPr>
          <w:rFonts w:ascii="IRNazanin" w:hAnsi="IRNazanin" w:eastAsia="IRNazanin"/>
          <w:color w:val="111111"/>
          <w:sz w:val="28"/>
          <w:sz w:val="28"/>
          <w:szCs w:val="28"/>
          <w:rtl w:val="true"/>
          <w:lang w:bidi="fa-IR"/>
        </w:rPr>
        <w:t>مشتاق الساعدی</w:t>
      </w:r>
    </w:p>
    <w:p>
      <w:pPr>
        <w:pStyle w:val="BookText"/>
        <w:rPr/>
      </w:pPr>
      <w:r>
        <w:rPr>
          <w:rFonts w:ascii="IRNazanin" w:hAnsi="IRNazanin" w:eastAsia="IRNazanin"/>
          <w:color w:val="111111"/>
          <w:sz w:val="28"/>
          <w:sz w:val="28"/>
          <w:szCs w:val="28"/>
          <w:rtl w:val="true"/>
          <w:lang w:bidi="fa-IR"/>
        </w:rPr>
        <w:t>النجف الاشرف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الأول من ذی القعدة </w:t>
      </w:r>
      <w:r>
        <w:rPr>
          <w:rFonts w:eastAsia="IRNazanin" w:cs="IRNazanin"/>
          <w:color w:val="111111"/>
          <w:sz w:val="28"/>
          <w:szCs w:val="28"/>
          <w:lang w:bidi="fa-IR"/>
        </w:rPr>
        <w:t>1432</w:t>
      </w:r>
      <w:bookmarkStart w:id="10" w:name="pg13690_120370"/>
    </w:p>
    <w:p>
      <w:pPr>
        <w:pStyle w:val="Heading2"/>
        <w:numPr>
          <w:ilvl w:val="1"/>
          <w:numId w:val="1"/>
        </w:numPr>
        <w:rPr/>
      </w:pPr>
      <w:bookmarkStart w:id="11" w:name="__RefHeading___Toc906970_1468164448"/>
      <w:bookmarkStart w:id="12" w:name="_Toc4"/>
      <w:bookmarkEnd w:id="10"/>
      <w:bookmarkEnd w:id="11"/>
      <w:r>
        <w:rPr>
          <w:rtl w:val="true"/>
        </w:rPr>
        <w:t>قاعدة</w:t>
      </w:r>
      <w:r>
        <w:rPr>
          <w:rtl w:val="true"/>
        </w:rPr>
        <w:t>:</w:t>
      </w:r>
      <w:r>
        <w:rPr>
          <w:rtl w:val="true"/>
        </w:rPr>
        <w:t>الفراش</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906972_1468164448"/>
      <w:bookmarkStart w:id="14" w:name="_Toc5"/>
      <w:bookmarkEnd w:id="13"/>
      <w:r>
        <w:rPr>
          <w:rtl w:val="true"/>
        </w:rPr>
        <w:t>اشارة</w:t>
      </w:r>
      <w:bookmarkStart w:id="15" w:name="pg13690_120372"/>
      <w:bookmarkEnd w:id="14"/>
    </w:p>
    <w:p>
      <w:pPr>
        <w:pStyle w:val="Heading3"/>
        <w:numPr>
          <w:ilvl w:val="2"/>
          <w:numId w:val="1"/>
        </w:numPr>
        <w:rPr/>
      </w:pPr>
      <w:bookmarkStart w:id="16" w:name="__RefHeading___Toc906974_1468164448"/>
      <w:bookmarkStart w:id="17" w:name="_Toc6"/>
      <w:bookmarkEnd w:id="15"/>
      <w:bookmarkEnd w:id="16"/>
      <w:r>
        <w:rPr>
          <w:rtl w:val="true"/>
        </w:rPr>
        <w:t>من قواعد باب النکاح</w:t>
      </w:r>
      <w:r>
        <w:rPr>
          <w:rtl w:val="true"/>
        </w:rPr>
        <w:t>:</w:t>
      </w:r>
      <w:r>
        <w:rPr>
          <w:rtl w:val="true"/>
        </w:rPr>
        <w:t>قاعدة الفراش</w:t>
      </w:r>
      <w:bookmarkEnd w:id="17"/>
    </w:p>
    <w:p>
      <w:pPr>
        <w:pStyle w:val="Heading4"/>
        <w:numPr>
          <w:ilvl w:val="3"/>
          <w:numId w:val="1"/>
        </w:numPr>
        <w:rPr/>
      </w:pPr>
      <w:bookmarkStart w:id="18" w:name="__RefHeading___Toc906976_1468164448"/>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قد اشترط الأصحاب فی لحوق ولد المرأة بزوجها أو بواطئها بوطی غیر محرم ثلاثة شروط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کونه لأکثر من أدنی الحمل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أدنی من اقصی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 کونه بین ادنی مدة الحمل وأقصاها، ولتنقیح الحال فی المقام لابد من ذکر أمور</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الشروط وان کان انتفاء احدها یوجب نفی لحوق الولد بالزوج واقعاً الاّ ان توفر الشروط لا یستلزم اللحوق به واقعاً بل ظاهراً، ومن ثمّ کانت هذه الشروط موضوعاً للفراش کأمارة ظاهریة علی اللحوق، ولیس سبباً واقعیاً، وربما یظهر من الکلمات فی فروع البحث ان موضوع الامارة هو مجرد الدخول، وقد یعبر عن قاعدة الفراش</w:t>
      </w:r>
      <w:r>
        <w:rPr>
          <w:rStyle w:val="FootnoteAnchor"/>
          <w:rtl w:val="true"/>
        </w:rPr>
        <w:footnoteReference w:id="2"/>
      </w:r>
      <w:r>
        <w:rPr>
          <w:rFonts w:ascii="IRNazanin" w:hAnsi="IRNazanin" w:eastAsia="IRNazanin"/>
          <w:color w:val="111111"/>
          <w:sz w:val="28"/>
          <w:sz w:val="28"/>
          <w:szCs w:val="28"/>
          <w:rtl w:val="true"/>
          <w:lang w:bidi="fa-IR"/>
        </w:rPr>
        <w:t>حینئذ باصالة لحوق الولد بالوطی المحترم، وهذه القاعدة وإن صرح فی الجواهر بمغایرتها لقاعدة الولد للفراش الا أنّه لایبعد وحدة الامارتین وأنّ اشتراط</w:t>
      </w:r>
    </w:p>
    <w:p>
      <w:pPr>
        <w:pStyle w:val="BookText"/>
        <w:rPr/>
      </w:pPr>
      <w:r>
        <w:rPr>
          <w:rFonts w:ascii="IRNazanin" w:hAnsi="IRNazanin" w:eastAsia="IRNazanin"/>
          <w:color w:val="111111"/>
          <w:sz w:val="28"/>
          <w:sz w:val="28"/>
          <w:szCs w:val="28"/>
          <w:rtl w:val="true"/>
          <w:lang w:bidi="fa-IR"/>
        </w:rPr>
        <w:t>الاصحاب للمدّة هو بلحاظ المفاد الاولی الواقعی، أی انّ انتفاء شرط المدّة یستلزم نفی اللحوق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لاریب فی قوة اماریة الدخول مع احراز المدة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تفسیر الولد للفراش ان الولد لصاحب الفراش من السیّد أو الزوج ولایلحق بغیره، وفی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ویقال افرشت زیداً بساطا وافرشته اذا بسط له بساطا فی ضیافته، وفرشت الشیء افرشه بسطته والفرش والمفارش النساء لانهن یفترشن، وافترش الرجل المرأة للذّة، والفریش الجاریة، یفترشها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الفراش الزوج والفراش ما ینامان علیه، والفراش البیت، ویقال لامرأة الرجل هی فراشه وازاره ولحافه، والولد للفراش أی لمالک الفراش وهو الزوج والمولی لانه یفترشها، والاستعمال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سْئَلِ الْقَرْیَةَ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کلمات اللغویین هذه هو کفایة الدخول الحلال فی تحقق الفراش، نعم ملک الفراش والخلوة مع المرأة امارة علی الفراش وان تناولت کلمات اللغوین فی تعریف الفراش ذلک أیضاً، فالدخول وملک الوطی محقق لقاعدة الفراش غایة الامر ان العلم بفقد المدة مزیل لموضوع القاعدة لان انتفاء شرط المدة کما مرّ یستلزم نفی الالحاق واقعاً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ما تقدم یتنقح الحال فی صور نزاع الزوجین، انه عند النزاع فی المدة القول قول المرأة، لاعتضاد قولها بماهیة الفراش، نعم لو کان النزاع فی أصل الدخول لکان القول قول منکره، نعم مع الخلوة لایبعد کونها امارة بحسب ظاهر الحال علی الدخول لاسیما مع امتدادها زمنا وتکررها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یستفاد من صحیح علی بن جعفر عن أخیه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طلق امرأته قبل أن یدخل بها فادعت انّها حامل؟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اقامت البیّنة علی انّه ارخی علیها سترا ثم انکر الولد لاعنها، ثم ابانت منه فعلیه المهر کملا</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اماریة الخلوة علی الدخول، ولایخفی ان النزاع هنا فی أصل الدخول فهو ینکره والاصل معه، فلایحرز موضوع قاعدة الفراش لکن الخلوة امارة علی الدخول فتحرز موضوع قاعدة الفراش، ومن ثمّ ینتسب الیه الولد ولاینفی عنه الاّ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ورد من نفی الصداق مع الخلوة من دون وقاع کما فی موثق</w:t>
      </w:r>
      <w:r>
        <w:rPr>
          <w:rStyle w:val="FootnoteAnchor"/>
          <w:rtl w:val="true"/>
        </w:rPr>
        <w:footnoteReference w:id="4"/>
      </w:r>
      <w:r>
        <w:rPr>
          <w:rFonts w:ascii="IRNazanin" w:hAnsi="IRNazanin" w:eastAsia="IRNazanin"/>
          <w:color w:val="111111"/>
          <w:sz w:val="28"/>
          <w:sz w:val="28"/>
          <w:szCs w:val="28"/>
          <w:rtl w:val="true"/>
          <w:lang w:bidi="fa-IR"/>
        </w:rPr>
        <w:t>یونس</w:t>
      </w:r>
    </w:p>
    <w:p>
      <w:pPr>
        <w:pStyle w:val="BookText"/>
        <w:rPr/>
      </w:pPr>
      <w:r>
        <w:rPr>
          <w:rFonts w:ascii="IRNazanin" w:hAnsi="IRNazanin" w:eastAsia="IRNazanin"/>
          <w:color w:val="111111"/>
          <w:sz w:val="28"/>
          <w:sz w:val="28"/>
          <w:szCs w:val="28"/>
          <w:rtl w:val="true"/>
          <w:lang w:bidi="fa-IR"/>
        </w:rPr>
        <w:t>قال 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فأغلق باباً وأرخی ستراً ولمس وقبلّ ثم طلقها أیوجب علیه الصداق؟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الصداق إلّا الوقاع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ینافی ذلک، فان النفی بحسب الحکم الواقعی لا بحسب النزاع والحکم الظاهری کما هو مفاد موثق زرارة</w:t>
      </w:r>
      <w:r>
        <w:rPr>
          <w:rStyle w:val="FootnoteAnchor"/>
          <w:rtl w:val="true"/>
        </w:rPr>
        <w:footnoteReference w:id="5"/>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قد وردت روایات اخری علی ایجاب المهر والعدّة اذا غلق الباب وارخی الستر کصحیح الحلبی</w:t>
      </w:r>
      <w:r>
        <w:rPr>
          <w:rStyle w:val="FootnoteAnchor"/>
          <w:rtl w:val="true"/>
        </w:rPr>
        <w:footnoteReference w:id="6"/>
      </w:r>
      <w:r>
        <w:rPr>
          <w:rFonts w:ascii="Amiri" w:hAnsi="Amiri" w:eastAsia="Amiri" w:cs="Amiri"/>
          <w:color w:val="111111"/>
          <w:sz w:val="28"/>
          <w:sz w:val="28"/>
          <w:szCs w:val="28"/>
          <w:rtl w:val="true"/>
          <w:lang w:bidi="ar-SA"/>
        </w:rPr>
        <w:t>وموثق زرارة</w:t>
      </w:r>
      <w:r>
        <w:rPr>
          <w:rStyle w:val="FootnoteAnchor"/>
          <w:rtl w:val="true"/>
        </w:rPr>
        <w:footnoteReference w:id="7"/>
      </w:r>
      <w:r>
        <w:rPr>
          <w:rFonts w:ascii="IRNazanin" w:hAnsi="IRNazanin" w:eastAsia="IRNazanin"/>
          <w:color w:val="111111"/>
          <w:sz w:val="28"/>
          <w:sz w:val="28"/>
          <w:szCs w:val="28"/>
          <w:rtl w:val="true"/>
          <w:lang w:bidi="fa-IR"/>
        </w:rPr>
        <w:t>الآخر وموثق</w:t>
      </w:r>
    </w:p>
    <w:p>
      <w:pPr>
        <w:pStyle w:val="BookText"/>
        <w:rPr/>
      </w:pPr>
      <w:r>
        <w:rPr>
          <w:rFonts w:ascii="IRNazanin" w:hAnsi="IRNazanin" w:eastAsia="IRNazanin"/>
          <w:color w:val="111111"/>
          <w:sz w:val="28"/>
          <w:sz w:val="28"/>
          <w:szCs w:val="28"/>
          <w:rtl w:val="true"/>
          <w:lang w:bidi="fa-IR"/>
        </w:rPr>
        <w:t>اسحاق بن عمار</w:t>
      </w:r>
      <w:r>
        <w:rPr>
          <w:rStyle w:val="FootnoteAnchor"/>
          <w:rtl w:val="true"/>
        </w:rPr>
        <w:footnoteReference w:id="8"/>
      </w:r>
      <w:r>
        <w:rPr>
          <w:rFonts w:ascii="IRNazanin" w:hAnsi="IRNazanin" w:eastAsia="IRNazanin"/>
          <w:color w:val="111111"/>
          <w:sz w:val="28"/>
          <w:sz w:val="28"/>
          <w:szCs w:val="28"/>
          <w:rtl w:val="true"/>
          <w:lang w:bidi="fa-IR"/>
        </w:rPr>
        <w:t>، وهی محمولة علی الحکم الظاهری عند النزاع واشار الی هذا التفصیل ابن أبی عمیر، واستحسنه الشیخ فی التهذیب</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فی مصحح أبی بصیر وصحیح أبی عبیدة اماریة الخلوة وارخاء الستر واغلاق الباب علی الدخول والمهر والعدّة، ففی الاول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المرأة فیرخی علیها وعلیه الستر ویغلق الباب ثم یطلقها فتسأل المرأة هل أتاک؟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أتانی، ویسأل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أتیتها؟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آتها،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یصدقان، وذلک آنهاترید ان تدفع العدّة عن نفسها، ویرید هو ان یدفع المهر عن نفسه، یعنی اذا کانا متهمین</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ومثلها صحیحة أبی عبیدة الا أنّه لیس فیها تقیید بالاتهام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ومفادها اماریة الخلوة واغلاق الباب وارخاء الستر علی الدخول حتی لو اتفقا علی عدمه مع کونهما متهمین، وقد یستفاد من مفهومها حجیة اتفاقهما مع عدم کونهما متهمین وتقدیم ذلک علی اماریة الخلوة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صحیح زرارة 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جاریة لم تدرک لایجامع مثلها أو تزوج رتقاء فادخلت علیه فطلقها ساعة أدخلت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ینظر الیهن من یوثق به من النساء، فان کنّ کما دخلن علیه فان لها نصف الصداق الذی فرض لها، ولا عدة علیهن منه</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ومفادها تقدم ولزوم تحصیل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القدرة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اماریة الخلوة وهذا مطابق لما تقرر من تقدم اسباب تحصیل العلم علی قاعدة الفراش، فضلا عن الامارات علی الدخول الذی هو موضوع قاعدة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ضعّف العمل بروایات اماریة الخلوة جملة المتأخّرین، وحملوها علی التقیة، لکون ذلک هو المروی عن عمر، وقد افتی به أبو حنیفة وکثیر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عرفت صحة عدّة من الروایات الواردة واعتبار بعضها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العامة قد ذهبوا الی السببیة الواقعیة للخلوة لاستحقاق المهر حیث عللوا کما فی کتاب المغنی لابن قدامة</w:t>
      </w:r>
      <w:r>
        <w:rPr>
          <w:rStyle w:val="FootnoteAnchor"/>
          <w:rtl w:val="true"/>
        </w:rPr>
        <w:footnoteReference w:id="12"/>
      </w:r>
      <w:r>
        <w:rPr>
          <w:rFonts w:ascii="IRNazanin" w:hAnsi="IRNazanin" w:eastAsia="IRNazanin"/>
          <w:color w:val="111111"/>
          <w:sz w:val="28"/>
          <w:sz w:val="28"/>
          <w:szCs w:val="28"/>
          <w:rtl w:val="true"/>
          <w:lang w:bidi="fa-IR"/>
        </w:rPr>
        <w:t>بان التسلیم المستحق وجدٌ من جهتها فیستقر به البدل کما لو وطأها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وفسروا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أَفْضی بَعْضُکُمْ إِلی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بالخلوة وانه مأخوذ من الفضاء وهو الخالی، أی خلی بعضکم الی بعض، وان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قَبْلِ أَنْ تَمَسُّوهُنَّ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کنایة بالمسبب علی السبب الذی هو الخلوة، وان کانت کلماتهم مضطربة فی ترتیب آثار الدخول علی الخلوة، کثبوت الرجعة له علیها فی عدتها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ان الروایات الواردة لیس جمیعها فی صدد ایجاب الصداق،</w:t>
      </w:r>
    </w:p>
    <w:p>
      <w:pPr>
        <w:pStyle w:val="BookText"/>
        <w:rPr/>
      </w:pPr>
      <w:r>
        <w:rPr>
          <w:rFonts w:ascii="IRNazanin" w:hAnsi="IRNazanin" w:eastAsia="IRNazanin"/>
          <w:color w:val="111111"/>
          <w:sz w:val="28"/>
          <w:sz w:val="28"/>
          <w:szCs w:val="28"/>
          <w:rtl w:val="true"/>
          <w:lang w:bidi="fa-IR"/>
        </w:rPr>
        <w:t>بل مصحح أبی بصیر ومصحح أبی عبیدة صریح فی کون المدار علی المسّ والجماع لا علی الخلوة، وانّ الخلوة انما هی امارة بحسب ظاهر الحال ومقدمة علی اتفاقهما مع فرض التهمة، نعم بعض الروایات الواردة فی ایجاب الصداق بالخلوة تفوح منه التقیة بوضوح بعد ظهوره فی السببیة الواقعیة للخلوة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المسالک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ادّعت بعد الخلوة التامة الخالیة من موانع الوقاع الدخول وانکر، فان کانت بکراً فلا اشکال لامکان الاطلاع علی صدق احدهما، باطلاع التعاقب من النساء علیها وذلک جائز لمکان الحاجة، کنظر الشاهد والطبیب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 علیه فی الجواهر</w:t>
      </w:r>
      <w:r>
        <w:rPr>
          <w:rStyle w:val="FootnoteAnchor"/>
          <w:rtl w:val="true"/>
        </w:rPr>
        <w:footnoteReference w:id="13"/>
      </w:r>
      <w:r>
        <w:rPr>
          <w:rFonts w:ascii="IRNazanin" w:hAnsi="IRNazanin" w:eastAsia="IRNazanin"/>
          <w:color w:val="111111"/>
          <w:sz w:val="28"/>
          <w:sz w:val="28"/>
          <w:szCs w:val="28"/>
          <w:rtl w:val="true"/>
          <w:lang w:bidi="fa-IR"/>
        </w:rPr>
        <w:t>بان رأیاها ثیباً لا دلالة فیه علی صدق دعواها لانه اعم، کما ان کونها بکرا لایوجب تمکینها من نفسها للفحص بعد حرمة النظر والمشقة، فلها المطالبة بالیمین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الشهید ان القاضی والحاکم مع امکان تحریه عن حقیقة النزاع موضوعا فلاتصل النوبة الی العمل بالاصول العملیة والامارات لتعیین المنکر والمدّعی، ولا الی الحکم بالیمین أو البیّنة، وهو مفاد صحیح زرارة السابق</w:t>
      </w:r>
      <w:r>
        <w:rPr>
          <w:rStyle w:val="FootnoteAnchor"/>
          <w:rtl w:val="true"/>
        </w:rPr>
        <w:footnoteReference w:id="14"/>
      </w:r>
      <w:r>
        <w:rPr>
          <w:rFonts w:ascii="IRNazanin" w:hAnsi="IRNazanin" w:eastAsia="IRNazanin"/>
          <w:color w:val="111111"/>
          <w:sz w:val="28"/>
          <w:sz w:val="28"/>
          <w:szCs w:val="28"/>
          <w:rtl w:val="true"/>
          <w:lang w:bidi="fa-IR"/>
        </w:rPr>
        <w:t>، کما هو مفاد الروایات الواردة فی العیوب کدعوی العنّة علی الزوج أو الرتق فی الزوجة، وکذا هو الحال فی جملة من الروایات الواردة فی الأبواب، وتقدم لزوم التحری علی العمل بالاصول العملیة هو المقتضی الاولی فی الصناعة واطلاق متواتر روایات القضاء</w:t>
      </w:r>
    </w:p>
    <w:p>
      <w:pPr>
        <w:pStyle w:val="BookText"/>
        <w:rPr/>
      </w:pPr>
      <w:r>
        <w:rPr>
          <w:rFonts w:ascii="IRNazanin" w:hAnsi="IRNazanin" w:eastAsia="IRNazanin"/>
          <w:color w:val="111111"/>
          <w:sz w:val="28"/>
          <w:sz w:val="28"/>
          <w:szCs w:val="28"/>
          <w:rtl w:val="true"/>
          <w:lang w:bidi="fa-IR"/>
        </w:rPr>
        <w:t xml:space="preserve">بالیمین والبینة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الغض عن کونه محکوماً أو موروداً موضوعاً بادلة لزوم الفحص ومطلقات 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 المتیقن من موارده هو فیما لو استلزم التحری مؤونة کبیرة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یدعم الروایات فی إماریة الخلوة علی الوقاع وتقدیمها علی اتفاق وتصادق الزوجین ما اعترف به صاحب الجواهر من منع انحصار الحق فی الزوجین لان للولد حقاً فی النَسب فیما لو کانت حاملاً، کما لو ادعی مدع مولوداً علی فراش غیره، بأن ادعی وطئه بالشبهة وصدّقه الزوجان فلابد من البیّنة لحق الولد، ولا یکفی تصدیق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المحکی عن ابن أبی عمیر والصدوق والشیخ وابن براج والکیدری وجماعة من القدماء خلافاً للمشهور بین المتأخرین أو اجماعهم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عرفت من کون قاعدة الفراش امارة ولیست سبباً واقعیاً للالحاق یتبین ان مع توفر اسباب العلم من الفحوص المختبریة الحدیثة کفحص الجینات وفحوصات الحمض النووی وغیرها من طرق التحری والفحص الجنائی مما یوجب العلم، هی مقدمة علی قاعدة الفراش، نعم فی جملة من انماط هذه الطرق أو فی بعض الحالات لاتصل فی نتائجها الی حدّ العلم، بل بنحو نسبی ظنی غالبی، فلایعول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موضوع قاعدة الفراش والعدّة</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 الدخول المأخوذ فی باب الالحاق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الحاق الولد وقاعدة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المأخوذ فی باب العدّة، وفی باب المهر، والغسل والحدّ، فعن المسالک وجماعة وشرح النافع فی باب العدد یلحق بالوطی دخول المنی المحترم فی الفرج، فیلحق به الولد وتعتدّ بوضعه، کما حکی عن ظاهر کلمات</w:t>
      </w:r>
    </w:p>
    <w:p>
      <w:pPr>
        <w:pStyle w:val="BookText"/>
        <w:rPr/>
      </w:pPr>
      <w:r>
        <w:rPr>
          <w:rFonts w:ascii="IRNazanin" w:hAnsi="IRNazanin" w:eastAsia="IRNazanin"/>
          <w:color w:val="111111"/>
          <w:sz w:val="28"/>
          <w:sz w:val="28"/>
          <w:szCs w:val="28"/>
          <w:rtl w:val="true"/>
          <w:lang w:bidi="fa-IR"/>
        </w:rPr>
        <w:t xml:space="preserve">الاصحاب الاکتفاء بدخول الخصی وان لم ینزل، وقد افتی جماعة بأن سبب العدّة الدخول، أی دخول مقدار الحشفة أو دخول ماءه فی فرجها، وعن عدد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قطع جمیع ذکره فالنسب یلحقه، لان الخصیتین اذا کانتا باقیتین فالانزال ممکن، ویمکن ان یساحق فینزل فان حملت منه اعتدّت بوضع الحمل، وان لم تکن حاملاً اعتدّت بالشهور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 علیه جماعة من المتأخرین بان الامکان لایوجب العدّة، نعم هذا الامکان موجب لتحقق قاعدة الفراش، وهذا التفصیل منهم ظاهر فی أوسعیة عنوان الدخول فی باب قاعدة الفراش منه فی باب العدد وهما أوسع ممّا فی باب الغسل والحدّ والمهور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قوم لو استدخلت ماءُه کان کالدخول فی وجوب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نصّ الاکثر علی تحقق الدخول بالوطی فی الدبر بإمکان وصول مائه منه الی فرجها، ومن ثمّ اعتدوا بالدخول فی القبل وان لم ینزل، وعن الفوائد والتحریر عدم الاعتبار بالدبر ومال إلیه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وصرح جماعة کما فی المسالک وشرح النافع انّه یلحق بالوطی دخول المنی المحترم فی الفرج، فیلحق به الولد وتعتدّ بوضعه، وکذا مدخولة الخصی کما هو ظاهر کلام الاصحاب والمسالک وان لم ینزل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فحینئذ یقع الکلام فی انّ موضوع القاعدة هل هو کل مباشرة ولمس یحتمل منه دخول الماء؟ أم لابد من الدخول أو ما هو بحکمه، أم یفصل بین ظهور الحمل فیکفی فیه مجرد الاحتمال وعدمه، لکن هذا التفصیل</w:t>
      </w:r>
    </w:p>
    <w:p>
      <w:pPr>
        <w:pStyle w:val="BookText"/>
        <w:rPr/>
      </w:pPr>
      <w:r>
        <w:rPr>
          <w:rFonts w:ascii="IRNazanin" w:hAnsi="IRNazanin" w:eastAsia="IRNazanin"/>
          <w:color w:val="111111"/>
          <w:sz w:val="28"/>
          <w:sz w:val="28"/>
          <w:szCs w:val="28"/>
          <w:rtl w:val="true"/>
          <w:lang w:bidi="fa-IR"/>
        </w:rPr>
        <w:t>ضعیف، لانّ النسبة بعد ظهور الحمل واللحوق للولد مبنی علی قاعدة الفراش، ومنه یظهر ان الموضوع فی قاعدة الفراش أوسع منه فی باب العدّة، نعم فی موارد قاعدة الفراش مع ظهور الحمل یتم موضوع العدّة، وبعبارة اخری انّ اطلاق تعلیلهم بامکان الانزال بوجوب العدّة مع ظهور الحمل قاض بانّ موضوع قاعدة الفراش کل مباشرة قریبة یحتمل منها وصول مائه الی باطن فرجها، وعن العامة تغییر الفراش بحلیة الوطی وان لم یفترشها فعلا فانه یلحق به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الواردة فی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أبی البختری عن جعفر بن محمد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الی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أعزل عن جاریة لی فجاءت بولد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الوکاء قد ینفلت فألحق به الولد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وغایة مفاد هذه الروایة هو کفایة احتمال الانزال مع الجماع وان کان ضعیفاً جدا ما دام قد تحقق الایلاج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أبی البختری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اتی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امرأتی هذه حامل وهی جاریة حدثة وهی عذراء وهی حامل فی تسعة أشهر ولا اعلم الا خیراً وأنا شیخ کبیر ما افترعتها، وأنها لعلی حالها، 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الله هل کنت تُهرِیق علی فرجها؟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لکل فرج ثقبین، ثقب یدخل فیه ماء الرجل، وثقب یخرج منه البول، وان افواه الرحم تحت الثقب الذی</w:t>
      </w:r>
    </w:p>
    <w:p>
      <w:pPr>
        <w:pStyle w:val="BookText"/>
        <w:rPr/>
      </w:pPr>
      <w:r>
        <w:rPr>
          <w:rFonts w:ascii="IRNazanin" w:hAnsi="IRNazanin" w:eastAsia="IRNazanin"/>
          <w:color w:val="111111"/>
          <w:sz w:val="28"/>
          <w:sz w:val="28"/>
          <w:szCs w:val="28"/>
          <w:rtl w:val="true"/>
          <w:lang w:bidi="fa-IR"/>
        </w:rPr>
        <w:t>یدخل فیه ماء الرجل، فاذا دخل الماء فی فم واحد من أفواه الرحم حملت المرأة بالولد، واذا دخل من اثنین حملت باثنین، واذا دخل من ثلاثة حملت بثلاثة، وإذا دخل من أربع حملت بأربعة، ولیس هناک غیر ذلک، وقد ألحقت بک ولدها فشق عنها القوابل، فجاءت بغلام فعاش</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وطریق هذه الروایة والتی قبلها عن الحمیری فی قرب الاسناد عن السندی بن محمد عن أبی البختری، والسندی بن محمد هو ابان بن محمد البجلی وهو من أصحاب الهادی الثقة الجلیل، وروی هذه الروایة المفید فی الارشاد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نقله الآثار من العامة والخاصة ثم ذکر الروایة، الا أن فیها قول الرجل الشیخ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انزل الماء فی قبلها من غیر الوصول الیها بالاقتضاض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 هذه الروایة تحقق موضوع القاعدة باراقة الماء علی الفرج، وهو موجب لقرب إحتمال دخول الماء فی رحم المرأة، وامکان نشوء الحمل، وان لم یکف هذا المقدار من الاحتمال فی لزوم العدّة، ما لم یصل الی درجة العلم بدخول الماء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أبی طاهر البلالی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جعفر بن حمدان فخرجت الیه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استحللت بجاریة وشرطت علیها ان لا اطلب ولدها ولم الزمها منزلی فلما أتی لذلک مدة قالت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حبلت، ثم اتت بولد فلم انکره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جوابها یعنی من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الرجل الذی استحل بالجاریة وشرط ان لایطلب ولدها فسبحان من</w:t>
      </w:r>
    </w:p>
    <w:p>
      <w:pPr>
        <w:pStyle w:val="BookText"/>
        <w:rPr/>
      </w:pPr>
      <w:r>
        <w:rPr>
          <w:rFonts w:ascii="IRNazanin" w:hAnsi="IRNazanin" w:eastAsia="IRNazanin"/>
          <w:color w:val="111111"/>
          <w:sz w:val="28"/>
          <w:sz w:val="28"/>
          <w:szCs w:val="28"/>
          <w:rtl w:val="true"/>
          <w:lang w:bidi="fa-IR"/>
        </w:rPr>
        <w:t>لاشریک له فی قدرته شرطه علی الجاریة شرط علی الله، هذا ما لایُؤمن أن یکون وحیث عرض له فی هذا الشک ولیس یعرف الوقت الذی اتاها فلیس ذلک بموجب للبراءة من ولده</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هذه الروایة صریح فی کون موضوع القاعدة مجرد الدخول من دون شرطیة العلم بالمدّة، أولک أن تقول بشرطیة عدم العلم بانتهاء المدة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وقریب منها موثق سعید الاعرج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المرأة لیست بمأمونة، تدّعی الحمل،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هذا الموثق کما تقدم فی الروایة السابقة حیث ان الإسترابة تشمل فی العادة موارد احراز الدخول مع الشک فی المدّة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صحیحة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أبی وأنا حاضر عن رجل تزوج امرأة فادخلت علیه، فلم یمسّها ولم یصل إلیها حتی طلقها هل علیها عدّة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العدّة من الماء، قیل له فان کان قد واقعها فی الفرج ولم ینزل،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ادخله اوجب الغسل والمهر والعدّة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 هذه الصحیحة ان الدخول موجب للعدّة وان لم ینزل، وموضوعها مشترک مع قاعدة الفراش، کما ان مفادها سببیة الماء للعدّة، وکذلک بالنسبة لقاعدة الفراش غایة الامر ان التقدیر فی ترکیب الجملة هو</w:t>
      </w:r>
    </w:p>
    <w:p>
      <w:pPr>
        <w:pStyle w:val="BookText"/>
        <w:rPr/>
      </w:pPr>
      <w:r>
        <w:rPr>
          <w:rFonts w:ascii="IRNazanin" w:hAnsi="IRNazanin" w:eastAsia="IRNazanin"/>
          <w:color w:val="111111"/>
          <w:sz w:val="28"/>
          <w:sz w:val="28"/>
          <w:szCs w:val="28"/>
          <w:rtl w:val="true"/>
          <w:lang w:bidi="fa-IR"/>
        </w:rPr>
        <w:t>دخول الماء فی الفرج، ولکن قد یقدر اراقة الماء علی الفرج، بتقریب ان الراوی لم یفرض فی سؤاله عدم المسّ فقط، بل فرض عدم وصوله الیها أیضاً، وهو یناسب مطلق عدم المباشرة، وحینئذ یمکن تقدیر سببیة اراقة الماء علی الفرج أو علی فمه فی العدّة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وموثقة اسحاق بن عمار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یتزوج المرأة فیدخل بها فیغلق علیها باباً ویرخی علیها ستراً، ویزعم انه لم یمسّها وتصدقه هی بذلک علیها 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شیء دون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اخرج الماء اعتدّت، یعنی اذا کانا مأمونین صدقاً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 فی مرآة العقول فی شرح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شیء دون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فیه تفصیل وتخصیص أو المعنی انه ادخل بعض الذکر ولم یدخل کله فیکون الانزال کنایة عن غیبویة الحشفة، والاظهر انه اراد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بالشیء دون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إلصاق الذکر بالفرج، أو ادخال أقل من الحشفة؟ والجواب انه مع الانزال احتمل دخول الماء فی الرحم فیجب علیها العدّة وتستحق المهر لکن لم أری بهذا التفصیل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کانا مأمونین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کلام الکلینی کما عرفت، وجمع بین الاخبار بالتهمة کما فعله الشیخ، ویمکن حمل اخبار اللزوم علی التقیة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التقیة ضعیف لتصریح صدر الروایة بنفی العدّة</w:t>
      </w:r>
    </w:p>
    <w:p>
      <w:pPr>
        <w:pStyle w:val="BookText"/>
        <w:rPr/>
      </w:pPr>
      <w:r>
        <w:rPr>
          <w:rFonts w:ascii="IRNazanin" w:hAnsi="IRNazanin" w:eastAsia="IRNazanin"/>
          <w:color w:val="111111"/>
          <w:sz w:val="28"/>
          <w:sz w:val="28"/>
          <w:szCs w:val="28"/>
          <w:rtl w:val="true"/>
          <w:lang w:bidi="fa-IR"/>
        </w:rPr>
        <w:t>مع عدم الدخول، فالأظهر ان موضوع وجوب العدّة بحسب مفاد الموثق هو اراقة الماء علی الفرج أو فی فم الفرج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صحیحة أبی مریم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آتی فلانة اطلب ولدها فهی حرّة بعد ان یأتیها أله أن یأتیها ولاینزل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أتاها فقد طلب ولدها</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کالنص فی کون الدخول من دون انزال محقق لموضوع قاعدة الفراش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صحیحة محمد بن اسماعیل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یتزوج المرأة متعة ویشترط علیها ان لایطلب ولدها فتأتی بعد ذلک بولد فینکر الولد؟ فشدّد فی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یجحد؟ اعظاما لذلک،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اتهمها؟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لک أن تتزوج الاّ مأمونة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الدلالة فیها کالسابقة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ممّا تقدم ان قاعدة الفراش موضوعها أوسع من موضوع العدّة، نعم مع ظهور الحمل فیحرز موضوع العدّة أیضاً ویتطابق مع موضوع قاعدة الفراش، والاظهر فیه مطلق الدخول قبلا أو دبراً وان لم ینزل، بل وان لم یکن بمقدار الحشفة، وکذا لو انزل علی فم الفرج، فضلا عن ما عُلم دخول الماء فی الفرج، وعلی ذلک فقد یقرر تضییق موضوع العدّة عن موضوع الفراش بأنه الدخول للذکر أو الماء، بخلاف قاعدة</w:t>
      </w:r>
    </w:p>
    <w:p>
      <w:pPr>
        <w:pStyle w:val="BookText"/>
        <w:rPr/>
      </w:pPr>
      <w:r>
        <w:rPr>
          <w:rFonts w:ascii="IRNazanin" w:hAnsi="IRNazanin" w:eastAsia="IRNazanin"/>
          <w:color w:val="111111"/>
          <w:sz w:val="28"/>
          <w:sz w:val="28"/>
          <w:szCs w:val="28"/>
          <w:rtl w:val="true"/>
          <w:lang w:bidi="fa-IR"/>
        </w:rPr>
        <w:t>الفراش فانه یکفی فیها اراقة الماء علی الفرج أو عنده، نعم لو ظهر الحمل تحقق موضوع العدة بضمیمة موضوع قاعدة الفراش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فلم تلبث بعد ما اهدیت إلیه الاّ أربعة أشهر حتی ولدت جاریة فانکر ولدها، وزعمت هی أنها حبلت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لایقبل ذلک منها وان ترافعا الی السلطان تلاعنا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دالة علی ان أقل الحمل ستة أشهر، إلا انّه مع نزاع الزوجین فی المدّة لاینتفی الولد إلا بالتلاعن، ومقتضی ذلک‌ان قاعدة الفراش تقتضی نسبة الولد إلیه ولاینتفی عنه إلاّ باللعان وهذا مما یعنی ان قاعدة الفراش تجری بمجرد احراز الدخول، ولایشترط فی جریانها احراز المدّة، نعم لاتجری مع احراز انتفاء المدّة، ولایخفی ان العامة علی ماحکی لایختلفون معنا فی مقدار ادنی الحمل وهو ستة أشهر، فاحتیاج نفی الولد عند قاضی العامة الی اللعان دال علی ان الفرض فی الشق الثانی فی الروایة کون النزاع فی المدّة لا انّ المرأة تقرّ علی نفسها ان المدّة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مدّة الحمل قلّة وکثرة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تحدید ادنی الحمل واقصاه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تحدید ادنی الحمل بستة أشهر فقد ذهب الیه المشهور، لکن فی المقنعة وعن الطوسی التخییر بین النفی والاقرار لدون الستة، غیر انّه ان</w:t>
      </w:r>
    </w:p>
    <w:p>
      <w:pPr>
        <w:pStyle w:val="BookText"/>
        <w:rPr/>
      </w:pPr>
      <w:r>
        <w:rPr>
          <w:rFonts w:ascii="IRNazanin" w:hAnsi="IRNazanin" w:eastAsia="IRNazanin"/>
          <w:color w:val="111111"/>
          <w:sz w:val="28"/>
          <w:sz w:val="28"/>
          <w:szCs w:val="28"/>
          <w:rtl w:val="true"/>
          <w:lang w:bidi="fa-IR"/>
        </w:rPr>
        <w:t>نفاه وخاصمته المرأة فی زمان الحمل کان علیه ملاعنتها</w:t>
      </w:r>
      <w:r>
        <w:rPr>
          <w:rStyle w:val="FootnoteAnchor"/>
          <w:rtl w:val="true"/>
        </w:rPr>
        <w:footnoteReference w:id="21"/>
      </w:r>
      <w:r>
        <w:rPr>
          <w:rFonts w:ascii="IRNazanin" w:hAnsi="IRNazanin" w:eastAsia="IRNazanin"/>
          <w:color w:val="111111"/>
          <w:sz w:val="28"/>
          <w:sz w:val="28"/>
          <w:szCs w:val="28"/>
          <w:rtl w:val="true"/>
          <w:lang w:bidi="fa-IR"/>
        </w:rPr>
        <w:t>، ومقتضی کلامهما ان قاعدة الفراش جاریة بمجرد الدخول، وان لم تحرز المدة فتتحقق نسبة الولد ولاینتفی الاّ باللعان، والظاهر ارادة المشهور فی کون ادنی الحمل ستة أشهر فیما لو أتت بالولد حیّاً سویّاً، وإلاّ لو أتت به ناقص الخلقة میتاً لدون تلک المدّة فلاینتفی عنه، وأما اقصی الحمل فعن المشهور انّه تسعة أشهر، وعن المبسوط انه عشرة أشهر، واستحسنه فی الشرائع واختاره العلامة فی أکثر کتبه، والفاضل التونی، أو أنّه سنة کما عن الانتصار، وأبی الصلاح والمختلف وشرح النافع، وعن ابن زهرة ان الزیادة الی سنة لنفی الریبة فی الحساب، واحتمل فی الجواهر ان الزیادة تعبدا للعدّة، أو انّ ادلته لنفی مازاد علی السنة، أو لعزم الطلاق مع استرابة الحیضة والحمل، ویظهر من المفید فی المقنعة ان الزیادة هی لالتباس الحمل علی کثیر من الناس، وان من النساء من یرتفع حیضهن قبل حملهن لعارض مدّة من الزمان فیظن ان ذلک من أیام الحمل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وحکی السید فی الانتصار عن الشافعی ان اکثر الحمل لدیه أربع سنوات، وحکی ذلک ابن قدامة عن الشافعی أیضاً،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المشهور عن مالک وقال ان ظاهر المذهب لدیهم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لدی الحنابلة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اقصی مدة الحمل أربع سنین، وانّه روی عن أحمد ان اقصی مدته سنتان وکذلک عن عائشة والثوری وأبو حنیفة، وان الضحاک بن مزاحم وحرم بن حیان وهما من فقهائهم حملت أم کل واحد منهما به سنتین، وعن لیث ثلاث سنین،</w:t>
      </w:r>
    </w:p>
    <w:p>
      <w:pPr>
        <w:pStyle w:val="BookText"/>
        <w:rPr/>
      </w:pPr>
      <w:r>
        <w:rPr>
          <w:rFonts w:ascii="IRNazanin" w:hAnsi="IRNazanin" w:eastAsia="IRNazanin"/>
          <w:color w:val="111111"/>
          <w:sz w:val="28"/>
          <w:sz w:val="28"/>
          <w:szCs w:val="28"/>
          <w:rtl w:val="true"/>
          <w:lang w:bidi="fa-IR"/>
        </w:rPr>
        <w:t>وعن عباد بن العوام خمس سنین، وعن الزهری ست أو سبع سنین، وعن أبی عبیدة لیس لاقصاه وقت یوقف علیه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السید المرتضی فی رسائله عن العامة وفاقهم معنا فی أقل الحمل، وهذا هو ظاهر المغنی فیما حکاه من أقوالهم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ولایخفی ان اختلافهم فی اقصی مدّة الحمل الی هذا التحدید من السنین سبّب لغط کبیر لدیهم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لاسیما فی هذه الاعصار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وتداعیاته فی الفتن الاجتماعیة کثیرة حیث یقول أحد المعاصرین منهم انه قد بنی علی الخلاف فی أطول مدة الحمل شرّ عظیم ومنه ارتکاب الفحشاء من بعض النساء بعد وفاة أزواجهن وحملهنّ منهم وادعاء ان ذلک کان من ازواجهن، ولو فعلن ذلک بعد موتهم بسنوات علی اعتبار القول بطول مدّة الحمل وأنها قد تصل الی خمس سنوات بل أکثر، ومن ثمّ لجأ ابن حزم الی ردّ هذه الأقوال بانّ مستنداتها أخبار تروی عن نساء وهی اخبار مکذوبة راجعة الی من لایصدق ولایعرف من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ینسجم کلامهم هذا وکلام جملة من المعاصرین مع أنهم قد رووا التحدید بمدّة سنتین عن عائشة کما مرّت الاشارة الی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الواردة فی المقام علی ألسن وطوائف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أقل الحمل ستة أشهر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کصحیح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للرجل منکم الجاریة یطؤها فیعتقها فاعتدّت ونکحت فان وضعت لخمسة أشهر فانه لمولاها الذی اعتقها، وان وضعت بعد ما تزوجت لستة أشهر فانّه لزوجها الأخیر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نسبة الولد لمولاها السابق، أو لزوجها بعد العتق جعل المدار فیه الستة أشهر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صحیحة عبدالرحمن العرزمی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بین الحسن والحسین طهر، وکان بینهما فی المیلاد ستة أشهر وعشراً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ومرفوعة محمد بن یحیی الی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لاتلد المرأة لأقل من ستة أشهر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فلم تلبث بعد ما اهدیت إلیه الاّ أربعة أشهر حتی ولدت جاریة فانکر ولدها، وزعمت هی أنها حبلت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لایقبل ذلک منها وان ترافعا الی السلطان تلاعنا</w:t>
      </w:r>
      <w:r>
        <w:rPr>
          <w:rStyle w:val="FootnoteAnchor"/>
          <w:rtl w:val="true"/>
        </w:rPr>
        <w:footnoteReference w:id="26"/>
      </w:r>
      <w:r>
        <w:rPr>
          <w:rFonts w:ascii="IRNazanin" w:hAnsi="IRNazanin" w:eastAsia="IRNazanin"/>
          <w:color w:val="111111"/>
          <w:sz w:val="28"/>
          <w:sz w:val="28"/>
          <w:szCs w:val="28"/>
          <w:rtl w:val="true"/>
          <w:lang w:bidi="fa-IR"/>
        </w:rPr>
        <w:t>، وقد تقدم تقریب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الی ابن أبی نصر عمن رواه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الرجل اذا طلق امرأته ثم نکحت وقد اعتدّت ووضعت لخمسة</w:t>
      </w:r>
    </w:p>
    <w:p>
      <w:pPr>
        <w:pStyle w:val="BookText"/>
        <w:rPr/>
      </w:pPr>
      <w:r>
        <w:rPr>
          <w:rFonts w:ascii="IRNazanin" w:hAnsi="IRNazanin" w:eastAsia="IRNazanin"/>
          <w:color w:val="111111"/>
          <w:sz w:val="28"/>
          <w:sz w:val="28"/>
          <w:szCs w:val="28"/>
          <w:rtl w:val="true"/>
          <w:lang w:bidi="fa-IR"/>
        </w:rPr>
        <w:t>أشهر فهو للأوّل، وان کان ولد انقص من ستة أشهر فلأمه وأبیه الاوّل، وان ولدت لستة أشهر فهو للأخیر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صحیح جمیل بن دراج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ان هذه المسألة وفاقیة بین الفریقین فضلا عن الامامیة، ووجه الوفاق فیها ماروته العامة والخاصة من کلام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الرد علی عمر حینما اوتی بأمرأة وقد ولدت لستة أشهر فهمّ برجمها فقال له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خاصمتک بکتاب الله خصمتک، انّ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یُرْضِعْنَ أَوْلادَهُنَّ حَوْلَیْنِ کامِلَیْنِ لِمَنْ أَرادَ أَنْ یُتِمَّ الرَّضاعَةَ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اتمّت المرأة الرضاعة السنتین وکان حمله وفصاله ثلاثین شهراً، کان الحمل منها ستة أشهر فخلّ عمر سبیل المرأة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ان اقصی الحمل تسعة أشهر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الی عبدالرحمن بن سیابة عمن حدثه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غایة الحمل بالولد فی بطن أمه کم هو؟ فانّ الناس یقولون ربما بقی فی بطنها سنتین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کذبوا، اقصی مدّة الحمل تسعة</w:t>
      </w:r>
    </w:p>
    <w:p>
      <w:pPr>
        <w:pStyle w:val="BookText"/>
        <w:rPr/>
      </w:pPr>
      <w:r>
        <w:rPr>
          <w:rFonts w:ascii="IRNazanin" w:hAnsi="IRNazanin" w:eastAsia="IRNazanin"/>
          <w:color w:val="111111"/>
          <w:sz w:val="28"/>
          <w:sz w:val="28"/>
          <w:szCs w:val="28"/>
          <w:rtl w:val="true"/>
          <w:lang w:bidi="fa-IR"/>
        </w:rPr>
        <w:t xml:space="preserve">أشهر، ولایزید لحظة، ولو زاد 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لقتل أمه قبل أن یخرج</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استفیض عن محمد بن حکیم عن أبی عبدالله أو أبی الحسن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فانها ادّعت الحبل بعد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أشهر</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الصحیح الی وهب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الولد لستة أشهر ولسبعة أشهر وتسعة أشهر ولایعیش لثمانیة أشهر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أبان عن رجل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مریم حملت تسع ساعات کل ساعة شهر</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مصححة أبی حمزة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خلق الانسان ومراحل تکونه الی 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تسعة أشهر، ثم تُطلُق المرأة</w:t>
      </w:r>
      <w:r>
        <w:rPr>
          <w:rStyle w:val="FootnoteAnchor"/>
          <w:rtl w:val="true"/>
        </w:rPr>
        <w:footnoteReference w:id="3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ان اقصی الحمل یزید علی التسعة کعشرة أشهر والسنّة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کصحیحة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طلّق الرجل امرأته فادعت حبلاً انتظر بها تسعة أشهر فان ولدت وإلاّ اعتدّت بثلاثة أشهر ثم قد بانت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ان زیادة ثلاثة أشهر هی لاقصی الحمل، ولکن قد یخدش فی الدلالة بان التعبیر بالاعتداد یناسب مدة الاسترابة، ولعل المراد من الریبة فی المقام هو بلحاظ مبدأ حساب الحمل کما یقع کثیراً لدی النساء، وعلی هذا التقدیر لا تکون السنة حدّ بحسب الواقع والثبوت وانما هو حدّ اماری فی الظاهر، والثمرة والفرق بین الوجهین یزول فی موارد الشک والتی هی الغالب، لکنه یظهر فی موارد العلم کما لو علم انّه لم یجامع امرأته مدّة اثنا عشر شهراً وقد اتت بالولد فی رأس السنة، وربما یعضد هذا الحمل لمفاد الصحیحة بما فی الروایة المستفیضة عن محمد بن حکیم عن أبی عبدالله أو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ادعت الحبل بعد التسعة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الحمل تسعة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تحتاط بثلاثة أشهر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ادّعت بعد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لاریب علیها، تزوج ان شاءت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والمقصود من الادعاء الثانی ادعاء الحمل أیضاً، کما فی الطریق الآخر للروایة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ارتابت بعد ثلاثة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علیها ریبة، 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طریق آخر للروایة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طلق امرأته فلمّا مضت ثلاثة أشهر ادّعت حبلاً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ینتظر بها تسعة أشهر،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ادعت بعد ذلک حَبْلاً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إنما یرتفع الطمث من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حملا بیّن، واما فساد من الطمث، ولنکها تحتاط بثلاثة أشهر بعد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والاحتیاط ظاهر بقوة فی کون الحکم بالسنة وبزیادة الثلاثة أشهر علی التسعة ظاهراً لا واقعیاً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ویحتمل فی تفسیر الریبة فی روایات السنة انه ریبة فی حلیّة زواجها بالثانی، لان الحمل من النمط الطویل مقداره اثنا عشر شهراً لا انّ الریبة فی مبدأ حساب الحمل، والقرینة علی ذلک ترتیب الأمر وجواز التزویج بالثانی بعد نفی الریبة، فکان اسناد الریبة مضافاً الی حلّیة الزواج المعلق علی وجود الحمل واستطالة مدته، ویؤید ذلک ان حدود الحمل التی تقع تارة ستة أشهر، أو سبعة، أو ثمانیة أو تسعة، أو عشرة أشهر مما یدل علی عدم کون التسعة اشهر حداً دائمیاً کلیاً، وانما هو حدّ غالبی، فیمتد الی اثنا عشرة شهراً، ولایخفی الفرق بین التفسیرین والاحتمالین، فانّه فی فرض الشک یتفقان علی الامتداد الی اثنتا عشرة شهراً بخلاف مورد العلم، کما لو کان قد علم آخر وطی دخل بها ثم سافر عنها أو ترکها مدّة تزید عن احدی عشرة شهراً فانه علی الاوّل لاینتسب الولد الیه، بخلاف الحال علی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غیاث عن جعفر بن محمد عن أبیه عن جده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ادنی ما تحمل المرأة لستة أشهر، وأکثر ما تحمل لسنة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السنة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الوافی فی بیان الحدیث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واکثر ما تحمل</w:t>
      </w:r>
    </w:p>
    <w:p>
      <w:pPr>
        <w:pStyle w:val="BookText"/>
        <w:rPr/>
      </w:pPr>
      <w:r>
        <w:rPr>
          <w:rFonts w:ascii="IRNazanin" w:hAnsi="IRNazanin" w:eastAsia="IRNazanin"/>
          <w:color w:val="111111"/>
          <w:sz w:val="28"/>
          <w:sz w:val="28"/>
          <w:szCs w:val="28"/>
          <w:rtl w:val="true"/>
          <w:lang w:bidi="fa-IR"/>
        </w:rPr>
        <w:t>لسنتین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صحّ فلعله ورد علی التقیة</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والظاهر ان نسخ الفقیه مختلفة، والظاهر ان نسخة الوسائل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بعد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محمول علی التقیة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الصحیح الی حریز عمن ذکره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 ما تَحْمِلُ کُلُّ أُنْثی وَ ما تَغِیضُ الْأَرْحامُ وَ ما تَزْدادُ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الغیض کل حمل دون تسعة أشهر، وماتزداد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یزداد علی تسعة أشهر، فلما رأت المرأة الدم الخالص فی حملها فانها تزداد بعدد الایام التی رأت فیحملها من الدم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تفسیر العیاشی عن زرارة عن أبی جعفر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تَحْمِلُ کُلُّ أُنْثی یعنی الذکر والانثی وَ ما تَغِیضُ الْأَرْحامُ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الغیض ما کان أقل من 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زاد علی الحمل فهو مکان مارأت من الدم فی حملها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أیضاً عن زرارة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تَحْمِلُ کُلُّ أُنْثی وَ ما تَغِیضُ الْأَرْحامُ ما کان دون التسعة فهو غیض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تَزْدادُ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مارأت الدم فی حالة حملها ازداد به علی التسعة الاشهر، ان کانت رأت الدم خمسة أیام أو أقل أو أکثر زاد ذلک التسعة الأشهر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هذه الروایات غایته زیادة الحمل علی التسعة بمقدار عشرة أشهر فلادلالة لها علی السنة، نعم اطلاق الآیة</w:t>
      </w:r>
      <w:r>
        <w:rPr>
          <w:rStyle w:val="FootnoteAnchor"/>
          <w:rtl w:val="true"/>
        </w:rPr>
        <w:footnoteReference w:id="40"/>
      </w:r>
      <w:r>
        <w:rPr>
          <w:rFonts w:ascii="IRNazanin" w:hAnsi="IRNazanin" w:eastAsia="IRNazanin"/>
          <w:color w:val="111111"/>
          <w:sz w:val="28"/>
          <w:sz w:val="28"/>
          <w:szCs w:val="28"/>
          <w:rtl w:val="true"/>
          <w:lang w:bidi="fa-IR"/>
        </w:rPr>
        <w:t>یمکن التمسک به الی سنة لا الاکثر من ذلک کما فی أقوال العامة کالسنتین والثلاثة، فان ذلک لایعد زیادة علی الاصل وهو التسعة أشهر، اذ ظاهر الزیادة ان تکون تبعیة کالهامش لا ما یضاهی الاصل أو یتضاعف علیه باضعاف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التعلیل الوارد فی هذه الروایات عن سبب الزیادة بما رأت من دم الحیض فی الحمل یتناسب مع ما تقدم فی روایات العدّة أنها ینتظر بها الی سنة مع ادعائها الحبل لنفی الریبة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والمحکی عن الاطباء وأهل الاختصاص ان للحمل موعد معتاد وهو التسعة أشهر ولایتأخر الا بمقدار اسبوعین أو ثلاثة غالباً فتتأخر الولادات الی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أسبوعاً واذا تأخرت عن الاسبوع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اصبح الجنین فی خطر لان الجنین یعتمد علی المشیمة فی غذائه فاذا بلغ الموعد ضعفت المشیمة عن امداد الجنین بالغذاء، ومن النادر ان یبقی حیا فی الرحم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اسبوعاً، والإستیعاب النادر والشاذ تمدد المدّة الی اسبوعین آخرین فتصبح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اسبوعاً أی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وبذلک یتطابق قولهم مع التحدید بسنة کأقصی مدّة للحمل مع الطائفة الأخیرة، ویکون وجه الجمع بینها وبین الطوائف السابقة الدالة</w:t>
      </w:r>
    </w:p>
    <w:p>
      <w:pPr>
        <w:pStyle w:val="BookText"/>
        <w:rPr/>
      </w:pPr>
      <w:r>
        <w:rPr>
          <w:rFonts w:ascii="IRNazanin" w:hAnsi="IRNazanin" w:eastAsia="IRNazanin"/>
          <w:color w:val="111111"/>
          <w:sz w:val="28"/>
          <w:sz w:val="28"/>
          <w:szCs w:val="28"/>
          <w:rtl w:val="true"/>
          <w:lang w:bidi="fa-IR"/>
        </w:rPr>
        <w:t>علی التحدید بالتسعة هو بحملها علی الغالب المعتاد وانّ ما یزید علی ذلک الی سنة هو الشاذ النادر، أو علی موارد الشک والاسترابة فی تحدید مبدأ الحمل، کما یحصل کثیراً عند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هل تحمل هذه السنة فی الروایات وکلمات الأصحاب علی القمریة أو علی الشمسیة؟</w:t>
      </w:r>
    </w:p>
    <w:p>
      <w:pPr>
        <w:pStyle w:val="BookText"/>
        <w:rPr/>
      </w:pPr>
      <w:r>
        <w:rPr>
          <w:rFonts w:ascii="IRNazanin" w:hAnsi="IRNazanin" w:eastAsia="IRNazanin"/>
          <w:color w:val="111111"/>
          <w:sz w:val="28"/>
          <w:sz w:val="28"/>
          <w:szCs w:val="28"/>
          <w:rtl w:val="true"/>
          <w:lang w:bidi="fa-IR"/>
        </w:rPr>
        <w:t>الظاهر هو الأوّل کما هو مقتضی الظهور الأولی فی تحدیدات الشرع الاّ ان تقوم قرینة خاصة علی خلاف ذلک، کما انّ الذی مرّ من کلمات أهل الاختصاص فی تحدید اقصی المدّة یتطابق مع القمریة دون الشمسیة وان صرحوا هم بالسنة الشمسیة، نعم قد مرّت الاشارة ان تحدید المبدأ کثیراً ما یقع فیه الاشتباه والخطأ، فلابد من الالتفات والتدقیق فی ذلک لأن لایقدم علی نفی النسب بسبب الاشتباه لاسیما وان المدار بحسب الحکم الظاهری فی نسبة الولد واجراء قاعدة الفراش هی علی مجرد الدخول، واحراز المدّة لیس شرطاً وانما احراز انتفائها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بعض اعلام العصر الی الاشکال فی تحقق الفراش بمجرد دخول المنی بعلاج وآلات کالانبوب والابرة والحقن بالابرة، وکأنّ وجهه خروج مثل هذه الموارد عن الموارد المنصوصة، نعم یلحق به مع القطع بالنسبة کما لایجوز نفیه له لانّ النفی انما یجوز مع العلم بالانتفاء لا مع الشک، لکن الاظهر بحسب ما تقدم من الادلة شمولها لمطلق دخول الماء، کعموم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العدة من الماء</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وکروایة المرأة التی ساحقت بکرا بعد ما جامعها زوجها فحملت</w:t>
      </w:r>
      <w:bookmarkStart w:id="20" w:name="pg13690_120396"/>
    </w:p>
    <w:p>
      <w:pPr>
        <w:pStyle w:val="BookText"/>
        <w:rPr/>
      </w:pPr>
      <w:bookmarkEnd w:id="20"/>
      <w:r>
        <w:rPr>
          <w:rFonts w:ascii="IRNazanin" w:hAnsi="IRNazanin" w:eastAsia="IRNazanin"/>
          <w:color w:val="111111"/>
          <w:sz w:val="28"/>
          <w:sz w:val="28"/>
          <w:szCs w:val="28"/>
          <w:rtl w:val="true"/>
          <w:lang w:bidi="fa-IR"/>
        </w:rPr>
        <w:t>البکر، وان الولد یلحق بصاحب النطفة</w:t>
      </w:r>
      <w:r>
        <w:rPr>
          <w:rStyle w:val="FootnoteAnchor"/>
          <w:rtl w:val="true"/>
        </w:rPr>
        <w:footnoteReference w:id="43"/>
      </w:r>
      <w:r>
        <w:rPr>
          <w:rFonts w:ascii="IRNazanin" w:hAnsi="IRNazanin" w:eastAsia="IRNazanin"/>
          <w:color w:val="111111"/>
          <w:sz w:val="28"/>
          <w:sz w:val="28"/>
          <w:szCs w:val="28"/>
          <w:rtl w:val="true"/>
          <w:lang w:bidi="fa-IR"/>
        </w:rPr>
        <w:t>، وکروایة الشیخ الکبیر الذی کان ینزل علی فرجها، وغیرها من الموارد التی یستظهر منها عموم دخول الماء، بل العرضیة القریبة لدخوله</w:t>
      </w:r>
      <w:r>
        <w:rPr>
          <w:rFonts w:eastAsia="IRNazanin" w:cs="IRNazanin"/>
          <w:color w:val="111111"/>
          <w:sz w:val="28"/>
          <w:szCs w:val="28"/>
          <w:rtl w:val="true"/>
          <w:lang w:bidi="fa-IR"/>
        </w:rPr>
        <w:t>.</w:t>
      </w:r>
    </w:p>
    <w:p>
      <w:pPr>
        <w:pStyle w:val="Heading4"/>
        <w:numPr>
          <w:ilvl w:val="3"/>
          <w:numId w:val="1"/>
        </w:numPr>
        <w:rPr/>
      </w:pPr>
      <w:bookmarkStart w:id="21" w:name="__RefHeading___Toc906978_1468164448"/>
      <w:bookmarkStart w:id="22" w:name="_Toc8"/>
      <w:bookmarkEnd w:id="21"/>
      <w:r>
        <w:rPr>
          <w:rtl w:val="true"/>
        </w:rPr>
        <w:t>تتمات القاعدة فی فروع</w:t>
      </w:r>
      <w:r>
        <w:rPr>
          <w:rtl w:val="true"/>
        </w:rPr>
        <w:t>:</w:t>
      </w:r>
      <w:bookmarkEnd w:id="2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تحققت الشروط الثلاثة لَحِقَ الولد به ولایجوز له نفیه وان وطأها وطی فجور، فضلا عن ما لو اتهمها بالفجور ولاینتفی عنه لو نفاه ان کان العقد دائم إلا باللعان، بخلاف ما اذا کان العقد منقطعاً وجاءت بولد أمکن إلحاقه به، فانّه وان لم یجز له نفیه، لکن لو نفاه ینتفی منه ظاهراً من غیر لعان، لکن علیه الیمین مع دعواها أو دعوی الولد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الفرع عدة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أنها من تتمات جهات البحث فی قاعدة الفراش</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فی المسألة السابقة ان المدار فی إلحاق الولد بحسب الظاهر یکفی فیه الشرط الاوّل وهو الدخول أو الانزال حوالی الفرج، أو علی الفرج، نعم یشترط فی اجراء قاعدة الفراش ان لایعلم بانتفاء الشرطین اللاحقین، أی فاحراز الشرط الاول مع الشک فی الشرطین اللاحقین کاف فی اجراء قاعدة الفراش، فالشروط الثلاثة انما هی شروط فی الالحاق بحسب الواقع</w:t>
      </w:r>
      <w:r>
        <w:rPr>
          <w:rFonts w:eastAsia="IRNazanin" w:cs="IRNazanin"/>
          <w:color w:val="111111"/>
          <w:sz w:val="28"/>
          <w:szCs w:val="28"/>
          <w:rtl w:val="true"/>
          <w:lang w:bidi="fa-IR"/>
        </w:rPr>
        <w:t>.</w:t>
      </w:r>
      <w:bookmarkStart w:id="23" w:name="pg13690_120397"/>
    </w:p>
    <w:p>
      <w:pPr>
        <w:pStyle w:val="BookText"/>
        <w:rPr/>
      </w:pPr>
      <w:bookmarkEnd w:id="23"/>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اجراء قاعدة الفراش یلحق الولد به وإن وطأ زان المرأة فجورا، فضلا عن ما لو ظنّ أو شک فی ذلک، کما هو مفاد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صحیحة سعید الاعرج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رجلین وقعا علی جاریة فی طهر واحد لمن یکون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 عنده لقول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وهی کالنص فیما نحن فیه، وغیرها</w:t>
      </w:r>
      <w:r>
        <w:rPr>
          <w:rFonts w:eastAsia="IRNazanin" w:cs="IRNazanin"/>
          <w:color w:val="111111"/>
          <w:sz w:val="28"/>
          <w:szCs w:val="28"/>
          <w:rtl w:val="true"/>
          <w:lang w:bidi="fa-IR"/>
        </w:rPr>
        <w:t>...</w:t>
      </w:r>
    </w:p>
    <w:p>
      <w:pPr>
        <w:pStyle w:val="Heading4"/>
        <w:numPr>
          <w:ilvl w:val="3"/>
          <w:numId w:val="1"/>
        </w:numPr>
        <w:rPr/>
      </w:pPr>
      <w:bookmarkStart w:id="24" w:name="__RefHeading___Toc906980_1468164448"/>
      <w:bookmarkStart w:id="25" w:name="_Toc9"/>
      <w:bookmarkEnd w:id="24"/>
      <w:r>
        <w:rPr>
          <w:rtl w:val="true"/>
        </w:rPr>
        <w:t>من روایات هذا الباب</w:t>
      </w:r>
      <w:r>
        <w:rPr>
          <w:rtl w:val="true"/>
        </w:rPr>
        <w:t>:</w:t>
      </w:r>
      <w:bookmarkEnd w:id="25"/>
    </w:p>
    <w:p>
      <w:pPr>
        <w:pStyle w:val="BookText"/>
        <w:rPr/>
      </w:pPr>
      <w:r>
        <w:rPr>
          <w:rFonts w:ascii="IRNazanin" w:hAnsi="IRNazanin" w:eastAsia="IRNazanin"/>
          <w:color w:val="111111"/>
          <w:sz w:val="28"/>
          <w:sz w:val="28"/>
          <w:szCs w:val="28"/>
          <w:rtl w:val="true"/>
          <w:lang w:bidi="fa-IR"/>
        </w:rPr>
        <w:t>ولاینتفی عنه إلا باللعان وذلک لحجیة قاعدة الفراش التی مرّ البحث عن الروایات الدالة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بالخصوص مورد نزول آیة اللعان بعد تعمیمها لنفی الولد، وستأتی الاشارة الی تعمیم نصوص اللعان، کموثق سعید الاعرج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یتزوج المرأة لیست بمأمونة تدعی الحمل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لیصبر لقول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اخری فان مقتضی تشریع اللعان، وان الولد لاینتفی الا به، هو ثبوت نسبة الولد بالفراش</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یدل علی ذلک أیضاً ماورد من ان الزوج بعد اللعان اذا اقرّ</w:t>
      </w:r>
    </w:p>
    <w:p>
      <w:pPr>
        <w:pStyle w:val="BookText"/>
        <w:rPr/>
      </w:pPr>
      <w:r>
        <w:rPr>
          <w:rFonts w:ascii="IRNazanin" w:hAnsi="IRNazanin" w:eastAsia="IRNazanin"/>
          <w:color w:val="111111"/>
          <w:sz w:val="28"/>
          <w:sz w:val="28"/>
          <w:szCs w:val="28"/>
          <w:rtl w:val="true"/>
          <w:lang w:bidi="fa-IR"/>
        </w:rPr>
        <w:t>بالولد وأکذب نفسه لحقه الولد فیرثه ولایرثه الاب</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ومقتضی هذه الروایات أنها دالة علی عموم قاعدة الفراش فی موارد التهمة أو موارد احراز الزوج تحقق الفجور من امرأته، وانّه لاینتفی عنه الولد إلاّ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صحیح ابن بزیع</w:t>
      </w:r>
      <w:r>
        <w:rPr>
          <w:rStyle w:val="FootnoteAnchor"/>
          <w:rtl w:val="true"/>
        </w:rPr>
        <w:footnoteReference w:id="47"/>
      </w:r>
      <w:r>
        <w:rPr>
          <w:rFonts w:ascii="IRNazanin" w:hAnsi="IRNazanin" w:eastAsia="IRNazanin"/>
          <w:color w:val="111111"/>
          <w:sz w:val="28"/>
          <w:sz w:val="28"/>
          <w:szCs w:val="28"/>
          <w:rtl w:val="true"/>
          <w:lang w:bidi="fa-IR"/>
        </w:rPr>
        <w:t>الدال علی حرمة نفی الولد فی المتمتع بها وان کانت متهمة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داود بن فرقد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رجل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انی خرجت وامرأتی حائض ورجعت وهی حبلی، فقال له رسول الله من تتهم؟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 رجلین، فجاء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 ابن هذا فسیخرج قططا کذا وکذا، فخرج کما قال رسول الله صلی الله علیه و آله فجعل معقلته علی قوم أمه، ومیراثه لهم، ولو ان انسانا قال له یا ابن الزانیة لجلد الحدّ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محمولة علی حصول العلم بانتفاء الولد، والحال کذلک فیما استجدّ من الطرق الحدیثة فی الفحص الوراثی مایوجب العلم دون مایوجب الظن، فانه مقدم ورافع لقاعدة الفراش، ولا حاجة للعان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عموم اللعان لمجرد نفی الولد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لاعن لنفی النسب لم ینتف بذلک الموارثة بین</w:t>
      </w:r>
      <w:bookmarkStart w:id="26" w:name="pg13690_120399"/>
    </w:p>
    <w:p>
      <w:pPr>
        <w:pStyle w:val="BookText"/>
        <w:rPr/>
      </w:pPr>
      <w:bookmarkEnd w:id="26"/>
      <w:r>
        <w:rPr>
          <w:rFonts w:ascii="IRNazanin" w:hAnsi="IRNazanin" w:eastAsia="IRNazanin"/>
          <w:color w:val="111111"/>
          <w:sz w:val="28"/>
          <w:sz w:val="28"/>
          <w:szCs w:val="28"/>
          <w:rtl w:val="true"/>
          <w:lang w:bidi="fa-IR"/>
        </w:rPr>
        <w:t>الزوجین</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وهو تصریح بتعمیم اللعان لنفی الولد وان لم یکن قذف فی البین، نعم وقع الکلام والبحث عندهم فی انّ اللعان المزبور مع عدم القذف هل یوجب الحرمة الابدیة وبینونة الزوجة عن الزوج وفسخ النکاح، أو انّه یوجب قطع النسب بین الاب والولد فقط، ظاهر العبارة السابقة من الشیخ الثانی، وإن کان الأقوی الاوّل لعموم ترتیب الحرمة الابدیة علی مطلق اللعان فی النصوص، ویناسبه تضمن اللعان ولو لنفی الولد التلاعن بین الزوجین هی نحو من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المبسوط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تراضی الزوجان برجل یلاعن بینهما جاز عندنا وعند جماعة</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خلاف المشهور القائلون بلزوم اقامته عند الحاکم الشرعی، وتمام الکلام فی باب اللعان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أنّ ذلک من باب قاضی التحکیم أولا؟</w:t>
      </w:r>
    </w:p>
    <w:p>
      <w:pPr>
        <w:pStyle w:val="BookText"/>
        <w:rPr/>
      </w:pPr>
      <w:r>
        <w:rPr>
          <w:rFonts w:ascii="IRNazanin" w:hAnsi="IRNazanin" w:eastAsia="IRNazanin"/>
          <w:color w:val="111111"/>
          <w:sz w:val="28"/>
          <w:sz w:val="28"/>
          <w:szCs w:val="28"/>
          <w:rtl w:val="true"/>
          <w:lang w:bidi="fa-IR"/>
        </w:rPr>
        <w:t>وأما تحریر الکلام فی عمومیة اللعان لمجرد نفی الولد من دون قذف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تحریر ماهیة اللعان ثم التعرض الی النصوص التی یمکن دلالتها علی ذلک</w:t>
      </w:r>
      <w:r>
        <w:rPr>
          <w:rFonts w:eastAsia="IRNazanin" w:cs="IRNazanin"/>
          <w:color w:val="111111"/>
          <w:sz w:val="28"/>
          <w:szCs w:val="28"/>
          <w:rtl w:val="true"/>
          <w:lang w:bidi="fa-IR"/>
        </w:rPr>
        <w:t>.</w:t>
      </w:r>
    </w:p>
    <w:p>
      <w:pPr>
        <w:pStyle w:val="Heading4"/>
        <w:numPr>
          <w:ilvl w:val="3"/>
          <w:numId w:val="1"/>
        </w:numPr>
        <w:rPr/>
      </w:pPr>
      <w:bookmarkStart w:id="27" w:name="__RefHeading___Toc906982_1468164448"/>
      <w:bookmarkStart w:id="28" w:name="_Toc10"/>
      <w:bookmarkEnd w:id="27"/>
      <w:r>
        <w:rPr>
          <w:rtl w:val="true"/>
        </w:rPr>
        <w:t>حقیقة اللعان</w:t>
      </w:r>
      <w:r>
        <w:rPr>
          <w:rtl w:val="true"/>
        </w:rPr>
        <w:t>:</w:t>
      </w:r>
      <w:bookmarkEnd w:id="2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ماهیة اللعان فقد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اللعان هل هو بیمین أو</w:t>
      </w:r>
    </w:p>
    <w:p>
      <w:pPr>
        <w:pStyle w:val="BookText"/>
        <w:rPr/>
      </w:pPr>
      <w:r>
        <w:rPr>
          <w:rFonts w:ascii="IRNazanin" w:hAnsi="IRNazanin" w:eastAsia="IRNazanin"/>
          <w:color w:val="111111"/>
          <w:sz w:val="28"/>
          <w:sz w:val="28"/>
          <w:szCs w:val="28"/>
          <w:rtl w:val="true"/>
          <w:lang w:bidi="fa-IR"/>
        </w:rPr>
        <w:t xml:space="preserve">شهادة، فعندنا هو یمین، ویصح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الازواج التی لا تصح منهم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عند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لاتصح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الازواج الذین لاتقبل شهادتهم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اقرار واختاره السیوری، وفی الجواهر أنها مباهلة وعلیه جملة من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 حقیقة اللعان جمیع الامور الاربعة لورود هذه الالفاظ فی متن صیغة اللعان الواردة فی الکتاب العزیز، وعلی ذلک فلابد فیه من تلاعنهما، ولایقع من طرف واحد، ولو فی مورد مجرد نفی الولد، ولایقع من دون نزاع بینهما اذ لایصدق علیه مباهلة حینئذ، کما لو اتفقا،أو لم تنکر علیه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صحة وقوعه لمجرد نفی الولد وان لم یکن قذف فی البین، وذلک لتأتی وقوع النزاع بینهما فی النسبة، فیتکاذبان، ویصح منهما التلاعن علی الصدق والکذب، وهو معنی المباهلة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فعموم ماهیة اللعان التی هی المباهلة شاملة لکل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النصوص الواردة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مصحح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اللعان إلاّ بنفی ولد،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قذف الرجل امرأته لاعنها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موثقة أبی بصیر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بها اجمالا ان هذا اللسان تعمیم للعان الی موارد نفی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یحتمل فی الدلالة 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وعطفه بالقذف علی نفی الولد انه بیان لتعدد موارد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یخدش فی الدلالة بانّ ظاهر الباب هو المعیة أو المصاحبة مع شیء آخر فیقدر القذف، ولعلّ المراد حینئذ من هذا اللسان انه لایصح اللعان مع قذف الرجل لامرأته من دون نفی الولد فیما اذا کانت حاملاً، أو کان مورد القذف متصلا بمولود قد ولد، فهی فی صدد بیان عدم صحة التفکیک بین نسبة الولد والقذف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مارواه ابن ادریس نقلا من کتاب المشیخة للحسن بن محبوب عن أبی ولاد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نصرانیة تحت مسلم زنت وجاءت بولد فانکره المسلم؟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یلاعنها،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فالولد مایصنع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 امّه، ویفرق بینهما، ولاتحل له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دلالتها أنها ظاهرة بوضوح ان اللعان لمجرد انکار الولد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أبی البختری عن جعفر عن أبیه انه رفع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امرأة ولدت جاریة وغلام فی بطن، وکان زوجها غائباً، فاراد ان یقرّ بواحد</w:t>
      </w:r>
    </w:p>
    <w:p>
      <w:pPr>
        <w:pStyle w:val="BookText"/>
        <w:rPr/>
      </w:pPr>
      <w:r>
        <w:rPr>
          <w:rFonts w:ascii="IRNazanin" w:hAnsi="IRNazanin" w:eastAsia="IRNazanin"/>
          <w:color w:val="111111"/>
          <w:sz w:val="28"/>
          <w:sz w:val="28"/>
          <w:szCs w:val="28"/>
          <w:rtl w:val="true"/>
          <w:lang w:bidi="fa-IR"/>
        </w:rPr>
        <w:t>وینفی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ذاک له، اما ان یقرّ بهما جمیعاً واما ان ینکرهما جمیعاً</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دلالتها ان تفریق الزوج بانکار احد التوأمین دون الآخر ظاهر فی کون انکاره مقتصراً علی نسبة الولد من دون قذف، ولذلک لم یذکر فی فرض السائل والجواب عنوان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تقریب عموم ادلة اللعان لموارد مجرد انکار الولد بدون قذف ان نفی الولد وانکاره فقط وان لم یشتمل علی القذف قالبا، الاّ انه یتضمن بنحو التعریض الطعن فی الزوجة ممّا یقتضی بنحو التضمن وقوعها فی معرضیة نسبة العار والکذب، فحینذ یصحح تلاعنها معه علی نسبة الولد لدرء العار والکذب عن نفسها، وتوقیتها عن الخیانة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فی موارد مجرد انکار الولد لو لاعنها زوجها ولم تلاعنه هی یکون نکولها عن اللعان بمثابة تسلیمها امام مدعی الزوج وشهادته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الولد فی العقد المنقطع بمجرد نفی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المشهور، بل کاد یکون متفق علیه، لکن فی الانتصار وفی جامع الشرائع ذهبا الی وقوع اللعان فی المنقطع</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یخفی ان قاعدة الفراش هی أیضاً جاریة فی العقد المنقطع، بل وفی ملک‌الیمین، وان انتفی الولد بمجرد الانکار ونفیه فیهما، ومن ثمّ لایجوز له نفیه مع قاعدة الفراش وان ظنّ بالخلاف ما لم یحصل له علم</w:t>
      </w:r>
    </w:p>
    <w:p>
      <w:pPr>
        <w:pStyle w:val="BookText"/>
        <w:rPr/>
      </w:pPr>
      <w:r>
        <w:rPr>
          <w:rFonts w:ascii="IRNazanin" w:hAnsi="IRNazanin" w:eastAsia="IRNazanin"/>
          <w:color w:val="111111"/>
          <w:sz w:val="28"/>
          <w:sz w:val="28"/>
          <w:szCs w:val="28"/>
          <w:rtl w:val="true"/>
          <w:lang w:bidi="fa-IR"/>
        </w:rPr>
        <w:t>فیسوغ، بل یجب علیه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صحیحة ابن أبی یعفور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یلاعن الرجل المرأة التی یتمتع منها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لایلاعن الحرّ الامة ولا الذمیة والتی یتمتع بها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محمد بن اسماعیل 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الرضا وأنا أسمع، عن الرجل یتزوج المرأة متعة ویشترط علیها ان لایطلب ولدها فتأتی بعد ذلک بولد فینکر الولد؟ فشدّد فی 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یجحد؟ اعظاما لذلک،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اتهمها؟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لک أن تتزوج الاّ مأمونة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دالة بوضوح علی حرمة انکار الولد مع قاعدة الفراش فی عقد المتعة ولو کانت المرأة متهمة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السید الاصفهانی ان علی الزوج المنکر للولد الیمین لو ادعت الزوجة او ادعی الولد النسب، والذی ذکره علی مقتضی القاعدة فی باب النزاع والقضاء، فان ما تقدم من ادلة من انتفاء الولد بنفی الاب انما هو بحسب اعتبار قوله کإمارة وانّه صاحب الحقّ، وان الفعل</w:t>
      </w:r>
    </w:p>
    <w:p>
      <w:pPr>
        <w:pStyle w:val="BookText"/>
        <w:rPr/>
      </w:pPr>
      <w:r>
        <w:rPr>
          <w:rFonts w:ascii="IRNazanin" w:hAnsi="IRNazanin" w:eastAsia="IRNazanin"/>
          <w:color w:val="111111"/>
          <w:sz w:val="28"/>
          <w:sz w:val="28"/>
          <w:szCs w:val="28"/>
          <w:rtl w:val="true"/>
          <w:lang w:bidi="fa-IR"/>
        </w:rPr>
        <w:t>فعله لابحسب فرض النزاع وموازین القضاء فان غایة ذلک اعتبار قوله لصیرورته منکراً، فالقول قوله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لایجوز نفی الولد لمکان العزل، فلو نفاه لم ینتف الا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والبحث فی هذه الفرع أیضاً من تتمات قاعدة الفراش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فی المسألة السابقة والتی قبلها أیضاً جملة وافرة من الادلة علی اعتبار قاعدة الفراش عند الشک أو الظن بالخلاف ولو مع التهمة، بل ولو علم بوطی امرأته فجورا ما دام لم یعلم بانتفاء نسبة الولد عنه، بان علم باختلال مدّة الحمل مع زمان وطئه، وانّ الولد لاینتفی عنه فی العقد الدائم بنفیه وانکاره، بل لابد من 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روایة أبی البختری عن جعفر بن محمد عنه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عند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اعزل عن جاریة لی فجاءت بولد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الوکاء قد ینفلت فألحق به الولد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الموطوءة بشبهة کما اذا وط‌ء أجنبیة بظن أنها زوجته یلحق ولدها بالواطیء بشرط ان تکون ولادته لستة أشهر من حیث الوطی أو أکثر، وان لایتجاوز عن أقصی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هذه الفرع أیضاً من تتمات قاعدة الفراش</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الاتفاق علی احترام ماء الرجل فی الوطی بشبهة نصا</w:t>
      </w:r>
    </w:p>
    <w:p>
      <w:pPr>
        <w:pStyle w:val="BookText"/>
        <w:rPr/>
      </w:pPr>
      <w:r>
        <w:rPr>
          <w:rFonts w:ascii="IRNazanin" w:hAnsi="IRNazanin" w:eastAsia="IRNazanin"/>
          <w:color w:val="111111"/>
          <w:sz w:val="28"/>
          <w:sz w:val="28"/>
          <w:szCs w:val="28"/>
          <w:rtl w:val="true"/>
          <w:lang w:bidi="fa-IR"/>
        </w:rPr>
        <w:t>وفتوی، ففی جملة من الروایات فی مورد تعدد الواطیء بشبهة انه یقرع بینهم لتعیین الاب، ومقتضی ذلک اعتبار تحقق النسب بین المولود والواطیء بشبهة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معاویة بن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وطیء رجلان أو ثلاث جاریة فی طهر واحد فولدت فادّعوه جمیعاً، اقرع الوالی بینهم فمن قرع کان الولد ولدُه ویرد قیمة الولد علی صاحب الجاریة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فمع ان صاحب الجاریة هو صاحب الفراش مما یدلل علی انه بالنسبة للآخرین وطی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یقرر ان صاحب الجاریة هو الواطیء بشبهة لان اللازم علیه ان یستبرأ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منها صحیحة سلیمان بن خالد، وصحیح الحلبی ومحمد بن مسلم</w:t>
      </w:r>
      <w:r>
        <w:rPr>
          <w:rStyle w:val="FootnoteAnchor"/>
          <w:rtl w:val="true"/>
        </w:rPr>
        <w:footnoteReference w:id="57"/>
      </w:r>
      <w:r>
        <w:rPr>
          <w:rFonts w:ascii="IRNazanin" w:hAnsi="IRNazanin" w:eastAsia="IRNazanin"/>
          <w:color w:val="111111"/>
          <w:sz w:val="28"/>
          <w:sz w:val="28"/>
          <w:szCs w:val="28"/>
          <w:rtl w:val="true"/>
          <w:lang w:bidi="fa-IR"/>
        </w:rPr>
        <w:t>وصحیح أبی بصیر</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للرجل منکم الجاریة یطأها فیعتقها فاعتدّت ونکحت فان وضعت لخمسة أشهر فانه من مولاها الذی اعتقها وان وضعت بعدما تزوجت لستة أشهر فانه لزوجها</w:t>
      </w:r>
    </w:p>
    <w:p>
      <w:pPr>
        <w:pStyle w:val="BookText"/>
        <w:rPr/>
      </w:pPr>
      <w:r>
        <w:rPr>
          <w:rFonts w:ascii="IRNazanin" w:hAnsi="IRNazanin" w:eastAsia="IRNazanin"/>
          <w:color w:val="111111"/>
          <w:sz w:val="28"/>
          <w:sz w:val="28"/>
          <w:szCs w:val="28"/>
          <w:rtl w:val="true"/>
          <w:lang w:bidi="fa-IR"/>
        </w:rPr>
        <w:t>الاخیر</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ومثلها روایات أخری</w:t>
      </w:r>
      <w:r>
        <w:rPr>
          <w:rStyle w:val="FootnoteAnchor"/>
          <w:rtl w:val="true"/>
        </w:rPr>
        <w:footnoteReference w:id="60"/>
      </w:r>
      <w:r>
        <w:rPr>
          <w:rFonts w:ascii="IRNazanin" w:hAnsi="IRNazanin" w:eastAsia="IRNazanin"/>
          <w:color w:val="111111"/>
          <w:sz w:val="28"/>
          <w:sz w:val="28"/>
          <w:szCs w:val="28"/>
          <w:rtl w:val="true"/>
          <w:lang w:bidi="fa-IR"/>
        </w:rPr>
        <w:t>والمصحح الی جمیل عن بعض اصحابه عن أحدهما فی المرأة تزوج فی عدتها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بینهما وتعتد عدة واحدة منهما جمیعاً، وان جاءت بولد لستة أشهر أو أکثر فهو للأخیر، وان جاءت بولد لاقل من ستة أشهر فهو للاوّل</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وتقریب الدلالة فی روایة جمیل واضحة فان الوطی الثانی شبهة، ومجیء الولد لستة أشهر لایعین کونه للثانی قطعاً وانما حکم به للثانی لقاعدة الفراش، واما تقریب صحیحة الحلبی فان مفاد الصحیحة من الحکم بکون الولد للثانی بعد ستة أشهر لایعیّن کون الولد للثانی بحسب الواقع وانما بحسب قاعدة الفراش، وعلی تقدیر مجیئها للولد لخمسة أشهر فان نکاحها من الثانی یکون وطی شبهة، ونسبة للاول دون الثانی لا لعدم قاعدة الفراش فی وطی الشبهة وانما العلم بنفی نسبته للثانی بفقد شرائط الالحاق واقعاً، والتعلیل بذلک یدل التزاما علی توفر قابلیة النسبة للثانی رغم کونه وطی الشبهة لولا العلم بفقد شرائط الالحاق بحسب الواقع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ورد من لزوم اعتداد المرأة بالعدّة من وطی الشبهة، ولو کانت متزوجة، وهو یقتضی بوضوح حرمة الماء والوطی من الشبهة کموثق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نعی الیها زوجها فاعتدّت فتزوجت فجاء زوجها الاوّل فطلقها ففارقها الآخر، کم تعتد للثانی؟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قروء، وانما یستبرأ رحمها بثلاث قروء، وتحل للناس کلهم، قال</w:t>
      </w:r>
    </w:p>
    <w:p>
      <w:pPr>
        <w:pStyle w:val="BookText"/>
        <w:rPr/>
      </w:pPr>
      <w:r>
        <w:rPr>
          <w:rFonts w:ascii="IRNazanin" w:hAnsi="IRNazanin" w:eastAsia="IRNazanin"/>
          <w:color w:val="111111"/>
          <w:sz w:val="28"/>
          <w:sz w:val="28"/>
          <w:szCs w:val="28"/>
          <w:rtl w:val="true"/>
          <w:lang w:bidi="fa-IR"/>
        </w:rPr>
        <w:t>زرارة وذلک ان ناسا قالوا تعتد عدتین من کل واحد عدّة، فأبی ذلک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ثلاث قروء وتحل للرجال</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ومفادها ثبوت العدّة لوطی الثانی الذی هو وطی الشبهة وان تداخلت عدته مع عدّة طلاق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الحبلی یموت زوجها فتضع وتزوج قبل أن تمضی لها أربعة أشهر وعشراً،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دخل بها فرق بینهما ولم تحل له أبداً، واعتدّت بما بقی علیها من الاوّل واستقبلت عدة اخری من الآخر ثلاثة قروء، وان لم یکن دخل بها فرّق بینهما واعتدّت بما بقی علیها من الاوّل وهو خاطب من الخطاب</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دلالتها کالسابقة، والحکم بالعدّة یقتضی حرمة ذلک الوطی والماء منه، وانّ العدّة تحفظا لنسبة الحمل الی ذلک الوطی والماء</w:t>
      </w:r>
      <w:r>
        <w:rPr>
          <w:rFonts w:eastAsia="IRNazanin" w:cs="IRNazanin"/>
          <w:color w:val="111111"/>
          <w:sz w:val="28"/>
          <w:szCs w:val="28"/>
          <w:rtl w:val="true"/>
          <w:lang w:bidi="fa-IR"/>
        </w:rPr>
        <w:t>.</w:t>
      </w:r>
      <w:bookmarkStart w:id="29" w:name="pg13690_120408"/>
    </w:p>
    <w:p>
      <w:pPr>
        <w:pStyle w:val="Heading3"/>
        <w:numPr>
          <w:ilvl w:val="2"/>
          <w:numId w:val="1"/>
        </w:numPr>
        <w:rPr/>
      </w:pPr>
      <w:bookmarkStart w:id="30" w:name="__RefHeading___Toc906984_1468164448"/>
      <w:bookmarkStart w:id="31" w:name="_Toc11"/>
      <w:bookmarkEnd w:id="29"/>
      <w:bookmarkEnd w:id="30"/>
      <w:r>
        <w:rPr>
          <w:rtl w:val="true"/>
        </w:rPr>
        <w:t>تنبیهات</w:t>
      </w:r>
      <w:bookmarkEnd w:id="31"/>
    </w:p>
    <w:p>
      <w:pPr>
        <w:pStyle w:val="Heading4"/>
        <w:numPr>
          <w:ilvl w:val="3"/>
          <w:numId w:val="1"/>
        </w:numPr>
        <w:rPr/>
      </w:pPr>
      <w:bookmarkStart w:id="32" w:name="__RefHeading___Toc906986_1468164448"/>
      <w:bookmarkStart w:id="33" w:name="_Toc12"/>
      <w:bookmarkEnd w:id="32"/>
      <w:r>
        <w:rPr>
          <w:rtl w:val="true"/>
        </w:rPr>
        <w:t>التنبیه الأوّل</w:t>
      </w:r>
      <w:r>
        <w:rPr>
          <w:rtl w:val="true"/>
        </w:rPr>
        <w:t>:</w:t>
      </w:r>
      <w:bookmarkEnd w:id="33"/>
    </w:p>
    <w:p>
      <w:pPr>
        <w:pStyle w:val="BookText"/>
        <w:rPr/>
      </w:pPr>
      <w:r>
        <w:rPr>
          <w:rFonts w:ascii="IRNazanin" w:hAnsi="IRNazanin" w:eastAsia="IRNazanin"/>
          <w:color w:val="111111"/>
          <w:sz w:val="28"/>
          <w:sz w:val="28"/>
          <w:szCs w:val="28"/>
          <w:rtl w:val="true"/>
          <w:lang w:bidi="fa-IR"/>
        </w:rPr>
        <w:t>لو دار الأمر فی الولد بین وطی الشبهة والوطی بسبب محلل أو بین وطیی شبهة، أو وطیین محللین، فهل تتعارض قاعدة الفراش بینهما وتصل النوبة الی القرعة کما دلّت علی ذلک جملة من النصوص؟ أو یصار إلی تقدم قاعدة الفراش المتأخرة الفعلیة، أو یفصل بین تقارن قاعدتی الفراش فی مدة متحدة مثل وقوع الوطیین فی طهر واحد، ویقرع بینهما وبین ما إذا کان لفاصل المدّة ووقوع اقراء بینهما وجوه لاختلاف النصوص</w:t>
      </w:r>
      <w:r>
        <w:rPr>
          <w:rFonts w:eastAsia="IRNazanin" w:cs="IRNazanin"/>
          <w:color w:val="111111"/>
          <w:sz w:val="28"/>
          <w:szCs w:val="28"/>
          <w:rtl w:val="true"/>
          <w:lang w:bidi="fa-IR"/>
        </w:rPr>
        <w:t>.</w:t>
      </w:r>
    </w:p>
    <w:p>
      <w:pPr>
        <w:pStyle w:val="Heading4"/>
        <w:numPr>
          <w:ilvl w:val="3"/>
          <w:numId w:val="1"/>
        </w:numPr>
        <w:rPr/>
      </w:pPr>
      <w:bookmarkStart w:id="34" w:name="__RefHeading___Toc906988_1468164448"/>
      <w:bookmarkStart w:id="35" w:name="_Toc13"/>
      <w:bookmarkEnd w:id="34"/>
      <w:r>
        <w:rPr>
          <w:rtl w:val="true"/>
        </w:rPr>
        <w:t>التنبیه الثانی</w:t>
      </w:r>
      <w:r>
        <w:rPr>
          <w:rtl w:val="true"/>
        </w:rPr>
        <w:t xml:space="preserve">: </w:t>
      </w:r>
      <w:r>
        <w:rPr>
          <w:rtl w:val="true"/>
        </w:rPr>
        <w:t>رسالة فی نسب ابن الزنا وترتب أحکام الولد</w:t>
      </w:r>
      <w:r>
        <w:rPr>
          <w:rtl w:val="true"/>
        </w:rPr>
        <w:t>:</w:t>
      </w:r>
      <w:bookmarkEnd w:id="35"/>
    </w:p>
    <w:p>
      <w:pPr>
        <w:pStyle w:val="Heading5"/>
        <w:numPr>
          <w:ilvl w:val="4"/>
          <w:numId w:val="1"/>
        </w:numPr>
        <w:rPr/>
      </w:pPr>
      <w:bookmarkStart w:id="36" w:name="__RefHeading___Toc906990_1468164448"/>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هل أحکام الولد تترتب علی ولد الزنا مطلقاً، أم أنها منتفیة مطلقاً، أو یقال بالتفصیل؟</w:t>
      </w:r>
    </w:p>
    <w:p>
      <w:pPr>
        <w:pStyle w:val="BookText"/>
        <w:rPr/>
      </w:pPr>
      <w:r>
        <w:rPr>
          <w:rFonts w:ascii="IRNazanin" w:hAnsi="IRNazanin" w:eastAsia="IRNazanin"/>
          <w:color w:val="111111"/>
          <w:sz w:val="28"/>
          <w:sz w:val="28"/>
          <w:szCs w:val="28"/>
          <w:rtl w:val="true"/>
          <w:lang w:bidi="fa-IR"/>
        </w:rPr>
        <w:t>لم یذهب الی الأول قائل، وکذا الثانی، وأما التفصیل فأختلفت کلماتهم فی مقداره، فمن قائل انه لم یتحقق النسب مطلقاً، وانّ انتفائه حقیقة شرعیة کثبوته فی المتولد من الحلال، وآخر الی انه معنی عرفی غایة الأمر ان الشارع نفی الارث عنه بلسان نفی الموضوع، وإلا فبقیة الأحکام تترتب علی العنوان العرفی أو التکوینی، وثالث غیر ذلک کما یأتی بسطه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الأصحاب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البدء نستعرض کلمات الأصحاب فی الأبواب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الشرائع فی باب أسباب التحریم من 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النسب یثبت مع النکاح الصحیح ومع الشبهة ولایثبت مع الزنا، فلو زنی فانخلق من مائه ولد علی الجزم لم ینسب الیه شرعاً، وهل یحرم علی الزانی والزانیة؟ الوجه انه یحرم لانه مخلوق من مائه فهو یسمی ولداً 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والنسب یثبت شرعا بالنکاح الصحیح والشبهة دون الزنا، لکن التحریم یتبع اللغة فلو ولد له من الزنا بنت حرمت علیه وعلی الولد وطی أمه وان کان منفیاً عنهما شرعاً، وفی تحریم النظر اشکال وکذا فی العتق والشهادة والقود وتحریم الحلیلة وغیرها من توابع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ویشیر بالتوابع الاخری الی شهادة الولد من الزنا علی أبیه، وعدم قصاص الاب بقتل ابنه من الزنا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کشف اللثام استدلالا لکلام القواعد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والدلیل علیه الاجماع کما هو الظاهر، وصدق الولد لغة، والاصل عدم النقل، وعلله ابن ادریس بالکفر، وفی تحریم النظر الی ابنته من الزنا أو نظر الابن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من التولد حقیقة، وصدق الابن والبنت لغة، مع اصالة عدم النقل، ومن انتفاء النسب شرعاً، مع الاحتیاط وعموم الأمر بالغض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الی ان قال فی تفسیر قول العلامة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من توابع النسب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کالارث وتحریم زوج البنت علی أمها والجمع بین الاختین من الزنا أو احداهما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فی دین ابنه ان منع منه، والأولی الاحتیاط فیما یتعلق بالدماء أوالنکاح، وأما العتق فالاصل العدم مع الشک فی السبب بل ظهور خلافه واصل الشهادة القبول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الجواهر فی ذیل کلام المحقق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التأمل فی انّ</w:t>
      </w:r>
    </w:p>
    <w:p>
      <w:pPr>
        <w:pStyle w:val="BookText"/>
        <w:rPr/>
      </w:pPr>
      <w:r>
        <w:rPr>
          <w:rFonts w:ascii="IRNazanin" w:hAnsi="IRNazanin" w:eastAsia="IRNazanin"/>
          <w:color w:val="111111"/>
          <w:sz w:val="28"/>
          <w:sz w:val="28"/>
          <w:szCs w:val="28"/>
          <w:rtl w:val="true"/>
          <w:lang w:bidi="fa-IR"/>
        </w:rPr>
        <w:t>مدار تحریم النسبیات علی اللغة، ولا یلزم منه اثبات أحکام النسب فی غیر المقام الذی ینساق من دلیله إرادة الشرعی لانتفاء ما عداه وهو قاض بعدم ترتب الاحکام علیه لانّ المنفی شرعا کالمنفی عقلا کما أومأ الیه النفی باللعان، فما فی القواعد من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یتوقف فی جواز النظر بالنسبة الی من حرم نکاحه مما عرفت، لکن الانصاف عدم خلو الحل من قوة، بدعوی ظهور التلازم بین الحکمین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الشرائع فی باب الارث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ولد الزنا فلانسب له ولایرثه الزانی ولا التی ولدته ولا أحد من انسابهما، ولایرثهم هو ومیراثه لولده ومع عدمهم فالامام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ویرث الزوج والزوجة نصیبهما الادنی مع الولد والاعلی مع عدمه، وفی روایة ترثه امه ومن یتقرب بها مثل ابن الملاعنة وهی مطرحة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قال فی القواعد، وقال فخر المحققین فی ذیل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فی 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اجمع الکل علی أن النسب الشرعی یثبت بالاولین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النکاح الصحیح والشبهة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ولایثبت بالزنا شرعا، لکن یثبت تحریم الوطی تبعا للغة باجماع الامامیة، وهل یحرم النظر اشکال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فی العتق فسیأتی وأما الشهادة والقود وتحریم الحلیلة وغیر ذلک من توابع النسب فمنشأه من ان لفظ الابن مثلا هل نقله الشارع أولا، یحتمل الأول لاشتراطهم ایاه فی لحوق النسب ومن اصالة عدم النقل والمجاز أولی، والاصح عندی أنه لایلحقه شیء من الأحکام غیر التحریم أی تحریم من یحرم علی الانسان نکاحه من جهة النسب وکذلک النظر الیهن، أما تحریم النکاح فلثبوت النسب حقیقة لغة وأما</w:t>
      </w:r>
    </w:p>
    <w:p>
      <w:pPr>
        <w:pStyle w:val="BookText"/>
        <w:rPr/>
      </w:pPr>
      <w:r>
        <w:rPr>
          <w:rFonts w:ascii="IRNazanin" w:hAnsi="IRNazanin" w:eastAsia="IRNazanin"/>
          <w:color w:val="111111"/>
          <w:sz w:val="28"/>
          <w:sz w:val="28"/>
          <w:szCs w:val="28"/>
          <w:rtl w:val="true"/>
          <w:lang w:bidi="fa-IR"/>
        </w:rPr>
        <w:t>النظر فلان الاصل تحریم النظر الی سائر النساء الا من یثبت النسب الشرعی الموجب للتحلیل بینهما ولم یثبت، والاصل بقاء ما کان علی 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التذکرة فی کتاب النکاح فی أسباب التحریم فی مسألة البنت المخلوقة من 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یحرم علی الزانی وطؤها وکذا علی ابنه وأبیه وجده وبالجملة حکمها فی تحریم الوطی فی حکم البنت عن عقد صحیح عند علمائنا أجمع وبه قال أبو حنیفة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وحقیقة البنتیة موجودة فیها فان البنت هی المتکونة من منی الرجل، ونفیها عنه شرعاً لا یوجب نفیها حقیقة لان المنفی فی الشرع هو تعلق الاحکام الشرعیة من المیراث وشبهه ولانها متخلقة من مائه فی الظاهر فلم یجز له ان یتزوج بها لو وطأها بشبهة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الماتن فی باب الزکاة من العروة فصل أوصاف المستحقین فی المسألة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یعطی ابن الزنا من المؤمنین فضلا عن غیرهم من هذا السهم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سهم الفقراء الذی یشترط فیه 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تبعیته فی النسب لیتبعه فی الحکم بالاسلام والایمان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یغایر ما یأتی فی غیر المقام من حکمه بالطهارة إلا ان یحمل علی انه مقتضی الاصل لا التبعیة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أیضاً فی المسألة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الفصل المزبور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یشکل اعطاء الزکاة غیر الهاشمی لمن تولد من الهاشمی بالزنا فالأحوط عدم اعطائه، وکذا الخمس فیقتصر فیه علی زکاة الهاشمی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واستشکل غیر واحد من المحشین علی الفرع الأول بانه لم یتضح اطلاق یتضمن انتفاء البنوة کی یعوّل علیه فی المقام وانه مبنی علی شرطیة</w:t>
      </w:r>
    </w:p>
    <w:p>
      <w:pPr>
        <w:pStyle w:val="BookText"/>
        <w:rPr/>
      </w:pPr>
      <w:r>
        <w:rPr>
          <w:rFonts w:ascii="IRNazanin" w:hAnsi="IRNazanin" w:eastAsia="IRNazanin"/>
          <w:color w:val="111111"/>
          <w:sz w:val="28"/>
          <w:sz w:val="28"/>
          <w:szCs w:val="28"/>
          <w:rtl w:val="true"/>
          <w:lang w:bidi="fa-IR"/>
        </w:rPr>
        <w:t xml:space="preserve">الاسلام والاّ فلو کان الکفر مانعا فیجوز، وذکروا علی الفرع الثانی بأن دعوی انصراف عموم حرمة الاعطاء عنه غیر ظاهر ونفی ولد الزنا علی نحو یشمل المقام غیر متحصل اذ عدم التوارث أعم، وقاعدة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ظاهریة لامجال لها فی ظرف العلم بالانتساب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باب الزکاة أیضاً فی سهم الفقراء وولد الزنا من المؤمنین کولده من الکافرین لاتبعیة فیه لأحدهما، بناء علی کونها فی النکاح الصحیح فدفع الزکاة الیه حینئذ مبنی علی کون الایمان فعلا أو حکما شرطا فلایعطی، أو أن الکفر فعلا أو حکما مانع فیعطی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ملحقات العروة فی کتاب الربا مسألة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الربا بین الولد والولد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ولایشمل الولد الرضاعی وان احتمله بعضهم، فی شموله للولد من الزنا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کتاب النکاح فی المحرمات بالمصاهرة المسألة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الاختان کلتاهما أو احداهما عن الزنا فالأحوط لحوق الحکم من حرمة الجمع بینهما فی النکاح والوطی اذا کانتا مملوکین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عند متأخری العصر ان الاقوی ثبوت النسب لانه لم ترد ولا روایة ضعیفة تنفی النسب عن المولود بالزنا، بل المذکور فیها نفی الارث خاصة وماورد من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الی مقام الشک وبیان الحکم الظاهری فلایشمل صورة العلم والجزم بکون الولد للعاهر، فانه حینئذ لایلحق بصاحب الفراش قطعا، بل مقتضی مایفهم من مذاق الشارع وظاهر الادلة هو النسب العرفی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مجمل الکلمات فی الأبواب وانما اطلنا نقلها لیتضح حال دعوی</w:t>
      </w:r>
      <w:bookmarkStart w:id="38" w:name="pg13690_120413"/>
    </w:p>
    <w:p>
      <w:pPr>
        <w:pStyle w:val="BookText"/>
        <w:rPr/>
      </w:pPr>
      <w:bookmarkEnd w:id="38"/>
      <w:r>
        <w:rPr>
          <w:rFonts w:ascii="IRNazanin" w:hAnsi="IRNazanin" w:eastAsia="IRNazanin"/>
          <w:color w:val="111111"/>
          <w:sz w:val="28"/>
          <w:sz w:val="28"/>
          <w:szCs w:val="28"/>
          <w:rtl w:val="true"/>
          <w:lang w:bidi="fa-IR"/>
        </w:rPr>
        <w:t>البداهة أو الضرورة الفقهیة فی نفی النسب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ولتحقیق المسألة ینبغی البحث فی مقامین عن مقتضی القاعدة ثم عن الأدلة الخاصة الواردة فیها</w:t>
      </w:r>
      <w:r>
        <w:rPr>
          <w:rFonts w:eastAsia="IRNazanin" w:cs="IRNazanin"/>
          <w:color w:val="111111"/>
          <w:sz w:val="28"/>
          <w:szCs w:val="28"/>
          <w:rtl w:val="true"/>
          <w:lang w:bidi="fa-IR"/>
        </w:rPr>
        <w:t>.</w:t>
      </w:r>
    </w:p>
    <w:p>
      <w:pPr>
        <w:pStyle w:val="Heading5"/>
        <w:numPr>
          <w:ilvl w:val="4"/>
          <w:numId w:val="1"/>
        </w:numPr>
        <w:rPr/>
      </w:pPr>
      <w:bookmarkStart w:id="39" w:name="__RefHeading___Toc906992_1468164448"/>
      <w:bookmarkStart w:id="40" w:name="_Toc15"/>
      <w:bookmarkEnd w:id="39"/>
      <w:r>
        <w:rPr>
          <w:rtl w:val="true"/>
        </w:rPr>
        <w:t>المقام الأول</w:t>
      </w:r>
      <w:r>
        <w:rPr>
          <w:rtl w:val="true"/>
        </w:rPr>
        <w:t xml:space="preserve">: </w:t>
      </w:r>
      <w:r>
        <w:rPr>
          <w:rtl w:val="true"/>
        </w:rPr>
        <w:t>مقتضی القاعدة</w:t>
      </w:r>
      <w:r>
        <w:rPr>
          <w:rtl w:val="true"/>
        </w:rPr>
        <w:t>:</w:t>
      </w:r>
      <w:bookmarkEnd w:id="40"/>
    </w:p>
    <w:p>
      <w:pPr>
        <w:pStyle w:val="BookText"/>
        <w:rPr/>
      </w:pPr>
      <w:r>
        <w:rPr>
          <w:rFonts w:ascii="IRNazanin" w:hAnsi="IRNazanin" w:eastAsia="IRNazanin"/>
          <w:color w:val="111111"/>
          <w:sz w:val="28"/>
          <w:sz w:val="28"/>
          <w:szCs w:val="28"/>
          <w:rtl w:val="true"/>
          <w:lang w:bidi="fa-IR"/>
        </w:rPr>
        <w:t>فهو ترتب الأحکام والآثار المترتبة علی الولد علیه إلا ما أخذ فی موضوعها طهارة النسب وأنه من حلال بقرائن أو أدلة خاصة، وذلک لکون النسب لیس من الأمور الاعتباریة والعناوین الوضعیة المتمحضة فی الاعتبار، بل هو حقیقة خارجیة وهی تکوّن انسان من ماء انسان آخر کما تشهد به الضرورة الوجدانیة والآیات الکریمة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ان التوالد حقیقة تکوینیة فی الحیوانات والنبات وکذا الجوامد فضلاً عن الانسان، والنسب ما هو الا اخبار عن ذلک النشوء والتولید التکوینی، وعلی ذلک فلیس النسب حقیقة عرفیة أو لغویة فی أفق الاعتبار العرفی کما قد یلوح من الکلمات المتقدمة بل هو حقیقة خارجیة تکوینیة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قد تعارف الناس علی اتخاذ الابناء والتبنی کما یشیر الی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جَعَلَ أَدْعِیاءَکُمْ أَبْناءَکُمْ وکذا نفی الله تعالی عن اتخاذه ابنا أو الملائکة بناتا، ومن الواضح ان الاتخاذ فی کل هذه الموارد اعتباری لاحقیقی تکوینی، وربما یشهد لذلک انتفائه باللعان وثبوته بالاقرار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مثل هذا الاعتبار المأخوذ من الوجود التکوینی الحقیقی المماثل له فی المعنی والمغایر له، حیث ان الاعتبار لاوجود حقیقی له</w:t>
      </w:r>
      <w:bookmarkStart w:id="41" w:name="pg13690_120414"/>
    </w:p>
    <w:p>
      <w:pPr>
        <w:pStyle w:val="BookText"/>
        <w:rPr/>
      </w:pPr>
      <w:bookmarkEnd w:id="41"/>
      <w:r>
        <w:rPr>
          <w:rFonts w:ascii="IRNazanin" w:hAnsi="IRNazanin" w:eastAsia="IRNazanin"/>
          <w:color w:val="111111"/>
          <w:sz w:val="28"/>
          <w:sz w:val="28"/>
          <w:szCs w:val="28"/>
          <w:rtl w:val="true"/>
          <w:lang w:bidi="fa-IR"/>
        </w:rPr>
        <w:t>بخلاف الثانی لاینکر، وانما المراد اثباته هو کون هذا المعنی والماهیة سواء من مقولة الاضافة کانت أو من سنخ المفاهیم الوجودیة له وجود حقیقی خارجی لا انه اعتباری فی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واعتبار کثیر من المعانی التی لها وجود حقیقی متعارف لدی العقلاء حسب حاجاتهم النظامیة والقانونیة، وأما قوله تعالی فهو یلغی اعتبارهم فی باب النسب ویثبت المعنی التکوینی له، وأما انتفائه باللعان وثبوته بالاقرار فهو فی مورد الشک وکإمارة نافیة أو مثبتة لا کسبب ثبوتی للنفی والتحقق کما صرح بذلک الاصحاب فی أحکام الاولاد، واتضح من ذلک أن النسب حقیقة خارجیة لا اعتباریة عرفیة أو شرعیة</w:t>
      </w:r>
      <w:r>
        <w:rPr>
          <w:rFonts w:eastAsia="IRNazanin" w:cs="IRNazanin"/>
          <w:color w:val="111111"/>
          <w:sz w:val="28"/>
          <w:szCs w:val="28"/>
          <w:rtl w:val="true"/>
          <w:lang w:bidi="fa-IR"/>
        </w:rPr>
        <w:t>.</w:t>
      </w:r>
    </w:p>
    <w:p>
      <w:pPr>
        <w:pStyle w:val="Heading5"/>
        <w:numPr>
          <w:ilvl w:val="4"/>
          <w:numId w:val="1"/>
        </w:numPr>
        <w:rPr/>
      </w:pPr>
      <w:bookmarkStart w:id="42" w:name="__RefHeading___Toc906994_1468164448"/>
      <w:bookmarkStart w:id="43" w:name="_Toc16"/>
      <w:bookmarkEnd w:id="42"/>
      <w:r>
        <w:rPr>
          <w:rtl w:val="true"/>
        </w:rPr>
        <w:t>المقام الثانی</w:t>
      </w:r>
      <w:r>
        <w:rPr>
          <w:rtl w:val="true"/>
        </w:rPr>
        <w:t xml:space="preserve">: </w:t>
      </w:r>
      <w:r>
        <w:rPr>
          <w:rtl w:val="true"/>
        </w:rPr>
        <w:t>الادلة الخاصة</w:t>
      </w:r>
      <w:r>
        <w:rPr>
          <w:rtl w:val="true"/>
        </w:rPr>
        <w:t>:</w:t>
      </w:r>
      <w:bookmarkEnd w:id="43"/>
    </w:p>
    <w:p>
      <w:pPr>
        <w:pStyle w:val="BookText"/>
        <w:rPr/>
      </w:pPr>
      <w:r>
        <w:rPr>
          <w:rFonts w:ascii="IRNazanin" w:hAnsi="IRNazanin" w:eastAsia="IRNazanin"/>
          <w:color w:val="111111"/>
          <w:sz w:val="28"/>
          <w:sz w:val="28"/>
          <w:szCs w:val="28"/>
          <w:rtl w:val="true"/>
          <w:lang w:bidi="fa-IR"/>
        </w:rPr>
        <w:t>فقد یستدل علی کون النسب اعتباره شرعی بعدة طوائف، جملة منها وردت فی باب الارث وباب أحکام الأولاد وغیرها من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کصحیحة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رجل وقع علی ولیدة قوم حراما ثم اشتراها فادعی ولدها فانه لا یورث منه شیء، فان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ولا یورث ولد الزنا الا رجل یدعی ابن ولیدته، وأیما رجل أقر بولده ثم انتفی منه فلیس له ذلک ولا کرامة، یلحق به ولده اذا کان من امرأته أو ولیدته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الولد مع کونه منه من الزنا، لکن نفی عنه شرعا لقوله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السؤال هو عن الولیدة المملوکة لقوم آخرین والرجل وقع علیها حراما، فالولد الذی ادعاه مشکوک الانتساب له لا انه یعلم انه له، فهی واردة مورد الشک فی الانتساب، ولذلک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لایورث ولد الزنا إلا رجل یدعی ابن ولیدته، أی الرجل المالک للولیدة فهو یرث ابنها اذا ادعی واقرّ مالکها به لکونه صاحب فراش، فاذا زنی رجل آخر بهذه الأمة واحتمل کون هذا الولد منه وادعی مالکها الولد، فهو یلحق به وإن احتمل انه فی الواقع متولد من الزنا، فالمالک هو الذی یرثه کما فسر بذلک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رجل یدعی ابن ولیدته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کروایة علی بن سالم عن یحیی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وقع علی ولیدة حراما، ثم اشتراها، فادعی ابنها،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لایورث منه، فان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 ولایورث ولد الزنا الا رجل یدعی ابن ولیدته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سالم یحتمل أن یکون البطائنی المعروف حیث انه اسم لابن أبی حمزة ویحتمل أن یکون أخ یعقوب وأسباط بنی سالم، وعلی الأول فیحیی هو أبو بصیر بن أبی القاسم الاسدی</w:t>
      </w:r>
      <w:r>
        <w:rPr>
          <w:rFonts w:eastAsia="IRNazanin" w:cs="IRNazanin"/>
          <w:color w:val="111111"/>
          <w:sz w:val="28"/>
          <w:szCs w:val="28"/>
          <w:rtl w:val="true"/>
          <w:lang w:bidi="fa-IR"/>
        </w:rPr>
        <w:t>.</w:t>
      </w:r>
      <w:bookmarkStart w:id="44" w:name="pg13690_120416"/>
    </w:p>
    <w:p>
      <w:pPr>
        <w:pStyle w:val="Heading5"/>
        <w:numPr>
          <w:ilvl w:val="4"/>
          <w:numId w:val="1"/>
        </w:numPr>
        <w:rPr/>
      </w:pPr>
      <w:bookmarkStart w:id="45" w:name="__RefHeading___Toc906996_1468164448"/>
      <w:bookmarkStart w:id="46" w:name="_Toc17"/>
      <w:bookmarkEnd w:id="44"/>
      <w:bookmarkEnd w:id="45"/>
      <w:r>
        <w:rPr>
          <w:rtl w:val="true"/>
        </w:rPr>
        <w:t xml:space="preserve">محتملات </w:t>
      </w:r>
      <w:r>
        <w:rPr>
          <w:rtl w:val="true"/>
        </w:rPr>
        <w:t>«</w:t>
      </w:r>
      <w:r>
        <w:rPr>
          <w:rtl w:val="true"/>
        </w:rPr>
        <w:t>وللعاهر الحجر</w:t>
      </w:r>
      <w:r>
        <w:rPr>
          <w:rtl w:val="true"/>
        </w:rPr>
        <w:t>»:</w:t>
      </w:r>
      <w:bookmarkEnd w:id="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وأیاً ما کان فدلالة الروایة متحدة مع الروایة المتقدمة فی أن الولد غیر محرز النسبة وموردا للشک، فهو للذی یملک النکاح شرعاً المعبر عنه بالفراش، وأن العاهر أی الزانی محجور علیه النسبة للولد فی مورد الشک کما هو أحد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ان قاعدة الولد للفراش وللعاهر الحجر وان ورد تطبیقها فی مورد الشک بأن الولد لمن یملک النکاح الشرعی، وحینئذ یکون معنی وللعاهر الحجر انه لاینسب للزانی عند الشک، ولکن ظاهر المشهور هو تفسیرها بأن العاهر أی الزانی مطرود ومقطوع عنه الولد مطلقاً أی واقعاً أیضاً، خصوصاً وان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ولایورث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کالصریح فی ولد الزنا الواقعی، والتعبیر بالحجر مستعمل فی القطع والمنع کما فی القول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محجورا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بالعاهر هو الزانی المحصن والحجر هو الرجم وینافیه اطلاق الزانی الأعم من المحصن وغیر المحصن، ولاسیما مع الالتفات الی المقابلة مع نسبة الولد لمالک النکاح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هو عدم المهر للزانیة وأن الحجر کنایة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الاقتصار علیه اذ الظاهر تطبیق القاعدة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وذیلا فی مورد السؤال ولم یکن الاستفسار عن المهر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المجلسی فی البحار انه روی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ماذکرت من نفی زیاد فانی لم أنفه بل نفاه رسول الله صلی الله علیه و آله اذ</w:t>
      </w:r>
    </w:p>
    <w:p>
      <w:pPr>
        <w:pStyle w:val="BookText"/>
        <w:rPr/>
      </w:pPr>
      <w:r>
        <w:rPr>
          <w:rFonts w:ascii="IRNazanin" w:hAnsi="IRNazanin" w:eastAsia="IRNazanin"/>
          <w:color w:val="111111"/>
          <w:sz w:val="28"/>
          <w:sz w:val="28"/>
          <w:szCs w:val="28"/>
          <w:rtl w:val="true"/>
          <w:lang w:bidi="fa-IR"/>
        </w:rPr>
        <w:t>قال 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 کتب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جواب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کتب زیاد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بن أبی سفیان الی حسن بن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بذلک اهانته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بن فاطمة بنت رسول الله صلی الله علیه و آله الی زیاد بن سمیة، قال رسول الله صلی الله علیه و آله 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سمیة کانت زانیة معروفة فیظهر منها قوة الاحتمال الثانی ان لانسبة من الزنا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ورد الاستدلال من الاصحاب علی عدم المهر للزانیة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للعاهر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توجیهه بأن الطرد والقطع لم یذکر متعلقة الآخر فیعمّ النسب والمهر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قد وردت فی عدة روایات فی مقام النزاع علی الولد وانه یلحق بالمالک للنکاح شرعاً بشروط اشترطها الاصحاب فی اجرائها من الدخول الی مضی أقل الحمل، وان لایکون الوضع أکثر من أکثر الحمل، ولکن ذلک کله من الاستدلال بصدر القاعدة لا عجزها المربوط بما نحن فیه، حتی انه طبقت القاعدة هناک فی موارد النزاع التی لیس فیها زنا، ولیس ذلک الا لأن البحث عن صدر القاعدة مع انه یمکن احتمال معنی آخر للصدر وهو ان الولد للفراش بمعنی ان واقع النسبة لمالک النکاح لا للعاهر الزانی، وعلی أیة حال فقد ظهر قوة الاحتمال الاول وعدم تعیّن الظهور فی الاحتمال الثانی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کالصحیح عن محمد بن الحسن الاشعری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أصحابنا الی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یسأله عن رجل فجر بامرأة ثم انه تزوجها بعد الحمل، فجاءت بولد، هو أشبه خلق الله به، فکتب</w:t>
      </w:r>
    </w:p>
    <w:p>
      <w:pPr>
        <w:pStyle w:val="BookText"/>
        <w:rPr/>
      </w:pPr>
      <w:r>
        <w:rPr>
          <w:rFonts w:ascii="IRNazanin" w:hAnsi="IRNazanin" w:eastAsia="IRNazanin"/>
          <w:color w:val="111111"/>
          <w:sz w:val="28"/>
          <w:sz w:val="28"/>
          <w:szCs w:val="28"/>
          <w:rtl w:val="true"/>
          <w:lang w:bidi="fa-IR"/>
        </w:rPr>
        <w:t>بخطّه وخاتمه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لغیة، لایورث</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وقد رواه الشیخ بطریقین الی محمد بن الحسن الاشعری وکذا الکلینی ورواه الصدوق أیضاً بطریقه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محمد بن الحسن الأشعری حسن حاله فقد عدّه الشیخ من أصحاب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الوحید فی تعلیقته انه یظهر من غیر واحد من الاخبار کونه وصی سعد بن سعد الاشعری وهو دلیل الاعتماد والوثوق وحسن الحال وظاهر فی العدالة، وفی وجیزة المجلسی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وله روایات فی میراث الاخوة مع الولد یظهر منها تشیعه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لیس مورداً للتردید، وروی فی الکافی سؤاله لأبی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روایة مشایخ الشیعة عن الصادقین وان التقیة کانت شدیدة فکتموا کتبهم فلم ترو عنهم فلما ماتوا صارت الکتب الینا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حدثوا بها فانها حق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هذه الروایة صحیحة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الرجل لایبالی ما قال ولا ما قیل له فانه لغیة أو شرک شیطان</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سلیم بن قیس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ان الله حرم الجنة علی کل فحّاش بذی قلیل الحیاء، لایبالی ما قال ولا ما قیل له فانک ان فتشته لم تجده الاّ لغیة أو شرک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الدلالة فهی أحسن حال من الروایتین المتقدمتین من حیث مورد السؤال حیث آنهاعن المرأة الخلیة والتی حملت من الفجور مع الرجل بها، وقد حکم علی الولد بأنه لُغْیة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فالسکون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باطل ملغی النسب وکالعدم، فالانتساب والولدیة ملغاة فلایورث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یمکن ان یضاف بطلان الولد وخیبته الی حظّه وعاقبته، من انه لایفلح کما ورد فی روایات ابن الزنا وحینئذ لاتدل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کله علی تحریک کلمة لغیة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لیکون بمعنی الملغی، وإلا فهو یحتمل معنی الخسّة قال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اللغاء کسماء التراب والقماش علی وجه الأرض، وکل خسیس یسیر حقیر والغیی کالغنی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 الساقط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علی تحریکها بکسر اللام فیکون المعنی الولد لا مرأة غیّة أی زنیة کما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وولد غَیّة ویکسر زِنیّة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فلایدل علی المطلوب، وهذا الاحتمال هو الاظهر فی الروایتین الاخریین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روایات معارضة لبعض مدلول هذه الروایات أی فی ناحیة ارث الام له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میراث ولد الزنا لقرابته من قبل امه علی میراث ابن الملاعنة</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 وحملها الشیخ علی أنها رأی لیونس، وهو فی محله لعدم اسناده القول للمعصوم ولو علی نحو الضمیر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حنان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فجر بنصرانیة فولدت منه غلاماً فأقرّ به ثم مات فلم یترک ولداً غیره أیرثه؟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حنان بن سدیر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مسلم فجر بامرأة یهودیة فأولدها ثم مات، ولم یدع وارثا،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یسلّم لولده المیراث من الیهودیة،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نصرانی فجر بامرأة مسلمة، فأولدها غلاما، ثم مات النصرانی وترک مالا، لمن یکون میراثه؟ قال یکون میراثه لابنه من المسلمة</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هذه الروایة عدّة دلالات منها تحقق الانتساب لاطلاقه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البنوة علیه بالاضافة الی الاب والام وتبعیته فی الملة للوالدین وان کان من زنا، وتبعیته لاشرف الابوین فی الملة، وارث ابن الزنا من أبیه النصرانی اما لقاعدة الالزام أو لقصور دلیل المنع عن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اسحاق بن عمار 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الزنا وابن الملاعنة ترثه امه، وأخواله، واخوته لامه، أو عصبتها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الی ارثه من الام ابن الجنید والصدوق والحلبی، ولکن المشهور أعرضوا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الروایات المستفیضة فی أنّ الناس لایدعون بأسماء آبائهم یوم القیامة إلا الشیعة وقد عقد فی البحار</w:t>
      </w:r>
      <w:r>
        <w:rPr>
          <w:rStyle w:val="FootnoteAnchor"/>
          <w:rtl w:val="true"/>
        </w:rPr>
        <w:footnoteReference w:id="73"/>
      </w:r>
      <w:r>
        <w:rPr>
          <w:rFonts w:ascii="IRNazanin" w:hAnsi="IRNazanin" w:eastAsia="IRNazanin"/>
          <w:color w:val="111111"/>
          <w:sz w:val="28"/>
          <w:sz w:val="28"/>
          <w:szCs w:val="28"/>
          <w:rtl w:val="true"/>
          <w:lang w:bidi="fa-IR"/>
        </w:rPr>
        <w:t>بابا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العلل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ولاد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وتعالی یدعو الناس یوم القیامة أین فلان بن فلانة ستراً من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 أمالی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جابر الجعفی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 صلی الله علیه و آله یقول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أسرّک؟ ألا أمنحک؟ ألا أبشرک؟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خلقت أنا وأنت من طینة واحدة وفضلت منها فضلة فخلق منها شیعتنا فاذا کان یوم القیامة دعی الناس بأسماء أمهاتهم سوی شیعتنا فانهم یدعون بأسماء آبائهم لطیب مولدهم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المحاسن مثل صحیحة أبی ولاّد الاّ انّه فیها تعلیل استثناء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ان لیس فیهم عهر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روایتی بشارة المصطفی الا ان فی أحداها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لطیب موالیدهم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والمترآی بدوا منها نفی النسبة، ولکن امعان النظر یقضی بخلافه وذلک لعدم نفی النسبة من طرف الام ولا قائل بالتفصیل، وأیضاً التعلیل بطیب المولد یعطی ان ماعداهم خبیث مولدهم لا أن الولادة والتوالد التکوینی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العلة فی عدم تسمیة غیرهم بأسماء آبائهم هو حصول العار علیهم حیث ینکشف ان النسب من طرف الاب هو غیر ما کان یعرف به فی النشأة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مستفیضاً فی علّة تحلیل الخمس واباحته للشیعة لتطیب ولادتهم وأن ما عداهم هالک فی بطنه وفرجه، وفی بعضها لتطیب موالیدهم ولایکون أولادهم أولاد حرام وأن ما عداهم أولاد بغایا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ما فی تحف العقول فی کلام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قلتم الانسان یدخله الفساد من قبل النساء ومن قبل الآباء لحال الخمس الذی لم یدفع الی أهله؟ فقال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مسألة ما سأل عنها أحد من السلاطین غیرک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ولاتیم ولاعدی ولا بنو أمیة ولا سئل عنها أحد من آبائی فلاتکشفنیها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والتقریب لدلالتها ما مرّ والخدشة کذلک، بل هاهنا قد فرض آباء وأبناء ولکن من حرام، وکذا التعلیل کما فی بعضها لیزکوا أولادهم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المقابل لهم خبث أولادهم وعدم طهارة المولد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بالروایات الواردة فی کفره کالتی وردت فی نجاسته وفی عدم تصدیه للمناصب المشترط فیها العدالة وفی ان دیته کدیة الکتابی وفی عدم دخوله الجنة، وعلی هذا فلا تبعیة له لوالده المسلم الذی تولد منه وانتفاء التبعیة انتفاء للولدیة والنسب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لکفره بما تقدم مخدوش لأعمیة تلک الأحکام من الکفر، مع أن بعضها محلّ تأمل واعراض من المشهور کالحکم الاول والثالث، ولو سلم الکفر وعدم التبعیة فهو أعم أیضاً من انتفاء الولدیة والنسب، فلعلها مترتبة علی طیب الولادة لامطلق الولادة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من اجتناب الرضاع منه</w:t>
      </w:r>
      <w:r>
        <w:rPr>
          <w:rStyle w:val="FootnoteAnchor"/>
          <w:rtl w:val="true"/>
        </w:rPr>
        <w:footnoteReference w:id="75"/>
      </w:r>
      <w:r>
        <w:rPr>
          <w:rFonts w:ascii="IRNazanin" w:hAnsi="IRNazanin" w:eastAsia="IRNazanin"/>
          <w:color w:val="111111"/>
          <w:sz w:val="28"/>
          <w:sz w:val="28"/>
          <w:szCs w:val="28"/>
          <w:rtl w:val="true"/>
          <w:lang w:bidi="fa-IR"/>
        </w:rPr>
        <w:t>، مما یدل علی نجاسته وعدم تبعیته الکاشف عن انتفاء الولدیة والنسب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ما تقدم فی الجواب عن الطائفة السادسة، ان النهی عن الارتضاع منه لیس بکاشف عن النجاسة کما ان جواز الرضاع لیس بکاشف عن الطهارة، فلیس المدار علی ذلک بل لما ینتجه الرضاع من توریث الطباع والاخلاق، کما ورد انّه لحمه کلحمة النسب، ولذلک ذکرنا فی نجاسة الکافر ان ما ورد من الاذن فی ارتضاع أهل الکتاب غیر کاشف عن الطهارة لوروده أیضاً فی المشرکة علی کراهة فی الصنفین، حیث ان حکمه حکم البواطن کما تقدم فلذا لم یکن النهی عنه لذلک أیضاً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ولو فرض بقاء التردد فی عدم دلالة هذه الروایات علی نفی النسب، أو أنه نفی للأحکام الشرعیة المترتبة علیه فی الجملة کما سمعته عن التذکرة، فالمتعین فی الاستظهار هو الثانی وذلک لعدم کون النسب من الامور الاعتباریة والعناوین الوضعیة المتوغلة فی الاعتبار، بل هو حقیقة خارجیة وهی تکوّن انسان من ماء انسان آخر، کما تشیر الیه الآیات الکریمة والضرورة الوجدانیة</w:t>
      </w:r>
      <w:r>
        <w:rPr>
          <w:rFonts w:eastAsia="IRNazanin" w:cs="IRNazanin"/>
          <w:color w:val="111111"/>
          <w:sz w:val="28"/>
          <w:szCs w:val="28"/>
          <w:rtl w:val="true"/>
          <w:lang w:bidi="fa-IR"/>
        </w:rPr>
        <w:t>.</w:t>
      </w:r>
      <w:bookmarkStart w:id="47" w:name="pg13690_120424"/>
    </w:p>
    <w:p>
      <w:pPr>
        <w:pStyle w:val="BookText"/>
        <w:rPr/>
      </w:pPr>
      <w:bookmarkEnd w:id="47"/>
      <w:r>
        <w:rPr>
          <w:rFonts w:ascii="IRNazanin" w:hAnsi="IRNazanin" w:eastAsia="IRNazanin"/>
          <w:color w:val="111111"/>
          <w:sz w:val="28"/>
          <w:sz w:val="28"/>
          <w:szCs w:val="28"/>
          <w:rtl w:val="true"/>
          <w:lang w:bidi="fa-IR"/>
        </w:rPr>
        <w:t>ولذاتری اجماع الکل علی اجراء أحکام النسب فی النکاح ولیس ذلک الا لوجوده الواقعی، وکذا بعض فتاواهم فی أبواب أخری، فالنفی بتلک القرینة لابد أن یکون بلحاظ الآثار والأحکام المترتبة علی هذا العنوان، وحینئذ فلیس فیه اطلاق بل هو إمّا بلحاظ الاحکام التی للوالد والنفقة لا الاحکام التی علیه وبضرره کوجوب النفقة ولا الاحکام التی لیست علیه ولا له وغیر ذلک وإما بلحاظ الارث وتوابعه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التمسک فی الأبواب المختلفة بعنوان النسب والذی هو امر تکوینی لا اعتباری لا غبار علیه، غایة الامر لابد من ملاحظة مناسبات الحکم والموضوع العرفیة فی کل باب فقهی ومراعاتها، فمثلاً الاحکام التی تنشأ من الاحترام والعنایة الخاصة تختلف مع التی تنشأ من محض التولد، ففی الاولی ربما یکون الارتکاز موجبا لظهور النسب فی الناشیء من الحلال بخلاف الثانی فهو الناشیء من الحلال أو الحرام، أی من مطلق التولد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 الاحکام بمعونة الارتکازات العرفیة ظاهرة فی ترتبها علی النسب من الحلال وطیب الولادة وبعضها فی الأعم، وهذا بحسب الظهورات المستفادة من الادلة، کما انه ر بما تترتب الاحکام بتوسط عنوان علی النسب، فلابد من ملاحظة مناسبة الواسطة کما مرّ فی مسألة الخمس والزکاة فلاحظ</w:t>
      </w:r>
      <w:r>
        <w:rPr>
          <w:rFonts w:eastAsia="IRNazanin" w:cs="IRNazanin"/>
          <w:color w:val="111111"/>
          <w:sz w:val="28"/>
          <w:szCs w:val="28"/>
          <w:rtl w:val="true"/>
          <w:lang w:bidi="fa-IR"/>
        </w:rPr>
        <w:t>.</w:t>
      </w:r>
    </w:p>
    <w:p>
      <w:pPr>
        <w:pStyle w:val="Heading4"/>
        <w:numPr>
          <w:ilvl w:val="3"/>
          <w:numId w:val="1"/>
        </w:numPr>
        <w:rPr/>
      </w:pPr>
      <w:bookmarkStart w:id="48" w:name="__RefHeading___Toc906998_1468164448"/>
      <w:bookmarkStart w:id="49" w:name="_Toc18"/>
      <w:bookmarkEnd w:id="48"/>
      <w:r>
        <w:rPr>
          <w:rtl w:val="true"/>
        </w:rPr>
        <w:t>التنبیه الثالث</w:t>
      </w:r>
      <w:r>
        <w:rPr>
          <w:rtl w:val="true"/>
        </w:rPr>
        <w:t>:</w:t>
      </w:r>
      <w:bookmarkEnd w:id="4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وبعدما تقرر ان النسب یتبع الجانب التکوینی، وان النسب الشرعی</w:t>
      </w:r>
    </w:p>
    <w:p>
      <w:pPr>
        <w:pStyle w:val="BookText"/>
        <w:rPr/>
      </w:pPr>
      <w:r>
        <w:rPr>
          <w:rFonts w:ascii="IRNazanin" w:hAnsi="IRNazanin" w:eastAsia="IRNazanin"/>
          <w:color w:val="111111"/>
          <w:sz w:val="28"/>
          <w:sz w:val="28"/>
          <w:szCs w:val="28"/>
          <w:rtl w:val="true"/>
          <w:lang w:bidi="fa-IR"/>
        </w:rPr>
        <w:t>بمعنی حلیة طریق النسب وطهارته لا أصل تحققه، فالشرعیة فی النسب هی بلحاظ طهارته، وحلیة سبب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ویقع الکلام حینئذ فی ان المدار فی حلیة وطهارة النسب هو علی الأب والام معا، أو علی الاب فقط؟ أو أنه یمکن ان یتبعض بنحو حیثی؟ قد یقال ان حلیة النسب وطهارته قد اعتبرت فی الارث والعقل ونحوهما، بین الاب والابن، واما من طرف الام فالارث ثابت مطلقاً، بل ورد فی الروایات</w:t>
      </w:r>
      <w:r>
        <w:rPr>
          <w:rStyle w:val="FootnoteAnchor"/>
          <w:rtl w:val="true"/>
        </w:rPr>
        <w:footnoteReference w:id="76"/>
      </w:r>
      <w:r>
        <w:rPr>
          <w:rFonts w:ascii="IRNazanin" w:hAnsi="IRNazanin" w:eastAsia="IRNazanin"/>
          <w:color w:val="111111"/>
          <w:sz w:val="28"/>
          <w:sz w:val="28"/>
          <w:szCs w:val="28"/>
          <w:rtl w:val="true"/>
          <w:lang w:bidi="fa-IR"/>
        </w:rPr>
        <w:t>ان العاقلة تکون من ینتسب من ارحامه من الام، وحینئذ یتبین من ذلک ان آثار النسب من الام یترتب سواء کان السبب من جهتها من الحلال أو الحرام، ولذلک یتبین ان النفی والاثبات فی النسب الشرعی بمعنی الطهارة والحلیة هو بلحاظ الاب</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 ان نسبه ذو جنبتین، فمن جهة الاب حلال ومن جهة الام حرام، فیصدق علیه ابن زنا من جهة الام، ومن ثمّ لابد من ملاحظة لسان الادلة فی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حلیة النسب ملحوظة کموضوع للآثار معا أو من احد الجهتین بغض النظر عن الجهة الاخری کما هو الحال فی الارث، وقد یدعم الوجه الاول لان نسبة الولد انما للاب حقیقة ولاینسب الی امه فی النسب، واللقب کما هو مفاد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ادْعُوهُمْ لِآبائِهِمْ هُوَ أَقْسَطُ عِنْدَ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عَلَی الْمَوْلُودِ لَهُ رِزْقُهُنَّ وَ کِسْوَتُهُنَّ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کانت النسبة التکوینیة للام أیضاً مقررة ورتب علیها آثار کالارث والمحرمیة وغیرها، الاّ ان النسبة بقول مطلق للاب مقدمة علی النسبة للام</w:t>
      </w:r>
      <w:r>
        <w:rPr>
          <w:rFonts w:eastAsia="IRNazanin" w:cs="IRNazanin"/>
          <w:color w:val="111111"/>
          <w:sz w:val="28"/>
          <w:szCs w:val="28"/>
          <w:rtl w:val="true"/>
          <w:lang w:bidi="fa-IR"/>
        </w:rPr>
        <w:t>.</w:t>
      </w:r>
      <w:bookmarkStart w:id="50" w:name="pg13690_120426"/>
    </w:p>
    <w:p>
      <w:pPr>
        <w:pStyle w:val="Heading4"/>
        <w:numPr>
          <w:ilvl w:val="3"/>
          <w:numId w:val="1"/>
        </w:numPr>
        <w:rPr/>
      </w:pPr>
      <w:bookmarkStart w:id="51" w:name="__RefHeading___Toc907000_1468164448"/>
      <w:bookmarkStart w:id="52" w:name="_Toc19"/>
      <w:bookmarkEnd w:id="50"/>
      <w:bookmarkEnd w:id="51"/>
      <w:r>
        <w:rPr>
          <w:rtl w:val="true"/>
        </w:rPr>
        <w:t>التنبیه الرابع</w:t>
      </w:r>
      <w:r>
        <w:rPr>
          <w:rtl w:val="true"/>
        </w:rPr>
        <w:t>:</w:t>
      </w:r>
      <w:bookmarkEnd w:id="52"/>
    </w:p>
    <w:p>
      <w:pPr>
        <w:pStyle w:val="BookText"/>
        <w:rPr/>
      </w:pPr>
      <w:r>
        <w:rPr>
          <w:rFonts w:ascii="IRNazanin" w:hAnsi="IRNazanin" w:eastAsia="IRNazanin"/>
          <w:color w:val="111111"/>
          <w:sz w:val="28"/>
          <w:sz w:val="28"/>
          <w:szCs w:val="28"/>
          <w:rtl w:val="true"/>
          <w:lang w:bidi="fa-IR"/>
        </w:rPr>
        <w:t>لو اقرّ بالولد ثم نفاه فلاینتفی عنه بنفیه ولا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اختلفا فی الدخول الموجب لالحاق الولد وعدمه فادعته المرأة لیلحق الولد به وانکره، أو اختلفا فی ولادته فنفاها الزوج، وادعی آنهااتت به من خارج، فالقول قوله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لو اتفقا فی الدخول والولادة واختلفا فی المدّة فادعی ولادتها لدون ستة أشهر أو لازید من اقصی الحمل وادعت هی خلافه فالقول قولها بیمینها، ویُلحق الولد به ولاینتفی عنه إلاّ باللعان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السید الاصفهانی عدّة صور فی اختلاف الزوجین فی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اختلافهما فی اصل الدخول، أو اختلفا فی اصل الولادة فمقتضی القاعدة ان الاصل العدمی مطابق لقول الزوج، ولا احراز لموضوع قاعدة الفراش، سواء فی الشک فی اصل الدخول، أو الشک فی اصل الولادة، فان احراز الدخول، واحراز کون المولود من المرأة لابد منهما فی قاعدة الفراش، نعم قد مرّ مع الخلوة لاسیما المتکررة والمستمرة مما تقتضی العادة وقوع المس فیها فقد تقدم ان الاظهر فی النصوص أنها امارة فیکون القول قولها عند الاختلاف فی الدخول، هذا اذا کانت ثیبة وأما اذا کانت باکرا فقد مرّ ان اللازم الفحص موضوعا، وهو مقدم علی اجراء الاصول والامارات، بل الصحیح مع توفر الآلیات الحدیثة فی الفحص فی الثیب أیضاً تقدمها علی اجراء الاصول العملیة وبقیة الامارات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اتفقا علی الدخول وان المولود منها واختلفا فی المدّة،</w:t>
      </w:r>
    </w:p>
    <w:p>
      <w:pPr>
        <w:pStyle w:val="BookText"/>
        <w:rPr/>
      </w:pPr>
      <w:r>
        <w:rPr>
          <w:rFonts w:ascii="IRNazanin" w:hAnsi="IRNazanin" w:eastAsia="IRNazanin"/>
          <w:color w:val="111111"/>
          <w:sz w:val="28"/>
          <w:sz w:val="28"/>
          <w:szCs w:val="28"/>
          <w:rtl w:val="true"/>
          <w:lang w:bidi="fa-IR"/>
        </w:rPr>
        <w:t>فادّعی ان الولادة لدون المدّة المقرّرة وهی ستة أشهر، أو لأزید منها وهی اقصی الحمل أی سنة، فادعت هی خلافة، فالقول قولها لکونه مفاد قاعدة الفراش، وقد مرّ انه یکفی فی اجراء قاعدة الفراش مجرد الدخول، وکون المولود من المرأة، واما اشتراط المدّة انّه اکثر من اقلّ الحمل وادنی من اقصی الحمل أی شرط کون المدة بین هذین الحدین فانما هو بحسب الثبوت والواقع لا بحسب الظاهر وان اوهم ذلک فی عدّه من کلمات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وتخریج تقدیم قولها بحسب الاصول العدمیة أو الوجودیة، لا حاجة له بعد اجراء قاعدة الفراش، نعم الاصل العدمی معها عند الاختلاف فی تجاوز الولادة عن اقصی المدّة، وأمّا عند الاختلاف فی اقل المدّة فالاصل العدمی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اجراء قاعدة الفراش واثبات نسبة الولد له لاینتفی عنه لمجرد النفی، بل لابد من اللعان مع فرض عدم البیّنة للزوج</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طلق زوجته المدخول بها، فاعتدّت وتزوّجت ثم اتت بولد فان لم یمکن لحوقه بالثانی وأمکن لحوقه بالاوّل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اذا ولدته دون ستة أشهر فی وطی الثانی ولتمامها من غیر تجاوز عن أقصی الحمل من وطی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للاوّل، وتبیّن بطلان نکاح الثانی لتبین وقوعه فی العدّة وحرمت علیه مؤبدا لوطیه ایاها، وان انعکس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أمکن لحوقه بالثانی دون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لحق بالثانی لأن ولدته لأزید من أکثر الحمل من وطی الاوّل، ولاقل الحمل الی الاقصی من وطی الثانی، وان لم یمکن لحوقه بأحدهما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ولدته لازید من أقصی من وطی الاول ولدون ستة أشهر من وطی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انتفی منهما، وان</w:t>
      </w:r>
    </w:p>
    <w:p>
      <w:pPr>
        <w:pStyle w:val="BookText"/>
        <w:rPr/>
      </w:pPr>
      <w:r>
        <w:rPr>
          <w:rFonts w:ascii="IRNazanin" w:hAnsi="IRNazanin" w:eastAsia="IRNazanin"/>
          <w:color w:val="111111"/>
          <w:sz w:val="28"/>
          <w:sz w:val="28"/>
          <w:szCs w:val="28"/>
          <w:rtl w:val="true"/>
          <w:lang w:bidi="fa-IR"/>
        </w:rPr>
        <w:t xml:space="preserve">أمکن إلحاقه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کانت ولادته لستة أشهر من وطی الثانی ولدون أقصی الحمل من وطی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تعرض السید الاصفهانی فی هذا الفرع لصور فی تعاقب وطی الزوجین علی المرأة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توفرت شرائط اللحوق بالاول دون الثانی فیلحق الولد بالاوّل وهذا الالحاق واقعی، بحسب الشرائط الواقعیة فیه، وحینئذ یکون الحمل من الاول، وتکون فی عدة من الزوج الاول فیقع عقد الثانی باطلا، ومع وطیه تحرم علی الثانی مؤبداً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تتوفر شرائط الالحاق بالثانی دون الاول فیلحق به، وهذا الالحاق واقعی وانتفاءه عن الاول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تنتفی شرائط الالحاق لکل منهما، فحینئذ ینفی عن کل منهما واقعاً، وقد تقدم ان مع العلم بانتفاء شرط المدّة فیما بین الحدین لا تجری قاعدة الفراش</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أمکن الالحاق بکل منهما، وذلک بان یکون شرط المدّة فیما بین الحدین متوفر بالنسبة الی کل منهما، فهل یلحق بالثانی لانه صاحب قاعدة الفراش الفعلی، أو یقرع بینهما بدعوی ان کل منهما صاحب فراش حیث تحقق منه الدخول بسبب محلّل مع امکان انتساب الولد إلیه بتوفر المدّة فیما بین الحدّین، وقد وردت نصوص لکل من الوجهین، ونسب الوجه الاوّل للمشهور، وقد یقال بالتفصیل بین الوجهین بان یکون الولد للثانی فیما اذا تباعد الوطیان ولم یقعا فی طهر واحد ومضت بینهما مقدار</w:t>
      </w:r>
    </w:p>
    <w:p>
      <w:pPr>
        <w:pStyle w:val="BookText"/>
        <w:rPr/>
      </w:pPr>
      <w:r>
        <w:rPr>
          <w:rFonts w:ascii="IRNazanin" w:hAnsi="IRNazanin" w:eastAsia="IRNazanin"/>
          <w:color w:val="111111"/>
          <w:sz w:val="28"/>
          <w:sz w:val="28"/>
          <w:szCs w:val="28"/>
          <w:rtl w:val="true"/>
          <w:lang w:bidi="fa-IR"/>
        </w:rPr>
        <w:t>العدّة، وإلا فیقرع بینهما جمعا بین النصوص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ان العمل بقاعدة الفراش أو القرعة فیما اذا لم یمکن الفحص الموضوعی بتوسط الطرق الحدیثة الموجبة للعلم بان یتحدد بها عدد اشهر المولود، ومن ثمّ تطابق المدة بین الولادة وبین احد الوطیین أو یتحدد بها الجینة الوراثیة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والروایات الواردة فی المقام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ان الولد یلحق بالثانی مع امکان النسبة لکل منهما کصحیحة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للرجل منکم الجاریة یطأها فیعتقها فاعتدّت ونکحت فإن وضعت لخمسة أشهر فانّه لمولاها الذی أعتقها وإن وضعت بعدما تزوّجت لستة أشهر فإنه لزوجها الأخیر</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والتقریب بلحاظ ذیل الصحیح فان مقتضاه الحکم بالحاق الولد لصاحب الفراش الفعلی مطلقا، وتقدیمه علی قاعدة الفراش السابقة ما لم یختل شرط اجراء قاعدة الفراش فی الثانی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الصحیح لابن أبی نصر عن من رواه عن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أبی العباس</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الی جمیل بن دراج عن بعض أصحابنا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الحسن الصیقل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وسئل عن رجل اشتری جاریة ثم وقع علیها قبل أن یستبرأ رحمها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یستغفر الله ولایعود،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باعها من آخر، ولم یستبرأ رحمها ثم باعها الثانی من رجل آخر فوقع علیها ولم یستبرأ رحمها فاستبان حملها عند الثالث، فقال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Style w:val="FootnoteAnchor"/>
          <w:rtl w:val="true"/>
        </w:rPr>
        <w:footnoteReference w:id="8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طریق الشیخ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الولد للذی عنده الجاریة، ولیصبر لقول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صحیحة سعید الاعرج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وقعا علی جاریة فی طهر واحد لمن یکون 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للذی عنده لقول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وقد صرّح فیها ان الولد للذی عنده الجاریة لقاعدة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لاتصریح فیها ان الاوّل قد وطأ بسبب محلل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صحیح علی بن جعفر الا انه قد صرّح فیه بکون الواطی الاوّل هو مالک الجاریة السابق</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ولایخفی ان الروایات الاربعة الاولی هی فی مورد تباعد الوطیین ومضی العدّة بینهما، بخلاف الروایات الاواخر فإنها فی مورد تقارن الوطیین فی طهر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القرعة بین الواطیین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کصحیحة معاویة بن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وطی رجلان أو ثلاثة جاریة فی طهر واحد فولدت، فادعوه جمیعا اقرع الوالی بینهم فمن قرع کان الولد ولده ویرد قیمة الولد علی صاحب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اشتری رجل جاریة وجاء رجل فاستحقها وقد ولدت من المشتری ردّ الجاریة علیه وکان له ولدها بقیمته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صحیح سلیمان بن خالد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وقعوا علی امرأة فی طهر واحد وذلک فی الجاهلیة قبل ان یظهر الاسلام، فاقرع بینهم فجعل الولد للذی قرع، وجعل علیه ثلثی الدیّة للآخرین فضحک رسول الله صلی الله علیه و آله حتی بدّت نواجذه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اعلم فیها شیء إلا ما قضی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الدلالة ان وطی الثلاثة فی طهر واحد وان کان فی الجاهلیة</w:t>
      </w:r>
    </w:p>
    <w:p>
      <w:pPr>
        <w:pStyle w:val="BookText"/>
        <w:rPr/>
      </w:pPr>
      <w:r>
        <w:rPr>
          <w:rFonts w:ascii="IRNazanin" w:hAnsi="IRNazanin" w:eastAsia="IRNazanin"/>
          <w:color w:val="111111"/>
          <w:sz w:val="28"/>
          <w:sz w:val="28"/>
          <w:szCs w:val="28"/>
          <w:rtl w:val="true"/>
          <w:lang w:bidi="fa-IR"/>
        </w:rPr>
        <w:t>الاّ انّ لکل قوم نکاح، ولعلهم تبایعوا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تقریب الصحیحة السابقة فموردها واضح فیما نحن فیه، والظاهر ان الثلاثة وطؤوا الجاریة بملک الیمین من دون استبراء ولایخفی ان فی دلالة هذه الصحیحتین وروایة الطائفة السابقة انّ قاعدة الفراش جاریة مع کون السبب للوطی محلل وان کان نفس الوطی محرم لعارض کالحیض أو لزوم الاستبراء، نعم ذیل الصحیحة السابقة فی شراء الرجل لجاریة، ثم ظهور مالک للجاریة یستحقها، فیکون المشتری قد واقع الجاریة بشبهة ومع ذلک ینتسب إلیه الولد لانه وطی محترم وتجری فی حقّه قاعدة الفراش، وهو صاحب فراش فعلی، بینما مستحق الجاریة هو صاحب فراش سابق، فمفاد هذا الذیل اما یحمل علی تقدیم صاحب الفراش الفعلی علی الفراش السابق مطلقا، فکیف یجتمع مع مفاد صدر الصحیحة فیقید اطلاق الذیل بمورد عدم اجتماع الوطی والفراش فی طهر واحد فیما اذا تباعدا بمدّة تنقضی فیها العدّة أو الاستبراء، وبذلک تکون هذه الصحیحة من الروایات المفصلة، فتکون وجه جمع بین الطائفتین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یحمل الذیل علی ما لو تقدم وطی المالک المستحق للجاریة بسبق مدّة تزید علی اقصی الحمل</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صحیحی الحلبی ومحمد بن مسلم عن أپی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 الحرّ والعبد والمشرک بامرأة فی طهر واحد، فادعوا الولد اقرع بینهم، فکان الولد للذی یخرج سهمه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ولایخفی دلالة الصحیحتین علی اجراء قاعدة الفراش فی وطی کل من الحر والعبد علی السواء اذا کان السبب محللا، وعلی اجراء القاعدة أیضاً فی حق المسلم والمشرک علی السواء، مادام لکل قوم نکاح، وان النسب الشرعی لایدور مدار اعتناق الاسلام، بل یدور مدار السبب المحلل لکل ملّة ونحلة، ولو کانوا ملاحده، فقاعدة الفراش ذات طابع مدنی بشری کما هو شأن عقد النکاح وبقیة العقود المعاملیة أیضاً، فهی ترتبط بالنظام المعیشی المدنی البشری وان کان دین الاسلام حافلا بتشریعات جمّة فی باب المعاملات ونظام المعیشة لمن اعتنق الدین الاّ انّ ذلک بانضمام تقریره فی التعامل والتعاطی مع انظمة الملل والنحل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بصیر وهی متطابقة فی المفاد مع صحیحة سلیمان بن خالد المتقدمة إلا أنه قد صرح فیها بتبایع الجاریة فیما بینهم</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مرسلة المفید فی الارشاد</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یجمع بین هذه الطائفة والسابقة بحمل الجاریة علی ملک الیمین، والطائفة السابقة علی الزواج ووطی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ویدفعه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لافرق فی اجراء قاعدة الفراش بین ملک الیمین والنکاح، وان افترقا فی امکان نفی الولد بمجرد النفی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روایات الطائفة الاولی قد اشتمل بعضها علی ملک الیمین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الجمع بین الطائفتین بالتفصیل بین وقوع الوطیین مع تباعد المدّة بفاصل قدر العدّة فتحمل علیه الطائفة الاولی، وبین عدم الفصل بقدر العدّة کأن یقع الوطیین فی طهر واحد أو طهرین متعاقبین فتحمل علیه الطائفة الثانیة وهو حکم القرعة، فهو تفصیل متین لانّ جلّ روایات الطائفة الاولی قد صرح فیها بفصل مدّة قدر العدة، وبعضها قد اطلق فیها الفرض مما یقبل التقیید بالفصل المزبور، ویبقی فیها خصوص صحیح سعید الاعرج، وصحیح علی بن جعفر حیث صُرّح فیهما بکون الوطیین فی طهر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یجمع بین الطائفتین بحمل الطائفة الاولی علی موارد تعاقب قاعدة الفراش مطلقا، سواء وقع الفصل بمدة أو بدون مدّة، وحمل الثانیة علی الشرکاء فی الملک بحیث تکون قاعدة الفراش لکل منهم فی عرض الآخر، والشاهد علی هذا الجمع التصریح فی روایات الطائفة الثانیة بلزوم ردّ قیمة الولد للآخرین اللّذین لم یقرع لهما، وعلی ذلک یقدم صحیح سعید الاعرج وعلی بن جعفر لانّ موردها وقوع الوطیین بتعاقب الملکین وهذا هو الاظهر والاقوی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ففی صورة اجتماع وطی الشبهة مع النکاح أو ملک الیمین یکون من اقتران قاعدتی الفراش والتعیین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فتوی المشهور بذلک فی مثل هذه الصورة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طلقها ثم بعد ذلک وطئت بشبهة ثم أتت بولد فهو کالتزویج بعد العدّة فتجیء فیه الصور الاربعة المتقدمة، حتی الصورة الاخیرة، وهی ما إذا امکن اللحوق بکل منهما فانّه یلحق</w:t>
      </w:r>
    </w:p>
    <w:p>
      <w:pPr>
        <w:pStyle w:val="BookText"/>
        <w:rPr/>
      </w:pPr>
      <w:r>
        <w:rPr>
          <w:rFonts w:ascii="IRNazanin" w:hAnsi="IRNazanin" w:eastAsia="IRNazanin"/>
          <w:color w:val="111111"/>
          <w:sz w:val="28"/>
          <w:sz w:val="28"/>
          <w:szCs w:val="28"/>
          <w:rtl w:val="true"/>
          <w:lang w:bidi="fa-IR"/>
        </w:rPr>
        <w:t>بالأخیر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وطی الشبهة تارة یفرض وقوعه فی عدّة الطلاق، وأخری بعد عدّة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الصور الثلاث فی المسألة السابقة فتنسحب علی المقام سواء فی الشقین أی کان وطی الشبهة فی العدّة أو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الصورة الرابعة فیختلف الحال بین الشقین، ففی الاوّل تجتمع قاعدتی الفراش، فراش النکاح وفراش وطی الشبهة فیقرع بینهما، وأمّا فی الشقّ الثانی، ویکون الولد لصاحب الوطی الثانی وهو وطی الشبهة، لانه صاحب الفراش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تحت زوج ووطأها شخص آخر بشبهة ثم أتت بولد فان أمکن لحوقه باحدهما دون الآخر یلحق به، وان لم یمکن اللحوق بهما انتفی عنهما، وان أمکن لحوقه بکل منهما اقرع بینهما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فی الفرع السابق تنقیح هذه الشقوق، وما ذکره السید الاصفهانی کالتقیید لما اطلقه فی الفرعین السابقین فی الصورة الرابعة منهما</w:t>
      </w:r>
      <w:r>
        <w:rPr>
          <w:rFonts w:eastAsia="IRNazanin" w:cs="IRNazanin"/>
          <w:color w:val="111111"/>
          <w:sz w:val="28"/>
          <w:szCs w:val="28"/>
          <w:rtl w:val="true"/>
          <w:lang w:bidi="fa-IR"/>
        </w:rPr>
        <w:t>.</w:t>
      </w:r>
      <w:bookmarkStart w:id="53" w:name="pg13690_120436"/>
    </w:p>
    <w:p>
      <w:pPr>
        <w:pStyle w:val="Heading2"/>
        <w:numPr>
          <w:ilvl w:val="1"/>
          <w:numId w:val="1"/>
        </w:numPr>
        <w:rPr/>
      </w:pPr>
      <w:bookmarkStart w:id="54" w:name="__RefHeading___Toc907002_1468164448"/>
      <w:bookmarkStart w:id="55" w:name="_Toc20"/>
      <w:bookmarkEnd w:id="53"/>
      <w:bookmarkEnd w:id="54"/>
      <w:r>
        <w:rPr>
          <w:rtl w:val="true"/>
        </w:rPr>
        <w:t>قاعدة</w:t>
      </w:r>
      <w:r>
        <w:rPr>
          <w:rtl w:val="true"/>
        </w:rPr>
        <w:t>:</w:t>
      </w:r>
      <w:r>
        <w:rPr>
          <w:rtl w:val="true"/>
        </w:rPr>
        <w:t>یحرم من الرضاع من یحرم من النسب</w:t>
      </w:r>
      <w:bookmarkEnd w:id="5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907004_1468164448"/>
      <w:bookmarkStart w:id="57" w:name="_Toc21"/>
      <w:bookmarkEnd w:id="56"/>
      <w:r>
        <w:rPr>
          <w:rtl w:val="true"/>
        </w:rPr>
        <w:t>اشارة</w:t>
      </w:r>
      <w:bookmarkStart w:id="58" w:name="pg13690_120438"/>
      <w:bookmarkEnd w:id="57"/>
    </w:p>
    <w:p>
      <w:pPr>
        <w:pStyle w:val="Heading3"/>
        <w:numPr>
          <w:ilvl w:val="2"/>
          <w:numId w:val="1"/>
        </w:numPr>
        <w:rPr/>
      </w:pPr>
      <w:bookmarkStart w:id="59" w:name="__RefHeading___Toc907006_1468164448"/>
      <w:bookmarkStart w:id="60" w:name="_Toc22"/>
      <w:bookmarkEnd w:id="58"/>
      <w:bookmarkEnd w:id="59"/>
      <w:r>
        <w:rPr>
          <w:rtl w:val="true"/>
        </w:rPr>
        <w:t>من قواعد باب النکاح</w:t>
      </w:r>
      <w:r>
        <w:rPr>
          <w:rtl w:val="true"/>
        </w:rPr>
        <w:t>:</w:t>
      </w:r>
      <w:r>
        <w:rPr>
          <w:rtl w:val="true"/>
        </w:rPr>
        <w:t>یحرم من الرضاع ما یحرم من النسب</w:t>
      </w:r>
      <w:bookmarkEnd w:id="60"/>
    </w:p>
    <w:p>
      <w:pPr>
        <w:pStyle w:val="Heading4"/>
        <w:numPr>
          <w:ilvl w:val="3"/>
          <w:numId w:val="1"/>
        </w:numPr>
        <w:rPr/>
      </w:pPr>
      <w:bookmarkStart w:id="61" w:name="__RefHeading___Toc907008_1468164448"/>
      <w:bookmarkStart w:id="62" w:name="_Toc23"/>
      <w:bookmarkEnd w:id="61"/>
      <w:r>
        <w:rPr>
          <w:rtl w:val="true"/>
        </w:rPr>
        <w:t>اشارة</w:t>
      </w:r>
      <w:bookmarkEnd w:id="62"/>
    </w:p>
    <w:p>
      <w:pPr>
        <w:pStyle w:val="BookText"/>
        <w:rPr/>
      </w:pPr>
      <w:r>
        <w:rPr>
          <w:rFonts w:ascii="IRNazanin" w:hAnsi="IRNazanin" w:eastAsia="IRNazanin"/>
          <w:color w:val="111111"/>
          <w:sz w:val="28"/>
          <w:sz w:val="28"/>
          <w:szCs w:val="28"/>
          <w:rtl w:val="true"/>
          <w:lang w:bidi="fa-IR"/>
        </w:rPr>
        <w:t>وفیها عدة مباحث</w:t>
      </w:r>
      <w:r>
        <w:rPr>
          <w:rFonts w:eastAsia="IRNazanin" w:cs="IRNazanin"/>
          <w:color w:val="111111"/>
          <w:sz w:val="28"/>
          <w:szCs w:val="28"/>
          <w:rtl w:val="true"/>
          <w:lang w:bidi="fa-IR"/>
        </w:rPr>
        <w:t>:</w:t>
      </w:r>
    </w:p>
    <w:p>
      <w:pPr>
        <w:pStyle w:val="Heading4"/>
        <w:numPr>
          <w:ilvl w:val="3"/>
          <w:numId w:val="1"/>
        </w:numPr>
        <w:rPr/>
      </w:pPr>
      <w:bookmarkStart w:id="63" w:name="__RefHeading___Toc907010_1468164448"/>
      <w:bookmarkStart w:id="64" w:name="_Toc24"/>
      <w:bookmarkEnd w:id="63"/>
      <w:r>
        <w:rPr>
          <w:rtl w:val="true"/>
        </w:rPr>
        <w:t>المبحث الاول</w:t>
      </w:r>
      <w:r>
        <w:rPr>
          <w:rtl w:val="true"/>
        </w:rPr>
        <w:t xml:space="preserve">: </w:t>
      </w:r>
      <w:r>
        <w:rPr>
          <w:rtl w:val="true"/>
        </w:rPr>
        <w:t>فی شروط الرضاع</w:t>
      </w:r>
      <w:r>
        <w:rPr>
          <w:rtl w:val="true"/>
        </w:rPr>
        <w:t>:</w:t>
      </w:r>
      <w:bookmarkEnd w:id="64"/>
    </w:p>
    <w:p>
      <w:pPr>
        <w:pStyle w:val="Heading5"/>
        <w:numPr>
          <w:ilvl w:val="4"/>
          <w:numId w:val="1"/>
        </w:numPr>
        <w:rPr/>
      </w:pPr>
      <w:bookmarkStart w:id="65" w:name="__RefHeading___Toc907012_1468164448"/>
      <w:bookmarkStart w:id="66" w:name="_Toc25"/>
      <w:bookmarkEnd w:id="65"/>
      <w:r>
        <w:rPr>
          <w:rtl w:val="true"/>
        </w:rPr>
        <w:t>اشارة</w:t>
      </w:r>
      <w:bookmarkEnd w:id="66"/>
    </w:p>
    <w:p>
      <w:pPr>
        <w:pStyle w:val="BookText"/>
        <w:rPr/>
      </w:pPr>
      <w:r>
        <w:rPr>
          <w:rFonts w:ascii="IRNazanin" w:hAnsi="IRNazanin" w:eastAsia="IRNazanin"/>
          <w:color w:val="111111"/>
          <w:sz w:val="28"/>
          <w:sz w:val="28"/>
          <w:szCs w:val="28"/>
          <w:rtl w:val="true"/>
          <w:lang w:bidi="fa-IR"/>
        </w:rPr>
        <w:t>ان انتشار الحرمة من الرضاع یتوقف علی مجموعة من الشروط</w:t>
      </w:r>
      <w:r>
        <w:rPr>
          <w:rFonts w:eastAsia="IRNazanin" w:cs="IRNazanin"/>
          <w:color w:val="111111"/>
          <w:sz w:val="28"/>
          <w:szCs w:val="28"/>
          <w:rtl w:val="true"/>
          <w:lang w:bidi="fa-IR"/>
        </w:rPr>
        <w:t>:</w:t>
      </w:r>
    </w:p>
    <w:p>
      <w:pPr>
        <w:pStyle w:val="Heading5"/>
        <w:numPr>
          <w:ilvl w:val="4"/>
          <w:numId w:val="1"/>
        </w:numPr>
        <w:rPr/>
      </w:pPr>
      <w:bookmarkStart w:id="67" w:name="__RefHeading___Toc907014_1468164448"/>
      <w:bookmarkStart w:id="68" w:name="_Toc26"/>
      <w:bookmarkEnd w:id="67"/>
      <w:r>
        <w:rPr>
          <w:rtl w:val="true"/>
        </w:rPr>
        <w:t>الشرط الأول</w:t>
      </w:r>
      <w:r>
        <w:rPr>
          <w:rtl w:val="true"/>
        </w:rPr>
        <w:t xml:space="preserve">: </w:t>
      </w:r>
      <w:r>
        <w:rPr>
          <w:rtl w:val="true"/>
        </w:rPr>
        <w:t>أن یکون اللبن حاصلاً من وطئ صحیح،</w:t>
      </w:r>
      <w:bookmarkEnd w:id="68"/>
    </w:p>
    <w:p>
      <w:pPr>
        <w:pStyle w:val="BookText"/>
        <w:rPr/>
      </w:pPr>
      <w:r>
        <w:rPr>
          <w:rFonts w:ascii="IRNazanin" w:hAnsi="IRNazanin" w:eastAsia="IRNazanin"/>
          <w:color w:val="111111"/>
          <w:sz w:val="28"/>
          <w:sz w:val="28"/>
          <w:szCs w:val="28"/>
          <w:rtl w:val="true"/>
          <w:lang w:bidi="fa-IR"/>
        </w:rPr>
        <w:t>فلو کان بلا وطئ أو بوطئ محرم لا ینشر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الیزدی فی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اللبن حاصلًا من وطی جائز شرعاً بسبب نکاح أو ملک یمین أو تحلیل، ویلحق به وطی الشبهة علی الأقوی، فلو در اللبن من امرأة من دون نکاح لم ینشر الحرمة، وکذا لو کان اللبن من زنا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علی هذا الشرط الإجماع</w:t>
      </w:r>
      <w:r>
        <w:rPr>
          <w:rStyle w:val="FootnoteAnchor"/>
          <w:rtl w:val="true"/>
        </w:rPr>
        <w:footnoteReference w:id="91"/>
      </w:r>
      <w:r>
        <w:rPr>
          <w:rFonts w:ascii="IRNazanin" w:hAnsi="IRNazanin" w:eastAsia="IRNazanin"/>
          <w:color w:val="111111"/>
          <w:sz w:val="28"/>
          <w:sz w:val="28"/>
          <w:szCs w:val="28"/>
          <w:rtl w:val="true"/>
          <w:lang w:bidi="fa-IR"/>
        </w:rPr>
        <w:t>أو الشهرة، لکن حکی السیوری عن الشیخ فی المبسوط والعلامة فی القواعد وابن الجنید نشر اللبن من الزنا للحرمة، وأما فی تحققهما عند المتقدّمین بالنسبة إلی القید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w:t>
      </w:r>
    </w:p>
    <w:p>
      <w:pPr>
        <w:pStyle w:val="BookText"/>
        <w:rPr/>
      </w:pPr>
      <w:r>
        <w:rPr>
          <w:rFonts w:ascii="IRNazanin" w:hAnsi="IRNazanin" w:eastAsia="IRNazanin"/>
          <w:color w:val="111111"/>
          <w:sz w:val="28"/>
          <w:sz w:val="28"/>
          <w:szCs w:val="28"/>
          <w:rtl w:val="true"/>
          <w:lang w:bidi="fa-IR"/>
        </w:rPr>
        <w:t>الرضاع عن ولادة ووطی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الخلاف فیه، وأما بلحاظ القید الثانی، فبعض عبارات المتقدّمین لیست صریحة فیه، وظاهر عبارة المبسوط بناء ذلک علی مسألة النسب لنفیهم فیما إذا کان 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القید الأوّل صحیحة یونس بن یعقوب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در لبنها من غیر ولادة فأرضعت جاریة وغلاماً من ذلک اللبن هل یحرم بذلک اللبن ما یحرم من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مثلها روایة یعقوب بن شعیب</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لبن الفحل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أرضعت امرأتک من لبنک ولبن ولدک ولد امرأة أخری فهو حرام</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برید العجلی</w:t>
      </w:r>
      <w:r>
        <w:rPr>
          <w:rStyle w:val="FootnoteAnchor"/>
          <w:rtl w:val="true"/>
        </w:rPr>
        <w:footnoteReference w:id="95"/>
      </w:r>
      <w:r>
        <w:rPr>
          <w:rFonts w:ascii="IRNazanin" w:hAnsi="IRNazanin" w:eastAsia="IRNazanin"/>
          <w:color w:val="111111"/>
          <w:sz w:val="28"/>
          <w:sz w:val="28"/>
          <w:szCs w:val="28"/>
          <w:rtl w:val="true"/>
          <w:lang w:bidi="fa-IR"/>
        </w:rPr>
        <w:t>والحلبی</w:t>
      </w:r>
      <w:r>
        <w:rPr>
          <w:rStyle w:val="FootnoteAnchor"/>
          <w:rtl w:val="true"/>
        </w:rPr>
        <w:footnoteReference w:id="96"/>
      </w:r>
      <w:r>
        <w:rPr>
          <w:rFonts w:ascii="IRNazanin" w:hAnsi="IRNazanin" w:eastAsia="IRNazanin"/>
          <w:color w:val="111111"/>
          <w:sz w:val="28"/>
          <w:sz w:val="28"/>
          <w:szCs w:val="28"/>
          <w:rtl w:val="true"/>
          <w:lang w:bidi="fa-IR"/>
        </w:rPr>
        <w:t>وغیرهما تقیید اللبن بلبن الفحل، وکذا موثّق عمار</w:t>
      </w:r>
      <w:r>
        <w:rPr>
          <w:rStyle w:val="FootnoteAnchor"/>
          <w:rtl w:val="true"/>
        </w:rPr>
        <w:footnoteReference w:id="97"/>
      </w:r>
      <w:r>
        <w:rPr>
          <w:rFonts w:ascii="IRNazanin" w:hAnsi="IRNazanin" w:eastAsia="IRNazanin"/>
          <w:color w:val="111111"/>
          <w:sz w:val="28"/>
          <w:sz w:val="28"/>
          <w:szCs w:val="28"/>
          <w:rtl w:val="true"/>
          <w:lang w:bidi="fa-IR"/>
        </w:rPr>
        <w:t>وغیرها من الروایات التی قیدت اللبن بلبن الفحل أی الذی در من فحولة الفحل بالمرأة، ولا یبعد کما مال إلیه فی الجواهر أن یکون شاملًا للولادة من الحمل العالق من ماء الرجل وإن لم یکن وطئ فی البین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القید الثانی وهو کونه من حلال، فقد استدل له بصحیح عبدالله</w:t>
      </w:r>
    </w:p>
    <w:p>
      <w:pPr>
        <w:pStyle w:val="BookText"/>
        <w:rPr/>
      </w:pPr>
      <w:r>
        <w:rPr>
          <w:rFonts w:ascii="IRNazanin" w:hAnsi="IRNazanin" w:eastAsia="IRNazanin"/>
          <w:color w:val="111111"/>
          <w:sz w:val="28"/>
          <w:sz w:val="28"/>
          <w:szCs w:val="28"/>
          <w:rtl w:val="true"/>
          <w:lang w:bidi="fa-IR"/>
        </w:rPr>
        <w:t xml:space="preserve">بن سنان المتقدّم، حیث قیّد بلبن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المنسوب للرجل وهو فی مورد الحلال؛ إذ النسبة مقطوعة فیما إذا کان من حرام، وبالتعبیر فیها أیضاً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فی الحلیة بالعقد أو الیمین، ولانصراف لبن الفحل فی المطلقات إلی لبن الزوج أو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النسب کما ذکرنا فی</w:t>
      </w:r>
      <w:r>
        <w:rPr>
          <w:rStyle w:val="FootnoteAnchor"/>
          <w:rtl w:val="true"/>
        </w:rPr>
        <w:footnoteReference w:id="98"/>
      </w:r>
      <w:r>
        <w:rPr>
          <w:rFonts w:ascii="IRNazanin" w:hAnsi="IRNazanin" w:eastAsia="IRNazanin"/>
          <w:color w:val="111111"/>
          <w:sz w:val="28"/>
          <w:sz w:val="28"/>
          <w:szCs w:val="28"/>
          <w:rtl w:val="true"/>
          <w:lang w:bidi="fa-IR"/>
        </w:rPr>
        <w:t>المحرّمات بالنسب علقة تکوینیة ولیست اعتباراً شرعیاً، غایة الأمر منه ما یکون طاهراً فیما کان الوطی من حلال ومنه ما یکون خبیثاً فیما کان من حرام، وقد یأخذ الشارع فی موضوع أحکامه فی بعض الأبواب حصة من طبیعی النسب کما فی الإرث أو المناصب الشرعیة، وعن ابن الجنید أنه ذهب إلی حصول التحریم فیما کان اللبن من زنا بلحاظ</w:t>
      </w:r>
    </w:p>
    <w:p>
      <w:pPr>
        <w:pStyle w:val="BookText"/>
        <w:rPr/>
      </w:pPr>
      <w:r>
        <w:rPr>
          <w:rFonts w:ascii="IRNazanin" w:hAnsi="IRNazanin" w:eastAsia="IRNazanin"/>
          <w:color w:val="111111"/>
          <w:sz w:val="28"/>
          <w:sz w:val="28"/>
          <w:szCs w:val="28"/>
          <w:rtl w:val="true"/>
          <w:lang w:bidi="fa-IR"/>
        </w:rPr>
        <w:t>المرضعة وأهلها علی المرتضع، وأما بین المرتضع والزانی وأهله فهو أحوط وأولی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التقیید بصحیح عبدالله بن سنان فهو وإن کان لا یشمل الأجنبیة، إلّا أن المطلقات کصحیح برید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امرأة أرضعت من لبن فحلها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الحلبی وغیرها</w:t>
      </w:r>
      <w:r>
        <w:rPr>
          <w:rStyle w:val="FootnoteAnchor"/>
          <w:rtl w:val="true"/>
        </w:rPr>
        <w:footnoteReference w:id="99"/>
      </w:r>
      <w:r>
        <w:rPr>
          <w:rFonts w:ascii="IRNazanin" w:hAnsi="IRNazanin" w:eastAsia="IRNazanin"/>
          <w:color w:val="111111"/>
          <w:sz w:val="28"/>
          <w:sz w:val="28"/>
          <w:szCs w:val="28"/>
          <w:rtl w:val="true"/>
          <w:lang w:bidi="fa-IR"/>
        </w:rPr>
        <w:t>، فهو شامل لمطلق الفحولة التکوینیة؛ إذ الفحل فی اللغة هی الذکورة أو القوة فیها، کما یعبّر عن اللقاح بالفحولة بمعنی المصدر، ومع إطلاق الروایات لا تحمل علی المقید، بل فی أبواب الرضاع من أحکام الأولاد أن الأمة لو زنت فأراد أن یسترضعها</w:t>
      </w:r>
    </w:p>
    <w:p>
      <w:pPr>
        <w:pStyle w:val="BookText"/>
        <w:rPr/>
      </w:pPr>
      <w:r>
        <w:rPr>
          <w:rFonts w:ascii="IRNazanin" w:hAnsi="IRNazanin" w:eastAsia="IRNazanin"/>
          <w:color w:val="111111"/>
          <w:sz w:val="28"/>
          <w:sz w:val="28"/>
          <w:szCs w:val="28"/>
          <w:rtl w:val="true"/>
          <w:lang w:bidi="fa-IR"/>
        </w:rPr>
        <w:t>المالک فإنه یحلل الزانی فیطیب اللبن</w:t>
      </w:r>
      <w:r>
        <w:rPr>
          <w:rStyle w:val="FootnoteAnchor"/>
          <w:rtl w:val="true"/>
        </w:rPr>
        <w:footnoteReference w:id="100"/>
      </w:r>
      <w:r>
        <w:rPr>
          <w:rFonts w:ascii="IRNazanin" w:hAnsi="IRNazanin" w:eastAsia="IRNazanin"/>
          <w:color w:val="111111"/>
          <w:sz w:val="28"/>
          <w:sz w:val="28"/>
          <w:szCs w:val="28"/>
          <w:rtl w:val="true"/>
          <w:lang w:bidi="fa-IR"/>
        </w:rPr>
        <w:t>، مع أن الزنا لا ینقلب عما وقع علیه، إذ لا کشف حقیقی فی الأحکام التکلیفیة، فظاهرها أنه یکون بمنزلة اللبن الذی من حلال، مع أنه لا یخرج عن کونه لبن من الزنا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الخنثی المشکل فحیث لا تحرز أنوثتها فلا تحرز کونها امرأة الذی هو موضوع التحریم، وشمول الموضوع للجنس الثالث أو للذکر فیما لو رضع محل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الحلبی</w:t>
      </w:r>
      <w:r>
        <w:rPr>
          <w:rStyle w:val="FootnoteAnchor"/>
          <w:rtl w:val="true"/>
        </w:rPr>
        <w:footnoteReference w:id="101"/>
      </w:r>
      <w:r>
        <w:rPr>
          <w:rFonts w:ascii="IRNazanin" w:hAnsi="IRNazanin" w:eastAsia="IRNazanin"/>
          <w:color w:val="111111"/>
          <w:sz w:val="28"/>
          <w:sz w:val="28"/>
          <w:szCs w:val="28"/>
          <w:rtl w:val="true"/>
          <w:lang w:bidi="fa-IR"/>
        </w:rPr>
        <w:t>النهی عن استرضاع الزانیة المجوسیّة إلا أن تضطر إلیها، وفی صحیح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لبن الیهودیة والنصرانیة والمجوسیة أحب إلی من لبن الزنا</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 فالظاهر منها سیاق الرضاع‌من الزنا مساق طبیعی الرضاع وإن 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العموم والإطلاق فی الرضاع أن النسب الذی نزل الرضاع منزلته مطلق، فإن النسب کما مرّ تکوینی یعم ما کان من حلال أو من حرام، فیعاضد الإطلاق فی الرضاع أیضاً، فالاحتیاط متعین إن لم یکن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یعضد ذلک ما ذهب إلیه المشهور فی وطی الشبهة، فإن العنوان المأخوذ فی صحیحة عبدالله بن سنان غیر صادق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هل یشترط کون اللبن من المرضعة بعد الولادة وانفصال</w:t>
      </w:r>
    </w:p>
    <w:p>
      <w:pPr>
        <w:pStyle w:val="BookText"/>
        <w:rPr/>
      </w:pPr>
      <w:r>
        <w:rPr>
          <w:rFonts w:ascii="IRNazanin" w:hAnsi="IRNazanin" w:eastAsia="IRNazanin"/>
          <w:color w:val="111111"/>
          <w:sz w:val="28"/>
          <w:sz w:val="28"/>
          <w:szCs w:val="28"/>
          <w:rtl w:val="true"/>
          <w:lang w:bidi="fa-IR"/>
        </w:rPr>
        <w:t>الولد أو یجتزأ به حملًا؟ ظاهر من اشترط کون اللبن عن وطئ جائز ولم یشترط انفصال الولد هو الإطلاق، وحکی عن العلامة فی القواعد الاکتفاء بالحمل</w:t>
      </w:r>
      <w:r>
        <w:rPr>
          <w:rStyle w:val="FootnoteAnchor"/>
          <w:rtl w:val="true"/>
        </w:rPr>
        <w:footnoteReference w:id="103"/>
      </w:r>
      <w:r>
        <w:rPr>
          <w:rFonts w:ascii="IRNazanin" w:hAnsi="IRNazanin" w:eastAsia="IRNazanin"/>
          <w:color w:val="111111"/>
          <w:sz w:val="28"/>
          <w:sz w:val="28"/>
          <w:szCs w:val="28"/>
          <w:rtl w:val="true"/>
          <w:lang w:bidi="fa-IR"/>
        </w:rPr>
        <w:t>، وکذا المسالک والروضة والمبسوط، وحکی المبسوط خلاف ذلک، وذهب فی التحریر</w:t>
      </w:r>
      <w:r>
        <w:rPr>
          <w:rStyle w:val="FootnoteAnchor"/>
          <w:rtl w:val="true"/>
        </w:rPr>
        <w:footnoteReference w:id="104"/>
      </w:r>
      <w:r>
        <w:rPr>
          <w:rFonts w:ascii="IRNazanin" w:hAnsi="IRNazanin" w:eastAsia="IRNazanin"/>
          <w:color w:val="111111"/>
          <w:sz w:val="28"/>
          <w:sz w:val="28"/>
          <w:szCs w:val="28"/>
          <w:rtl w:val="true"/>
          <w:lang w:bidi="fa-IR"/>
        </w:rPr>
        <w:t>وصاحب المدارک فی شرح النافع والتذکرة إلی اشتراط الولادة، وکذا فی الحدائق ونسبه فی الجواهر إلی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یستدل للثانی بما فی معتبرة یونس بن یعقوب المتقدّمة عن المرأة التی درّ لبنها عن غیر ولادة، أنه لا یحرم، وروایة یعقوب بن شعیب</w:t>
      </w:r>
      <w:r>
        <w:rPr>
          <w:rStyle w:val="FootnoteAnchor"/>
          <w:rtl w:val="true"/>
        </w:rPr>
        <w:footnoteReference w:id="105"/>
      </w:r>
      <w:r>
        <w:rPr>
          <w:rFonts w:ascii="IRNazanin" w:hAnsi="IRNazanin" w:eastAsia="IRNazanin"/>
          <w:color w:val="111111"/>
          <w:sz w:val="28"/>
          <w:sz w:val="28"/>
          <w:szCs w:val="28"/>
          <w:rtl w:val="true"/>
          <w:lang w:bidi="fa-IR"/>
        </w:rPr>
        <w:t>، وکما فی صحیح عبدالله بن سنان أیضاً</w:t>
      </w:r>
      <w:r>
        <w:rPr>
          <w:rStyle w:val="FootnoteAnchor"/>
          <w:rtl w:val="true"/>
        </w:rPr>
        <w:footnoteReference w:id="106"/>
      </w:r>
      <w:r>
        <w:rPr>
          <w:rFonts w:ascii="IRNazanin" w:hAnsi="IRNazanin" w:eastAsia="IRNazanin"/>
          <w:color w:val="111111"/>
          <w:sz w:val="28"/>
          <w:sz w:val="28"/>
          <w:szCs w:val="28"/>
          <w:rtl w:val="true"/>
          <w:lang w:bidi="fa-IR"/>
        </w:rPr>
        <w:t>، حین نسب اللبن للولد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إلیها فی الحدائق ما ورد من الأخبار فی باب الحیض من أن غذاء الطفل فی بطن أمه إنما هو بدم الحیض، وبعد الولادة یحیله الله تعالی إلی اللبن، فیغذو به بعد الولادة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الکل نظر، لأن ظاهر الروایات فی المرأة التی درّ لبنها من غیر ولادة أی من غیر لقاح؛ لأن لبن السقط بعد الانفصال یبنون علی إیجابه للتحریم ونشره لها، فالمراد من غیر ولادة أی المرأة الحائل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سبب لدرّ اللبن فی طبیعة المرأة</w:t>
      </w:r>
      <w:r>
        <w:rPr>
          <w:rFonts w:eastAsia="IRNazanin" w:cs="IRNazanin"/>
          <w:color w:val="111111"/>
          <w:sz w:val="28"/>
          <w:szCs w:val="28"/>
          <w:rtl w:val="true"/>
          <w:lang w:bidi="fa-IR"/>
        </w:rPr>
        <w:t>.</w:t>
      </w:r>
      <w:bookmarkStart w:id="69" w:name="pg13690_120443"/>
    </w:p>
    <w:p>
      <w:pPr>
        <w:pStyle w:val="BookText"/>
        <w:rPr/>
      </w:pPr>
      <w:bookmarkEnd w:id="69"/>
      <w:r>
        <w:rPr>
          <w:rFonts w:ascii="IRNazanin" w:hAnsi="IRNazanin" w:eastAsia="IRNazanin"/>
          <w:color w:val="111111"/>
          <w:sz w:val="28"/>
          <w:sz w:val="28"/>
          <w:szCs w:val="28"/>
          <w:rtl w:val="true"/>
          <w:lang w:bidi="fa-IR"/>
        </w:rPr>
        <w:t xml:space="preserve">وأما التعبیر فی صحیح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فیصدق علی الحمل، ومن ثمّ یستثنی له الإرث وان اشترط انفصاله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الواردة فی أن غذاء الطفل وهو حمل دم الحیض وأنه یستحیل بعد الولادة لبناً، فهذا یجری مجری الغالب ولا یستفاد منها نفی نسبة اللبن، أو المراد أن غالب اللبن یدر مع الولادة، فالمشاهد أن بدایة دره وتکوّنه أثناء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یشترط بقاء المرأة فی حبالة الرجل لنشر الحرمة؟</w:t>
      </w:r>
    </w:p>
    <w:p>
      <w:pPr>
        <w:pStyle w:val="BookText"/>
        <w:rPr/>
      </w:pPr>
      <w:r>
        <w:rPr>
          <w:rFonts w:ascii="IRNazanin" w:hAnsi="IRNazanin" w:eastAsia="IRNazanin"/>
          <w:color w:val="111111"/>
          <w:sz w:val="28"/>
          <w:sz w:val="28"/>
          <w:szCs w:val="28"/>
          <w:rtl w:val="true"/>
          <w:lang w:bidi="fa-IR"/>
        </w:rPr>
        <w:t>لا یشترط ذلک لإطلاق الأدلة وبقاء الإضافة، إذ هی تابعة للمنشئیّة فمن ثمّ یشمل ما لو تزوجت ودخل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حملت من الثانی ففی بدایة الحمل قد لا ینسب إلی الزوج الثانی، ولکن مع استمرار الحمل قد یشکل نسبة اللبن إلی الزوج الأوّل، لا سیما وأن حالات النساء مختلفة، فبعضهن یجف اللبن السابق ویبدأ تکون اللبن من الحمل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یدور مدار النسبة، وهی تختلف من مرأة إلی أخری بحسب الأمزجة وبحسب تقادم مدّة الحمل، وعن المسالک احتمال النسبة لکلّ من الزوجین واحتمال أن یکون بحکم تخلل الرضعات بلبن فحل آخر، فلا تنشأ الحرمة لکلّ منهما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0" w:name="__RefHeading___Toc907016_1468164448"/>
      <w:bookmarkStart w:id="71" w:name="_Toc27"/>
      <w:bookmarkEnd w:id="70"/>
      <w:r>
        <w:rPr>
          <w:rtl w:val="true"/>
        </w:rPr>
        <w:t>الشرط الثانی</w:t>
      </w:r>
      <w:r>
        <w:rPr>
          <w:rtl w:val="true"/>
        </w:rPr>
        <w:t xml:space="preserve">: </w:t>
      </w:r>
      <w:r>
        <w:rPr>
          <w:rtl w:val="true"/>
        </w:rPr>
        <w:t>أن یکون شرب اللبن بالامتصاص من الثدی</w:t>
      </w:r>
      <w:r>
        <w:rPr>
          <w:rtl w:val="true"/>
        </w:rPr>
        <w:t>:</w:t>
      </w:r>
      <w:bookmarkEnd w:id="71"/>
    </w:p>
    <w:p>
      <w:pPr>
        <w:pStyle w:val="BookText"/>
        <w:rPr/>
      </w:pPr>
      <w:r>
        <w:rPr>
          <w:rFonts w:ascii="IRNazanin" w:hAnsi="IRNazanin" w:eastAsia="IRNazanin"/>
          <w:color w:val="111111"/>
          <w:sz w:val="28"/>
          <w:sz w:val="28"/>
          <w:szCs w:val="28"/>
          <w:rtl w:val="true"/>
          <w:lang w:bidi="fa-IR"/>
        </w:rPr>
        <w:t>حکی عن موضع من المبسوط‌</w:t>
      </w:r>
      <w:r>
        <w:rPr>
          <w:rStyle w:val="FootnoteAnchor"/>
          <w:rtl w:val="true"/>
        </w:rPr>
        <w:footnoteReference w:id="107"/>
      </w:r>
      <w:r>
        <w:rPr>
          <w:rFonts w:ascii="IRNazanin" w:hAnsi="IRNazanin" w:eastAsia="IRNazanin"/>
          <w:color w:val="111111"/>
          <w:sz w:val="28"/>
          <w:sz w:val="28"/>
          <w:szCs w:val="28"/>
          <w:rtl w:val="true"/>
          <w:lang w:bidi="fa-IR"/>
        </w:rPr>
        <w:t>والإسکافی</w:t>
      </w:r>
      <w:r>
        <w:rPr>
          <w:rStyle w:val="FootnoteAnchor"/>
          <w:rtl w:val="true"/>
        </w:rPr>
        <w:footnoteReference w:id="108"/>
      </w:r>
      <w:r>
        <w:rPr>
          <w:rFonts w:ascii="IRNazanin" w:hAnsi="IRNazanin" w:eastAsia="IRNazanin"/>
          <w:color w:val="111111"/>
          <w:sz w:val="28"/>
          <w:sz w:val="28"/>
          <w:szCs w:val="28"/>
          <w:rtl w:val="true"/>
          <w:lang w:bidi="fa-IR"/>
        </w:rPr>
        <w:t>عدم الاشتراط، حیث قالا بکفایة أن یوجر الثدی فی فم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الصدوق فی المرسلة التی رواها الفقیه</w:t>
      </w:r>
      <w:r>
        <w:rPr>
          <w:rStyle w:val="FootnoteAnchor"/>
          <w:rtl w:val="true"/>
        </w:rPr>
        <w:footnoteReference w:id="109"/>
      </w:r>
      <w:r>
        <w:rPr>
          <w:rFonts w:ascii="IRNazanin" w:hAnsi="IRNazanin" w:eastAsia="IRNazanin"/>
          <w:color w:val="111111"/>
          <w:sz w:val="28"/>
          <w:sz w:val="28"/>
          <w:szCs w:val="28"/>
          <w:rtl w:val="true"/>
          <w:lang w:bidi="fa-IR"/>
        </w:rPr>
        <w:t>، لکن المشهور شهرة عظیمة، بل حکی الاتفاق علی لزوم الرضاع أی الالتقام من الثدی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یستدل له بما فی صحیح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إلّا ما ارتضعا من ثدی واحد حولین کاملین</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صحیح العلاء بن رزین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أنه قد یتأمل فیه أنه یصحّح صدق من النشویة لا أنها بمعنی باء الملابسة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بصحیح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أمیر المؤمنین،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امرأتی حلبت من لبنها فی مکوک</w:t>
      </w:r>
      <w:r>
        <w:rPr>
          <w:rStyle w:val="FootnoteAnchor"/>
          <w:rtl w:val="true"/>
        </w:rPr>
        <w:footnoteReference w:id="112"/>
      </w:r>
      <w:r>
        <w:rPr>
          <w:rFonts w:ascii="IRNazanin" w:hAnsi="IRNazanin" w:eastAsia="IRNazanin"/>
          <w:color w:val="111111"/>
          <w:sz w:val="28"/>
          <w:sz w:val="28"/>
          <w:szCs w:val="28"/>
          <w:rtl w:val="true"/>
          <w:lang w:bidi="fa-IR"/>
        </w:rPr>
        <w:t>، فأسقته جاریتی،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أوجع امرأتک وعلیک بجاریتک</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bookmarkStart w:id="72" w:name="pg13690_120445"/>
    </w:p>
    <w:p>
      <w:pPr>
        <w:pStyle w:val="BookText"/>
        <w:rPr/>
      </w:pPr>
      <w:bookmarkEnd w:id="72"/>
      <w:r>
        <w:rPr>
          <w:rFonts w:ascii="IRNazanin" w:hAnsi="IRNazanin" w:eastAsia="IRNazanin"/>
          <w:color w:val="111111"/>
          <w:sz w:val="28"/>
          <w:sz w:val="28"/>
          <w:szCs w:val="28"/>
          <w:rtl w:val="true"/>
          <w:lang w:bidi="fa-IR"/>
        </w:rPr>
        <w:t>و یخدش فی الاستدلال أن الظاهر من الجاریة لیست الرضیعة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العمدة ما استدل به من أن الرضاع هو بلقم الثدی وامتصاص الطفل منه فی أصل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تأیید ذلک بما مرّ فی صحیح الحلبی من التعبیر بالسقایة لا بالرضاع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حلب اللبن، ونظیره فی صحیح محمد بن قیس، حیث فرض الراوی عن امرأة حلبت فأسقت زوجها</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 وکذا ما فی مرسلة الصدوق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وجور الصبی بمنزلة الرضاع</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فإن المقابلة بین الرضاع والوجور یدل علی تباین استعمال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قوبل بین الرضاع والحلب فی الاستعمال اللغوی أیضاً</w:t>
      </w:r>
      <w:r>
        <w:rPr>
          <w:rFonts w:eastAsia="IRNazanin" w:cs="IRNazanin"/>
          <w:color w:val="111111"/>
          <w:sz w:val="28"/>
          <w:szCs w:val="28"/>
          <w:rtl w:val="true"/>
          <w:lang w:bidi="fa-IR"/>
        </w:rPr>
        <w:t>.</w:t>
      </w:r>
    </w:p>
    <w:p>
      <w:pPr>
        <w:pStyle w:val="Heading5"/>
        <w:numPr>
          <w:ilvl w:val="4"/>
          <w:numId w:val="1"/>
        </w:numPr>
        <w:rPr/>
      </w:pPr>
      <w:bookmarkStart w:id="73" w:name="__RefHeading___Toc907018_1468164448"/>
      <w:bookmarkStart w:id="74" w:name="_Toc28"/>
      <w:bookmarkEnd w:id="73"/>
      <w:r>
        <w:rPr>
          <w:rtl w:val="true"/>
        </w:rPr>
        <w:t>الشرط الثالث</w:t>
      </w:r>
      <w:r>
        <w:rPr>
          <w:rtl w:val="true"/>
        </w:rPr>
        <w:t xml:space="preserve">: </w:t>
      </w:r>
      <w:r>
        <w:rPr>
          <w:rtl w:val="true"/>
        </w:rPr>
        <w:t>أن تکون المرأة حیة</w:t>
      </w:r>
      <w:r>
        <w:rPr>
          <w:rtl w:val="true"/>
        </w:rPr>
        <w:t>:</w:t>
      </w:r>
      <w:bookmarkEnd w:id="7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تردد فیه صاحب الشرائع</w:t>
      </w:r>
      <w:r>
        <w:rPr>
          <w:rStyle w:val="FootnoteAnchor"/>
          <w:rtl w:val="true"/>
        </w:rPr>
        <w:footnoteReference w:id="117"/>
      </w:r>
      <w:r>
        <w:rPr>
          <w:rFonts w:ascii="IRNazanin" w:hAnsi="IRNazanin" w:eastAsia="IRNazanin"/>
          <w:color w:val="111111"/>
          <w:sz w:val="28"/>
          <w:sz w:val="28"/>
          <w:szCs w:val="28"/>
          <w:rtl w:val="true"/>
          <w:lang w:bidi="fa-IR"/>
        </w:rPr>
        <w:t>، وقال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لبن المیتة لا ینشر الحرمة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قال بعضهم،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ینشر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ولعله إشارة إلی أقوال العامة</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یذکر الشرط کلّ من المقنعة والمقنع والکافی</w:t>
      </w:r>
    </w:p>
    <w:p>
      <w:pPr>
        <w:pStyle w:val="BookText"/>
        <w:rPr/>
      </w:pPr>
      <w:r>
        <w:rPr>
          <w:rFonts w:ascii="IRNazanin" w:hAnsi="IRNazanin" w:eastAsia="IRNazanin"/>
          <w:color w:val="111111"/>
          <w:sz w:val="28"/>
          <w:sz w:val="28"/>
          <w:szCs w:val="28"/>
          <w:rtl w:val="true"/>
          <w:lang w:bidi="fa-IR"/>
        </w:rPr>
        <w:t>والوسیلة والانتصار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یظهر من الخلاف أنها اتفاقیة بیننا، حیث لم یحک علیه الإجماع، حیث استدل بظاهر الآیة</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 له بأن المیتة لا یصدق علیها عنوان المرأة أو المرضعة، بل هی میتة جامدة، وغایة الأمر لو شک فی نشر الحرمة، فالأصل عمومات الحل، وبإن تناول اللبن لو تحقّق کلّه فی زمن الموت لا یستراب فی خروجه عن موضوع الحرمة واندراجه فی عموم الحل، فیلحق به ما لو کان بعضه کذلک لعدم القول بالفصل، وبأن ظاهر الفعل المأخوذ فی موضوع الحرمة فی الآیة أَرْضَعْنَکُمْ ظاهر فی الفعل الاختیاری الذی هو من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وجملة هذه القرائن لا تخلو من تأمل لترتب جملة من الأحکام علی عنوان المرأة وهی میتة، کما فی أحکام تجهیز المیت وأحکام الحدود کالزنا وأحکام النظر واللمس وغیرها من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یتبین الکلام فی صدق عنوان الرضاع علیه، لا سیما وأن الذی هو محل الابتلاء من الفروض هو ما لو حصل إکمال النصاب فی الرضعات الأخیرة بذلک، وبعد صدق العنوان وإطلاق دلیل الرضاع یتمسک بإطلاق دلیل الحرمة، وبأن إلحاق الصور التی هی محل الابتلاء، بما لو کان کلّه فی حال الموت ممنوع الحل فی الملحق به فضلًا عن الملحق، إذ وضوح خروج المنزل علیه عن أدلة الحرمة وانصرافها عنه، إنما هو لامتناعه فی 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استظهار الاختیاریة فلم یلتزموا به فی النائمة والمغمی علیها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البناء علی هذا الشرط محل تأمل، وشمول الإطلاقات</w:t>
      </w:r>
      <w:bookmarkStart w:id="75" w:name="pg13690_120447"/>
    </w:p>
    <w:p>
      <w:pPr>
        <w:pStyle w:val="BookText"/>
        <w:rPr/>
      </w:pPr>
      <w:bookmarkEnd w:id="75"/>
      <w:r>
        <w:rPr>
          <w:rFonts w:ascii="IRNazanin" w:hAnsi="IRNazanin" w:eastAsia="IRNazanin"/>
          <w:color w:val="111111"/>
          <w:sz w:val="28"/>
          <w:sz w:val="28"/>
          <w:szCs w:val="28"/>
          <w:rtl w:val="true"/>
          <w:lang w:bidi="fa-IR"/>
        </w:rPr>
        <w:t>للصورة المفروضة الابتلائیّة قریب، فالاحتیاط متعین</w:t>
      </w:r>
      <w:r>
        <w:rPr>
          <w:rFonts w:eastAsia="IRNazanin" w:cs="IRNazanin"/>
          <w:color w:val="111111"/>
          <w:sz w:val="28"/>
          <w:szCs w:val="28"/>
          <w:rtl w:val="true"/>
          <w:lang w:bidi="fa-IR"/>
        </w:rPr>
        <w:t>.</w:t>
      </w:r>
    </w:p>
    <w:p>
      <w:pPr>
        <w:pStyle w:val="Heading5"/>
        <w:numPr>
          <w:ilvl w:val="4"/>
          <w:numId w:val="1"/>
        </w:numPr>
        <w:rPr/>
      </w:pPr>
      <w:bookmarkStart w:id="76" w:name="__RefHeading___Toc907020_1468164448"/>
      <w:bookmarkStart w:id="77" w:name="_Toc29"/>
      <w:bookmarkEnd w:id="76"/>
      <w:r>
        <w:rPr>
          <w:rtl w:val="true"/>
        </w:rPr>
        <w:t>الشرط الرابع</w:t>
      </w:r>
      <w:r>
        <w:rPr>
          <w:rtl w:val="true"/>
        </w:rPr>
        <w:t xml:space="preserve">: </w:t>
      </w:r>
      <w:r>
        <w:rPr>
          <w:rtl w:val="true"/>
        </w:rPr>
        <w:t>أن یکون المرتضع فی أثناء الحولین</w:t>
      </w:r>
      <w:r>
        <w:rPr>
          <w:rtl w:val="true"/>
        </w:rPr>
        <w:t>:</w:t>
      </w:r>
      <w:bookmarkEnd w:id="77"/>
    </w:p>
    <w:p>
      <w:pPr>
        <w:pStyle w:val="BookText"/>
        <w:rPr/>
      </w:pPr>
      <w:r>
        <w:rPr>
          <w:rFonts w:ascii="IRNazanin" w:hAnsi="IRNazanin" w:eastAsia="IRNazanin"/>
          <w:color w:val="111111"/>
          <w:sz w:val="28"/>
          <w:sz w:val="28"/>
          <w:szCs w:val="28"/>
          <w:rtl w:val="true"/>
          <w:lang w:bidi="fa-IR"/>
        </w:rPr>
        <w:t>لم یحک خلاف إلّا عن ابن الجنید، فقد ذهب إلی تحریم الرضاع بعد الحولین قبل الفطام أی جعل المدار علی الفطام، وعن ابن عقیل عدم التحریم بعد الفطام ولو أثناء الحولین، وأما اشتراط حولی ولد المرضعة فحکی عن أبی الصلاح وابنی زهرة وحمزة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یقع فی استفادة هذه الشروط من الروایات الواردة، کما فی صحیح منصور بن حازم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رضاع بعد فطام </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وفی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فمعنی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 أن الولد إذا شرب لبن المرأة بعد ما تفطمه لا یحرم ذلک الرضاع التناکح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ومثلها صحیح الحلبی، ولو کنا نحن وهذا الإطلاق فالظاهر استفادة شرطیة عدم فطام الولد، وأن المدار علی فطام المرتضع دون شرطیة الحولین بالنسبة إلیه أو إلی المرضعة، ومعتبرة الفضل بن عبد الملک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قبل الحولین قبل أن یفطم</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وظاهرها قیدیة کلّ من الفطام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الحولین بالنسبة للمرتضع، ووحدة السیاق قاضیة بکون الحولین بالنسبة إلی المرتضع دون المرضعة، وإن احتمل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بدل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ولکنّه خلاف أصالة التأسیس واحترازیة القیود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معتبرة حمّاد بن عثمان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رضاع بعد فطام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الفطام؟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الحولین الذی قال الله عز وجل</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وإن وقع فیها سهل بن زیاد إلّا أن الأمر فی سهل سهل، ویعضد تفسیر الفطام بالحولین ما بنی علیه المشهور فی حق الحضانة للمرأة</w:t>
      </w:r>
      <w:r>
        <w:rPr>
          <w:rStyle w:val="FootnoteAnchor"/>
          <w:rtl w:val="true"/>
        </w:rPr>
        <w:footnoteReference w:id="124"/>
      </w:r>
      <w:r>
        <w:rPr>
          <w:rFonts w:ascii="Amiri" w:hAnsi="Amiri" w:eastAsia="Amiri" w:cs="Amiri"/>
          <w:color w:val="111111"/>
          <w:sz w:val="28"/>
          <w:sz w:val="28"/>
          <w:szCs w:val="28"/>
          <w:rtl w:val="true"/>
          <w:lang w:bidi="ar-SA"/>
        </w:rPr>
        <w:t>، حیث قید فی روایاتها أنه إلی الفطام، واستظهروا منه الحولین، کما هو مفاد الآیة الکریمة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 وَ فِصالُهُ ثَلاثُونَ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احتمل فی الجواهر إرادة الفطام لا الحولین، وإن قوّی کلام المشهور، لا سیما وأنه فی روایات الحضانة قد استشهد بالآیة الکریمة، وأشار إلی وحدة الموضوع بین الحضانة والفطام فی البابین کاشف اللثام، لکن فی باب أقل مدة الرضاع</w:t>
      </w:r>
      <w:r>
        <w:rPr>
          <w:rStyle w:val="FootnoteAnchor"/>
          <w:rtl w:val="true"/>
        </w:rPr>
        <w:footnoteReference w:id="125"/>
      </w:r>
      <w:r>
        <w:rPr>
          <w:rFonts w:ascii="IRNazanin" w:hAnsi="IRNazanin" w:eastAsia="IRNazanin"/>
          <w:color w:val="111111"/>
          <w:sz w:val="28"/>
          <w:sz w:val="28"/>
          <w:szCs w:val="28"/>
          <w:rtl w:val="true"/>
          <w:lang w:bidi="fa-IR"/>
        </w:rPr>
        <w:t>ورد تفسیر الفصال قبل الحولین الوارد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أَرادا فِصالاً عَنْ تَراضٍ بالفطام، مما یظهر بأن الفطام قد یستعمل کنایة عن الفطام المقرّر شرعاً وهو الحولان، أی الذی ینبغی عنده الفطام، وتارة یستعمل بمعنی تحقّق الفصل خارجاً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المدار علی أسبق القیدین تحقّقاً، إما الفطام المقرّر شرعاً أو الفصل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ما ورد فی معتبرة حماد هو بیان الحد الأعلی والأمد الأبعد للفطام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هذا التفسیر ما ورد فی باب أحکام الأولاد</w:t>
      </w:r>
      <w:r>
        <w:rPr>
          <w:rStyle w:val="FootnoteAnchor"/>
          <w:rtl w:val="true"/>
        </w:rPr>
        <w:footnoteReference w:id="126"/>
      </w:r>
      <w:r>
        <w:rPr>
          <w:rFonts w:ascii="IRNazanin" w:hAnsi="IRNazanin" w:eastAsia="IRNazanin"/>
          <w:color w:val="111111"/>
          <w:sz w:val="28"/>
          <w:sz w:val="28"/>
          <w:szCs w:val="28"/>
          <w:rtl w:val="true"/>
          <w:lang w:bidi="fa-IR"/>
        </w:rPr>
        <w:t>من روایات أن الأمد الواجب للرضاع واحد وعشرون شهراً وإن ما نقص</w:t>
      </w:r>
    </w:p>
    <w:p>
      <w:pPr>
        <w:pStyle w:val="BookText"/>
        <w:rPr/>
      </w:pPr>
      <w:r>
        <w:rPr>
          <w:rFonts w:ascii="IRNazanin" w:hAnsi="IRNazanin" w:eastAsia="IRNazanin"/>
          <w:color w:val="111111"/>
          <w:sz w:val="28"/>
          <w:sz w:val="28"/>
          <w:szCs w:val="28"/>
          <w:rtl w:val="true"/>
          <w:lang w:bidi="fa-IR"/>
        </w:rPr>
        <w:t>عن ذلک هو جور علی الصبی، وفی صحیحة عبید بن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إلّا ما ارتضعا من ثدی واحد حولین کاملین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وهی ظاهرة فی قیدیة الحولین للمرتضع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داود بن الحصین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بعد الحولین قبل أن یفطم محرم</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معرض عنها لموافقتها للعامة ومعارضتها لجملة روایات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أخری للحلبی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کان حولین کاملین</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وقد حمل کصحیح عبید بن زرارة المتقدّم علی کون الحولین ظرف للرضاع، والفطام فی باب حق الحضانة، وإن صح حمله علی الإشارة إلی الحولین؛ لأن الارضاع فیها حکمة للحکم، ولکنّه فی المقام لا موجب له بعد کونه موضوعاً للحکم، ومقتضی الأخذ بکلا القیدین هو انتهاء أمد الرضاع بأقربهما وقوعاً</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تحقّق الرضاع بعد الفطام أثناء الحولین یبطل صدق العنوان، أو أن تحدید الشارع استحقاق المرتضع للرضاع حولین کاملین قاض بعدم تحقّق العنوان قبل مضیّهما، وأن ما یقع من رضاع هو فی محلّه</w:t>
      </w:r>
      <w:bookmarkStart w:id="78" w:name="pg13690_120450"/>
    </w:p>
    <w:p>
      <w:pPr>
        <w:pStyle w:val="BookText"/>
        <w:rPr/>
      </w:pPr>
      <w:bookmarkEnd w:id="78"/>
      <w:r>
        <w:rPr>
          <w:rFonts w:ascii="IRNazanin" w:hAnsi="IRNazanin" w:eastAsia="IRNazanin"/>
          <w:color w:val="111111"/>
          <w:sz w:val="28"/>
          <w:sz w:val="28"/>
          <w:szCs w:val="28"/>
          <w:rtl w:val="true"/>
          <w:lang w:bidi="fa-IR"/>
        </w:rPr>
        <w:t>مدة الحولین، ولو وقع قبله فصال لحاجة المرتضع له، وعلی أی تقدیر فلو تردد القید بین الحدین فمقتضی إطلاقات تحریم الرضاع هو الاقتصار علی المتیقّن من القید المنفصل، وهو الأخذ بالحولین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أخذ الحولین قیداً فی المرضعة وولدها فلا ظهور یقتضیه، وإنما هو مجرّد احتمال فی الدلالة لا موجب له یرکن إلیه</w:t>
      </w:r>
      <w:r>
        <w:rPr>
          <w:rFonts w:eastAsia="IRNazanin" w:cs="IRNazanin"/>
          <w:color w:val="111111"/>
          <w:sz w:val="28"/>
          <w:szCs w:val="28"/>
          <w:rtl w:val="true"/>
          <w:lang w:bidi="fa-IR"/>
        </w:rPr>
        <w:t>.</w:t>
      </w:r>
    </w:p>
    <w:p>
      <w:pPr>
        <w:pStyle w:val="Heading5"/>
        <w:numPr>
          <w:ilvl w:val="4"/>
          <w:numId w:val="1"/>
        </w:numPr>
        <w:rPr/>
      </w:pPr>
      <w:bookmarkStart w:id="79" w:name="__RefHeading___Toc907022_1468164448"/>
      <w:bookmarkStart w:id="80" w:name="_Toc30"/>
      <w:bookmarkEnd w:id="79"/>
      <w:r>
        <w:rPr>
          <w:rtl w:val="true"/>
        </w:rPr>
        <w:t>الشرط الخامس</w:t>
      </w:r>
      <w:r>
        <w:rPr>
          <w:rtl w:val="true"/>
        </w:rPr>
        <w:t xml:space="preserve">: </w:t>
      </w:r>
      <w:r>
        <w:rPr>
          <w:rtl w:val="true"/>
        </w:rPr>
        <w:t>فی کمیة الرضاع</w:t>
      </w:r>
      <w:r>
        <w:rPr>
          <w:rtl w:val="true"/>
        </w:rPr>
        <w:t>:</w:t>
      </w:r>
      <w:bookmarkEnd w:id="80"/>
    </w:p>
    <w:p>
      <w:pPr>
        <w:pStyle w:val="Heading6"/>
        <w:numPr>
          <w:ilvl w:val="5"/>
          <w:numId w:val="1"/>
        </w:numPr>
        <w:rPr/>
      </w:pPr>
      <w:bookmarkStart w:id="81" w:name="__RefHeading___Toc907024_1468164448"/>
      <w:bookmarkStart w:id="82" w:name="_Toc31"/>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الأقوال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الیزدی فی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بلوغه حداً معیناً، فلا یکفی مسمّی الرضاع ولا رضعة کاملة، وله فی الأخبار وعند فقهاء الأخیار تحدیدات وتقدیرات ثلاثة؛ الأثر والزمان والعدد، وأی واحد منها حصل کفی فی نشر الحرمة، فأما الأثر فهو أن یرضع بمقدار نبت اللحم وشدّ العظم، وأما الزمان فهو أن یرتضع من المرأة یوماً ولیلة مع اتصالهما بأن یکون غذاءه فی هذه المدّة منحصر بلبن المرأة، وأما العدد فهو أن یرتضع منها خمس عشرة رضعة کاملة</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المشهور شهرة عظیمة بین الأصحاب، وحکی عن ابن الجنید القول بالرضعة الواحدة وحکی عن القاضی النعمان المصری الاکتفاء بالمسمّی، وعن المفید والدیلمی وابن سعید الاقتصار علی التقدیر بالزمان والعدد، وعن الطبرسی والحلبیین جعل التقدیر الزمانی والعددی هو</w:t>
      </w:r>
    </w:p>
    <w:p>
      <w:pPr>
        <w:pStyle w:val="BookText"/>
        <w:rPr/>
      </w:pPr>
      <w:r>
        <w:rPr>
          <w:rFonts w:ascii="IRNazanin" w:hAnsi="IRNazanin" w:eastAsia="IRNazanin"/>
          <w:color w:val="111111"/>
          <w:sz w:val="28"/>
          <w:sz w:val="28"/>
          <w:szCs w:val="28"/>
          <w:rtl w:val="true"/>
          <w:lang w:bidi="fa-IR"/>
        </w:rPr>
        <w:t>الکاشف عن الأثر، وظاهر التهذیبین وعن المسالک الاکتفاء فی الأثر بنبات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التحدید بالعدد الأشهر عند المتقدّمین العشر، والأشهر عند المتأخرین ومتأخریهم الخمسة عشر، والحاصل أن کلًا من القولین مشهور فی الطبقات المختلفة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العامة فهو وإن نقل عنهم شهرة الرضعة والمصّة</w:t>
      </w:r>
      <w:r>
        <w:rPr>
          <w:rStyle w:val="FootnoteAnchor"/>
          <w:rtl w:val="true"/>
        </w:rPr>
        <w:footnoteReference w:id="131"/>
      </w:r>
      <w:r>
        <w:rPr>
          <w:rFonts w:ascii="IRNazanin" w:hAnsi="IRNazanin" w:eastAsia="IRNazanin"/>
          <w:color w:val="111111"/>
          <w:sz w:val="28"/>
          <w:sz w:val="28"/>
          <w:szCs w:val="28"/>
          <w:rtl w:val="true"/>
          <w:lang w:bidi="fa-IR"/>
        </w:rPr>
        <w:t>، إلّا أن جماعة منهم ذهب إلی الثلاث</w:t>
      </w:r>
      <w:r>
        <w:rPr>
          <w:rStyle w:val="FootnoteAnchor"/>
          <w:rtl w:val="true"/>
        </w:rPr>
        <w:footnoteReference w:id="132"/>
      </w:r>
      <w:r>
        <w:rPr>
          <w:rFonts w:ascii="IRNazanin" w:hAnsi="IRNazanin" w:eastAsia="IRNazanin"/>
          <w:color w:val="111111"/>
          <w:sz w:val="28"/>
          <w:sz w:val="28"/>
          <w:szCs w:val="28"/>
          <w:rtl w:val="true"/>
          <w:lang w:bidi="fa-IR"/>
        </w:rPr>
        <w:t>، وحکی عن المشهور بینهم الخمس کالشافعی وأحمد وإسحاق وطاووس وعطاء وسعید بن جبیر وعبدالله بن مسعود وعائشة، استناداً لما روته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فیما أنزل الله فی القرآن عشر رضعات معلومات یحرمن، ثمّ نسخه بخمس معلومات وأنه صلی الله علیه و آله توفی وهی مما تقرأ بالقرآن</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وأخرجوه فی صحاحهم إلّا البخاری، وحکی التحریم بالعشر عن عائشة وحفصة وجماعة منهم لما رووه عن عائشة أنها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آیة الرجم ورضاعة الکبیر عشراً، ولقد کانت فی صحیفة تحت سریری فلما مات صلی الله علیه و آله وتشاغلنا بموته دخل داجن فأکلها</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التقدیر الزمانی فلم یحک خلاف إلّا فی قول شاذ ذکر فی المقنع</w:t>
      </w:r>
    </w:p>
    <w:p>
      <w:pPr>
        <w:pStyle w:val="BookText"/>
        <w:rPr/>
      </w:pPr>
      <w:r>
        <w:rPr>
          <w:rFonts w:ascii="IRNazanin" w:hAnsi="IRNazanin" w:eastAsia="IRNazanin"/>
          <w:color w:val="111111"/>
          <w:sz w:val="28"/>
          <w:sz w:val="28"/>
          <w:szCs w:val="28"/>
          <w:rtl w:val="true"/>
          <w:lang w:bidi="fa-IR"/>
        </w:rPr>
        <w:t>أنه روی ولا یعرف قائله وهو خمسة عشر یوماً، وعن الفقه الرضوی أنه ثلاثة أیام إلّا أنه رمی بالشذوذ، والروایات الواردة منها ما دل علی العشرة عدداً بالمنطوق أو المفهوم، ومنها ما دل علی الخمسة عشر إما بالمنطوق أو بنفی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الذی دل علی العشرة بالمنطوق کمصحح الفضیل بن یسار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یحرم من الرضاع إلّا المخبورة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خادم أو ظئر، ثمّ یرضع عشر رضعات یروی الصبی وینام</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وموثّق عبید بن زرارة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الرضاع، ما أدنی ما یحرم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ینبت اللحم والدم،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واحدة تنبته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أصلحک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أزل أعدّ علیه حتی بلغت عشر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قد یستظهر من هذه الموثّقة أن مفادها النفی عن العشرة وأنها فی عداد الأعداد السابقة من الرضاعات التی لا یسببن الحرمة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بالمفهوم کموثّقة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الغلام یرضع الرضعة والثنتین؟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فعددت علیه حتی أکملت عشر رضعات،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متفرقة فلا</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وهی دالة بالمفهوم علی أنه مع التوالی یحرمن، ومنطوقها صریح فی أن العشرة فی عداد ما قبلها لا یحرمن، غایة الأمر قید عدم التحریم فیهن بالتفرق، ومفادها شاهد علی کون موثّق عبید المتقدّم مفاده نفی سببیة العشرة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بنفس التعبیر موثّقة مسعدة بن زیاد</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دل علی الخمسة عشر، موثّقة زیاد بن سوقة،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للرضاع حدّ یؤخذ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أقل من یوم ولیلة أو خمسة عشر رضعة متوالیات من امرأة واحدة من لبن فحل واحد لم یفصل بینهما رضعة امرأة غیرها، فلو أن امرأة أرضعت غلاماً أو جاریة عشر رضعات من لبن فحل واحد وأرضعتهما امرأة أخری من لبن</w:t>
      </w:r>
    </w:p>
    <w:p>
      <w:pPr>
        <w:pStyle w:val="BookText"/>
        <w:rPr/>
      </w:pPr>
      <w:r>
        <w:rPr>
          <w:rFonts w:ascii="IRNazanin" w:hAnsi="IRNazanin" w:eastAsia="IRNazanin"/>
          <w:color w:val="111111"/>
          <w:sz w:val="28"/>
          <w:sz w:val="28"/>
          <w:szCs w:val="28"/>
          <w:rtl w:val="true"/>
          <w:lang w:bidi="fa-IR"/>
        </w:rPr>
        <w:t>فحل آخر عشر رضعات لم یحرم نکاحهما</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دلالتها علی اعتبار الخمسة عشر رضعة بالمنطوق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ذیل هذه الموثّقة ظاهر فی أن العشر المتوالیات لا یحرمن ما لم یبلغن خمسة عشر وإن اتحد الفعل والمرأة فی العشرة، وأنه لا یکفی الخمسة عشر مع تعدد المرأة وتعدد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میزة فی دلالة هذه الصحیحة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الروایات النافیة للعشرة المعاضدة للخمس عشرة رضعة، کصحیحة علی بن رئاب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الرضاع؟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وشدّ العظم،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عشر رضعات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لا تنبت اللحم ولا تشدّ العظم عشر رضعات</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وهذه الصحیحة کالصریحة فی أن عدم التحریم لیس لاختلال التوالی، بل إن العشرة من حیث هی لا توجب إنبات اللحم وشدّ العظم، ومثلها موثّق</w:t>
      </w:r>
      <w:bookmarkStart w:id="83" w:name="pg13690_120454"/>
    </w:p>
    <w:p>
      <w:pPr>
        <w:pStyle w:val="BookText"/>
        <w:rPr/>
      </w:pPr>
      <w:bookmarkEnd w:id="83"/>
      <w:r>
        <w:rPr>
          <w:rFonts w:ascii="IRNazanin" w:hAnsi="IRNazanin" w:eastAsia="IRNazanin"/>
          <w:color w:val="111111"/>
          <w:sz w:val="28"/>
          <w:sz w:val="28"/>
          <w:szCs w:val="28"/>
          <w:rtl w:val="true"/>
          <w:lang w:bidi="fa-IR"/>
        </w:rPr>
        <w:t>عبید بن زرارة وموثّق عبدالله بن بکیر</w:t>
      </w:r>
      <w:r>
        <w:rPr>
          <w:rStyle w:val="FootnoteAnchor"/>
          <w:rtl w:val="true"/>
        </w:rPr>
        <w:footnoteReference w:id="140"/>
      </w:r>
      <w:r>
        <w:rPr>
          <w:rFonts w:ascii="Amiri" w:hAnsi="Amiri" w:eastAsia="Amiri" w:cs="Amiri"/>
          <w:color w:val="111111"/>
          <w:sz w:val="28"/>
          <w:sz w:val="28"/>
          <w:szCs w:val="28"/>
          <w:rtl w:val="true"/>
          <w:lang w:bidi="ar-SA"/>
        </w:rPr>
        <w:t>إلّا أنهما لم یتضمّنا تعلیلًا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صحیح عبید بن زرارة،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بیت کبیر فربما کان الفرح والحزن الذی یجتمع فیه الرجال والنساء، فربما استخفت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أن تکشف رأسها عند الرجل الذی بینها وبینه رضاع، وربما استخف الرجل أن ینظر إلی ذلک، فما الذی یحرِّم من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والدم،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ینبت اللحم والدم،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 عشر رضعات،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تحرم عشر رضعات؟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من النسب فهو یحرم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الصحیحة حاکمة بدلالتها علی ما دل علی العشر من ناحیة جهة الصدور، وذلک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 العشرة إلی القیل وأمر الراوی بترکه، وقد حکی العامة عن عائشة أنها کانت تلتزم بتحریم العشرة، ثمّ عدلت إلی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والظریف أن فی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عبر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یفید بأن القائل التزم بالعشرة فیما سبق، وهو کالإشارة إلی قول عائشة القدیم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هو القول بالخمسة عشر لوجوه</w:t>
      </w:r>
      <w:r>
        <w:rPr>
          <w:rFonts w:eastAsia="IRNazanin" w:cs="IRNazanin"/>
          <w:color w:val="111111"/>
          <w:sz w:val="28"/>
          <w:szCs w:val="28"/>
          <w:rtl w:val="true"/>
          <w:lang w:bidi="fa-IR"/>
        </w:rPr>
        <w:t>:</w:t>
      </w:r>
    </w:p>
    <w:p>
      <w:pPr>
        <w:pStyle w:val="Heading6"/>
        <w:numPr>
          <w:ilvl w:val="5"/>
          <w:numId w:val="1"/>
        </w:numPr>
        <w:rPr/>
      </w:pPr>
      <w:bookmarkStart w:id="84" w:name="__RefHeading___Toc907026_1468164448"/>
      <w:bookmarkStart w:id="85" w:name="_Toc32"/>
      <w:bookmarkEnd w:id="84"/>
      <w:r>
        <w:rPr>
          <w:rtl w:val="true"/>
        </w:rPr>
        <w:t>الوجه الأوّل</w:t>
      </w:r>
      <w:r>
        <w:rPr>
          <w:rtl w:val="true"/>
        </w:rPr>
        <w:t xml:space="preserve">: </w:t>
      </w:r>
      <w:r>
        <w:rPr>
          <w:rtl w:val="true"/>
        </w:rPr>
        <w:t>صراحة موثّقة زیاد بن سوقة</w:t>
      </w:r>
      <w:r>
        <w:rPr>
          <w:rtl w:val="true"/>
        </w:rPr>
        <w:t>:</w:t>
      </w:r>
      <w:bookmarkEnd w:id="8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نفی سببیة العشرة المتوالیة، وهذا یدفع الجمع بین الروایات النافیة والمثبتة بالعشرة بالتفصیل بین التوالی والتفرق، ومع صراحتها لیس فی البین ما یناهضها دلالةً فی الطائفة الأولی حتی موثّقة الفضیل بن یسار؛ لأن</w:t>
      </w:r>
      <w:bookmarkStart w:id="86" w:name="pg13690_120455"/>
    </w:p>
    <w:p>
      <w:pPr>
        <w:pStyle w:val="BookText"/>
        <w:rPr/>
      </w:pPr>
      <w:bookmarkEnd w:id="86"/>
      <w:r>
        <w:rPr>
          <w:rFonts w:ascii="IRNazanin" w:hAnsi="IRNazanin" w:eastAsia="IRNazanin"/>
          <w:color w:val="111111"/>
          <w:sz w:val="28"/>
          <w:sz w:val="28"/>
          <w:szCs w:val="28"/>
          <w:rtl w:val="true"/>
          <w:lang w:bidi="fa-IR"/>
        </w:rPr>
        <w:t>ظاهر عنوان الخادم أو الظئر تستأجر وعنوان المخبورة التی هی المربیة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فضیل بطریق آخر للشیخ والصدوق</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الاستمرار مدّة معتدّ بها کما فی موثّقة موسی بن بکر</w:t>
      </w:r>
      <w:r>
        <w:rPr>
          <w:rStyle w:val="FootnoteAnchor"/>
          <w:rtl w:val="true"/>
        </w:rPr>
        <w:footnoteReference w:id="142"/>
      </w:r>
      <w:r>
        <w:rPr>
          <w:rFonts w:ascii="IRNazanin" w:hAnsi="IRNazanin" w:eastAsia="IRNazanin"/>
          <w:color w:val="111111"/>
          <w:sz w:val="28"/>
          <w:sz w:val="28"/>
          <w:szCs w:val="28"/>
          <w:rtl w:val="true"/>
          <w:lang w:bidi="fa-IR"/>
        </w:rPr>
        <w:t>لاسیما وأنه قید فی هذه الموثّقة بالعشر رضعات، بأن کلًا من الرضعات یروی الصبی وینام، وظاهر قید النوم هو تخلل رضعات أخری یرتوی فیها الصبی، أی یترک الثدی من نفسه، لکن من دون أن ینام وبالتالی تزید عدد الرضعات عن العشر التی یتوفر فیها الشرائط المقرّرة فی فتاوی الفقهاء والنصوص الروائیة</w:t>
      </w:r>
      <w:r>
        <w:rPr>
          <w:rFonts w:eastAsia="IRNazanin" w:cs="IRNazanin"/>
          <w:color w:val="111111"/>
          <w:sz w:val="28"/>
          <w:szCs w:val="28"/>
          <w:rtl w:val="true"/>
          <w:lang w:bidi="fa-IR"/>
        </w:rPr>
        <w:t>.</w:t>
      </w:r>
    </w:p>
    <w:p>
      <w:pPr>
        <w:pStyle w:val="Heading6"/>
        <w:numPr>
          <w:ilvl w:val="5"/>
          <w:numId w:val="1"/>
        </w:numPr>
        <w:rPr/>
      </w:pPr>
      <w:bookmarkStart w:id="87" w:name="__RefHeading___Toc907028_1468164448"/>
      <w:bookmarkStart w:id="88" w:name="_Toc33"/>
      <w:bookmarkEnd w:id="87"/>
      <w:r>
        <w:rPr>
          <w:rtl w:val="true"/>
        </w:rPr>
        <w:t>الوجه الثانی</w:t>
      </w:r>
      <w:r>
        <w:rPr>
          <w:rtl w:val="true"/>
        </w:rPr>
        <w:t xml:space="preserve">: </w:t>
      </w:r>
      <w:r>
        <w:rPr>
          <w:rtl w:val="true"/>
        </w:rPr>
        <w:t>ما فی صحیحة عبید بن زرارة</w:t>
      </w:r>
      <w:r>
        <w:rPr>
          <w:rtl w:val="true"/>
        </w:rPr>
        <w:t>:</w:t>
      </w:r>
      <w:bookmarkEnd w:id="88"/>
    </w:p>
    <w:p>
      <w:pPr>
        <w:pStyle w:val="BookText"/>
        <w:rPr/>
      </w:pPr>
      <w:r>
        <w:rPr>
          <w:rFonts w:ascii="IRNazanin" w:hAnsi="IRNazanin" w:eastAsia="IRNazanin"/>
          <w:color w:val="111111"/>
          <w:sz w:val="28"/>
          <w:sz w:val="28"/>
          <w:szCs w:val="28"/>
          <w:rtl w:val="true"/>
          <w:lang w:bidi="fa-IR"/>
        </w:rPr>
        <w:t>الحاکمة علی جهة الصدور فیما دل علی العشر</w:t>
      </w:r>
      <w:r>
        <w:rPr>
          <w:rFonts w:eastAsia="IRNazanin" w:cs="IRNazanin"/>
          <w:color w:val="111111"/>
          <w:sz w:val="28"/>
          <w:szCs w:val="28"/>
          <w:rtl w:val="true"/>
          <w:lang w:bidi="fa-IR"/>
        </w:rPr>
        <w:t>.</w:t>
      </w:r>
    </w:p>
    <w:p>
      <w:pPr>
        <w:pStyle w:val="Heading6"/>
        <w:numPr>
          <w:ilvl w:val="5"/>
          <w:numId w:val="1"/>
        </w:numPr>
        <w:rPr/>
      </w:pPr>
      <w:bookmarkStart w:id="89" w:name="__RefHeading___Toc907030_1468164448"/>
      <w:bookmarkStart w:id="90" w:name="_Toc34"/>
      <w:bookmarkEnd w:id="89"/>
      <w:r>
        <w:rPr>
          <w:rtl w:val="true"/>
        </w:rPr>
        <w:t>الوجه الثالث</w:t>
      </w:r>
      <w:r>
        <w:rPr>
          <w:rtl w:val="true"/>
        </w:rPr>
        <w:t xml:space="preserve">: </w:t>
      </w:r>
      <w:r>
        <w:rPr>
          <w:rtl w:val="true"/>
        </w:rPr>
        <w:t>کثرة ما دل علی الخمسة عشر</w:t>
      </w:r>
      <w:r>
        <w:rPr>
          <w:rtl w:val="true"/>
        </w:rPr>
        <w:t>:</w:t>
      </w:r>
      <w:bookmarkEnd w:id="90"/>
    </w:p>
    <w:p>
      <w:pPr>
        <w:pStyle w:val="BookText"/>
        <w:rPr/>
      </w:pPr>
      <w:r>
        <w:rPr>
          <w:rFonts w:ascii="IRNazanin" w:hAnsi="IRNazanin" w:eastAsia="IRNazanin"/>
          <w:color w:val="111111"/>
          <w:sz w:val="28"/>
          <w:sz w:val="28"/>
          <w:szCs w:val="28"/>
          <w:rtl w:val="true"/>
          <w:lang w:bidi="fa-IR"/>
        </w:rPr>
        <w:t>سواء بالمنطوق أو بنفی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إن ما دل علی العشرة لیس إلّا روایة واحدة منطوقاً، وأما ما دل بالمفهوم فهو مطلق قابل للتقیید بالخمسة عشر، لا سیما أن ما دل علی الخمسة عشر قد قیدها بالتوالی</w:t>
      </w:r>
      <w:r>
        <w:rPr>
          <w:rFonts w:eastAsia="IRNazanin" w:cs="IRNazanin"/>
          <w:color w:val="111111"/>
          <w:sz w:val="28"/>
          <w:szCs w:val="28"/>
          <w:rtl w:val="true"/>
          <w:lang w:bidi="fa-IR"/>
        </w:rPr>
        <w:t>.</w:t>
      </w:r>
    </w:p>
    <w:p>
      <w:pPr>
        <w:pStyle w:val="Heading6"/>
        <w:numPr>
          <w:ilvl w:val="5"/>
          <w:numId w:val="1"/>
        </w:numPr>
        <w:rPr/>
      </w:pPr>
      <w:bookmarkStart w:id="91" w:name="__RefHeading___Toc907032_1468164448"/>
      <w:bookmarkStart w:id="92" w:name="_Toc35"/>
      <w:bookmarkEnd w:id="91"/>
      <w:r>
        <w:rPr>
          <w:rtl w:val="true"/>
        </w:rPr>
        <w:t>الوجه الرابع</w:t>
      </w:r>
      <w:r>
        <w:rPr>
          <w:rtl w:val="true"/>
        </w:rPr>
        <w:t xml:space="preserve">: </w:t>
      </w:r>
      <w:r>
        <w:rPr>
          <w:rtl w:val="true"/>
        </w:rPr>
        <w:t>قوة ما دل علی نفی التحریم عن العشرة</w:t>
      </w:r>
      <w:r>
        <w:rPr>
          <w:rtl w:val="true"/>
        </w:rPr>
        <w:t>:</w:t>
      </w:r>
      <w:bookmarkEnd w:id="9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لاشتماله علی التعلیل بکونه غیر منبت للحم ولا یشدّ العظم، وهذا معاضد لحمل العشرة علی التقیة الدال علیها صحیح عبید بن زرارة من أن المدار فی الحرمة علی إنبات اللحم وشدّ العظم وأنه غیر حاصل بالعشر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روایة عمر بن یزید،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رضعة لا تحرم</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وهی مطلقة محمولة علی المتفرقات، وهی معاضدة أیضاً للروایات النافیة للعشرة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العلاء بن رزین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ارتضع من ثدی واحد سنة</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وهو 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موثّق زرارة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ارتضعا من ثدی واحد حولین کاملین</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حمل علی ظرفیة الرضاع لا کمیته، ولعل وجه الظرفیة وجه حمل الصحیح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التحدید بالزمان فبالیوم واللیلة، ولم یحک خلاف فی ذلک إلّا فی الفقه الرضوی،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والحد الذی یحرم به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علیه العصابة دون کلّ ما روی، فإنه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وقوی العظم، وهو ثلاثة أیام متوالیات أو عشرة رضعات متوالیات محرزات مرویات بلبن الفحل</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وفی المقنع ذکر أنه روی خمسة عشر یوماً ولیالیهن لیس بینهن رضاع، وذکر أنه روی أیضاً ما کان حولین کاملین أو ما ارتضع من ثدی واحد سنة</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تقدّم فی موثّق زیاد بن سوقة أنه لا یحرم الرضاع أقل من یوم</w:t>
      </w:r>
    </w:p>
    <w:p>
      <w:pPr>
        <w:pStyle w:val="BookText"/>
        <w:rPr/>
      </w:pPr>
      <w:r>
        <w:rPr>
          <w:rFonts w:ascii="IRNazanin" w:hAnsi="IRNazanin" w:eastAsia="IRNazanin"/>
          <w:color w:val="111111"/>
          <w:sz w:val="28"/>
          <w:sz w:val="28"/>
          <w:szCs w:val="28"/>
          <w:rtl w:val="true"/>
          <w:lang w:bidi="fa-IR"/>
        </w:rPr>
        <w:t>ولیلة وأنها متوالیات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مرسلة الصدوق فی المقنع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لذلک حدّ؟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إلّا رضاع یوم ولیلة أو خمس عشرة رضعة متوالیات لا یفصل بینهن</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صحیحة العلاء بن رزین المتضمّنة للتحدید بما ارتضع من ثدی واحد سنة</w:t>
      </w:r>
      <w:r>
        <w:rPr>
          <w:rStyle w:val="FootnoteAnchor"/>
          <w:rtl w:val="true"/>
        </w:rPr>
        <w:footnoteReference w:id="148"/>
      </w:r>
      <w:r>
        <w:rPr>
          <w:rFonts w:ascii="IRNazanin" w:hAnsi="IRNazanin" w:eastAsia="IRNazanin"/>
          <w:color w:val="111111"/>
          <w:sz w:val="28"/>
          <w:sz w:val="28"/>
          <w:szCs w:val="28"/>
          <w:rtl w:val="true"/>
          <w:lang w:bidi="fa-IR"/>
        </w:rPr>
        <w:t xml:space="preserve">وفی موثّق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ارتضعا من ثدی واحد حولین کاملین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فقد تقدّم حملهما علی بیان ظرفیة الرضاع، أی تحدید الظرف الذی یقع فیه الرضاع المقدّر کمّاً أو زمناً، إذ سیأتی اشتراط وقوع المقدار المحرّم کماً أو عدداً أو کیفیة فی ظرف الحولین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التحدید بالأثر وهو ما أنبت اللحم وشدّ العظم، فالمشهور بین الأصحاب أنهما معاً علامة مستقلة، إلّا أنه حکی عن الشهید الأوّل فی اللمعة الاکتفاء بأحدهما، وحکاه فی نهایة المرام عن جماعة أیضاً، وقوّاه وعلله بالتلازم، وکأنه یرید الاکتفاء بأحدهما فی مقام الإثبات لا الثبوت، وحکی عن الحلبیین والطبرسی وظاهر التهذیبین، واحتمل عن بعض المتقدّمین أیضاً ارجاع هذا التحدید فی مقام الإثبات، بأن یستعلم بالعلامتین السابقتین، وقد یستظهر هذا من جملة من الأصحاب الذین عبروا عن موضوع التحریم فی الرضاع أنه ما ینبت اللحم ویشد العظم، وأن حدّه إرضاع یوم ولیلة أو خمس عشرة رضعة، ویستفاد من تعبیرهم هذا أن الموضوع حقیقة هو الأثر، وأن التقدیر بالزمان والعدد وبقیة الشرائط</w:t>
      </w:r>
    </w:p>
    <w:p>
      <w:pPr>
        <w:pStyle w:val="BookText"/>
        <w:rPr/>
      </w:pPr>
      <w:r>
        <w:rPr>
          <w:rFonts w:ascii="IRNazanin" w:hAnsi="IRNazanin" w:eastAsia="IRNazanin"/>
          <w:color w:val="111111"/>
          <w:sz w:val="28"/>
          <w:sz w:val="28"/>
          <w:szCs w:val="28"/>
          <w:rtl w:val="true"/>
          <w:lang w:bidi="fa-IR"/>
        </w:rPr>
        <w:t>علامة وحدّ إثباتی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فی الروایات مصحح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من الرضاع إلّا ما أنبت اللحم وشدّ العظم</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وهذا الحصر المطلق قد یستظهر منه أن الموضوع الأصلی للتحریم هو الأثر وأن التحدید بالمقدارین علامة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صحیح حماد بن عثمان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أنبت اللحم والدم</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والتعبیر فی هذه الصحیحة قد استعیض عن شد العظم بنبت الدم، وهو یفسح المجال لاحتمال الاکتفاء بأحدهما، لا سیما وأن نبت الدم علی درجات، وهو أول ما یحصل من الأثر قبل نبت اللحم وشدّ العظم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محمد بن مسلم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رضع الغلام من نساء شتی وکان ذلک عدّة أو نبت لحمه ودمه علیه حرم علیه بناتهنّ کلّهن</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وصریح هذه الروایة الاستعلام فی موضوع الحرمة بکل من التقدیر والأثر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متصوّر وقوعاً کما إذا اختلت شرائط الرضعات فی العدد أو الزمان، لکن کان بنحو متطاول یلاحظ فیه ازدیاد وزن الطفل ونمو جسمه طولًا الذی هو علامة علی اشتداد العظم وزیادته سمکاً أو حجماً</w:t>
      </w:r>
    </w:p>
    <w:p>
      <w:pPr>
        <w:pStyle w:val="BookText"/>
        <w:rPr/>
      </w:pPr>
      <w:r>
        <w:rPr>
          <w:rFonts w:ascii="IRNazanin" w:hAnsi="IRNazanin" w:eastAsia="IRNazanin"/>
          <w:color w:val="111111"/>
          <w:sz w:val="28"/>
          <w:sz w:val="28"/>
          <w:szCs w:val="28"/>
          <w:rtl w:val="true"/>
          <w:lang w:bidi="fa-IR"/>
        </w:rPr>
        <w:t>وهو علامة علی إنبات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مصحّح عبدالله بن سنان روایته الأخری التی رواها الکلینی عنه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یحرم من الرضاع الرضعة والرضعتان أو الثلاثة؟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ما اشتد علیه العظم ونبت اللحم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ومثل هذا اللفظ فی موثّق مسعدة</w:t>
      </w:r>
      <w:r>
        <w:rPr>
          <w:rStyle w:val="FootnoteAnchor"/>
          <w:rtl w:val="true"/>
        </w:rPr>
        <w:footnoteReference w:id="154"/>
      </w:r>
      <w:r>
        <w:rPr>
          <w:rFonts w:ascii="IRNazanin" w:hAnsi="IRNazanin" w:eastAsia="IRNazanin"/>
          <w:color w:val="111111"/>
          <w:sz w:val="28"/>
          <w:sz w:val="28"/>
          <w:szCs w:val="28"/>
          <w:rtl w:val="true"/>
          <w:lang w:bidi="fa-IR"/>
        </w:rPr>
        <w:t>، ثمّ إن فی صحیح عبید بن زرارة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الذی یحرم من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أنبت اللحم والدم،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ینبت اللحم والدم؟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یقال عشر رضعات،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تحرم عشر رضعات؟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فظاهر الصحیحة أن العدد علامة علی الأثر، ومثلها موثّق عبید بن زرارة المتقدّم أیضاً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أدنی ما یحرم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ینبت اللحم والدم،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واحدة تنبته؟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اثنتان أصلحک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أزل أعد علیه حتی بلغت عشر رضعات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وظهوره کظهور صحیحته السابقة فی کون العدد علامة علی الأثر، کما أنها تضمّنت إنبات اللحم والدم دون العظم، کما أن موثّق مسعدة المتقدّم وعبدالله بن سنان أیضاً ظاهرتان فی طریقیة العدد للأثر، وفی صحیح علی بن رئاب المتقدّم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یحرم من الرضاع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أنبت اللحم وشد العظم،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فیحرم عشر رضعات؟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لأنه لا تنبت اللحم ولا تشدّ العظم عشر رضعات</w:t>
      </w:r>
      <w:r>
        <w:rPr>
          <w:rFonts w:eastAsia="IRNazanin" w:cs="IRNazanin"/>
          <w:color w:val="111111"/>
          <w:sz w:val="28"/>
          <w:szCs w:val="28"/>
          <w:rtl w:val="true"/>
          <w:lang w:bidi="fa-IR"/>
        </w:rPr>
        <w:t>»</w:t>
      </w:r>
      <w:r>
        <w:rPr>
          <w:rStyle w:val="FootnoteAnchor"/>
          <w:rtl w:val="true"/>
        </w:rPr>
        <w:footnoteReference w:id="156"/>
      </w:r>
      <w:bookmarkStart w:id="93" w:name="pg13690_120460"/>
    </w:p>
    <w:p>
      <w:pPr>
        <w:pStyle w:val="BookText"/>
        <w:rPr/>
      </w:pPr>
      <w:bookmarkEnd w:id="93"/>
      <w:r>
        <w:rPr>
          <w:rFonts w:ascii="IRNazanin" w:hAnsi="IRNazanin" w:eastAsia="IRNazanin"/>
          <w:color w:val="111111"/>
          <w:sz w:val="28"/>
          <w:sz w:val="28"/>
          <w:szCs w:val="28"/>
          <w:rtl w:val="true"/>
          <w:lang w:bidi="fa-IR"/>
        </w:rPr>
        <w:t>وهی ظاهرة بوضوح فی طریقیة العدد علی الأثر، وکذلک ظاهر روایة ابن أبی یعفور ومحمد 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الآتیتان أن بقیة شرائط الرضعات فی الکمیة هی علامة علی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مع کلّ ذلک لا یعنی حصر استعلام الأثر بالتقدیر بالعدد والزمن، لأن غایة دلالتها هو طریقیة العدد للأثر، وأن الأثر هو الموضوع الأصلی، لکن ذلک لا ینافی استعلام الأثر بغیر ذلک، کما لا ینافی التحدید بالعدد، وإن کان الحکمة فی جعله هو الکاشفیة عن الأثر، ثمّ إنه فی جملة روایات الإنبات ورد نبات اللحم والدم من دون ذکر العظم، وهذا یقرّب الاکتفاء بأحدهما إذ کما مرّ إن إنبات الدم متقدّم علی إنبات اللحم، کما إن إنبات اللحم قد ینفک عن اشتداد العظم والعکس کذلک علی صعید الإحراز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یعضد الاکتفاء بأحد العلامتین أیضاً، أن التحدید بالمقدار الزمنی والعددی یلازم اثباتاً إنبات الدم واللحم دون اشتداد العظم، فإنه لا یحرز بذلک من غیر جهة الشرع، ولو بنی علی حصوله بالتعبد الشرعی فهذا المقدار من اشتداد العظم یلازم فی الغالب إنبات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 الاکتفاء فی مقام الإثبات بإنبات اللحم منفکّاً عن إحراز اشتداد العظم، وکذلک الاکتفاء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یکتفی بإنبات الدم لوحده، فإنه یتحقق بنصف العدد والزمن</w:t>
      </w:r>
      <w:r>
        <w:rPr>
          <w:rFonts w:eastAsia="IRNazanin" w:cs="IRNazanin"/>
          <w:color w:val="111111"/>
          <w:sz w:val="28"/>
          <w:szCs w:val="28"/>
          <w:rtl w:val="true"/>
          <w:lang w:bidi="fa-IR"/>
        </w:rPr>
        <w:t>.</w:t>
      </w:r>
    </w:p>
    <w:p>
      <w:pPr>
        <w:pStyle w:val="Heading5"/>
        <w:numPr>
          <w:ilvl w:val="4"/>
          <w:numId w:val="1"/>
        </w:numPr>
        <w:rPr/>
      </w:pPr>
      <w:bookmarkStart w:id="94" w:name="__RefHeading___Toc907034_1468164448"/>
      <w:bookmarkStart w:id="95" w:name="_Toc36"/>
      <w:bookmarkEnd w:id="94"/>
      <w:r>
        <w:rPr>
          <w:rtl w:val="true"/>
        </w:rPr>
        <w:t>فائدة</w:t>
      </w:r>
      <w:r>
        <w:rPr>
          <w:rtl w:val="true"/>
        </w:rPr>
        <w:t xml:space="preserve">: </w:t>
      </w:r>
      <w:r>
        <w:rPr>
          <w:rtl w:val="true"/>
        </w:rPr>
        <w:t>المراد بالحولین التقدیر الهلالی</w:t>
      </w:r>
      <w:bookmarkEnd w:id="9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بالحولین أربع وعشرون شهراً هلالیاً من حین الولادة، وفی</w:t>
      </w:r>
    </w:p>
    <w:p>
      <w:pPr>
        <w:pStyle w:val="BookText"/>
        <w:rPr/>
      </w:pPr>
      <w:r>
        <w:rPr>
          <w:rFonts w:ascii="IRNazanin" w:hAnsi="IRNazanin" w:eastAsia="IRNazanin"/>
          <w:color w:val="111111"/>
          <w:sz w:val="28"/>
          <w:sz w:val="28"/>
          <w:szCs w:val="28"/>
          <w:rtl w:val="true"/>
          <w:lang w:bidi="fa-IR"/>
        </w:rPr>
        <w:t>أثناء الشهر یکمل من الشهر الخامس والعشرین ما مضی من الشهر الأوّل علی الأظهر، فلو تولد فی العاشر من الشهر یکمل حولاه فی العاشر من الشهر الخامس والعشرین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وارادة الشهر الهلالی، هو المطّرد فی الأبواب بعد اعتماده من قبل الشرع کمواقیت، کما فی قوله تعالی یَسْئَلُونَکَ عَنِ الْأَهِلَّةِ قُلْ هِیَ مَواقِیتُ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وأما جبر المنکسر فالأقوی فی جبره هو بالمقدار المعتدل، وهو ما ینقص عن الثلاثین، لأن تقویم السنة الهلالیّة یحتاج إلی الکبیسة کما هو فی کل أربع 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المراد من انبات اللحم وشد العظم؟</w:t>
      </w:r>
    </w:p>
    <w:p>
      <w:pPr>
        <w:pStyle w:val="BookText"/>
        <w:rPr/>
      </w:pPr>
      <w:r>
        <w:rPr>
          <w:rFonts w:ascii="IRNazanin" w:hAnsi="IRNazanin" w:eastAsia="IRNazanin"/>
          <w:color w:val="111111"/>
          <w:sz w:val="28"/>
          <w:sz w:val="28"/>
          <w:szCs w:val="28"/>
          <w:rtl w:val="true"/>
          <w:lang w:bidi="fa-IR"/>
        </w:rPr>
        <w:t>ان المعتبر فی إنبات اللحم وشدّ العظم استقلال الرضاع فی حصولهما علی وجه ینسبان إلیه، فلو فرض ضم السکر ونحوه إلیه علی نحو ینسبان إلیهما أشکل ثبوت التحریم، کما أن المدار علی الإنبات والشد المعتد به منهما، علی قدر مبان یصدقان عرفاً، ولا یکفی حصولهما بالدقة العقلیة، وإذا شک فی حصولهما بهذه المرتبة أو فی استقلال الرضاع فی حصولهما یرجع إلی التقدیرین الآخرین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الظاهر مما مرّ فی الروایات، حیث أسند الإنبات وشد العظم للبن، بل قد علل القدر الناقص عدداً فی عدم نشره للحرمة بعدم إنباته للحم وشد العظم، مما هو ظاهر فی لزوم استقلال اللبن فی ذلک، وأما لزوم کونهما بدرجة ظاهرة؛ فلأنه المنسبق من التحدید أن یکون بتوسط الإحراز العرفی المعتاد حساً، بأن یری ازدیاده فی الطول أو السمنة أو</w:t>
      </w:r>
      <w:bookmarkStart w:id="96" w:name="pg13690_120462"/>
    </w:p>
    <w:p>
      <w:pPr>
        <w:pStyle w:val="BookText"/>
        <w:rPr/>
      </w:pPr>
      <w:bookmarkEnd w:id="96"/>
      <w:r>
        <w:rPr>
          <w:rFonts w:ascii="IRNazanin" w:hAnsi="IRNazanin" w:eastAsia="IRNazanin"/>
          <w:color w:val="111111"/>
          <w:sz w:val="28"/>
          <w:sz w:val="28"/>
          <w:szCs w:val="28"/>
          <w:rtl w:val="true"/>
          <w:lang w:bidi="fa-IR"/>
        </w:rPr>
        <w:t>الوزن، بنحو ملحوظ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یحرز أو شک فیعوّل علی التقدیرین الآخرین، فلا بدّ حینئذٍ من إحراز توفر الشروط فی الرضعات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یعتبر فی التقدیر بالزمان ان یکون غذاؤه منحصرا باللبن؟ قال السید الیزدی فی العروة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التقدیر بالزمان أن یکون غذاؤه فی الیوم واللیلة منحصراً باللبن، ولا یقدح شرب الماء للعطش ولا ما یؤکل أو یشرب دواءً، والظاهر کفایة التلفیق فی التقدیر بالزمان لو ابتدأ بالرضاع فی أثناء اللیل أو النهار</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یقتضیه ما ورد فی العدد من التعلیل بأنه ینبت اللحم ویشدّ العظم، ومرّ أن إطلاق الإسناد یقتضی الاستقلال، کما مرّ فی المسائل السابقة أن الموضوع الأصلی هو إنبات اللحم وشدّ العظم، وأن التقدیر بالزمان والعدد علامتان وحدّان شرعیان، فلا یتم تقدیر إنبات اللحم وشدّ العظم بالزمان إلّا مع استقلال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التلفیق فی الیوم واللیلة فیقتضیه أن التقدیر الزمانی الملفّق هو المنسبق وقوعاً من عموم الدلیل، کما هو مطرد فی سائر الأبواب، کالإقامة عشراً وأیام الحیض والعدّة وغیرهما</w:t>
      </w:r>
      <w:r>
        <w:rPr>
          <w:rFonts w:eastAsia="IRNazanin" w:cs="IRNazanin"/>
          <w:color w:val="111111"/>
          <w:sz w:val="28"/>
          <w:szCs w:val="28"/>
          <w:rtl w:val="true"/>
          <w:lang w:bidi="fa-IR"/>
        </w:rPr>
        <w:t>.</w:t>
      </w:r>
    </w:p>
    <w:p>
      <w:pPr>
        <w:pStyle w:val="Heading5"/>
        <w:numPr>
          <w:ilvl w:val="4"/>
          <w:numId w:val="1"/>
        </w:numPr>
        <w:rPr/>
      </w:pPr>
      <w:bookmarkStart w:id="97" w:name="__RefHeading___Toc907036_1468164448"/>
      <w:bookmarkStart w:id="98" w:name="_Toc37"/>
      <w:bookmarkEnd w:id="97"/>
      <w:r>
        <w:rPr>
          <w:rtl w:val="true"/>
        </w:rPr>
        <w:t>شروط الرضاع بالعدد</w:t>
      </w:r>
      <w:r>
        <w:rPr>
          <w:rtl w:val="true"/>
        </w:rPr>
        <w:t>:</w:t>
      </w:r>
      <w:bookmarkEnd w:id="98"/>
    </w:p>
    <w:p>
      <w:pPr>
        <w:pStyle w:val="Heading6"/>
        <w:numPr>
          <w:ilvl w:val="5"/>
          <w:numId w:val="1"/>
        </w:numPr>
        <w:rPr/>
      </w:pPr>
      <w:bookmarkStart w:id="99" w:name="__RefHeading___Toc907038_1468164448"/>
      <w:bookmarkStart w:id="100" w:name="_Toc38"/>
      <w:bookmarkEnd w:id="99"/>
      <w:r>
        <w:rPr>
          <w:rtl w:val="true"/>
        </w:rPr>
        <w:t>الشرط الأوّل</w:t>
      </w:r>
      <w:r>
        <w:rPr>
          <w:rtl w:val="true"/>
        </w:rPr>
        <w:t xml:space="preserve">: </w:t>
      </w:r>
      <w:r>
        <w:rPr>
          <w:rtl w:val="true"/>
        </w:rPr>
        <w:t>کمال الرضعة</w:t>
      </w:r>
      <w:r>
        <w:rPr>
          <w:rtl w:val="true"/>
        </w:rPr>
        <w:t>:</w:t>
      </w:r>
      <w:bookmarkEnd w:id="10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علیه حسنة ابن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عمّا یحرم من الرضاع،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رضع حتی یمتلی بطنه، فإن ذلک ینبت اللحم والدم، وذلک الذی یحرم</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وکذا الصحیح إلی محمد بن أبی عمیر عن بعض أصحابنا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الرضاع الذی ینبت اللحم والدم هو الذی یرضع حتی یتضلّع ویتملّی وینتهی نفسه</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مصحح الفضیل بن یسار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المتقدّم، حیث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یرضع عشر رضعات یروی الصبی وینام</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وظاهر هذه الروایات واضح فی استکمال الرضعة وتملّی الصبی، فلا ینطبق علی المصّة، وتقابل العنوانین یقتضی المغایرة، کما أن مقتضی التعداد یقتضی مع التوالی الانصراف إلی تعدد الرضعات بحسب دفعات الحاجة، ففی المجلس الواحد مع تقارب الزمن یعد رضعةً واحدة وإن تخلل بینهما الفصل لسبب ما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اعتبار هذا الشرط فی العدد ظاهر، وأما اعتباره فی الیوم واللیلة فحکی عن غیر واحد ککاشف اللثام اعتباره، واستقربه صاحب الجواهر فیما توقف صدق رضاع یوم ولیلة علیه، وما أشار إلیه من الوجه متین، فإن ظاهر التقدیر الزمانی المجعول حدّاً للرضاع کون حاجة المرتضع فی هذا المقدار من الزمن یستوفیها من الرضاع بالنمو المتعارف، فلو ارتضع بما یعدّ ناقصاً عن ذلک فلا یستوفی المقدار المحدد من الرضاع، فالمتّجه اعتباره فی التقدیر الزمانی أیضاً، إلّا أن المدار فیه علی استیفاء حاجته کلما أراد ولو</w:t>
      </w:r>
      <w:bookmarkStart w:id="101" w:name="pg13690_120464"/>
    </w:p>
    <w:p>
      <w:pPr>
        <w:pStyle w:val="BookText"/>
        <w:rPr/>
      </w:pPr>
      <w:bookmarkEnd w:id="101"/>
      <w:r>
        <w:rPr>
          <w:rFonts w:ascii="Amiri" w:hAnsi="Amiri" w:eastAsia="Amiri" w:cs="Amiri"/>
          <w:color w:val="111111"/>
          <w:sz w:val="28"/>
          <w:sz w:val="28"/>
          <w:szCs w:val="28"/>
          <w:rtl w:val="true"/>
          <w:lang w:bidi="ar-SA"/>
        </w:rPr>
        <w:t>بتخلل فاصل بخلاف الدفعة من عدد الرضاع</w:t>
      </w:r>
      <w:r>
        <w:rPr>
          <w:rFonts w:eastAsia="Amiri" w:cs="Amiri" w:ascii="Amiri" w:hAnsi="Amiri"/>
          <w:color w:val="111111"/>
          <w:sz w:val="28"/>
          <w:szCs w:val="28"/>
          <w:rtl w:val="true"/>
          <w:lang w:bidi="ar-SA"/>
        </w:rPr>
        <w:t>.</w:t>
      </w:r>
    </w:p>
    <w:p>
      <w:pPr>
        <w:pStyle w:val="Heading6"/>
        <w:numPr>
          <w:ilvl w:val="5"/>
          <w:numId w:val="1"/>
        </w:numPr>
        <w:rPr/>
      </w:pPr>
      <w:bookmarkStart w:id="102" w:name="__RefHeading___Toc907040_1468164448"/>
      <w:bookmarkStart w:id="103" w:name="_Toc39"/>
      <w:bookmarkEnd w:id="102"/>
      <w:r>
        <w:rPr>
          <w:rtl w:val="true"/>
        </w:rPr>
        <w:t>الشرط الثانی</w:t>
      </w:r>
      <w:r>
        <w:rPr>
          <w:rtl w:val="true"/>
        </w:rPr>
        <w:t xml:space="preserve">: </w:t>
      </w:r>
      <w:r>
        <w:rPr>
          <w:rtl w:val="true"/>
        </w:rPr>
        <w:t>توالی الرضعات</w:t>
      </w:r>
      <w:r>
        <w:rPr>
          <w:rtl w:val="true"/>
        </w:rPr>
        <w:t>:</w:t>
      </w:r>
      <w:bookmarkEnd w:id="10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عدم الفصل برضاع امرأة أخری فظاهر جملة من عبائر المتأخرین اختصاص هذا الشرط بالعدد، إلّا أن المحکی عن المسالک وصاحب الریاض اعتبارهما فی الزمانی أیضاً، ولعل ظاهر ما ینسب إلی المشهور اختصاص الشرط بالعدد کما هو ظاهرهم فی الشرط السابق أیضاً، ولکن الأقوی فی هذا الشرط أیضاً التعمیم للتقدیر الزمانی أیضاً؛ وذلک لأن ظاهر التقدیر بالعدد متقارن مع التقدیر بالزمان فی شمول التعلیل لهما بأنهما علّتان لإنبات اللّحم وشدّ العظم، وبعبارة أخری إن ظاهر التقدیر الزمانی والتقدیر العددی هما لتقدیر الکمیة من اللبن الموجبة لإنبات اللحم أو شد العظم، وحیث إنهما تقدیران متقاربان فی تحقیق تلک الکمیة کانت الشرائط شرائط لتلک الکمیة، فبعد ظهور وحدتهما فی العلامیة علی إنبات اللحم وشدّ العظم یقرب استظهار وحدة القید من موثّق زیاد بن سوقة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للرضاع حدّ یؤخذ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یحرم الرضاع أقل من یوم ولیلة أو خمس عشرة رضعة متوالیات من امرأة واحدة من لبن فحل واحد لم یفصل بینهما رضعة امرأة غیرهما، فلو أن امرأة أرضعت غلاماً أو جاریة عشر رضعات من لبن فحل واحد وأرضعتهما امرأة أخری من فحل آخر عشر رضعات لم یحرم نکاحهما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وقید متوالیات، وإن کان لتمییز العدد کما هو صریح تفسیر الذیل أیضاً، إلّا أن</w:t>
      </w:r>
    </w:p>
    <w:p>
      <w:pPr>
        <w:pStyle w:val="BookText"/>
        <w:rPr/>
      </w:pPr>
      <w:r>
        <w:rPr>
          <w:rFonts w:ascii="IRNazanin" w:hAnsi="IRNazanin" w:eastAsia="IRNazanin"/>
          <w:color w:val="111111"/>
          <w:sz w:val="28"/>
          <w:sz w:val="28"/>
          <w:szCs w:val="28"/>
          <w:rtl w:val="true"/>
          <w:lang w:bidi="fa-IR"/>
        </w:rPr>
        <w:t xml:space="preserve">الظاهر 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ولیلة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تقدیر عدیل تقدیر العدد، وأنه یستوفیه کعلامة زمانیة مع عدم ضبط العدد، وإلّا فمع ضبطه یُکتفی به ولو لم یستوف القدر الزمنی، لا سیما وأن العدد قد علل بأنه یدور مدار الإنبات وشد العظم، أی إن الموضوع الأصلی هو الأثر، غایة الأمر أن التقدیرین علامة له، هذا مع استفادة ذلک من مثل صحیح عبد الرحمن بن أبی عبدالله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مصحّح الفضیل بن یسار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من الرضاع إلّا ما کان مخبوراً قلت، وما المخبور؟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مربیة أو أم تربی أو ظئر تستأجر أو خادم تشتری أو ما کان دون ذلک موقوفاً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معتبرة موسی بن بکر الواسطی</w:t>
      </w:r>
      <w:r>
        <w:rPr>
          <w:rStyle w:val="FootnoteAnchor"/>
          <w:rtl w:val="true"/>
        </w:rPr>
        <w:footnoteReference w:id="162"/>
      </w:r>
      <w:r>
        <w:rPr>
          <w:rFonts w:ascii="IRNazanin" w:hAnsi="IRNazanin" w:eastAsia="IRNazanin"/>
          <w:color w:val="111111"/>
          <w:sz w:val="28"/>
          <w:sz w:val="28"/>
          <w:szCs w:val="28"/>
          <w:rtl w:val="true"/>
          <w:lang w:bidi="fa-IR"/>
        </w:rPr>
        <w:t xml:space="preserve">والتعبیر 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والإقامة والوقوف علیه امتداد بلحاظ العدد والزمن کلیهما، لا سیما وأن التعبیر بالموثّقة بأن الرضاع من امرأة أخری یوصف بأنه فاصل بینهما، أی أن حکم الرضاع من امرأة أخری هادم لما تحقّق من المرأة الأولی، ثمّ إن الفصل هل یتحقّق برضاع امرأة أخری من لبن فحل آخر أو بمطلق المرأة الأخری ولو بلبن الفحل نفسه؟ ظاهر جملة من الکلمات الثانی</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یشترط فی تحقّق الرضاع المحرم کلّ من وحدة الفحل ووحدة المرضعة أو یکتفی بوحدة الفحل، وإن تعددت المرضعة ما دام الفحل واحداً، کما هو الحال فی المرتضعین، فإنه یکفی فی نشر الحرمة بینهما وحدة الفحل وصاحب اللبن وإن ارتضعا کلّ منهما من امرأة؟ لا یبعد الاکتفاء بوحدة الفحل فی المرتضع الواحد أیضاً وذلک؛ لأن التعبیر فی</w:t>
      </w:r>
    </w:p>
    <w:p>
      <w:pPr>
        <w:pStyle w:val="BookText"/>
        <w:rPr/>
      </w:pPr>
      <w:r>
        <w:rPr>
          <w:rFonts w:ascii="IRNazanin" w:hAnsi="IRNazanin" w:eastAsia="IRNazanin"/>
          <w:color w:val="111111"/>
          <w:sz w:val="28"/>
          <w:sz w:val="28"/>
          <w:szCs w:val="28"/>
          <w:rtl w:val="true"/>
          <w:lang w:bidi="fa-IR"/>
        </w:rPr>
        <w:t>موثّقة زیاد بن سوقة، وإن کان بوحدة کلّ من الفحل والمرأة المرضعة، إلّا أن الذیل المفسّر للصدر جعل تعدّد الفحل وتعدّد المرأة من جهة تعدد الفحل هو العادم لتحقق الشرط، فکأن المدار علی وحدة الفحل لا علی وحدة المرأة 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لإرادة وحدة الفحل فقط أن هذا التقیید بوحدة الفحل ووحدة المرأة قد ورد نظیره فی الصحاح والمعتبرات الواردة فی تحریم المرتضعین فیما بینهما، مع أن المراد ثمة هو وحدة الفحل فقط لا وحدة المرضعة، کما هو متفق علیه فتوی، ودلت علیه نصوص مفسّرة کما فی موثّقة جمیل بن دراج</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مثل صحیح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یرضع من امرأة وهو غلام أیحل أن یتزوج أختها لأمها من الرضاعة؟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المرأتان رضعتا من امرأة واحدة من لبن فحل واحد فلا یحل، فإن کانت المرأتان رضعتا من امرأة واحدة من لبن فحلین فلا بأس بذلک</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فتری أن التقیید بالوحدة لکلّ من المرأة والفحل، مع أن التقیید الجدّی إنما هو بلحاظ الفحل دون المرأة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ونظیرها موثّق عمار الساباطی الواردة فی المرتضعین أیضاً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رضع من امرأة أ یحل له أن یتزوج أختها لأبیها من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رضعا جمیعاً من لبن فحل واحد من امرأة</w:t>
      </w:r>
    </w:p>
    <w:p>
      <w:pPr>
        <w:pStyle w:val="BookText"/>
        <w:rPr/>
      </w:pP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Style w:val="FootnoteAnchor"/>
          <w:rtl w:val="true"/>
        </w:rPr>
        <w:footnoteReference w:id="165"/>
      </w:r>
      <w:r>
        <w:rPr>
          <w:rFonts w:ascii="IRNazanin" w:hAnsi="IRNazanin" w:eastAsia="IRNazanin"/>
          <w:color w:val="111111"/>
          <w:sz w:val="28"/>
          <w:sz w:val="28"/>
          <w:szCs w:val="28"/>
          <w:rtl w:val="true"/>
          <w:lang w:bidi="fa-IR"/>
        </w:rPr>
        <w:t>، فالتعبیر فی الموثّقة أیضاً یقید به کلّ من الفحل والمرأة، مع أن المدار فی التحریم هو علی وحدة الفحل فی المرتضعین، وذلک لدلالة روایات متعددة علی أن سبب التحریم فی الرضاع یدور مدار اتحاد لبن الفحل، کما فی صحیح برید العجلی</w:t>
      </w:r>
      <w:r>
        <w:rPr>
          <w:rStyle w:val="FootnoteAnchor"/>
          <w:rtl w:val="true"/>
        </w:rPr>
        <w:footnoteReference w:id="166"/>
      </w:r>
      <w:r>
        <w:rPr>
          <w:rFonts w:ascii="Amiri" w:hAnsi="Amiri" w:eastAsia="Amiri" w:cs="Amiri"/>
          <w:color w:val="111111"/>
          <w:sz w:val="28"/>
          <w:sz w:val="28"/>
          <w:szCs w:val="28"/>
          <w:rtl w:val="true"/>
          <w:lang w:bidi="ar-SA"/>
        </w:rPr>
        <w:t>وموثّق سماعة</w:t>
      </w:r>
      <w:r>
        <w:rPr>
          <w:rStyle w:val="FootnoteAnchor"/>
          <w:rtl w:val="true"/>
        </w:rPr>
        <w:footnoteReference w:id="167"/>
      </w:r>
      <w:r>
        <w:rPr>
          <w:rFonts w:ascii="IRNazanin" w:hAnsi="IRNazanin" w:eastAsia="IRNazanin"/>
          <w:color w:val="111111"/>
          <w:sz w:val="28"/>
          <w:sz w:val="28"/>
          <w:szCs w:val="28"/>
          <w:rtl w:val="true"/>
          <w:lang w:bidi="fa-IR"/>
        </w:rPr>
        <w:t>وصحیح ابن أبی نصر</w:t>
      </w:r>
      <w:r>
        <w:rPr>
          <w:rStyle w:val="FootnoteAnchor"/>
          <w:rtl w:val="true"/>
        </w:rPr>
        <w:footnoteReference w:id="168"/>
      </w:r>
      <w:r>
        <w:rPr>
          <w:rFonts w:ascii="IRNazanin" w:hAnsi="IRNazanin" w:eastAsia="IRNazanin"/>
          <w:color w:val="111111"/>
          <w:sz w:val="28"/>
          <w:sz w:val="28"/>
          <w:szCs w:val="28"/>
          <w:rtl w:val="true"/>
          <w:lang w:bidi="fa-IR"/>
        </w:rPr>
        <w:t>، فبعد وحدة استعمال التعبیر فی المرتضعین فی کیفیة نشر الحرمة بینهما مع التعبیر الوارد فی المرتضع الواحد فی نشر الحرمة بینه وبین الفحل، یتضح وحدة المراد وأن التعبیر بوحدة المرأة توطئة لبیان وحدة الفحل، ویظهر ذلک من کیفیة التنسیق بین ذیل موثّقة زیاد بن سوقة وصدرها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استظهر ذلک من صحیح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رضع الغلام من نساء شتی وکان ذلک عدّة أو نبت لحمه ودمه علیه حرم علیه بناتهن کلّهن</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ویظهر ذلک من الوسائل، حیث ذکر الروایة فی باب حرمة أولاد الفحل مع المرتضع مع اتحاد الفحل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تقدیر فإن فرض اختلاف النساء وأنه منشأ البیان للحکم لا یخلو من دلالة، لا سیما وأن التحریم قد فرض مع بناتهن لا مع النساء أنفسهن، مما یقضی بأن التحریم قد تحقّق من طرف الفحل والأبوة وبناته لا من جهة الأمومة</w:t>
      </w:r>
      <w:r>
        <w:rPr>
          <w:rFonts w:eastAsia="IRNazanin" w:cs="IRNazanin"/>
          <w:color w:val="111111"/>
          <w:sz w:val="28"/>
          <w:szCs w:val="28"/>
          <w:rtl w:val="true"/>
          <w:lang w:bidi="fa-IR"/>
        </w:rPr>
        <w:t>.</w:t>
      </w:r>
      <w:bookmarkStart w:id="104" w:name="pg13690_120468"/>
    </w:p>
    <w:p>
      <w:pPr>
        <w:pStyle w:val="BookText"/>
        <w:rPr/>
      </w:pPr>
      <w:bookmarkEnd w:id="104"/>
      <w:r>
        <w:rPr>
          <w:rFonts w:ascii="IRNazanin" w:hAnsi="IRNazanin" w:eastAsia="IRNazanin"/>
          <w:color w:val="111111"/>
          <w:sz w:val="28"/>
          <w:sz w:val="28"/>
          <w:szCs w:val="28"/>
          <w:rtl w:val="true"/>
          <w:lang w:bidi="fa-IR"/>
        </w:rPr>
        <w:t>ثمّ إنه لو بنی علی الاکتفاء بوحدة الفحل فتحصل الأبوة بین المرتضع والفحل، وهل تحصل الأمومة بین المرتضع والنسوة الشتی للفحل؟ فلو بنی علی ما استظهر فی صحیح محمد بن مسلم کان مقتضاه الحرمة من طرف الفحل فقط، وصریح القواعد قیدیة وحدة کل من الفحل والمرضعة فی تحقّق نصاب الرضاع للمرتضع، وعلّق علیه کاشف اللثام بما یشعر أن هذا متسالم عندنا خلافاً للعامة، وکذلک الکرکی، وظاهر صاحب الحدائق دعوی الإجماع علیه عندنا، وعلله بتلازم انتفاء الأبوة لانتفاء الأمومة، واستدلوا له أیضاً بموثّقة زیاد، وقد عرفت التأمل فی ظهورها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المقنع والمقنعة لم یتعرّضا لذلک، نعم تعرّض له الشیخ فی المبسوط والنهایة وابن إدریس فی السرائر، ولکن عبائرهم مطلقة فلم یصرح فیهما بما إذا اتحد الفحل، والمسألة لا تخلو من إشکال، فالاحتیاط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یخفی أن استقلال التأثیر لا تختص شرطیته بالأثر، بل کذلک فی التقدیر بالعدد والزمان؛ وذلک بعد أن عرفت إن التقدیر بالأمرین علامة علی الإنبات والشدّ، مضافاً إلی تعلیل التقدیر فی بقیة شرائطه أنه مع عدمها لا ینبت، فما فی ظاهر جملة من العبارات من اختصاص هذا الشرط بالأثر دون التقدیر لا یخفی ما فیه</w:t>
      </w:r>
      <w:r>
        <w:rPr>
          <w:rFonts w:eastAsia="IRNazanin" w:cs="IRNazanin"/>
          <w:color w:val="111111"/>
          <w:sz w:val="28"/>
          <w:szCs w:val="28"/>
          <w:rtl w:val="true"/>
          <w:lang w:bidi="fa-IR"/>
        </w:rPr>
        <w:t>.</w:t>
      </w:r>
    </w:p>
    <w:p>
      <w:pPr>
        <w:pStyle w:val="Heading6"/>
        <w:numPr>
          <w:ilvl w:val="5"/>
          <w:numId w:val="1"/>
        </w:numPr>
        <w:rPr/>
      </w:pPr>
      <w:bookmarkStart w:id="105" w:name="__RefHeading___Toc907042_1468164448"/>
      <w:bookmarkStart w:id="106" w:name="_Toc40"/>
      <w:bookmarkEnd w:id="105"/>
      <w:r>
        <w:rPr>
          <w:rtl w:val="true"/>
        </w:rPr>
        <w:t>الشرط الثالث</w:t>
      </w:r>
      <w:r>
        <w:rPr>
          <w:rtl w:val="true"/>
        </w:rPr>
        <w:t xml:space="preserve">: </w:t>
      </w:r>
      <w:r>
        <w:rPr>
          <w:rtl w:val="true"/>
        </w:rPr>
        <w:t>اتحاد الفحل</w:t>
      </w:r>
      <w:r>
        <w:rPr>
          <w:rtl w:val="true"/>
        </w:rPr>
        <w:t>:</w:t>
      </w:r>
      <w:bookmarkEnd w:id="10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اتحاد الفحل بأن یکون تمام العدد من لبن فحل واحد، فقد ظهر اعتباره من موثّقة زیاد بن سوقة، مضافاً إلی أن ما دل علی شرطیة اتحاد الفحل فی نشر الحرمة بین المرتضعین لا یخلو عن دلالة من نمط دلالة</w:t>
      </w:r>
      <w:bookmarkStart w:id="107" w:name="pg13690_120469"/>
    </w:p>
    <w:p>
      <w:pPr>
        <w:pStyle w:val="BookText"/>
        <w:rPr/>
      </w:pPr>
      <w:bookmarkEnd w:id="107"/>
      <w:r>
        <w:rPr>
          <w:rFonts w:ascii="IRNazanin" w:hAnsi="IRNazanin" w:eastAsia="IRNazanin"/>
          <w:color w:val="111111"/>
          <w:sz w:val="28"/>
          <w:sz w:val="28"/>
          <w:szCs w:val="28"/>
          <w:rtl w:val="true"/>
          <w:lang w:bidi="fa-IR"/>
        </w:rPr>
        <w:t>الاقتضاء کما لا یخفی</w:t>
      </w:r>
      <w:r>
        <w:rPr>
          <w:rFonts w:eastAsia="IRNazanin" w:cs="IRNazanin"/>
          <w:color w:val="111111"/>
          <w:sz w:val="28"/>
          <w:szCs w:val="28"/>
          <w:rtl w:val="true"/>
          <w:lang w:bidi="fa-IR"/>
        </w:rPr>
        <w:t>.</w:t>
      </w:r>
    </w:p>
    <w:p>
      <w:pPr>
        <w:pStyle w:val="Heading6"/>
        <w:numPr>
          <w:ilvl w:val="5"/>
          <w:numId w:val="1"/>
        </w:numPr>
        <w:rPr/>
      </w:pPr>
      <w:bookmarkStart w:id="108" w:name="__RefHeading___Toc907044_1468164448"/>
      <w:bookmarkStart w:id="109" w:name="_Toc41"/>
      <w:bookmarkEnd w:id="108"/>
      <w:r>
        <w:rPr>
          <w:rtl w:val="true"/>
        </w:rPr>
        <w:t>فرع</w:t>
      </w:r>
      <w:r>
        <w:rPr>
          <w:rtl w:val="true"/>
        </w:rPr>
        <w:t>:</w:t>
      </w:r>
      <w:bookmarkEnd w:id="109"/>
    </w:p>
    <w:p>
      <w:pPr>
        <w:pStyle w:val="BookText"/>
        <w:rPr/>
      </w:pPr>
      <w:r>
        <w:rPr>
          <w:rFonts w:ascii="IRNazanin" w:hAnsi="IRNazanin" w:eastAsia="IRNazanin"/>
          <w:color w:val="111111"/>
          <w:sz w:val="28"/>
          <w:sz w:val="28"/>
          <w:szCs w:val="28"/>
          <w:rtl w:val="true"/>
          <w:lang w:bidi="fa-IR"/>
        </w:rPr>
        <w:t>قال السید الیزدی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شک فی وقوع الرضاع أو فی حصول بعض شروطه من الکمیة أو الکیفیة بنی علی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یشکل فیما لو علم بوقوع الرضاع بشروطه ولم یعلم بوقوعه فی الحولین أو بعدهما وعلم تاریخ الرضاع وجهل تاریخ ولادة المرتضع، فحینئذ لا یترک الاحتیاط</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 هو مقتضی القاعدة من أصالة العدم بعد کون أصل الرضاع وشروطه عناوین وجودیة، مضافاً إلی ما فی معتبرة أبی یحیی الحناط،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ابنی وابنة أخی فی حجری، فأردت أن أزوجها إیاه، فقال بعض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قد أرضعناهما،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أدری، قال فأدارنی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أوقت،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لو کان الشک فی انقضاء الحولین فمع کونهما مجهولی التاریخ أو الجهل بتاریخ الرضاع فلا یحرز موضوع الحرمة، وأما مع العلم بتاریخ الرضاع والجهل بانقضاء الحولین، فمقتضی بقاء استصحابهما إحراز الموضوع، لا سیما وأن الموضوع بنحو الترکیب للظرفیة، فالاحتیاط متعین کما أفاد فی المتن</w:t>
      </w:r>
      <w:r>
        <w:rPr>
          <w:rFonts w:eastAsia="IRNazanin" w:cs="IRNazanin"/>
          <w:color w:val="111111"/>
          <w:sz w:val="28"/>
          <w:szCs w:val="28"/>
          <w:rtl w:val="true"/>
          <w:lang w:bidi="fa-IR"/>
        </w:rPr>
        <w:t>.</w:t>
      </w:r>
      <w:bookmarkStart w:id="110" w:name="pg13690_120470"/>
    </w:p>
    <w:p>
      <w:pPr>
        <w:pStyle w:val="Heading6"/>
        <w:numPr>
          <w:ilvl w:val="5"/>
          <w:numId w:val="1"/>
        </w:numPr>
        <w:rPr/>
      </w:pPr>
      <w:bookmarkStart w:id="111" w:name="__RefHeading___Toc907046_1468164448"/>
      <w:bookmarkStart w:id="112" w:name="_Toc42"/>
      <w:bookmarkEnd w:id="110"/>
      <w:bookmarkEnd w:id="111"/>
      <w:r>
        <w:rPr>
          <w:rtl w:val="true"/>
        </w:rPr>
        <w:t>فائدتان</w:t>
      </w:r>
      <w:r>
        <w:rPr>
          <w:rtl w:val="true"/>
        </w:rPr>
        <w:t>:</w:t>
      </w:r>
      <w:bookmarkEnd w:id="112"/>
    </w:p>
    <w:p>
      <w:pPr>
        <w:pStyle w:val="Heading6"/>
        <w:numPr>
          <w:ilvl w:val="5"/>
          <w:numId w:val="1"/>
        </w:numPr>
        <w:rPr/>
      </w:pPr>
      <w:bookmarkStart w:id="113" w:name="__RefHeading___Toc907048_1468164448"/>
      <w:bookmarkStart w:id="114" w:name="_Toc43"/>
      <w:bookmarkEnd w:id="113"/>
      <w:r>
        <w:rPr>
          <w:rtl w:val="true"/>
        </w:rPr>
        <w:t>الفائدة الأولی</w:t>
      </w:r>
      <w:r>
        <w:rPr>
          <w:rtl w:val="true"/>
        </w:rPr>
        <w:t xml:space="preserve">: </w:t>
      </w:r>
      <w:r>
        <w:rPr>
          <w:rtl w:val="true"/>
        </w:rPr>
        <w:t>فی الشهادة والإقرار فی الموضوعات المختلفة</w:t>
      </w:r>
      <w:r>
        <w:rPr>
          <w:rtl w:val="true"/>
        </w:rPr>
        <w:t>:</w:t>
      </w:r>
      <w:bookmarkEnd w:id="114"/>
    </w:p>
    <w:p>
      <w:pPr>
        <w:pStyle w:val="BookText"/>
        <w:rPr/>
      </w:pPr>
      <w:r>
        <w:rPr>
          <w:rFonts w:ascii="IRNazanin" w:hAnsi="IRNazanin" w:eastAsia="IRNazanin"/>
          <w:color w:val="111111"/>
          <w:sz w:val="28"/>
          <w:sz w:val="28"/>
          <w:szCs w:val="28"/>
          <w:rtl w:val="true"/>
          <w:lang w:bidi="fa-IR"/>
        </w:rPr>
        <w:t>حکی فی الحدائق الاتفاق علی لزوم التفصیل، وهو مطّرد عندهم فی الأبواب فی الموضوعات التی یکثر فیها الاختلاف، فإن الشهادة المجملة لا تکون کاشفة عن تحقّق الموضوع لدی المشهود له بعد عدم علمه بوفاق الشاهد معه فی الشهود، نعم فیما علم الوفاق أو فیما کانت بعض الشروط متفقاً علیها لا حاجة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الإقرار فلا یشترط فیه التفصیل، لا لما قاله النراقی فی المستند من عموم نفوذ الإقرار، بل لأن الإقرار إنما یقر بها المقر بما هو وظیفة لنفسه، لا بما هی وظائف الآخرین، وهذا مطّرد فی الإقرار فی الموضوعات المختلف فیها</w:t>
      </w:r>
      <w:r>
        <w:rPr>
          <w:rFonts w:eastAsia="IRNazanin" w:cs="IRNazanin"/>
          <w:color w:val="111111"/>
          <w:sz w:val="28"/>
          <w:szCs w:val="28"/>
          <w:rtl w:val="true"/>
          <w:lang w:bidi="fa-IR"/>
        </w:rPr>
        <w:t>.</w:t>
      </w:r>
    </w:p>
    <w:p>
      <w:pPr>
        <w:pStyle w:val="Heading6"/>
        <w:numPr>
          <w:ilvl w:val="5"/>
          <w:numId w:val="1"/>
        </w:numPr>
        <w:rPr/>
      </w:pPr>
      <w:bookmarkStart w:id="115" w:name="__RefHeading___Toc907050_1468164448"/>
      <w:bookmarkStart w:id="116" w:name="_Toc44"/>
      <w:bookmarkEnd w:id="115"/>
      <w:r>
        <w:rPr>
          <w:rtl w:val="true"/>
        </w:rPr>
        <w:t>الفائدة الثانیة</w:t>
      </w:r>
      <w:r>
        <w:rPr>
          <w:rtl w:val="true"/>
        </w:rPr>
        <w:t xml:space="preserve">: </w:t>
      </w:r>
      <w:r>
        <w:rPr>
          <w:rtl w:val="true"/>
        </w:rPr>
        <w:t>قبول شهادة النساء فی الرضاع</w:t>
      </w:r>
      <w:r>
        <w:rPr>
          <w:rtl w:val="true"/>
        </w:rPr>
        <w:t>:</w:t>
      </w:r>
      <w:bookmarkEnd w:id="116"/>
    </w:p>
    <w:p>
      <w:pPr>
        <w:pStyle w:val="BookText"/>
        <w:rPr/>
      </w:pPr>
      <w:r>
        <w:rPr>
          <w:rFonts w:ascii="IRNazanin" w:hAnsi="IRNazanin" w:eastAsia="IRNazanin"/>
          <w:color w:val="111111"/>
          <w:sz w:val="28"/>
          <w:sz w:val="28"/>
          <w:szCs w:val="28"/>
          <w:rtl w:val="true"/>
          <w:lang w:bidi="fa-IR"/>
        </w:rPr>
        <w:t>نسب ذلک إلی المشهور، وعن ابنی إدریس وسعید وبعض کتب الشیخ والعلامة عدم قبول شهادتهن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عن ابن أبی عقیل وسلّار قبول المرأة الواحدة، ولو من دون ضرورة، وعن المفید وسلّار أیضاً قبول المرأتین فی حال الضرورة، وإلّا فامرأة واحدة موثوقة مأمونة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والأصل فی الشهادة هی البینة، وهی الرجلان العادلان أو ما یقوم مقامهما بالدلیل، وقد وردت عمومات فی أبواب الشهادات أن ما یختص بالنساء فیعتبر فیه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 محمد بن فضیل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w:t>
      </w:r>
    </w:p>
    <w:p>
      <w:pPr>
        <w:pStyle w:val="BookText"/>
        <w:rPr/>
      </w:pPr>
      <w:r>
        <w:rPr>
          <w:rFonts w:ascii="IRNazanin" w:hAnsi="IRNazanin" w:eastAsia="IRNazanin"/>
          <w:color w:val="111111"/>
          <w:sz w:val="28"/>
          <w:sz w:val="28"/>
          <w:szCs w:val="28"/>
          <w:rtl w:val="true"/>
          <w:lang w:bidi="fa-IR"/>
        </w:rPr>
        <w:t>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 نکاح أو طلاق أو رجم؟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فیما لا تستطیع الرجال أن ینظروا إلیه ولیس معهن رجل، وتجوز شهادتهن فی النکاح إذا کان معهن رجل</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موثّق ابن بکیر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شهادة النساء فی العذرة وکل عیب لا یراه الرجل</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وفی معتبرة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شهادة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النساء وحدهن علی ما لا یستطیع الرجال النظر إلیه</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ومثلها روایة إبراهیم الحارثی</w:t>
      </w:r>
      <w:r>
        <w:rPr>
          <w:rStyle w:val="FootnoteAnchor"/>
          <w:rtl w:val="true"/>
        </w:rPr>
        <w:footnoteReference w:id="175"/>
      </w:r>
      <w:r>
        <w:rPr>
          <w:rFonts w:ascii="IRNazanin" w:hAnsi="IRNazanin" w:eastAsia="IRNazanin"/>
          <w:color w:val="111111"/>
          <w:sz w:val="28"/>
          <w:sz w:val="28"/>
          <w:szCs w:val="28"/>
          <w:rtl w:val="true"/>
          <w:lang w:bidi="fa-IR"/>
        </w:rPr>
        <w:t>وموثّقة السکونی</w:t>
      </w:r>
      <w:r>
        <w:rPr>
          <w:rStyle w:val="FootnoteAnchor"/>
          <w:rtl w:val="true"/>
        </w:rPr>
        <w:footnoteReference w:id="176"/>
      </w:r>
      <w:r>
        <w:rPr>
          <w:rFonts w:ascii="IRNazanin" w:hAnsi="IRNazanin" w:eastAsia="IRNazanin"/>
          <w:color w:val="111111"/>
          <w:sz w:val="28"/>
          <w:sz w:val="28"/>
          <w:szCs w:val="28"/>
          <w:rtl w:val="true"/>
          <w:lang w:bidi="fa-IR"/>
        </w:rPr>
        <w:t>ومصحح داود بن سرحان</w:t>
      </w:r>
      <w:r>
        <w:rPr>
          <w:rStyle w:val="FootnoteAnchor"/>
          <w:rtl w:val="true"/>
        </w:rPr>
        <w:footnoteReference w:id="177"/>
      </w:r>
      <w:r>
        <w:rPr>
          <w:rFonts w:ascii="IRNazanin" w:hAnsi="IRNazanin" w:eastAsia="IRNazanin"/>
          <w:color w:val="111111"/>
          <w:sz w:val="28"/>
          <w:sz w:val="28"/>
          <w:szCs w:val="28"/>
          <w:rtl w:val="true"/>
          <w:lang w:bidi="fa-IR"/>
        </w:rPr>
        <w:t>ومعتبرة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ورد من اعتبار قول المرأة وثبوت الشیء بنسبة شهادتها کما فی الوصیة والاستهلال لإرث الصبی أو الدین، فإن ذلک إنما ورد فی المال</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روایة عبد الکریم بن أبی یعفور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تقبل شهادة المرأة والنسوة إذا کن مستورات من أهل البیوتات، معروفات بالستر والعفاف، مطیعات للأزواج تارکات للبذاء والتبرج إلی الرجال فی أندیتهم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 فلیست هی فی صدد بیان مورد حجیة المرأة الواحدة، وإنما</w:t>
      </w:r>
    </w:p>
    <w:p>
      <w:pPr>
        <w:pStyle w:val="BookText"/>
        <w:rPr/>
      </w:pPr>
      <w:r>
        <w:rPr>
          <w:rFonts w:ascii="IRNazanin" w:hAnsi="IRNazanin" w:eastAsia="IRNazanin"/>
          <w:color w:val="111111"/>
          <w:sz w:val="28"/>
          <w:sz w:val="28"/>
          <w:szCs w:val="28"/>
          <w:rtl w:val="true"/>
          <w:lang w:bidi="fa-IR"/>
        </w:rPr>
        <w:t>هی فی صدد الشرائط المعتبرة فی المرأة التی تقبل شهادتها، لا فی صدد بیان موارد قبول شهادتها، وعلی ذلک یکون المقدار المعتبر هو أربعة نسوة، ثمّ إن فی صحیح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امرأة تزعم أنها أرضعت المرأة والغلام، ثمّ تنکر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إذا أنکرت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قالت وادعت بعدُ بأنی قد أرضعتها؟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ولا تنعم</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صالح بن عبدالله الخثعمی،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أسأله عن أم ولد لی ذکرت أنها أرضعت لی 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قولها ولا تصدقها</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هذا فی طریق قرب الإسناد، وفی طریق الکلینی تضمن وصف أم الولد بأنها صدوق، وفی الموثّق إلی عبدالله بن بکیر عن بعض أصحابنا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أرضعت غلاماً وجاریةً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ذلک غیرها؟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تُصدّق إن لم یکن غیرها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والروایة الأخیرة مفادها داعم لعدم قبول شهادة المرأة منفردة فی الرضاع، وأما روایة صالح بن عبدالله الخثعمی فالظاهر کون المرأة متهمة لکونها أم ولد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صحیح الحلبی فموردها الشهادة بعد الإنکار، فیسقط القول من رأس عن الاعتبار</w:t>
      </w:r>
      <w:r>
        <w:rPr>
          <w:rFonts w:eastAsia="IRNazanin" w:cs="IRNazanin"/>
          <w:color w:val="111111"/>
          <w:sz w:val="28"/>
          <w:szCs w:val="28"/>
          <w:rtl w:val="true"/>
          <w:lang w:bidi="fa-IR"/>
        </w:rPr>
        <w:t>.</w:t>
      </w:r>
      <w:bookmarkStart w:id="117" w:name="pg13690_120474"/>
    </w:p>
    <w:p>
      <w:pPr>
        <w:pStyle w:val="Heading4"/>
        <w:numPr>
          <w:ilvl w:val="3"/>
          <w:numId w:val="1"/>
        </w:numPr>
        <w:rPr/>
      </w:pPr>
      <w:bookmarkStart w:id="118" w:name="__RefHeading___Toc907052_1468164448"/>
      <w:bookmarkStart w:id="119" w:name="_Toc45"/>
      <w:bookmarkEnd w:id="117"/>
      <w:bookmarkEnd w:id="118"/>
      <w:r>
        <w:rPr>
          <w:rtl w:val="true"/>
        </w:rPr>
        <w:t>المبحث الثانی</w:t>
      </w:r>
      <w:r>
        <w:rPr>
          <w:rtl w:val="true"/>
        </w:rPr>
        <w:t>:</w:t>
      </w:r>
      <w:r>
        <w:rPr>
          <w:rtl w:val="true"/>
        </w:rPr>
        <w:t>فی أحکام الرضاع</w:t>
      </w:r>
      <w:bookmarkEnd w:id="119"/>
    </w:p>
    <w:p>
      <w:pPr>
        <w:pStyle w:val="Heading5"/>
        <w:numPr>
          <w:ilvl w:val="4"/>
          <w:numId w:val="1"/>
        </w:numPr>
        <w:rPr/>
      </w:pPr>
      <w:bookmarkStart w:id="120" w:name="__RefHeading___Toc907054_1468164448"/>
      <w:bookmarkStart w:id="121" w:name="_Toc46"/>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ذکر الفقهاء ومنهم السید الیزدی</w:t>
      </w:r>
      <w:r>
        <w:rPr>
          <w:rStyle w:val="FootnoteAnchor"/>
          <w:rtl w:val="true"/>
        </w:rPr>
        <w:footnoteReference w:id="183"/>
      </w:r>
      <w:r>
        <w:rPr>
          <w:rFonts w:ascii="IRNazanin" w:hAnsi="IRNazanin" w:eastAsia="IRNazanin"/>
          <w:color w:val="111111"/>
          <w:sz w:val="28"/>
          <w:sz w:val="28"/>
          <w:szCs w:val="28"/>
          <w:rtl w:val="true"/>
          <w:lang w:bidi="fa-IR"/>
        </w:rPr>
        <w:t>صورا فی احکام الرضاع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الأصول من الرضاع بمنزلة ما یکون من النسب، وهی عبارة عن علاقة موازیة العلاقة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العلاقة الموازیة عرضاً لا تثبت بالرضاع کما فی أبی المرتضع مع عمات ابنه المرتضع من الرضاعة أو مع خئولته، بخلاف أخواته من الرضاعة وهم أولاد الفحل من الرضاعة والنسب وأولاد المرضعة، فإن هذه العلاقة ثبتت بالنص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الرضاع ما یکون بعلقة النسب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الرضاع ما یترامی بالنسب طولًا فیکون الرضاع لحمة واصلة وحلقة رابطة کحلقة النسب، فیحرم ما ارتبط بها مباشرة کالصورة السابقة، وما ارتبط بها بالواسطة کهذه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الرضاع لما یترامی من طبقات بالرضاع أیضاً طولًا کأبیه من الرضاع له أب من الرضاع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السبعة والعناوین المحرمة بالمصاهرة إذا</w:t>
      </w:r>
      <w:bookmarkStart w:id="122" w:name="pg13690_120475"/>
    </w:p>
    <w:p>
      <w:pPr>
        <w:pStyle w:val="BookText"/>
        <w:rPr/>
      </w:pPr>
      <w:bookmarkEnd w:id="122"/>
      <w:r>
        <w:rPr>
          <w:rFonts w:ascii="IRNazanin" w:hAnsi="IRNazanin" w:eastAsia="IRNazanin"/>
          <w:color w:val="111111"/>
          <w:sz w:val="28"/>
          <w:sz w:val="28"/>
          <w:szCs w:val="28"/>
          <w:rtl w:val="true"/>
          <w:lang w:bidi="fa-IR"/>
        </w:rPr>
        <w:t>حصلت بسبب الرضاع کان محرماً، أما العناوین غیر السبعة إذا لازمت العناوین السبعة فی النسب وحصلت تلک العناوین الأخری بالرضاع، فهل تسبب حصول العناوین السبعة الملازمة لها أم لا؟ مبنی علی الخلاف فی عموم منزلة النسب</w:t>
      </w:r>
      <w:r>
        <w:rPr>
          <w:rFonts w:eastAsia="IRNazanin" w:cs="IRNazanin"/>
          <w:color w:val="111111"/>
          <w:sz w:val="28"/>
          <w:szCs w:val="28"/>
          <w:rtl w:val="true"/>
          <w:lang w:bidi="fa-IR"/>
        </w:rPr>
        <w:t>.</w:t>
      </w:r>
    </w:p>
    <w:p>
      <w:pPr>
        <w:pStyle w:val="Heading5"/>
        <w:numPr>
          <w:ilvl w:val="4"/>
          <w:numId w:val="1"/>
        </w:numPr>
        <w:rPr/>
      </w:pPr>
      <w:bookmarkStart w:id="123" w:name="__RefHeading___Toc907056_1468164448"/>
      <w:bookmarkStart w:id="124" w:name="_Toc47"/>
      <w:bookmarkEnd w:id="123"/>
      <w:r>
        <w:rPr>
          <w:rtl w:val="true"/>
        </w:rPr>
        <w:t>عموم قاعدة التنزیل السببی</w:t>
      </w:r>
      <w:r>
        <w:rPr>
          <w:rtl w:val="true"/>
        </w:rPr>
        <w:t>:</w:t>
      </w:r>
      <w:bookmarkEnd w:id="124"/>
    </w:p>
    <w:p>
      <w:pPr>
        <w:pStyle w:val="Heading6"/>
        <w:numPr>
          <w:ilvl w:val="5"/>
          <w:numId w:val="1"/>
        </w:numPr>
        <w:rPr/>
      </w:pPr>
      <w:bookmarkStart w:id="125" w:name="__RefHeading___Toc907058_1468164448"/>
      <w:bookmarkStart w:id="126" w:name="_Toc48"/>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یوجد فی المقام عدّة تقریبات لعموم قاعدة التنزیل السببی، وهی کالتالی</w:t>
      </w:r>
      <w:r>
        <w:rPr>
          <w:rFonts w:eastAsia="IRNazanin" w:cs="IRNazanin"/>
          <w:color w:val="111111"/>
          <w:sz w:val="28"/>
          <w:szCs w:val="28"/>
          <w:rtl w:val="true"/>
          <w:lang w:bidi="fa-IR"/>
        </w:rPr>
        <w:t>:</w:t>
      </w:r>
    </w:p>
    <w:p>
      <w:pPr>
        <w:pStyle w:val="Heading6"/>
        <w:numPr>
          <w:ilvl w:val="5"/>
          <w:numId w:val="1"/>
        </w:numPr>
        <w:rPr/>
      </w:pPr>
      <w:bookmarkStart w:id="127" w:name="__RefHeading___Toc907060_1468164448"/>
      <w:bookmarkStart w:id="128" w:name="_Toc49"/>
      <w:bookmarkEnd w:id="127"/>
      <w:r>
        <w:rPr>
          <w:rtl w:val="true"/>
        </w:rPr>
        <w:t>التقریب الأول</w:t>
      </w:r>
      <w:r>
        <w:rPr>
          <w:rtl w:val="true"/>
        </w:rPr>
        <w:t>:</w:t>
      </w:r>
      <w:bookmarkEnd w:id="128"/>
    </w:p>
    <w:p>
      <w:pPr>
        <w:pStyle w:val="BookText"/>
        <w:rPr/>
      </w:pPr>
      <w:r>
        <w:rPr>
          <w:rFonts w:ascii="IRNazanin" w:hAnsi="IRNazanin" w:eastAsia="IRNazanin"/>
          <w:color w:val="111111"/>
          <w:sz w:val="28"/>
          <w:sz w:val="28"/>
          <w:szCs w:val="28"/>
          <w:rtl w:val="true"/>
          <w:lang w:bidi="fa-IR"/>
        </w:rPr>
        <w:t>و یقع البحث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یحرم من الرضاع ما یحرم من النسب، 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الموصول فی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الحرمة فیما لو کان النسب جزء السبب للحرمة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اختصاص التنزیل بالدائم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شمول الحرمة لغیر النکاح</w:t>
      </w:r>
    </w:p>
    <w:p>
      <w:pPr>
        <w:pStyle w:val="Heading6"/>
        <w:numPr>
          <w:ilvl w:val="5"/>
          <w:numId w:val="1"/>
        </w:numPr>
        <w:rPr/>
      </w:pPr>
      <w:bookmarkStart w:id="129" w:name="__RefHeading___Toc907062_1468164448"/>
      <w:bookmarkStart w:id="130" w:name="_Toc50"/>
      <w:bookmarkEnd w:id="129"/>
      <w:r>
        <w:rPr>
          <w:rtl w:val="true"/>
        </w:rPr>
        <w:t>الإشارة إلی ما ورد من الروایات فی هذا المجال</w:t>
      </w:r>
      <w:r>
        <w:rPr>
          <w:rtl w:val="true"/>
        </w:rPr>
        <w:t>:</w:t>
      </w:r>
      <w:bookmarkEnd w:id="13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مستهلّ البحث لا بدّ من الإشارة إلی ما ورد من الروایات فی هذا</w:t>
      </w:r>
    </w:p>
    <w:p>
      <w:pPr>
        <w:pStyle w:val="BookText"/>
        <w:rPr/>
      </w:pPr>
      <w:r>
        <w:rPr>
          <w:rFonts w:ascii="IRNazanin" w:hAnsi="IRNazanin" w:eastAsia="IRNazanin"/>
          <w:color w:val="111111"/>
          <w:sz w:val="28"/>
          <w:sz w:val="28"/>
          <w:szCs w:val="28"/>
          <w:rtl w:val="true"/>
          <w:lang w:bidi="fa-IR"/>
        </w:rPr>
        <w:t>المجال، فمن ذلک ما جاء فی صحیحة أیوب بن نوح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بن شعیب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أرضعت بعض ولدی هل یجوز أن أتزوّج بعض ولدها؟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المرضعة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صار بمنزلة ولدک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أبو المرتضع </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وفی نسخة الوسائل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ذلک لک لأن ولدها صارت بمنزلة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المراد من تنزیل ولدها بمنزلة ولدک تنزیل الملازمات النسبیة للنسب، مع أن هذا التلازم فی باب النسب الحقیقی غیر متحقق دائماً فکیف بالرضاع؟ لأن إخوة الولد فی النسب لیس من الضروری أن یکونوا أولاداً للأب، وإن أرید التنزیل بلحاظ العناوین السببیة، حیث إن أخوات الولد ربائب لزوجته، وهذا التنزیل فی الواقع بلحاظ العناوین السببیة للنسب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ما جاء فی صحیحة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عیسی بن جعفر بن عیسی أبا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أرضعت لی صبیاً فهل یحل لی أن أتزوّج ابنة زوجها؟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أجود ما سألت، من هاهنا یؤتی أن یقول الناس حرمت علیه امرأته من قبل لبن الفحل، هذا هو لبن الفحل لا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لیست ابنة المرأة التی أرضعت لی، هی ابنة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 عشراً متفرقات ما حلّ لک شیء منهن وکنّ فی موضع بناتک</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 موضع 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یقتضیه النسب الحقیقی؛ لأن</w:t>
      </w:r>
      <w:bookmarkStart w:id="131" w:name="pg13690_120477"/>
    </w:p>
    <w:p>
      <w:pPr>
        <w:pStyle w:val="BookText"/>
        <w:rPr/>
      </w:pPr>
      <w:bookmarkEnd w:id="131"/>
      <w:r>
        <w:rPr>
          <w:rFonts w:ascii="IRNazanin" w:hAnsi="IRNazanin" w:eastAsia="IRNazanin"/>
          <w:color w:val="111111"/>
          <w:sz w:val="28"/>
          <w:sz w:val="28"/>
          <w:szCs w:val="28"/>
          <w:rtl w:val="true"/>
          <w:lang w:bidi="fa-IR"/>
        </w:rPr>
        <w:t>أخوات الابن لأمه ربائب فهن محرمات بالسبب لا بالنسب، وأما علی تقدیر بنوّة بنات الفحل من جهة أنهن بنات زوجات أبو ابنه من الرضاع، فهو لا یقتضی التحریم مع أنه تحریم سببی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التنزیل فی هاتین الصحیحتین لسانه التحریم بعناوین النسب، أی التنزیل بلحاظ الملازمات النسبیة للنسب وهو غیر متصور فی النسب الحقیقی کی یکون من تنزیل الرضاع منزلة النسب، فلا محالة یکون هذا التنزیل تنزیلًا نسبیاً تعبّدیاً، لا من باب تنزیل الرضاع منزلة النسب فی العناوین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ضبط فی کلمات بعض متأخری المتأخرین مذهب المشهور بأنه یحرم الفحل والمرضعة وأصولهما وحواشیهما علی المرتضع وفروعه دون أصوله وحواشیه، وذلک فی المحرمات السبع النسبیة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فالمحور فی الرضاع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المرتضع والمرضعة وصاحب اللبن وأبی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والبحث تارة فی حکم العلاقة بین الأربعة، وأخری فی الأصول لهم والفروع، وثالثة فی حواشی الأصول والفروع، ورابعة فی العناوین اللازمة لتلک العلائق، کما أن العلائق تارة نسبیة وأخری رضاعیة مترامیة</w:t>
      </w:r>
      <w:r>
        <w:rPr>
          <w:rFonts w:eastAsia="IRNazanin" w:cs="IRNazanin"/>
          <w:color w:val="111111"/>
          <w:sz w:val="28"/>
          <w:szCs w:val="28"/>
          <w:rtl w:val="true"/>
          <w:lang w:bidi="fa-IR"/>
        </w:rPr>
        <w:t>.</w:t>
      </w:r>
    </w:p>
    <w:p>
      <w:pPr>
        <w:pStyle w:val="Heading6"/>
        <w:numPr>
          <w:ilvl w:val="5"/>
          <w:numId w:val="1"/>
        </w:numPr>
        <w:rPr/>
      </w:pPr>
      <w:bookmarkStart w:id="132" w:name="__RefHeading___Toc907064_1468164448"/>
      <w:bookmarkStart w:id="133" w:name="_Toc51"/>
      <w:bookmarkEnd w:id="132"/>
      <w:r>
        <w:rPr>
          <w:rtl w:val="true"/>
        </w:rPr>
        <w:t>الأقوال فی عموم القاعدة</w:t>
      </w:r>
      <w:r>
        <w:rPr>
          <w:rtl w:val="true"/>
        </w:rPr>
        <w:t>:</w:t>
      </w:r>
      <w:bookmarkEnd w:id="13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ممن ذهب إلی عموم المنزلة أی الشمول إلی إثبات العناوین الملازمة لعناوین النسب وتنزیل الرضاع بالتالی بلحاظ ذلک، ما نسب إلی صریح ابن حمزة وظاهر الشیخ فی النهایة والخلاف؛ بخلاف المبسوط وکذا نسب عموم المنزلة إلی السبزواری فی الکفایة والمیرداماد والشیخ الأنصاری، وتوقف العلامة الحلی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المشهور فی غیر العناوین الملازمة، یبنون علی عموم العلاقة فی الأصول والفروع أعم من کونها نسبیة أم رضاعیة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الطبرسی فقد ذهب إلی عدم اشتراط وحدة الفحل فی التحریم للرضاع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عن العلامة فی القواعد والمحقق الثانی فی جامع المقاصد الاقتصار علی العلاقة النسبیة دون ترامی الرضاعیة، بدعوی عدم وحدة الفحل مع ترامی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الخلاف أنه ذهب إلی تحریم إخوة المرتضع بالرضاع علی إخوته بالنسب، وفی المبسوط کما حکی عنه جواز نکاح أبی المرتضع فی أولاد الفحل، معللًا ذلک بأن إخوة الابن لا یحرمن إلّا من جهة کونهن بناته أو ربائبه لا من جهة اخوته لابنه، وشیء من هذه العناوین لا یوجد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صاحب الحدائق خطأ نسبة القول إلی الشیخ فی المبسوط، وحکی أن الموجود هو جواز نکاح الفحل بأولاد أبی المرتضع، وهذا هو الذی وجدناه من عبارة المبسوط،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أرضع المولود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لبن الفحل والمرضعة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حرمة بینهما وانتشرت منه إلیهما ومنهما إلیه، فأما منه إلیهما فإن التحریم تعلّق به وبنسله، ولده الذکور والإناث دون مَن هو فی طبقته من أخواته أو إخوته أو أعلی منه ومن آبائه وأمهاته فیحل لأخیه ولأبیه أن یتزوج لهذه المرضع وهذا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یعم البحث بلحاظ الأحکام فی سائر الأبواب علی عموم طبیعة النسب أو بعض أصناف النسب أو مجرّد حرمة النکاح؟</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هنا احتمالات ثلاثة، وبقیة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الإرث والتسمیة فی</w:t>
      </w:r>
    </w:p>
    <w:p>
      <w:pPr>
        <w:pStyle w:val="BookText"/>
        <w:rPr/>
      </w:pPr>
      <w:r>
        <w:rPr>
          <w:rFonts w:ascii="IRNazanin" w:hAnsi="IRNazanin" w:eastAsia="IRNazanin"/>
          <w:color w:val="111111"/>
          <w:sz w:val="28"/>
          <w:sz w:val="28"/>
          <w:szCs w:val="28"/>
          <w:rtl w:val="true"/>
          <w:lang w:bidi="fa-IR"/>
        </w:rPr>
        <w:t xml:space="preserve">النسب وکالحکم فی باب الزکاة والخمس المترتب علی الصنف الخاص من الطبیعة وکذلک فی باب الربا والنفقة وسائر الأحکام کالولایة، لا سیما علی مَن یذهب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مصدریة ولیست موصولة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جملة من النصوص</w:t>
      </w:r>
      <w:r>
        <w:rPr>
          <w:rStyle w:val="FootnoteAnchor"/>
          <w:rtl w:val="true"/>
        </w:rPr>
        <w:footnoteReference w:id="187"/>
      </w:r>
      <w:r>
        <w:rPr>
          <w:rFonts w:ascii="IRNazanin" w:hAnsi="IRNazanin" w:eastAsia="IRNazanin"/>
          <w:color w:val="111111"/>
          <w:sz w:val="28"/>
          <w:sz w:val="28"/>
          <w:szCs w:val="28"/>
          <w:rtl w:val="true"/>
          <w:lang w:bidi="fa-IR"/>
        </w:rPr>
        <w:t>الآتیة العموم لکلّ حرمة للأبواب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فی المعنی المراد من عموم التنزیل وتطبیقه لإثبات العناوین الملازمة ومعنی ذلک أنه یثبت عناوین نسبیة ملازمة لا عناوین سببیة؛ لأنه یقوم مقام النسب ولا یقوم مقام السبب والمصاهرة، غایة الأمر أن العنوان الملازم السببی قد لا یکون هو بنفسه موضوع للتحریم وإنما السبب لنسب هو الموضوع للتحریم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قد یتراءی أن الرضاع بناء علی عموم التنزیل یثبت التحریم، لکن لا لأجل أنه یقوم مقام السبب والمصاهرة، بل یقوم مقام النسب الذی قد أضیف إلیه السبب، أی أنه لا بدّ من فرض سبب موجود لنسب موجود یقوم الرضاع مقام النسب المضاف إلیه السبب، ففی موارد تطبیق عموم التنزیل فی العناوین الملازمة فیما إذا کان موضوع التحریم هو السبب، فلا بدّ أولًا من تعیین الأصل النسبی الذی یضاف إلیه سبب موجود وهو موضوع الحرمة، ثمّ یکون مفاد الرضاع بناءً علی عموم التنزیل یثبت النسب الذی هو عنوان ملازم، فیدرج العلقة الرضاعیة فی النسب الذی له سبب موجود، وعلی ضوء ذلک أی علی مبنی عموم</w:t>
      </w:r>
    </w:p>
    <w:p>
      <w:pPr>
        <w:pStyle w:val="BookText"/>
        <w:rPr/>
      </w:pPr>
      <w:r>
        <w:rPr>
          <w:rFonts w:ascii="IRNazanin" w:hAnsi="IRNazanin" w:eastAsia="IRNazanin"/>
          <w:color w:val="111111"/>
          <w:sz w:val="28"/>
          <w:sz w:val="28"/>
          <w:szCs w:val="28"/>
          <w:rtl w:val="true"/>
          <w:lang w:bidi="fa-IR"/>
        </w:rPr>
        <w:t>التنزیل، فما استشکل فیه السید الخوئی فی جملة من الصور</w:t>
      </w:r>
      <w:r>
        <w:rPr>
          <w:rStyle w:val="FootnoteAnchor"/>
          <w:rtl w:val="true"/>
        </w:rPr>
        <w:footnoteReference w:id="188"/>
      </w:r>
      <w:r>
        <w:rPr>
          <w:rFonts w:ascii="IRNazanin" w:hAnsi="IRNazanin" w:eastAsia="IRNazanin"/>
          <w:color w:val="111111"/>
          <w:sz w:val="28"/>
          <w:sz w:val="28"/>
          <w:szCs w:val="28"/>
          <w:rtl w:val="true"/>
          <w:lang w:bidi="fa-IR"/>
        </w:rPr>
        <w:t>، من عدم جریان عموم التنزیل مندفع، ومن تلک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حرمة المرضعة لجده لأبیه،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تحرم المرضعة علی أصول المرتضع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جده لأبیه فلأنها إنما تصیر بالرضاع أُماً لولد ابنه وأم ولد الابن إنما تحرم علی الشخص؛ لأنها زوجة ابنه والزوجیة لا تتحقق بالرضاع؛ لأن الرضاع یقوم مقام النسب، ولا یقوم مقام المصاهرة</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ووجه الاندفاع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المرتضع له أُم نسبیة وهی متزوجة بأبیه وهی محرمة علی جده لأبیه؛ لأنها حلیلة ابنه، وإذا افترضنا أن الرضاع یثبت العناوین النسبیة اللازمة بناءً علی عموم التنزیل؛ فإن أُمّه الرضاعیة تکون بمنزلة أمه النسبیة والتی قد فرض أن الزوجیة متحققة بالإضافة إلیها، فالمورد مشمول لعموم التنزیل بناءً علی القول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حرمة جدة المرتضع علی الفحل، قال السید الخوئی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جدته لأمه، فلأن جدة الولد لأمه إنما تحرم فی النسب لکونها أم الزوجة، والرضاع لا یقوم مقام المصاهرة</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الصحیح أن یقال أن هذه الصورة لو أرید منها تحریم جدة المرتضع نسبیاً، فلا بدّ من فرض تنزیلها منزلة جدة المرتضع من</w:t>
      </w:r>
    </w:p>
    <w:p>
      <w:pPr>
        <w:pStyle w:val="BookText"/>
        <w:rPr/>
      </w:pPr>
      <w:r>
        <w:rPr>
          <w:rFonts w:ascii="IRNazanin" w:hAnsi="IRNazanin" w:eastAsia="IRNazanin"/>
          <w:color w:val="111111"/>
          <w:sz w:val="28"/>
          <w:sz w:val="28"/>
          <w:szCs w:val="28"/>
          <w:rtl w:val="true"/>
          <w:lang w:bidi="fa-IR"/>
        </w:rPr>
        <w:t>الرضاع، أی أم المرضعة؛ لأن أم المرضعة تحرم علی الفحل؛ لأنها أم زوجته، فاللازم من التحریم فی المقام هو تنزیل نسب المرتضع منزلة رضاعیة، وهذا لا یتکفله الدلیل؛ لأن التنزیل الذی هو فی الدلیل هو تنزیل الرضاع منزلة النسب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تحرم أخت المرضعة وخالتها وعمتها، فقد یقال بعدم حرمتها؛ لأن عموم التنزیل لا یقتضی تنزیل السبب، فلا تقتضی زوجیة المرضعة کی تکون أختها أخت الزوجة ولا خالة الزوجة ولا عمتها کذلک، لکن قد یقال إن المرضعة أم رضاعیة تنزل منزلة الأم النسبیة، والأم النسبیة زوجة فتحرم أخت المرضعة؛ لکونها أخت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 قد یخدش فی ذلک بأن تنزیل المرضعة منزلة الأم النسبیة لا یقتضی تنزیل أختها منزلة الأخت للأم النسبیة، فلا یکون من الجمع بین الأختین إلّا أن یلتزم بعموم التنزیل للعناوین المتلازمة ولو المترامیة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أم المرضعة علی أبی المرتضع فالصحیح إنها تحرم علی أب المرتضع بناءً علی عموم التنزیل للعناوین الملازمة؛ وذلک لأن المرضعة تنزل منزلة الأم النسبیة وهی زوجة فتکون أمها کأم الأم النسبیة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أم الفحل وأخته وخالته وعمته علی أبی المرتضع، فقیل إنهنّ یحرمن علی أبی المرتضع بناءً علی عموم التنزیل، وهذا فی غیر محله؛ لأن اللازم فی المقام تنزیل النسب منزلة الرضاع، أی تنزیل أبی المرتضع النسبی منزلة الفحل وهو الأب الرضاعی؛ لیأخذ الأب النسبی منزلة الأب الرضاعی، مع أن مفاد قاعدة الرضاع هو اکتساب وأخذ لحمة الرضاع أحکام لحمة النسب لا العکس؛ وذلک لأن الأصل فی التنزیل أو</w:t>
      </w:r>
    </w:p>
    <w:p>
      <w:pPr>
        <w:pStyle w:val="BookText"/>
        <w:rPr/>
      </w:pPr>
      <w:r>
        <w:rPr>
          <w:rFonts w:ascii="IRNazanin" w:hAnsi="IRNazanin" w:eastAsia="IRNazanin"/>
          <w:color w:val="111111"/>
          <w:sz w:val="28"/>
          <w:sz w:val="28"/>
          <w:szCs w:val="28"/>
          <w:rtl w:val="true"/>
          <w:lang w:bidi="fa-IR"/>
        </w:rPr>
        <w:t>التشبیه هو أن یأخذ المنزل والمشبه أحکام المنزل علیه والمشبه به، وهو ما یقال عنه محط التنزیل أو وجه الشبه، فلا بدّ من فرض أحکام مقررة ثابتة للمنزل علیه والمشبه به یتوصل إلی إثباتها وتعدیتها إلی المنزل والمشبه بتوسط التنزیل والتشبیه ولا یکون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لا یکتسب الأسد أوصاف زید وحالاته، فیقال إن الأسد یرکب السیارة ویلبس الثوب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أم المرتضع علی أولاد الفحل بناءً علی عموم التنزیل إلّا أنه قد عرفت ضعف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المرتضع وإن علوا، سواء کانوا رضاعیین أم نسبیین هل یحرمون علی أولاد الفحل؟ استظهر صاحب الجواهر عموم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المرضعة علی زوجها الفحل إذا أرضعت بلبنه أخاها أو أختها أو ابن أخیها أو ابن أختها أو ولد أختها أو عمها أو عمتها أو خالها أو خالتها أو ولد عمها أو ولد عمتها أو عم الزوج أو عمته أو خال الزوج أو خالته أو ولد أخ الزوج أو عم الزوج أو عمته أو خالته، وتفصیل ذلک فی الفروع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إرضاعها أخیها أو أختها، فتکون هی بنت زوجها، فهی أُماً أو بنتاً أو ربیبة بناءً علی عموم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إرضاع المرضعة ولد أخیها أو ولد أختها، فیکون الفحل أخیها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إرضاع المرضعة عمها أو عمتها أو خالها أو خالتها،</w:t>
      </w:r>
      <w:bookmarkStart w:id="134" w:name="pg13690_120483"/>
    </w:p>
    <w:p>
      <w:pPr>
        <w:pStyle w:val="BookText"/>
        <w:rPr/>
      </w:pPr>
      <w:bookmarkEnd w:id="134"/>
      <w:r>
        <w:rPr>
          <w:rFonts w:ascii="IRNazanin" w:hAnsi="IRNazanin" w:eastAsia="IRNazanin"/>
          <w:color w:val="111111"/>
          <w:sz w:val="28"/>
          <w:sz w:val="28"/>
          <w:szCs w:val="28"/>
          <w:rtl w:val="true"/>
          <w:lang w:bidi="fa-IR"/>
        </w:rPr>
        <w:t>فیکون الفحل جدّاً لها بناءً علی عموم المنزلة للعناوین النسبیة والسببیة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إرضاع المرضعة ولد عمها أو عمتها أو ولد خالها أو خالتها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إرضاعها لأخ زوجها أو أخته، فتکون أم لأخیه وأخته، فتکون منکوحةً لأبیه، أو أُماً له بناءً علی عموم المنزلة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أرضعت ولد ولد الزوج أو ولد أخ الزوج، فتکون بمثابة بنته أو حلیلة ابنه أو زوجة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ولد أخ الزوج، فإن هذه الصورة لا یتوهم فیها الحرمة ولو علی التعمیم، إذ أن أم ولد أخیها لا تحرم علی الفحل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أرضعت المرضعة عم الزوج أو عمته أو خاله أو خالتها، فتکون أم وجدّة للفحل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أرضعت المرضعة ولد ولد زوجة الفحل الأخری، فتکون إما بنتاً له أو حلیلة ابنه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الضابطة فی الأشکال فی هذه الصورة متوقفة علی القول بالعموم، وهو أن العلاقة وإن کانت فی بعض حلقاتها طولیة، إلّا أن فی البعض الآخر عرضیة أو قهقریة فتحتاج لعموم القاعدة</w:t>
      </w:r>
      <w:r>
        <w:rPr>
          <w:rFonts w:eastAsia="IRNazanin" w:cs="IRNazanin"/>
          <w:color w:val="111111"/>
          <w:sz w:val="28"/>
          <w:szCs w:val="28"/>
          <w:rtl w:val="true"/>
          <w:lang w:bidi="fa-IR"/>
        </w:rPr>
        <w:t>.</w:t>
      </w:r>
    </w:p>
    <w:p>
      <w:pPr>
        <w:pStyle w:val="Heading6"/>
        <w:numPr>
          <w:ilvl w:val="5"/>
          <w:numId w:val="1"/>
        </w:numPr>
        <w:rPr/>
      </w:pPr>
      <w:bookmarkStart w:id="135" w:name="__RefHeading___Toc907066_1468164448"/>
      <w:bookmarkStart w:id="136" w:name="_Toc52"/>
      <w:bookmarkEnd w:id="135"/>
      <w:r>
        <w:rPr>
          <w:rtl w:val="true"/>
        </w:rPr>
        <w:t>تحقیق فی عموم القاعدة</w:t>
      </w:r>
      <w:r>
        <w:rPr>
          <w:rtl w:val="true"/>
        </w:rPr>
        <w:t>:</w:t>
      </w:r>
      <w:bookmarkEnd w:id="13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ظاهر قوله یحرم من الرضاع ما یحرم من النسب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موصولة أم مصدریة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ملاحظة المحرمات السبعة من النسب،</w:t>
      </w:r>
      <w:bookmarkStart w:id="137" w:name="pg13690_120484"/>
    </w:p>
    <w:p>
      <w:pPr>
        <w:pStyle w:val="BookText"/>
        <w:rPr/>
      </w:pPr>
      <w:bookmarkEnd w:id="137"/>
      <w:r>
        <w:rPr>
          <w:rFonts w:ascii="IRNazanin" w:hAnsi="IRNazanin" w:eastAsia="IRNazanin"/>
          <w:color w:val="111111"/>
          <w:sz w:val="28"/>
          <w:sz w:val="28"/>
          <w:szCs w:val="28"/>
          <w:rtl w:val="true"/>
          <w:lang w:bidi="fa-IR"/>
        </w:rPr>
        <w:t>وأما العناوین التی قد تحرم تارة ولا تحرم أخری فلا یصح أن یکون التنزیل بلحاظها، لا سیما وأن سبب التحریم حینئذ لیس هو النسب وإنما هو المصاهرة، فإن مفاد هذا اللسان لیس تنزیل الرضاع منزلة النسب مطلقاً، وإنما هو تنزیل علی ما یحرم بالنسب، أی فی الموارد التی یکون النسب موجباً للحرمة، ومن المعلوم أن النسب لا یوجب الحرمة إلّا للعناوین السبعة، أما العناوین النسبیة الأخری فهی لا توجب الحرمة من حیث هی هی، بل قد تتفق وتقارن العناوین السبعة وقد تنفک عنها، فتقارن عناوین موجبة للحرمة، إلّا أنها لیست عناوین نسبیة، بل عناوین محرمة بالمصاهرة</w:t>
      </w:r>
      <w:r>
        <w:rPr>
          <w:rFonts w:eastAsia="IRNazanin" w:cs="IRNazanin"/>
          <w:color w:val="111111"/>
          <w:sz w:val="28"/>
          <w:szCs w:val="28"/>
          <w:rtl w:val="true"/>
          <w:lang w:bidi="fa-IR"/>
        </w:rPr>
        <w:t>.</w:t>
      </w:r>
    </w:p>
    <w:p>
      <w:pPr>
        <w:pStyle w:val="Heading6"/>
        <w:numPr>
          <w:ilvl w:val="5"/>
          <w:numId w:val="1"/>
        </w:numPr>
        <w:rPr/>
      </w:pPr>
      <w:bookmarkStart w:id="138" w:name="__RefHeading___Toc907068_1468164448"/>
      <w:bookmarkStart w:id="139" w:name="_Toc53"/>
      <w:bookmarkEnd w:id="138"/>
      <w:r>
        <w:rPr>
          <w:rtl w:val="true"/>
        </w:rPr>
        <w:t>التقریب الثانی</w:t>
      </w:r>
      <w:r>
        <w:rPr>
          <w:rtl w:val="true"/>
        </w:rPr>
        <w:t>:</w:t>
      </w:r>
      <w:bookmarkEnd w:id="139"/>
    </w:p>
    <w:p>
      <w:pPr>
        <w:pStyle w:val="BookText"/>
        <w:rPr/>
      </w:pPr>
      <w:r>
        <w:rPr>
          <w:rFonts w:ascii="IRNazanin" w:hAnsi="IRNazanin" w:eastAsia="IRNazanin"/>
          <w:color w:val="111111"/>
          <w:sz w:val="28"/>
          <w:sz w:val="28"/>
          <w:szCs w:val="28"/>
          <w:rtl w:val="true"/>
          <w:lang w:bidi="fa-IR"/>
        </w:rPr>
        <w:t>هذا کلّه لو أرید تنزیل الرضاع نفسه منزلة النسب، أما لو أرید جعل أولاد المرضعة وأولاد الفحل أولاداً لأبی المرتضع ابتداءً، فیقتضی ذلک أن ما ترامی من أصول المرتضع وحواشیه حرام علی الفحل والمرضعة أیضاً، کما أن أبا المرتضع یحرم علیه ما یحرم علی الفحل، ولکن هذا کلّه بناء علی جعل العلقة بین أبی المرتضع وأولاد الفحل والمرضعة من غیر ناحیة سببیة الرضاع، وإلّا فاللازم انطلاق علقة أبی المرتضع من علقة المرتضع مع الفحل والمرضعة، التی هی علقة رضاعیة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الشیخ الطوسی بالصحیحتین، حیث نزلتا أولاد الفحل وبنات المرضعة بمنزلة ولده وبناته علی التحریم فی مسألة نکاح أولاد أبی المرتضع ممن هم أخوة المرتضع فی أولاد الفحل والمرضعة، حیث إن لازم کون أولاد الفحل والمرضعة أولاداً لأبی المرتضع هو کونهم اخواناً لولده، أی کون أولاد الفحل والمرضعة إخواناً لإخوة المرتضع من أبیه النسبی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التقریب الذی ذکره الشیخ وإن لم یرد علیه إشکال ابن إدریس،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أخت الأخ لا تحرم علی الأخ فی النسب مطلقاً إذا لم تکن أختاً لأم أو لأب، فکیف بأخت الأخ من الرضاع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ووجه اندفاع اشکال ابن إدریس علی الشیخ، إن الشیخ لم یستدل بمطلق الأخوة بین أخت الأخ والأخ الآخر وإنما استدل من جهة أن أولاد الفحل والمرضعة أولاداً لأبی المرتضع بالرضاع، فیحرم ولده بالنسب علی ولده بالرضاع؛ لکون الأخوة حینئذ من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الذی یرد علی تقریب الشیخ هو أنه مبنی علی اعتبار العلاقة بین أبی المرتضع وأولاد الفحل والمرضعة ابتداءً من غیر توسیط المرتضع ورضاعه، فحینئذ یصح ترامی الدلالة الالتزامیة وتلازم اعتبار النسب فی مورد آخر بالتلازم النسبی، أی بعد اعتبار العلقة بین أبی المرتضع وأولاد الفحل، والمرضعة تعتبر علاقة نسبیة أخری بین أولاد أبی المرتضع وأولاد الفحل وهی الأخوة النسبیة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ویصح 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عموم القاعدة فی التلازم النسبی للنسب الملازم فیما یکون من العناوین السبعة أولی من عموم القاعدة للملازم النسبی، الذی تکون حرمته من جهة المصاهرة، أی من غیر السبعة؛ لأن عموم القاعدة للأول یتحفظ علی سببیة النسب للتحریم بخلاف الثانی، غایة الأمر یکون التلازم النسبی لیس توالداً طولیاً وإنما هو تلازم عرضی، فمن ثمّ تکون دلالة لسان القاعدة علیه من باب الدلالة الالتزامیة بین الأمرین العرضیین فی النسب، ومن ثَم قیل إن دلالة القاعدة علیه بالدلالة الالتزامیة، بخلاف ما یکون فی النسب الذی هو فی طول النسب الذی</w:t>
      </w:r>
    </w:p>
    <w:p>
      <w:pPr>
        <w:pStyle w:val="BookText"/>
        <w:rPr/>
      </w:pPr>
      <w:r>
        <w:rPr>
          <w:rFonts w:ascii="IRNazanin" w:hAnsi="IRNazanin" w:eastAsia="IRNazanin"/>
          <w:color w:val="111111"/>
          <w:sz w:val="28"/>
          <w:sz w:val="28"/>
          <w:szCs w:val="28"/>
          <w:rtl w:val="true"/>
          <w:lang w:bidi="fa-IR"/>
        </w:rPr>
        <w:t>مفاده مطابقی، فإن تقریره هو بمقتضی نفس المفاد المطابقی لا بالدلالة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أیة تقدیر فکلام الشیخ مبنی علی اعتبار العلقة بین أبی المرتضع وأولاد الفحل والمرضعة، بجعل مبتدأ غیر متفرع علی علقة المرتضع بالرضاع مع الفحل والمرضعة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أن ظاهر باب الرضاع وأحکامه مبتن علی العلقة الرضاعیة الحاصلة أولًا بین المرتضع والفحل والمرضعة، ومن ثَم کان اعتبار العلقة بین أبی المرتضع وأولاد الفحل والمرضعة هی فی طول علقة المرتضع مع الفحل والمرضعة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إنها لیس فی طولها حقیقة، بل هی فی عرضها، فلا محالة تکون تعبدیة یقتصر علیها فی ذلک المورد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المانع من الالتزام بعموم القاعدة لکلّ من العناوین النسبیة السبعة، سواء کانت فی طول علقة المرتضع والفحل والمرضعة التی هی العلقة الأصلیة، أم کانت فی عرضها، کما یلتزم بإطلاق القاعدة لموارد العناوین السبعة من النسب ولموارد تحریم المصاهرة؛ لأن النسب فیها جزء السبب، فسواء کان النسب تمام الموضوع للتحریم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العناوین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کان جزء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العناوین المحرمة بالمصاهرة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مفاد صحیح أبی عبیدة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تنکح المرأة علی عمتها ولا علی خالتها ولا علی أختها من الرضاع</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ویؤید ذلک ما ورد</w:t>
      </w:r>
    </w:p>
    <w:p>
      <w:pPr>
        <w:pStyle w:val="BookText"/>
        <w:rPr/>
      </w:pPr>
      <w:r>
        <w:rPr>
          <w:rFonts w:ascii="IRNazanin" w:hAnsi="IRNazanin" w:eastAsia="IRNazanin"/>
          <w:color w:val="111111"/>
          <w:sz w:val="28"/>
          <w:sz w:val="28"/>
          <w:szCs w:val="28"/>
          <w:rtl w:val="true"/>
          <w:lang w:bidi="fa-IR"/>
        </w:rPr>
        <w:t>فی النصوص الصحیحة من تحریم بیع المرضعة المرتضع المملوک</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لیس مقتضی العموم اقتضائه لإیجاد مصاهرة غیر حاصلة، کما فی تحریم الفحل جدّة المرتضع النسبیة، فما اشتهر من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الرضاع یحرّم ما یحرم بالنسب ولا یحرم ما یحرم بالمصاهرة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یستقیم، فإن فی موارد تحریم المصاهرة، هو تحریم بالنسب أیضاً لأخذ العلقة النسبیة فی العناوین المحرمة بالمصاهرة، وقد التزموا بتحریم الجمع بین الأختین من الرضاع کما دل علیه النص السابق وکذلک بقیة العناوین المحرمة من المصاهرة، إذا کان النسب الذی فی تلک العناوین حصل بالرضاعة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دل علیه النص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إطلاق ما یحرم من النسب فی القاعدة الشامل لما لو کان النسب تمام الموضوع أو جزء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والمقابلة بین المحرم بالمصاهرة والمحرم بالنسب من اصطلاح الفقهاء، وقد ورد فی بعض الروایات وهو بلحاظ المقابلة بین الموارد التی تکون فیها المصاهرة دخل فی التحریم بضمیمة النسب، مع موارد تمامیة سببیة النسب للتحریم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ذکروه من أمثلة عدم تحریم الرضاع لما یحرم بالمصاهرة مرادهم منها أن الرضاع لا ینزل منزلة النکاح فی حالة عدم وقوع النکاح لا موارد ما لو وقع النکاح، فإن الرضاع حینئذ ینزل منزلة النسب المأخوذ فی موضوع التحریم بالمصاهرة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یشکل علی التلازم العرضی بالنص الوارد فی جواز تزویج أخت الأخ من الرضاع، کما فی معتبرة یونس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أرضعتنی وأرضعت صبیاً معی ولذلک الصبی أخ</w:t>
      </w:r>
    </w:p>
    <w:p>
      <w:pPr>
        <w:pStyle w:val="BookText"/>
        <w:rPr/>
      </w:pPr>
      <w:r>
        <w:rPr>
          <w:rFonts w:ascii="IRNazanin" w:hAnsi="IRNazanin" w:eastAsia="IRNazanin"/>
          <w:color w:val="111111"/>
          <w:sz w:val="28"/>
          <w:sz w:val="28"/>
          <w:szCs w:val="28"/>
          <w:rtl w:val="true"/>
          <w:lang w:bidi="fa-IR"/>
        </w:rPr>
        <w:t>من أبیه وأمه، فیحل لی أن أتزوّج ابنته؟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مورد الروایة لیس بالتلازم العرضی، وذلک لأن أولاد أبی المرتضع إخوتهم لأولاد الفحل ولو بالرضاعة هی فی المرتبة الطولیة؛ لأن الأخوة فرع أبوة أبی المرتضع لأولاد الفحل، والمفروض أن فی موارد النسب الطولی یلتزمون بعموم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الإشکال مبنی علی أن هذه العلقة بین أبی المرتضع وأولاد الفحل هی علقة مجعولة ابتداءً، وأما بناءً علی أنها مجعولة فی طول العلقة بین المرتضع والفحل، فلا محالة تکون هذه العلقة بین أبی المرتضع وأولاد الفحل علقة تعبدیة یقتصر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احتمل المحقق الکرکی وغیره من معنی التعلیل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 موضع بناتک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اخوته صاروا بمنزلة أولادک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بنات الفحل من آخر لزوجته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بنات أبی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بمعنی کون الأولاد من الطرفین هم من أب واحد، فیحرم علی کلّ من أبی المرتضع والفحل علی أولاد الآخر کما یحرم بعضهم علی بعض؛ لحصول الأخوة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المعنی وإن کان محتملًا إرادته من العبارة، إلّا أن استفادته یحتاج إلی قرینة بخلاف ما إذا جعل التنزیل مقتصراً علی أبی المرتضع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مرّ أن التعلیل للحرمة یدل علی العمومیة فی الجملة والسعة أکثر من الحکم المعلل، وقد یعضد هذا التقریب بأن رضاع المرتضع من لبن الفحل یجعل أولاد الفحل إخوة له لأبیه، وإذا کانوا من المرضعة أیضاً فهم إخوته لأبیه</w:t>
      </w:r>
      <w:bookmarkStart w:id="140" w:name="pg13690_120489"/>
    </w:p>
    <w:p>
      <w:pPr>
        <w:pStyle w:val="BookText"/>
        <w:rPr/>
      </w:pPr>
      <w:bookmarkEnd w:id="140"/>
      <w:r>
        <w:rPr>
          <w:rFonts w:ascii="IRNazanin" w:hAnsi="IRNazanin" w:eastAsia="IRNazanin"/>
          <w:color w:val="111111"/>
          <w:sz w:val="28"/>
          <w:sz w:val="28"/>
          <w:szCs w:val="28"/>
          <w:rtl w:val="true"/>
          <w:lang w:bidi="fa-IR"/>
        </w:rPr>
        <w:t xml:space="preserve">وأمه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قرر ذلک الشیخ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ذلک تکون النسبة بین أبی المرتضع وأولاد الفحل؛ لأن إخوته إخوة ابنه لأبیه، وأخوه الابن لأبیهم هم أبناء، وهذا من التلازم العرضی أو التلازم فی الطولیة المعکوسة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أولاد المرضعة إخوة لابنه من الأم</w:t>
      </w:r>
      <w:r>
        <w:rPr>
          <w:rFonts w:eastAsia="IRNazanin" w:cs="IRNazanin"/>
          <w:color w:val="111111"/>
          <w:sz w:val="28"/>
          <w:szCs w:val="28"/>
          <w:rtl w:val="true"/>
          <w:lang w:bidi="fa-IR"/>
        </w:rPr>
        <w:t>.</w:t>
      </w:r>
    </w:p>
    <w:p>
      <w:pPr>
        <w:pStyle w:val="Heading6"/>
        <w:numPr>
          <w:ilvl w:val="5"/>
          <w:numId w:val="1"/>
        </w:numPr>
        <w:rPr/>
      </w:pPr>
      <w:bookmarkStart w:id="141" w:name="__RefHeading___Toc907070_1468164448"/>
      <w:bookmarkStart w:id="142" w:name="_Toc54"/>
      <w:bookmarkEnd w:id="141"/>
      <w:r>
        <w:rPr>
          <w:rtl w:val="true"/>
        </w:rPr>
        <w:t>التقریب الثالث</w:t>
      </w:r>
      <w:r>
        <w:rPr>
          <w:rtl w:val="true"/>
        </w:rPr>
        <w:t>:</w:t>
      </w:r>
      <w:bookmarkEnd w:id="142"/>
    </w:p>
    <w:p>
      <w:pPr>
        <w:pStyle w:val="BookText"/>
        <w:rPr/>
      </w:pPr>
      <w:r>
        <w:rPr>
          <w:rFonts w:ascii="IRNazanin" w:hAnsi="IRNazanin" w:eastAsia="IRNazanin"/>
          <w:color w:val="111111"/>
          <w:sz w:val="28"/>
          <w:sz w:val="28"/>
          <w:szCs w:val="28"/>
          <w:rtl w:val="true"/>
          <w:lang w:bidi="fa-IR"/>
        </w:rPr>
        <w:t xml:space="preserve">أن یقال فی أن المراد فی لفظ القاعدة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 تکون بیانیة لا نشویة بمعنی باء السببیة الذی هو، أحد الاحتمالات المتقدّمة، فعلی احتمال الظرفیة أو البیانیة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موصولة ویراد منها الإفراد، فکل مورد حرم فی النسب ولو بالمصاهرة، فإنه یحرم فی الرضاع، وهذا یقتضی تعمیم لما یحرم بالمصاهرة فی النسب</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التقریب یقتضی أن تحریم أولاد الفحل وأولاد المرضعة علی أبی المرتضع هو بمقتضی عموم القاعدة؛ لأنهم إخوة ولده وهم یحرمون فی النسب، أما بالنسب فیکون النصان الواردان فی أبی المرتضع فی تحریم نکاح أبی المرتضع لأولاد الفحل والمرضعة علی القاعدة، وعلی ذلک فیحرم أولاد المرتضع علی الفحل والمرضعة بنفس التقریب، کما یقتضی تحریم جدودة المرتضع علی المرضعة والفحل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 تحریم جدودة أولاد الفحل والمرضعة علی أبی المرتضع، وبالتالی فیتعین عموم المنزلة لغیرها، الذی التزم به غیر المشهور، ولکن یضعف هذا التقریب أن لفظ الحدیث النبوی المروی عنهم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ظاهرة بالانسباق فی النشویة ولا معنی لاحتمال البیانیة</w:t>
      </w:r>
      <w:bookmarkStart w:id="143" w:name="pg13690_120490"/>
    </w:p>
    <w:p>
      <w:pPr>
        <w:pStyle w:val="BookText"/>
        <w:rPr/>
      </w:pPr>
      <w:bookmarkEnd w:id="143"/>
      <w:r>
        <w:rPr>
          <w:rFonts w:ascii="IRNazanin" w:hAnsi="IRNazanin" w:eastAsia="IRNazanin"/>
          <w:color w:val="111111"/>
          <w:sz w:val="28"/>
          <w:sz w:val="28"/>
          <w:szCs w:val="28"/>
          <w:rtl w:val="true"/>
          <w:lang w:bidi="fa-IR"/>
        </w:rPr>
        <w:t xml:space="preserve">فیها أو احتمال الظرفیة، فی قبال النشویة وهو یقوی انسباق النشویة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تفسیر الروایتین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مهزیار وأیوب بن نوح،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التعبیر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التنزیل بلحاظ التحریم بالمصاهرة؛ لأن أخوات ابنه إما یحرمن بالنسب علیه أو بالمصاهرة؛ لأنهن ربائب زوجته، فتکون هاتان الصحیحتان تفیدان عموم للقاعدة لتحریم بالمصاهرة؛ إذ لا حرمة للنسب فی المقام، إذ أخت الابن لیس من العناوین السبعة النسبیة المحرمة، فیجعل مفادها حینئذ شاهدة علی أن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لسان القاعدة المنصوصة هو بالمعنی الظرفی، لا سیما وأن لسان هاتین الصحیحتین لیس مجرّد التحریم، بل التعلیل بالتنزیل</w:t>
      </w:r>
      <w:r>
        <w:rPr>
          <w:rFonts w:eastAsia="IRNazanin" w:cs="IRNazanin"/>
          <w:color w:val="111111"/>
          <w:sz w:val="28"/>
          <w:szCs w:val="28"/>
          <w:rtl w:val="true"/>
          <w:lang w:bidi="fa-IR"/>
        </w:rPr>
        <w:t>.</w:t>
      </w:r>
    </w:p>
    <w:p>
      <w:pPr>
        <w:pStyle w:val="Heading6"/>
        <w:numPr>
          <w:ilvl w:val="5"/>
          <w:numId w:val="1"/>
        </w:numPr>
        <w:rPr/>
      </w:pPr>
      <w:bookmarkStart w:id="144" w:name="__RefHeading___Toc907072_1468164448"/>
      <w:bookmarkStart w:id="145" w:name="_Toc55"/>
      <w:bookmarkEnd w:id="144"/>
      <w:r>
        <w:rPr>
          <w:rtl w:val="true"/>
        </w:rPr>
        <w:t>التقریب الرابع</w:t>
      </w:r>
      <w:r>
        <w:rPr>
          <w:rtl w:val="true"/>
        </w:rPr>
        <w:t>:</w:t>
      </w:r>
      <w:bookmarkEnd w:id="145"/>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علی بن مهزیار ما عن ابن إدریس والعلامة فی المختلف والشهید فی نکت الاعتقاد، من کون محط السؤال فی صحیح بن مهزیار</w:t>
      </w:r>
      <w:r>
        <w:rPr>
          <w:rStyle w:val="FootnoteAnchor"/>
          <w:rtl w:val="true"/>
        </w:rPr>
        <w:footnoteReference w:id="194"/>
      </w:r>
      <w:r>
        <w:rPr>
          <w:rFonts w:ascii="IRNazanin" w:hAnsi="IRNazanin" w:eastAsia="IRNazanin"/>
          <w:color w:val="111111"/>
          <w:sz w:val="28"/>
          <w:sz w:val="28"/>
          <w:szCs w:val="28"/>
          <w:rtl w:val="true"/>
          <w:lang w:bidi="fa-IR"/>
        </w:rPr>
        <w:t>هو عن الفحل لا عن أبی المرتضع، فیکون تفسیر الروایة کالتالی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أرضعت لی صبیاً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 اللبن له، وقول السائل فهل یحل لی أن أتزوّج ابنة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ابنة أبی المرتضع الذی کان زوجاً لزوجته سابقاً، ویحمل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علیه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بتشدید الراء فی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امرأته سببت التحریم علیه بسبب لبن الرجل الذی هو الفحل، حیث جعلت المرتضع ابناً له، وقول السائل</w:t>
      </w:r>
      <w:bookmarkStart w:id="146" w:name="pg13690_120491"/>
    </w:p>
    <w:p>
      <w:pPr>
        <w:pStyle w:val="BookText"/>
        <w:rPr/>
      </w:pPr>
      <w:bookmarkEnd w:id="1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 لیست ابنة المرأة التی أرضعت لی هی ابنة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أبی المرتضع من غیر المرضعة التی هی زوجته سابقاً، وجوابه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 عشراً متفرقات، ما حل لک شیء منهن وکن فی موضع 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أبی المرتضع النسبیات لو کن عشراً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نساء 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أبی المرتضع لو کن عشراً من نساء متفرقات ما حل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للفحل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منهن وکن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بنات المرتضع وأخوات المرتضع من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التأویل للروایة خلاف الظاهر جداً أو تکلف محوج کما لا یخفی علی الناظر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یقرب أیضاً بأن الروایة وإن کانت فی مورد التحریم علی أبی المرتضع فی أولاد الفحل، إلّا أنه یتعدی إلی تحریم الفحل علی أولاد أبی المرتضع وبالتالی علی أمهات المرتضع، أی أم أم الولد من الرضاع بجعل الحال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للولد، وهذا التعدی لا یتم إلّا بتقریب أن یکون الرضاع نسباً حقیقیاً یترامی منه وتتلازم معه إضافات نسبیة أخری، لکن تقدّم أن ذلک لا یستلزم اعتبار علقة النسب أیضاً بین أبی المرتضع وأولاد الفحل وأولاد المرضعة، بل غایة الأمر یکنّ ربائب له</w:t>
      </w:r>
      <w:r>
        <w:rPr>
          <w:rFonts w:eastAsia="IRNazanin" w:cs="IRNazanin"/>
          <w:color w:val="111111"/>
          <w:sz w:val="28"/>
          <w:szCs w:val="28"/>
          <w:rtl w:val="true"/>
          <w:lang w:bidi="fa-IR"/>
        </w:rPr>
        <w:t>.</w:t>
      </w:r>
    </w:p>
    <w:p>
      <w:pPr>
        <w:pStyle w:val="Heading6"/>
        <w:numPr>
          <w:ilvl w:val="5"/>
          <w:numId w:val="1"/>
        </w:numPr>
        <w:rPr/>
      </w:pPr>
      <w:bookmarkStart w:id="147" w:name="__RefHeading___Toc907074_1468164448"/>
      <w:bookmarkStart w:id="148" w:name="_Toc56"/>
      <w:bookmarkEnd w:id="147"/>
      <w:r>
        <w:rPr>
          <w:rtl w:val="true"/>
        </w:rPr>
        <w:t>التقریب الخامس</w:t>
      </w:r>
      <w:r>
        <w:rPr>
          <w:rtl w:val="true"/>
        </w:rPr>
        <w:t>:</w:t>
      </w:r>
      <w:bookmarkEnd w:id="14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الروایات الواردة فی حرمة الزواج بأخت الأخ من الرضاع، أی أخت الأخ الرضاعی من النسب وبنتها کموثّق إسحاق بن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تزوج أخت أخیه من الرضاع، قال ما أحب أن</w:t>
      </w:r>
    </w:p>
    <w:p>
      <w:pPr>
        <w:pStyle w:val="BookText"/>
        <w:rPr/>
      </w:pPr>
      <w:r>
        <w:rPr>
          <w:rFonts w:ascii="IRNazanin" w:hAnsi="IRNazanin" w:eastAsia="IRNazanin"/>
          <w:color w:val="111111"/>
          <w:sz w:val="28"/>
          <w:sz w:val="28"/>
          <w:szCs w:val="28"/>
          <w:rtl w:val="true"/>
          <w:lang w:bidi="fa-IR"/>
        </w:rPr>
        <w:t>أتزوّج أخت أخی من الرضاع</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وموثّق یونس بن یعقوب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 عن امرأة أرضعتنی وأرضعت صبیاً معی ولذلک الصبی أخ من أبیه وأمه، فیحل لی أن أتزوّج ابنته؟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ولا یعارضها معتبرة أبی جریر القمی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أزوج أخی من أمی أختی من أبی؟ 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إیاها إیاه أو زوجه إیاه إیاها</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لأنها واردة فی الأخ من الأب والأخت من الأم، فلا صلة نسب بینهما بخلاف الروایتین السابقتین، فإن موردهما الأخ من الرضاعة وهو أخ من أب رضاعی واحد بمنزلة الأخ من الأب النسبی، فمورد الصلة بینهما الأبوة فی تنزیل الرضاع، لأن إرضاع المرتضع من لبن الفحل یجعله أب من الرضاع ورضاع المرتضع من المرضعة یجعلها أُماً من الرضاع وأولادهما یکونوا بمنزلة الأخوة من الأب الرضاعی أو الأخوة من الأم من الرضاع</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فإخوة المرتضع من الأم النسبیة یحرمن علی أولاد المرضعة؛ لاتحاد الصلة وهی الأم بعد تنزیل الأم الرضاعیة منزلة الأم النسبیة، ومن ثمّ ینزل الفحل منزلة أبی المرتضع؛ وتکون بنات الفحل فی موضع بنات أبی المرتضع لتنزیلهما بمنزلة أب واحد کما فی صحیح علی بن مهزیار، وبذلک یتم دعم التقریبات السابقة لعموم التنزیل فی قاعدة الرضاع</w:t>
      </w:r>
      <w:r>
        <w:rPr>
          <w:rFonts w:eastAsia="IRNazanin" w:cs="IRNazanin"/>
          <w:color w:val="111111"/>
          <w:sz w:val="28"/>
          <w:szCs w:val="28"/>
          <w:rtl w:val="true"/>
          <w:lang w:bidi="fa-IR"/>
        </w:rPr>
        <w:t>.</w:t>
      </w:r>
      <w:bookmarkStart w:id="149" w:name="pg13690_120493"/>
    </w:p>
    <w:p>
      <w:pPr>
        <w:pStyle w:val="Heading5"/>
        <w:numPr>
          <w:ilvl w:val="4"/>
          <w:numId w:val="1"/>
        </w:numPr>
        <w:rPr/>
      </w:pPr>
      <w:bookmarkStart w:id="150" w:name="__RefHeading___Toc907076_1468164448"/>
      <w:bookmarkStart w:id="151" w:name="_Toc57"/>
      <w:bookmarkEnd w:id="149"/>
      <w:bookmarkEnd w:id="150"/>
      <w:r>
        <w:rPr>
          <w:rtl w:val="true"/>
        </w:rPr>
        <w:t>المختار فی المسألة</w:t>
      </w:r>
      <w:r>
        <w:rPr>
          <w:rtl w:val="true"/>
        </w:rPr>
        <w:t>:</w:t>
      </w:r>
      <w:bookmarkEnd w:id="151"/>
    </w:p>
    <w:p>
      <w:pPr>
        <w:pStyle w:val="BookText"/>
        <w:rPr/>
      </w:pPr>
      <w:r>
        <w:rPr>
          <w:rFonts w:ascii="IRNazanin" w:hAnsi="IRNazanin" w:eastAsia="IRNazanin"/>
          <w:color w:val="111111"/>
          <w:sz w:val="28"/>
          <w:sz w:val="28"/>
          <w:szCs w:val="28"/>
          <w:rtl w:val="true"/>
          <w:lang w:bidi="fa-IR"/>
        </w:rPr>
        <w:t>إنه من الضروری حمل مفاد هذه الروایات علی الکراهیة؛ لنص القرآن الکریم بتحلیل بنات العم وبنات العمة لعمة الرسول صلی الله علیه و آله ، وکذلک تزویجه بزینب بنت جحش وکانت بنت أمیمة بنت عبد المطلب، مع أن النبی صلی الله علیه و آله أخ لحمزة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الرضاع، ففی صحیح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ابنة الأخ من الرضاع لا آمر به أحداً ولا أنهی عنه وإنا أنهی</w:t>
      </w:r>
    </w:p>
    <w:p>
      <w:pPr>
        <w:pStyle w:val="BookText"/>
        <w:rPr/>
      </w:pPr>
      <w:r>
        <w:rPr>
          <w:rFonts w:ascii="IRNazanin" w:hAnsi="IRNazanin" w:eastAsia="IRNazanin"/>
          <w:color w:val="111111"/>
          <w:sz w:val="28"/>
          <w:sz w:val="28"/>
          <w:szCs w:val="28"/>
          <w:rtl w:val="true"/>
          <w:lang w:bidi="fa-IR"/>
        </w:rPr>
        <w:t>عنه نفسی وولدی،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 رسول الله صلی الله علیه و آله ابنة حمزة فأبی رسول الله صلی الله علیه و آله وقال هی ابنة أخی من الرضاع</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ومثلها صحیحة أبی عبید</w:t>
      </w:r>
      <w:r>
        <w:rPr>
          <w:rStyle w:val="FootnoteAnchor"/>
          <w:rtl w:val="true"/>
        </w:rPr>
        <w:footnoteReference w:id="199"/>
      </w:r>
      <w:r>
        <w:rPr>
          <w:rFonts w:ascii="Amiri" w:hAnsi="Amiri" w:eastAsia="Amiri" w:cs="Amiri"/>
          <w:color w:val="111111"/>
          <w:sz w:val="28"/>
          <w:sz w:val="28"/>
          <w:szCs w:val="28"/>
          <w:rtl w:val="true"/>
          <w:lang w:bidi="ar-SA"/>
        </w:rPr>
        <w:t>ومعتبرة أبان بن عثمان عمن حدثه</w:t>
      </w:r>
      <w:r>
        <w:rPr>
          <w:rStyle w:val="FootnoteAnchor"/>
          <w:rtl w:val="true"/>
        </w:rPr>
        <w:footnoteReference w:id="200"/>
      </w:r>
      <w:r>
        <w:rPr>
          <w:rFonts w:ascii="IRNazanin" w:hAnsi="IRNazanin" w:eastAsia="IRNazanin"/>
          <w:color w:val="111111"/>
          <w:sz w:val="28"/>
          <w:sz w:val="28"/>
          <w:szCs w:val="28"/>
          <w:rtl w:val="true"/>
          <w:lang w:bidi="fa-IR"/>
        </w:rPr>
        <w:t>وزاد فی کشف اللثام للنقض علی عموم التزویج، بأن الربیبة تحرم علی الزوج ولا تحرم علی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وجه التحریم یضم منه تنزیل منزلة البنت، ومن ذلک یظهر أن التنزیل لیس مطلقاً فلیس الأب من الرضاع أبا نسبیاً بقول مطلق، بحیث یقتضی ثبوت المعانی والعناوین النسبیة اللازمة عرضاً، ومن ثمّ حرم أولاد المرضعة علی أبی المرتضع مع أنه لا تنزیل نسبی فی البین، کما مرّ بیان ذلک مفصلًا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وجه الکراهة ما أشار إلیه صاحب الوسائل أنه دفعاً لتوهم</w:t>
      </w:r>
    </w:p>
    <w:p>
      <w:pPr>
        <w:pStyle w:val="BookText"/>
        <w:rPr/>
      </w:pPr>
      <w:r>
        <w:rPr>
          <w:rFonts w:ascii="IRNazanin" w:hAnsi="IRNazanin" w:eastAsia="IRNazanin"/>
          <w:color w:val="111111"/>
          <w:sz w:val="28"/>
          <w:sz w:val="28"/>
          <w:szCs w:val="28"/>
          <w:rtl w:val="true"/>
          <w:lang w:bidi="fa-IR"/>
        </w:rPr>
        <w:t>العوام إباحة الأخت مطلقاً أو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یعلم أن التنزیل فی صحیح علی بن مهزیار وصحیح أیوب بن نوح السابقین تعبّدی خاص بأبی المرتضع، وأنه لو کان التنزیل فیها مطلقاً وبمقتضی قاعدة الرضاع لکان الأخ من الرضاع أخاً مطلقاً یستلزم ثبوت العناوین العرضیة الأخری الملازمة النسبیة، وقد عرفت انه یخالف النص الصریح فی الکتاب فی مورد رضاع النبی صلی الله علیه و آله ، فالعنوان الرضاعی ینزل منزلة العنوان النسبی بلحاظ العناوین المتولدة طولًا لا مطلقاً، فیما یکون بمقتضی لحمة رضاع المرتضع من الفحل والمرضعة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الضابطة هی الطولیة إذا روعیت فی کلّ فرض وصورة مهما ترامت، أو تنوعت أطرافها، فإن الذی یزیل الاشتباه والالتباس فی مراعاة القاعدة هو ملاحظة الطولیة المتعاقبة دون العکس القهقری، ولا المعنی النسبی الملازم عرضاً، بحیث تکون کلّ خطوات الاعتبار طولًا انطلاقاً من لحمة رضاع المرتضع مع الفحل والمرضعة، عدا مسألة أبی المرتضع فی أولاد الفحل والمرضعة للنص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ویعضد ما تقدّم من مقدار العموم فی القاعدة ما ذکره صاحب الجواهر وتابعه غیر واحد من أن مفاد الموضوع فی القاعدة العرضیة ویکون المحمول حینئذ فی القاعدة هو تحریم واعتبار تلک النسب الإضافیة کإضافات نسبیة، فلیست القاعدة فی صدد إنشاء تلک الإضافات الرضاعیة، بل هی متقررة بحسب العرف بما لها من تقرر عندهم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فلا بدّ من وجود الإضافة بحسب العرف، ومن ثمّ تنزل عند الشارع منزلة إضافة النسب، ومن الواضح إن الإضافة الرضاعیة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لیست علی العموم وإنما دائرتها بحسب ما ذهب إلیه المشهور، ومن ثمّ کان تنزیل أولاد الفحل والمرضعة بمنزلة أولاد أبی المرتضع تعبدیة محضة</w:t>
      </w:r>
      <w:r>
        <w:rPr>
          <w:rFonts w:eastAsia="IRNazanin" w:cs="IRNazanin"/>
          <w:color w:val="111111"/>
          <w:sz w:val="28"/>
          <w:szCs w:val="28"/>
          <w:rtl w:val="true"/>
          <w:lang w:bidi="fa-IR"/>
        </w:rPr>
        <w:t>.</w:t>
      </w:r>
      <w:bookmarkStart w:id="152" w:name="pg13690_120496"/>
    </w:p>
    <w:p>
      <w:pPr>
        <w:pStyle w:val="Heading4"/>
        <w:numPr>
          <w:ilvl w:val="3"/>
          <w:numId w:val="1"/>
        </w:numPr>
        <w:rPr/>
      </w:pPr>
      <w:bookmarkStart w:id="153" w:name="__RefHeading___Toc907078_1468164448"/>
      <w:bookmarkStart w:id="154" w:name="_Toc58"/>
      <w:bookmarkEnd w:id="152"/>
      <w:bookmarkEnd w:id="153"/>
      <w:r>
        <w:rPr>
          <w:rtl w:val="true"/>
        </w:rPr>
        <w:t>المبحث الثالث</w:t>
      </w:r>
      <w:r>
        <w:rPr>
          <w:rtl w:val="true"/>
        </w:rPr>
        <w:t xml:space="preserve">: </w:t>
      </w:r>
      <w:r>
        <w:rPr>
          <w:rtl w:val="true"/>
        </w:rPr>
        <w:t>فروع</w:t>
      </w:r>
      <w:bookmarkEnd w:id="154"/>
    </w:p>
    <w:p>
      <w:pPr>
        <w:pStyle w:val="Heading5"/>
        <w:numPr>
          <w:ilvl w:val="4"/>
          <w:numId w:val="1"/>
        </w:numPr>
        <w:rPr/>
      </w:pPr>
      <w:bookmarkStart w:id="155" w:name="__RefHeading___Toc907080_1468164448"/>
      <w:bookmarkStart w:id="156" w:name="_Toc59"/>
      <w:bookmarkEnd w:id="155"/>
      <w:r>
        <w:rPr>
          <w:rtl w:val="true"/>
        </w:rPr>
        <w:t>الفرع الأول</w:t>
      </w:r>
      <w:r>
        <w:rPr>
          <w:rtl w:val="true"/>
        </w:rPr>
        <w:t>:</w:t>
      </w:r>
      <w:bookmarkEnd w:id="15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الفقیة السید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تحقّق الرضاع الجامع للشرائط صار الفحل والمرضعة أبا وأُماً للمرتضع وأصولهما أجداداً وجدات وفروعهما إخوة وأولاد إخوة له، ومن فی حاشیتهما وفی حاشیة أصولهما أعماماً أو عمات وأخوالًا أو خالات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المرتضع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أو بنتاً لهما وفروعه أحفاداً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تبین ذلک فکل عنوان نسبی محرم من العناوین السبعة المتقدّمة إذا تحقّق مثله فی الرضاع یکون محرماً، فالأم الرضاعیة کالأم النسبیة والبنت الرضاعیة کالبنت النسبیة وهکذا، فلو ارضعت امرأة من لبن فحل طفلاً حرمت المرضعة وأمها وأم الفحل عن المرتضع للأمومة والمرتضعة وبناتها وبنات المرتضع علی الفحل وعلی أبیه وأبی المرتضعة للبنتیة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 أخت الفحل وأخت المرضعة علی المرتضع؛ لکونهما عمة وخاله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والمرتضعة علی أخی الفحل وأخی المرضعة؛ لکونها بنت أخ أو بنت أخت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وحرمت بنات الفحل علی المرتضع والمرتضعة علی أبنائه نسبیین کانوا أم رضاعیین وکذا بنات المرضعة علی المرتضع والمرتضعة علی أبنائها إذا کانوا نسبیین للأخوّة، وأما أولاد المرضعة الرضاعیون ممن أرضعتهم بلبن فحل آخر غیر الفحل الذی ارتضع المرتضع بلبنه، لم یحرموا علی المرتضع لما مرَّ من اشتراط اتحاد الفحل فی نشر الحرمة بین المرتضعین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وتحقیق الحال</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تقدّم بیان جملة ذلک فی شرح الحدیث النبوی المستفیض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الرضاع ما یحرم من النسب</w:t>
      </w:r>
      <w:r>
        <w:rPr>
          <w:rStyle w:val="FootnoteAnchor"/>
          <w:rtl w:val="true"/>
        </w:rPr>
        <w:footnoteReference w:id="201"/>
      </w:r>
      <w:r>
        <w:rPr>
          <w:rFonts w:ascii="IRNazanin" w:hAnsi="IRNazanin" w:eastAsia="IRNazanin"/>
          <w:color w:val="111111"/>
          <w:sz w:val="28"/>
          <w:sz w:val="28"/>
          <w:szCs w:val="28"/>
          <w:rtl w:val="true"/>
          <w:lang w:bidi="fa-IR"/>
        </w:rPr>
        <w:t>ودلالته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ویدل علی جملة من هذه التفاصیل موثّقة عمار الساباطی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غلام رضع من امرأة أ یحل أن یتزوج أختها لأبیها من الرضاع؟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فقد رضعا جمیعاً من لبن فحل واحد من امرأة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فیتزوج أختها لأمها من الرضاعة؟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بذلک، إن أختها التی لم ترضعه کان فحلها غیر فحل التی أرضعت الغلام، فاختلف الفحلان فلا بأس</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والموثّقة دالة علی حرمة أخت المرضعة علی المرتضع ولو کانت تلک الأخت أخت للمرضعة من الرضاع أیضاً، فضلًا عن النسب واستدل بهذه الموثّقة علی رد دعوی العلامة والکرکی وغیرهم ممن اشترط وحدة الفحل بین المرتضع وبین ما یترامی من الرضاع، وتبین الموثّقة أن اللازم فی وحدة شرطیة الفحل إنما هی بین مَن یراد تقریر الإضافة النسبیة بینهما من المرتضعین، ومَن ثمّ تترامی فیما إذا کان بین أحدهما علقة رضاعیة أخری بنحو طولی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صحیحة الحلبی</w:t>
      </w:r>
      <w:r>
        <w:rPr>
          <w:rStyle w:val="FootnoteAnchor"/>
          <w:rtl w:val="true"/>
        </w:rPr>
        <w:footnoteReference w:id="203"/>
      </w:r>
      <w:r>
        <w:rPr>
          <w:rFonts w:ascii="IRNazanin" w:hAnsi="IRNazanin" w:eastAsia="IRNazanin"/>
          <w:color w:val="111111"/>
          <w:sz w:val="28"/>
          <w:sz w:val="28"/>
          <w:szCs w:val="28"/>
          <w:rtl w:val="true"/>
          <w:lang w:bidi="fa-IR"/>
        </w:rPr>
        <w:t>، وصحیح عبدالله بن سنان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لبن الفحل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ما أرضعت امرأتک من لبنک ولبن ولدک وُلد امرأة أخری فهو حرام</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وموردها هو الحرمة بین</w:t>
      </w:r>
    </w:p>
    <w:p>
      <w:pPr>
        <w:pStyle w:val="BookText"/>
        <w:rPr/>
      </w:pPr>
      <w:r>
        <w:rPr>
          <w:rFonts w:ascii="IRNazanin" w:hAnsi="IRNazanin" w:eastAsia="IRNazanin"/>
          <w:color w:val="111111"/>
          <w:sz w:val="28"/>
          <w:sz w:val="28"/>
          <w:szCs w:val="28"/>
          <w:rtl w:val="true"/>
          <w:lang w:bidi="fa-IR"/>
        </w:rPr>
        <w:t>الفحل والمرتضع والمرضعة وبین أبی الفحل النسبی والمرتضع أیضاً، وموثّقة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 له امرأتان ولدت کلّ واحدة منهما غلاماً، فانطلقت إحدی امرأتیه فأرضعت جاریة من عرض الناس أینبغی لابنه أن یتزوج بهذه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لأنها أرضعت بلبن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الفحل</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وموردها الحرمة بین المرتضعة وأبناء الفحل، ومعتبرة ابن أبی نصر وموردها ما تقدّم</w:t>
      </w:r>
      <w:r>
        <w:rPr>
          <w:rStyle w:val="FootnoteAnchor"/>
          <w:rtl w:val="true"/>
        </w:rPr>
        <w:footnoteReference w:id="206"/>
      </w:r>
      <w:r>
        <w:rPr>
          <w:rFonts w:ascii="IRNazanin" w:hAnsi="IRNazanin" w:eastAsia="IRNazanin"/>
          <w:color w:val="111111"/>
          <w:sz w:val="28"/>
          <w:sz w:val="28"/>
          <w:szCs w:val="28"/>
          <w:rtl w:val="true"/>
          <w:lang w:bidi="fa-IR"/>
        </w:rPr>
        <w:t>، وصحیحة الحلبی</w:t>
      </w:r>
      <w:r>
        <w:rPr>
          <w:rStyle w:val="FootnoteAnchor"/>
          <w:rtl w:val="true"/>
        </w:rPr>
        <w:footnoteReference w:id="207"/>
      </w:r>
      <w:r>
        <w:rPr>
          <w:rFonts w:ascii="IRNazanin" w:hAnsi="IRNazanin" w:eastAsia="IRNazanin"/>
          <w:color w:val="111111"/>
          <w:sz w:val="28"/>
          <w:sz w:val="28"/>
          <w:szCs w:val="28"/>
          <w:rtl w:val="true"/>
          <w:lang w:bidi="fa-IR"/>
        </w:rPr>
        <w:t xml:space="preserve">وموردها الحرمة بین المرتضع وابنة الفحل، ومثلها صحیح مالک بن عطیة </w:t>
      </w:r>
      <w:r>
        <w:rPr>
          <w:rStyle w:val="FootnoteAnchor"/>
          <w:rtl w:val="true"/>
        </w:rPr>
        <w:footnoteReference w:id="208"/>
      </w:r>
      <w:r>
        <w:rPr>
          <w:rFonts w:ascii="IRNazanin" w:hAnsi="IRNazanin" w:eastAsia="IRNazanin"/>
          <w:color w:val="111111"/>
          <w:sz w:val="28"/>
          <w:sz w:val="28"/>
          <w:szCs w:val="28"/>
          <w:rtl w:val="true"/>
          <w:lang w:bidi="fa-IR"/>
        </w:rPr>
        <w:t>، وصحیحة أبی نصر</w:t>
      </w:r>
      <w:r>
        <w:rPr>
          <w:rStyle w:val="FootnoteAnchor"/>
          <w:rtl w:val="true"/>
        </w:rPr>
        <w:footnoteReference w:id="209"/>
      </w:r>
      <w:r>
        <w:rPr>
          <w:rFonts w:ascii="IRNazanin" w:hAnsi="IRNazanin" w:eastAsia="IRNazanin"/>
          <w:color w:val="111111"/>
          <w:sz w:val="28"/>
          <w:sz w:val="28"/>
          <w:szCs w:val="28"/>
          <w:rtl w:val="true"/>
          <w:lang w:bidi="fa-IR"/>
        </w:rPr>
        <w:t>وموردها حرمة المرتضعة علی المرتضع، وصحیحة الحلبی فی حرمة ابنة الأخ من الرضاع</w:t>
      </w:r>
      <w:r>
        <w:rPr>
          <w:rStyle w:val="FootnoteAnchor"/>
          <w:rtl w:val="true"/>
        </w:rPr>
        <w:footnoteReference w:id="210"/>
      </w:r>
      <w:r>
        <w:rPr>
          <w:rFonts w:ascii="IRNazanin" w:hAnsi="IRNazanin" w:eastAsia="IRNazanin"/>
          <w:color w:val="111111"/>
          <w:sz w:val="28"/>
          <w:sz w:val="28"/>
          <w:szCs w:val="28"/>
          <w:rtl w:val="true"/>
          <w:lang w:bidi="fa-IR"/>
        </w:rPr>
        <w:t>، وفی روایة مسمع بن عبد الملک تحریم العمة من الرضاع أو الخالة من الرضاع</w:t>
      </w:r>
      <w:r>
        <w:rPr>
          <w:rStyle w:val="FootnoteAnchor"/>
          <w:rtl w:val="true"/>
        </w:rPr>
        <w:footnoteReference w:id="211"/>
      </w:r>
      <w:r>
        <w:rPr>
          <w:rFonts w:ascii="IRNazanin" w:hAnsi="IRNazanin" w:eastAsia="IRNazanin"/>
          <w:color w:val="111111"/>
          <w:sz w:val="28"/>
          <w:sz w:val="28"/>
          <w:szCs w:val="28"/>
          <w:rtl w:val="true"/>
          <w:lang w:bidi="fa-IR"/>
        </w:rPr>
        <w:t>، وفی صحیح عبدالله بن سنان تحریم العم والخال من الرضاع</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المرتضع بالشروط المتقدّمة یصیر بالنسبة للمرضعة والفحل فی حکم الولد النسبی فی انتشار الحرمة منه إلیهما، ومنهما إلیه، فأما انتشار الحرمة منهما إلیه، فهی مقصورة علی المرتضع وفروعه؛ لأنه صار لهما ابناً</w:t>
      </w:r>
    </w:p>
    <w:p>
      <w:pPr>
        <w:pStyle w:val="BookText"/>
        <w:rPr/>
      </w:pPr>
      <w:r>
        <w:rPr>
          <w:rFonts w:ascii="IRNazanin" w:hAnsi="IRNazanin" w:eastAsia="IRNazanin"/>
          <w:color w:val="111111"/>
          <w:sz w:val="28"/>
          <w:sz w:val="28"/>
          <w:szCs w:val="28"/>
          <w:rtl w:val="true"/>
          <w:lang w:bidi="fa-IR"/>
        </w:rPr>
        <w:t>وأبناءه أبناء الابن، ولا یتعدی تحریم منهما إلی أصوله، وإلی مَن کان فی طبقته، بل هم فی حکم الأجانب مع المرضعة والفحل، وأما انتشار الحرمة منه إلیهما فهی تشمل أصولهما وفروعهما ومَن فی طبقتهما من النسب أو الرضاع فتصیر المرضعة أماً والفحل أبا وآباءهما وأبناءهما أجداداً وجدات، وأخواتهما وإخوانهما أخوالًا وخالات وأعماماً وعمات، وأولادهما إخوة وأولاد أولادهما أبناء الأخوة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الفحل فی أولاد أبی المرتضع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أن ینکح أبو المرتضع فی أولاد صاحب اللبن ولادةً ورضاعاً وکذا فی أولاد المرضعة نسباً لا رضاعاً، وأما أولاده الذین لم یرتضعوا من هذا اللبن فیجوز نکاحهم فی أولاد صاحب اللبن وفی أولاد المرضعة التی أرضعت أخاهم وإن کان الاحتیاط لا ینبغی ترکه</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الحال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إلی الشیخ الطوسی فی المبسوط وجماعة الجواز، لکن مرّ فی مقدمات البحث تخطئة هذه النسبة وإن کلامه فی جواز نکاح الفحل فی أولاد أبی المرتضع، وقد خالفه فی ذلک ابن إدریس والعلامة فی المختلف والشهید فی نکت الإرشاد، إذ حملوا صحیحة ابن مهزیار علی نکاح الفحل لا علی نکاح أبی المرتضع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علیه صحیح ابن نوح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 بن شعیب إلی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أرضعت بعض ولدی هل یجوز لی أن</w:t>
      </w:r>
    </w:p>
    <w:p>
      <w:pPr>
        <w:pStyle w:val="BookText"/>
        <w:rPr/>
      </w:pPr>
      <w:r>
        <w:rPr>
          <w:rFonts w:ascii="IRNazanin" w:hAnsi="IRNazanin" w:eastAsia="IRNazanin"/>
          <w:color w:val="111111"/>
          <w:sz w:val="28"/>
          <w:sz w:val="28"/>
          <w:szCs w:val="28"/>
          <w:rtl w:val="true"/>
          <w:lang w:bidi="fa-IR"/>
        </w:rPr>
        <w:t>أتزوّج بعض ولدها؟ 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ذلک لک؛ لأن ولدها صارت بمنزلة ولدک</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عبدالله بن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إلی أبی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أرضعت ولد الرجل هل یحل لذلک الرجل أن یتزوج ابنة هذه المرضعة أم لا؟ 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وأیضاً صحیحة علی بن مهزیار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عیسی بن جعفر بن عیسی أبا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امرأة أرضعت لی صبیاً، فهل یحل لی أن أتزوّج ابنة زوجها؟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أجود ما سألت من هاهنا یؤتی أن یقول الناس، حرمت علیه امرأته من قبل لبن الفحل هذا هو لبن الفحل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لیست ابنة المرأة التی أرضعت لی هی ابنة غیرها؟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 عشراً متفرقات ما أحل لک شیء منهن وکن فی موضع بناتک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فی المقدمات أن الشیخ الطوسی فی النهایة والخلاف قد ذهب إلی استفادة حرمة أولاد الفحل وهو أولاد المرضعة علی أخوة وأخوات المرتضع من أب المرتضع بعد تنزیل أب المرتضع بمنزلة الأب لأولاد الفحل والمرضعة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تقدّم ضعفه، وأن هذا التنزیل تعبّدی لیس علی مقتضی القاعدة، وأن هذا التحریم لا یسری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الربائب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یسری إلی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التفریق فی الأولاد الرضاعین بین الفحل والمرضعة، فتوفر شرط اتحاد الفحل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المحرم کما یمنع من النکاح لو کان سابقاً یبطله لو حصل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المحرم کما یمنع من النکاح لو کان سابقاً یبطله لو حصل لاحقاً، فلو کانت له زوجة صغیرة فأرضعتها بنته أو أمه أو أخته أو بنت أخیه أو بنت أخته أو زوجة أخیه بلبنه رضاعاً کاملًا بطل نکاحها وحرمت علیه، لصیرورتها بالرضاع بنتاً أو أختاً أو بنت أخ أو بنت أخت له فحرمت علیه لاحقاً، کما کانت تحرم علیه سابقاً، وکذا لو کانت له زوجتان صغیرة وکبیرة، فأرضعت الکبیرة الصغیرة حرمت علیه الکبیرة؛ لأنها صارت أم زوجته وکذلک الصغیرة إن کان رضاعها من لبنه أو دخل بالکبیرة لکونها بنتاً له فی الأوّل وبنت زوجته المدخول بها فی الثانی</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 الحال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یحک الخلاف فی ذلک، ویدل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اقتضاء عموم القاعدة ذلک، حیث إنه بالرضاع تتولد علقة النسب وهی علقة ثابتة بمنزلة لوازم الذات فتمانع شرائط صحة النکاح بقاءً مضافاً إلی النصوص الخاصة التی تقدّمت فی المسألة الثالثة من صحیح مسلم وعبدالله بن سنان والحلبی</w:t>
      </w:r>
      <w:r>
        <w:rPr>
          <w:rStyle w:val="FootnoteAnchor"/>
          <w:rtl w:val="true"/>
        </w:rPr>
        <w:footnoteReference w:id="217"/>
      </w:r>
      <w:r>
        <w:rPr>
          <w:rFonts w:ascii="IRNazanin" w:hAnsi="IRNazanin" w:eastAsia="IRNazanin"/>
          <w:color w:val="111111"/>
          <w:sz w:val="28"/>
          <w:sz w:val="28"/>
          <w:szCs w:val="28"/>
          <w:rtl w:val="true"/>
          <w:lang w:bidi="fa-IR"/>
        </w:rPr>
        <w:t>، وفی حسنة علی بن مهزیار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 إن رجلًا تزوج بجاریة صغیرة فأرضعتها امرأته، ثمّ أرضعتها امرأة له أخری، فقال ابن شبرمة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علیه الجاریة وامرأتاه،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شبرمة، تحرم علیه الجاریة وامرأته التی أرضعتها أولًا فأما الأخیرة فلم تحرم علیه کأنها أرضعت ابنته</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 والروایات مطلقة شاملة لما لو کانت الکبیرة غیر مدخول بها، وذلک لکون الفرض فیها إرضاع الصغیرة من لبنه، ومنه یظهر ما لو أرضعت الصغیرة من الکبیرة ولو کان مدخولًا بها بلبن زوج آخر بأن طلّق الکبیرة فتزوجت الآخر، والبحث لا یتوقف علی صدق المشتق علی ما انقضی کما ادعوا ذلک؛ لأن موضوع تحریم الربائب هو الزوجة واستعمال المشتق بلحاظ حال التلبس، ثمّ إن إطلاق حسنة علی بن مهزیار فی المرأة الأولی من دون تقییدها بکونها مدخولًا بها دال علی بطلان کلّ من الزوجتین لا خصوص الکبیرة فقط، مع أن زوجیة الصغیرة لو لم تبطل لأوجب حرمة الکبیرة الثانیة، والروایة مفادها عدم حرمة الثانیة، نعم حیث فرض فی الروایة حرمة الصغیرة فهی قرینة علی کون الکبیرة مدخول بها، فالروایة غیر 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له زوجتان، زوجة کبیرة وزوجة صغیرة فأرضعت أحدهما الرضیعة</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الأساطین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له زوجتان، زوجة کبیرة وزوجة صغیرة فأرضعت أحدهما الرضیعة، حرمت علیه الکبیرة والصغیرة، ثمّ لو أرضعت الثانیة الصغیرة بعد ذلک فهل تحرم الکبیرة الثانیة أم لا؟ قولان، بل أشکل بعضهم فی حرمة الزوجة الکبیرة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تزوج صغیرة، ثمّ طلقها فأرضعتها امرأة، فالأحوط إن لم یکن أظهر حرمة المرأة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 الشیخ فی النهایة وابن الجنید ومال المحقق فی الشرائع إلی عدم الحرمة، وکذا صاحب المدارک والمجلسی فی مرآة العقول، وحکی التحریم عن الشیخ فی المبسوط وابن إدریس والعلامة والنافع وأکثر المتأخرین والمسالک، واستشکل غیر واحد من أعلام العصر فی تحریم الزوجة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یقع فی کلّ من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فتحرم إن کان قد دخل بالکبیرة الأولی مطلقاً،</w:t>
      </w:r>
    </w:p>
    <w:p>
      <w:pPr>
        <w:pStyle w:val="BookText"/>
        <w:rPr/>
      </w:pPr>
      <w:r>
        <w:rPr>
          <w:rFonts w:ascii="IRNazanin" w:hAnsi="IRNazanin" w:eastAsia="IRNazanin"/>
          <w:color w:val="111111"/>
          <w:sz w:val="28"/>
          <w:sz w:val="28"/>
          <w:szCs w:val="28"/>
          <w:rtl w:val="true"/>
          <w:lang w:bidi="fa-IR"/>
        </w:rPr>
        <w:t>أو کان الرضاع بلبنه؛ وذلک لأن بنت الزوجة تحرم ولو بمن کانت زوجة، فلا یشترط فی الربائب من النساء کون بنتیتها حال الزوجیة ولو للنصوص الدالة علی ذلک</w:t>
      </w:r>
    </w:p>
    <w:p>
      <w:pPr>
        <w:pStyle w:val="BookText"/>
        <w:rPr/>
      </w:pPr>
      <w:r>
        <w:rPr>
          <w:rFonts w:ascii="IRNazanin" w:hAnsi="IRNazanin" w:eastAsia="IRNazanin"/>
          <w:color w:val="111111"/>
          <w:sz w:val="28"/>
          <w:sz w:val="28"/>
          <w:szCs w:val="28"/>
          <w:rtl w:val="true"/>
          <w:lang w:bidi="fa-IR"/>
        </w:rPr>
        <w:t>کما سیأتی فی المصاهرة، أو کون الرضاع بلبنه فهی بنته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لم یدخل بالکبیرة ولم یکن الرضاع بلبنه فلا تحرم مؤبداً، ولکن یبطل نکاح زوجیتها؛ لعدم اجتماع الأم والبنت فی عقد الزوجیة معاً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بنی علی الممانعة من البنت للأم غیر المدخول بها لما بطل نکاح الصغیرة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تحریر الکلام فی التحریم بالمصاهرة فیما لو عقد</w:t>
      </w:r>
    </w:p>
    <w:p>
      <w:pPr>
        <w:pStyle w:val="BookText"/>
        <w:rPr/>
      </w:pPr>
      <w:r>
        <w:rPr>
          <w:rFonts w:ascii="IRNazanin" w:hAnsi="IRNazanin" w:eastAsia="IRNazanin"/>
          <w:color w:val="111111"/>
          <w:sz w:val="28"/>
          <w:sz w:val="28"/>
          <w:szCs w:val="28"/>
          <w:rtl w:val="true"/>
          <w:lang w:bidi="fa-IR"/>
        </w:rPr>
        <w:t>بالأم والبنت معاً فی محلّه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الکبیرة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عبارة الفخر فی الإیضاح التسالم علی حرمة الکبیرة الأولی، فیقع الإشکال حینئذ فی التفرقة بین الأولی والثانیة؛ لأن انعدام الزوجیة للصغیرة فی حال رضاعها من الثانیة أیضاً مفروض من بعد تحقّق نصاب الرضاع مع الأولی، فلا تکون أم الزوجة بعد تحقّق البنتیة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بأن یقال بعموم موضوع امهات نسائکم لأم مَن کانت زوجة، لا سیما وأنه قد وقع تحریم أمهات نسائکم فی سیاق رَبائِبُکُمُ مِنْ نِسائِکُمُ والموضوع فیه، ولو بقرینة الروایات الواردة هو بنت من کانت من نسائه وهو فی سیاق واحد مع أمهات نسائکم ویساعده الإطلاق العرفی فی النسب، فإنه یطلق علی أم مَن کانت زوجته أنها أم زوجته ولو بنی علی اختصاص المشتق بالمتلبس بالحال، فإن الاستعمال بلحاظ حال التلبس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الموضوع مأخوذ حدوثاً فلا حاجته لفرض بقاءه فلا ینافیه ما قررناه، فإن عنوان کونها أم باق وإن کان تقارنه مع التلبس بالزوجیة فی عنوان أم الزوجة أو أُمَّهاتُ نِسائِکُمْ هو فی فترة حدوث الزوجیة لا بعد انقضائها وأخذ الموضوع حدوثاً یعنی عدم إمکان انعدامه وتبدله عما هو علیه؛ لأن ما وقع حدوثاً لا ینقلب عما وقع علیه حدوثاً، فمن ثمّ الصدق الحدوثی باق وإطلاق العنوان إنما هو بلحاظه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قرینة علی أن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فیمن کانت زوجة لا</w:t>
      </w:r>
    </w:p>
    <w:p>
      <w:pPr>
        <w:pStyle w:val="BookText"/>
        <w:rPr/>
      </w:pPr>
      <w:r>
        <w:rPr>
          <w:rFonts w:ascii="IRNazanin" w:hAnsi="IRNazanin" w:eastAsia="IRNazanin"/>
          <w:color w:val="111111"/>
          <w:sz w:val="28"/>
          <w:sz w:val="28"/>
          <w:szCs w:val="28"/>
          <w:rtl w:val="true"/>
          <w:lang w:bidi="fa-IR"/>
        </w:rPr>
        <w:t xml:space="preserve">المتلبسة بالفعل، غایة الأمر یدعی أنه لا بدّ فی ظرف الحدوث من تقارن المبدأین الأمومة والزوجیة، وهو لا شاهد علیه بعد الالتفات إلی أن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فیه لحاظ حال التلبس ولو بعد الانقضاء، کما هو الحال فی ربائبکم من نسائکم غایة الأمر أن الأمومة فی النسب لما کانت لا یتصور فیها تجدد الحدوث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ینصرف بالتبادر للوهلة الأولی إلی التقارن، لکن بتنزیل الرضاع منزلة النسب فیقوم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بنی علی لزوم التقارن فیمکن إبداء الفرق فی المقام بین الکبیرة الأولی والثانیة،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یعدم زوجیة الکبیرة هو تحریم أم الزوجة، والذی یزیل زوجیة الصغیرة هو تحریم بنت الزوجة والتحریم فی کلا الطرفین، حیث کان فی رتبة المحمول متأخر عن موضوع بنت الزوجة وأم الزوجة، ففی رتبة تحقّق البنتیة والأمومة لا تنعدم الزوجیة لکلتیهما وإنما تنعدم فی رتبة لاحقة وهذا المقدار من التحقق کافٍ فی الصدق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بلحاظ الارتکاز العرفی أو المتشرعی قد یدعی التضاد بین الجمع بین البنت والأم فی الزوجیة بلحاظ نفس عناوین الموضوعین، بغض النظر عن الحکم، بتقریب أن رافعیة کلّ من الحکمین للآخر شاهد علی التعاند بین ملاکی الحکمین، فالتنافی الملاکی منشأ للتوارد وعدم اجتماع الحکمین، وهو مؤدی التزامی للأدلة فیؤخذ به، ولازم ذلک انعدام الزوجیة من الطرفین عند تحقّق الأمومة والبنتیة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فادعی حینئذ کفایة الصدق العرفی إجمالًا ولو حال الرضاع قبل استکمال نصابه أو کفایة اتصال آن الانعدام السابق لتحقق عنوان الزوجیة، أی إنه فی آن تحقّق البنوة والأمومة وإن</w:t>
      </w:r>
    </w:p>
    <w:p>
      <w:pPr>
        <w:pStyle w:val="BookText"/>
        <w:rPr/>
      </w:pPr>
      <w:r>
        <w:rPr>
          <w:rFonts w:ascii="IRNazanin" w:hAnsi="IRNazanin" w:eastAsia="IRNazanin"/>
          <w:color w:val="111111"/>
          <w:sz w:val="28"/>
          <w:sz w:val="28"/>
          <w:szCs w:val="28"/>
          <w:rtl w:val="true"/>
          <w:lang w:bidi="fa-IR"/>
        </w:rPr>
        <w:t>انعدم عنوان الزوجیة إلّا أنه فی الآن السابق علی ذلک الزوجیة متحققة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الوجهان تقریر لاستعمال المشتق بلحاظ حال التلبس من دون لزوم اتحاد زمان الإسناد مع زمان النسبة التی فی المشتق، أی أنه استعمل فیمن کانت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أیضاً بروایة علی بن مهزیار عن أبی جعفر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 إن رجلًا تزوج بجاریة صغیرة فأرضعتها امرأته، ثمّ أرضعتها امرأة له أخری، فقال 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علیه الجاریة وامرأتاه، فقال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أخطأ ابن شبرمة، تحرم علیه الجاریة وامرأته التی أرضعتها أولًا، فأما الأخیرة فلم تحرم علیه؛ لأنها أرضعت ابنته</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واستدل بالروایة علی تحریم الکبیرة الأولی وحلیة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وخدش بالاستدلال بها؛ لأن فی السند صالح ابن أبی حماد الذی ضعفه النجاشی وإن فی الروایة إرسال أو رفع؛ لأن الظاهر من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الباقر بقرینة التعرض لبن شبرمة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 بأن روایة علی بن مهزیار قرینة علی أنه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وحکایة قول ابن شبرمة لا ینافی ذلک؛ لأنها حکایة عما سبق وأما صالح بن أبی حماد أبو الخیر بن سلمی الرازی فتضعیفه مستند إلی ابن الغضائری، وقد روی الکشی أن الفضل بن شاذان کان یرتضیه ویمدحه، فلا أقل من استحسان حاله، هذا مضافاً إلی أن للشیخ إسناداً صحیحاً إلی جمیع روایات علی بن مهزیار فیستعاض بتبدیل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وخدش فی الاستدلال بها أیضاً بأن جملة من الروایات الواردة فی رضاع الزوجة الصغیرة اقتصرت فی التحریم علی الصغیرة دون الکبیرة، مما یظهر منها أن الحرمة مقصورة علیها کصحیح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رجلًا تزوج جاریة صغیرة فأرضعتها امرأته فسد النکاح</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وفی صحیح الحلبی وعبدالله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جاریة صغیرة فأرضعتها امرأته وأم ولده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علیه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وأجیب بأن الصحیحة الأولی لم یقید النکاح بالصغیر، بل أطلق، وإطلاقه شامل لکلتیهما، مع أنه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تحریم الصغیرة مفروغ منه، لکونها بنته من الرضاع بعد انصراف اللبن إلی لبنه، فالبیان یلاحظ فیه الکبیرة ومنه یظهر الحال فی الصحیحة الثانیة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یقع الکلام فی مفاد التعلیل فی روایة علی بن مهزیار لعدم تحریم الثانیة،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تحرم علیه کأنها أرضعت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المراد به الکنایة عن انتفاء زوجیة الصغیرة، فلا یصدق عنوان أم الزوجة علیها ولو بلحاظ حال الرضاع، کما استظهر ذلک مَن ذهب إلی الحلیة، أو أن المراد خصوصیة فی هذا الفرض، وهو کون الزوجة الصغیرة قد بانت زوجیتها بسبب صدق البنتیة، وهو عنوان من قبیل العنوان النسبی الممانع عن صدق واستعمال العنوان العارض وهو الزوجیة ولو بلحاظ حال التلبس، فالعلة علی ذلک لعدم تحریم الثانیة إنها أرضعت ابنته، وأم البنت لیست حرام،</w:t>
      </w:r>
      <w:bookmarkStart w:id="157" w:name="pg13690_120508"/>
    </w:p>
    <w:p>
      <w:pPr>
        <w:pStyle w:val="BookText"/>
        <w:rPr/>
      </w:pPr>
      <w:bookmarkEnd w:id="157"/>
      <w:r>
        <w:rPr>
          <w:rFonts w:ascii="IRNazanin" w:hAnsi="IRNazanin" w:eastAsia="IRNazanin"/>
          <w:color w:val="111111"/>
          <w:sz w:val="28"/>
          <w:sz w:val="28"/>
          <w:szCs w:val="28"/>
          <w:rtl w:val="true"/>
          <w:lang w:bidi="fa-IR"/>
        </w:rPr>
        <w:t>وهذا بخلاف التعلیل بأن الصغیرة لیست بزوجة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التحریم بسبب رضاع الزوجة الکبیرة للصغیرة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تحقّق الرضاع المحرم یبقی استحقاق الزوجة للمهر فی جمیع الصور مع الدخول ومع عدمه فالأظهر أن لها نصف المهر کما أن الأقوی ضمان المرضعة ما یغرمه الزوج من المهر</w:t>
      </w:r>
      <w:r>
        <w:rPr>
          <w:rFonts w:eastAsia="IRNazanin" w:cs="IRNazanin"/>
          <w:color w:val="111111"/>
          <w:sz w:val="28"/>
          <w:szCs w:val="28"/>
          <w:rtl w:val="true"/>
          <w:lang w:bidi="fa-IR"/>
        </w:rPr>
        <w:t>.</w:t>
      </w:r>
    </w:p>
    <w:p>
      <w:pPr>
        <w:pStyle w:val="Heading5"/>
        <w:numPr>
          <w:ilvl w:val="4"/>
          <w:numId w:val="1"/>
        </w:numPr>
        <w:rPr/>
      </w:pPr>
      <w:bookmarkStart w:id="158" w:name="__RefHeading___Toc907082_1468164448"/>
      <w:bookmarkStart w:id="159" w:name="_Toc60"/>
      <w:bookmarkEnd w:id="158"/>
      <w:r>
        <w:rPr>
          <w:rtl w:val="true"/>
        </w:rPr>
        <w:t>الأقوال فی المسألة</w:t>
      </w:r>
      <w:r>
        <w:rPr>
          <w:rtl w:val="true"/>
        </w:rPr>
        <w:t>:</w:t>
      </w:r>
      <w:bookmarkEnd w:id="159"/>
    </w:p>
    <w:p>
      <w:pPr>
        <w:pStyle w:val="BookText"/>
        <w:rPr/>
      </w:pPr>
      <w:r>
        <w:rPr>
          <w:rFonts w:ascii="IRNazanin" w:hAnsi="IRNazanin" w:eastAsia="IRNazanin"/>
          <w:color w:val="111111"/>
          <w:sz w:val="28"/>
          <w:sz w:val="28"/>
          <w:szCs w:val="28"/>
          <w:rtl w:val="true"/>
          <w:lang w:bidi="fa-IR"/>
        </w:rPr>
        <w:t>حکی فی المبسوط عن جماعة، فی الصغیرة أن لها نصف المهر، وعن التذکرة تقویة السقوط مطلقاً، وذکر فی المسالک وجهاً لعدم السقوط بأنه للأصل وأنه کالفرقة فی الطلاق، وأشکل علیه فی الجواهر بأنه قیاس وأن الطلاق إیقاع، وعلل فی الشرائع ثبوت نصف المهر بعدم الدخول وأنه لیس من قبل الزوجة، فیما لو لم یکن التحریم بفعلها بخلاف ما إذا کان بفعلها فیسقط</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قد یشکل هذا التعلیل بأنه فی موارد العیوب إذا فسخ الزوج قبل الدخول لم یثبت المهر، کما یشکل علی تفرقة صاحب الجواهر بین الطلاق وما نحن فیه، بأن الطلاق وإن کان إیقاع إلّا أن أثره أیضاً فسخٌ أو انفساخ، وفی المقام یحصل هذا الأثر بسبب خارجی، وإن کان قد یفرق بین موارد الفسخ فی العیوب والمقام بأنه فی العیوب لم یستوف الزوج ما کان قد تعاقد علیه من سلامة المرأة، بخلاف المقام، واحتمل فی الحدائق السقوط؛ لأنه کالفسخ فی الردة، فإذا کان الارتداد من قبل الزوج لا یسقط المهر، فیثبت نصف المهر وقیل کلّه وإن کان من قبلها، فلا مهر لها قبل الدخول،</w:t>
      </w:r>
      <w:bookmarkStart w:id="160" w:name="pg13690_120509"/>
    </w:p>
    <w:p>
      <w:pPr>
        <w:pStyle w:val="BookText"/>
        <w:rPr/>
      </w:pPr>
      <w:bookmarkEnd w:id="160"/>
      <w:r>
        <w:rPr>
          <w:rFonts w:ascii="IRNazanin" w:hAnsi="IRNazanin" w:eastAsia="IRNazanin"/>
          <w:color w:val="111111"/>
          <w:sz w:val="28"/>
          <w:sz w:val="28"/>
          <w:szCs w:val="28"/>
          <w:rtl w:val="true"/>
          <w:lang w:bidi="fa-IR"/>
        </w:rPr>
        <w:t>ولو کان بعده فیثبت لها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فبالنسبة إلی الصغیرة قد حکی الشهرة علی سقوط المهر لها، وقیل بثبوته لها مطلقاً، وقیل بالتفصیل بین ما إذا کان بفعلها فلا یثبت لها فیسقط، وبین ما إذا کان بفعل الکبیرة، فیثبت لها، وقیل إنه یثبت لهما نصف المهر مطلقاً نظیر الطلاق، وأما الکبیرة بل مطلق المرضعة أو بنت الزوجة أو غیرهن، فقیل بضمانها المهر للزوج مطلقاً وقیل بعدم الضمان مطلقاً، وقیل بالتفصیل بین ما إذا کان بفعلها أو بفعل الصغیرة، ونسب إلی المشهور الضمان مطلقاً، وظاهر المشهور ثبوت المهر للکبیرة مع الدخول وإلّا فلا، إذا کان بفعلها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واستشکل کاشف اللثام فی ثبوت المهر لها وتبعه صاحب الجواهر؛ لأنها التی فوتت علیه بضعها، نظیر ما لو أنکرت زوجیّة الزوج أو رجوعه فی العدّة فتزوجت آخر، ثمّ صدّقت الأوّل وکان قد دخل بها، فإنها تغرم له مهر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الجواهر إنها تغرم مهر المثل علی القول بمالیة البضع</w:t>
      </w:r>
      <w:r>
        <w:rPr>
          <w:rFonts w:eastAsia="IRNazanin" w:cs="IRNazanin"/>
          <w:color w:val="111111"/>
          <w:sz w:val="28"/>
          <w:szCs w:val="28"/>
          <w:rtl w:val="true"/>
          <w:lang w:bidi="fa-IR"/>
        </w:rPr>
        <w:t>.</w:t>
      </w:r>
    </w:p>
    <w:p>
      <w:pPr>
        <w:pStyle w:val="Heading5"/>
        <w:numPr>
          <w:ilvl w:val="4"/>
          <w:numId w:val="1"/>
        </w:numPr>
        <w:rPr/>
      </w:pPr>
      <w:bookmarkStart w:id="161" w:name="__RefHeading___Toc907084_1468164448"/>
      <w:bookmarkStart w:id="162" w:name="_Toc61"/>
      <w:bookmarkEnd w:id="161"/>
      <w:r>
        <w:rPr>
          <w:rtl w:val="true"/>
        </w:rPr>
        <w:t>تنقیح البحث</w:t>
      </w:r>
      <w:r>
        <w:rPr>
          <w:rtl w:val="true"/>
        </w:rPr>
        <w:t>:</w:t>
      </w:r>
      <w:bookmarkEnd w:id="162"/>
    </w:p>
    <w:p>
      <w:pPr>
        <w:pStyle w:val="BookText"/>
        <w:rPr/>
      </w:pPr>
      <w:r>
        <w:rPr>
          <w:rFonts w:ascii="IRNazanin" w:hAnsi="IRNazanin" w:eastAsia="IRNazanin"/>
          <w:color w:val="111111"/>
          <w:sz w:val="28"/>
          <w:sz w:val="28"/>
          <w:szCs w:val="28"/>
          <w:rtl w:val="true"/>
          <w:lang w:bidi="fa-IR"/>
        </w:rPr>
        <w:t>ولتنقیح البحث فی المسألتین لا بدّ من التعرض إلی بعض النقاط</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استشکل جماعة منهم صاحب الجواهر فی مالیة البضع وضمانه بنفی مالیته وأن ثبوت المهر فی النکاح لیس لکونه معاوضة مالیة، بل لکونه من أحکام النکاح التعبدیة وأنه لو کان البضع من الأموال لتحقق به الغنی واستطاعة الحج ولوجب فیه الخمس وغیر ذلک من لوازم المالیة عرفاً، وما یتملکه الزوج فی العقد هو ملک الانتفاع لا ملک المنفعة،</w:t>
      </w:r>
    </w:p>
    <w:p>
      <w:pPr>
        <w:pStyle w:val="BookText"/>
        <w:rPr/>
      </w:pPr>
      <w:r>
        <w:rPr>
          <w:rFonts w:ascii="IRNazanin" w:hAnsi="IRNazanin" w:eastAsia="IRNazanin"/>
          <w:color w:val="111111"/>
          <w:sz w:val="28"/>
          <w:sz w:val="28"/>
          <w:szCs w:val="28"/>
          <w:rtl w:val="true"/>
          <w:lang w:bidi="fa-IR"/>
        </w:rPr>
        <w:t>فلا تقتضی المعاوضة مالیة البضع، کما یکون المال عوضاً لغیر المال کما فی الدیات وأروش الجنایات، ولذا لا یصح للزوج نقل هذا الملک للغیر کما لا یصح له الرجوع علی الزانی والمشتبه ولا علی الزوجة لو قتلت نفسها ولا علی القاتل، فلیس هو من منافع الحرّ المقابلة بالمال، فضلًا عن أن یکون مالًا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مالیة الأشیاء علی أقسام وأنواع؛ فمنها ما یکون مالیته تکوینیة بمعنی أن منشأ الرغبة بذل المال لمنافع الشیء التکوینیة، ومنها ما تکون مالیته اعتباریة بسبب القانون نظیر الوثائق والمستندات، ومنها ما تکون مالیته بالتعاقد نظیر عمل الحر ومنافعه والإقدام علی جملة من العقود کالإقراض والإیهاب والإقدام علی البیع ونحوه، ومنها ما یکون له مالیة عند التلف خاصة کدیات النفس والأعضاء وغیرها من أنماط المالیة، وقد تحمل المالیة فی الدیات علی أنها من المال المقابل لإسقاط الحق کما فی دیة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اختلاف هذه الأقسام فی أحکام المالیة، فما ذکر من الغنی والاستطاعة والخمس فهو من أحکام القسم الأوّل والثانی، وأما الرجوع علی الزانی والمشتبه، فإن الضمان فی الزنا متقرر علی الزانی للمرأة بالدخول إذا لم یکن برضًا منها، وکذا المشتبه؛ لقاعدة سببیة الدخول للفرج المحترم لضمان مهر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ثبوته للزوج فیأتی تقریر معاوضیة النکاح</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فی القاتل للمرأة، فالمفروض أنه یغرم الدیة کاملة ویرث منها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معاوضیة النکاح فقد ذکرنا فی کتابنا سند العروة الوثقی فصل العقد</w:t>
      </w:r>
      <w:r>
        <w:rPr>
          <w:rStyle w:val="FootnoteAnchor"/>
          <w:rtl w:val="true"/>
        </w:rPr>
        <w:footnoteReference w:id="223"/>
      </w:r>
      <w:r>
        <w:rPr>
          <w:rFonts w:ascii="IRNazanin" w:hAnsi="IRNazanin" w:eastAsia="IRNazanin"/>
          <w:color w:val="111111"/>
          <w:sz w:val="28"/>
          <w:sz w:val="28"/>
          <w:szCs w:val="28"/>
          <w:rtl w:val="true"/>
          <w:lang w:bidi="fa-IR"/>
        </w:rPr>
        <w:t xml:space="preserve">، إن الصحیح تقوّم عقد النکاح بماهیتین مندمجتین وهی کلّ من ماهیة القران بین الشخصین وماهیة معاوضة منفعة البضع بالمهر، ومن ثمّ یترتب آثار کلّ من الماهیتین، ومن ثمّ کان فی صیغة العقد 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المعاوضة علی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مورد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الشرطیة أنه لا ینافی معنی المعاوضة؛ لأن فی المعاوضة مقابلة فی المشارطة، ومن ثمّ قد ورد أنه لا یصح الهبة فی النکاح لغیر رسول الله صلی الله علیه و آله ، وورد فی الروایات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هذا حتی یعوضها شیئاً یقدم إلیها قبل أن یدخل بها قلّ أو کثر</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کما ورد أیضاً فی النکاح المنقطع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أنهن مستأجرات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أی أن المهر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ذلک فلا تنتفی العوضیة، سواء قیل إن المهر عوض ملک المنفعة أو ملک الانتفاع، غایة الأمر أنه علی الأوّل تکون مالیة التملک للزوج من القسم الأوّل من أقسام المالیة المتقدّمة، وعلی الثانی یکون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 لمالیة حق کلّ من الزوج والزوجة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 من عیوب التدلیس من رجوع الزوج علی مَن غرَّه، مع أن قاعدة الغرور من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القواعد الضمانیة فی غرامات الأموال والتأیید بتنصیف المهر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w:t>
      </w:r>
    </w:p>
    <w:p>
      <w:pPr>
        <w:pStyle w:val="BookText"/>
        <w:rPr/>
      </w:pPr>
      <w:r>
        <w:rPr>
          <w:rFonts w:ascii="IRNazanin" w:hAnsi="IRNazanin" w:eastAsia="IRNazanin"/>
          <w:color w:val="111111"/>
          <w:sz w:val="28"/>
          <w:sz w:val="28"/>
          <w:szCs w:val="28"/>
          <w:rtl w:val="true"/>
          <w:lang w:bidi="fa-IR"/>
        </w:rPr>
        <w:t>عمر بن حنظلة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قال لآخر، اخطب لی فلانة، فما فعلت من شیء مما قاولت من صداق أو ضمنت من شیء أو شرطت فذلک لی رضا وهو لازم لی ولم یشهد علی ذلک، فذهب فخطب له وبذل عنه الصداق وغیر ذلک مما طلبوه وسألوه، فلما رجع إلیه أنکر ذلک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یغرم لها نصف الصداق عنه وذلک أنه هو الذی ضیّع حقّها، فلما لم یشهد لها علیه بذلک الذی قال له حل لها أن تتزوج ولا یحل للأول فیما بینه وبین الله عز وجل إلّا أن یطلقها؛ لأن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 أَوْ تَسْرِیحٌ بِإِحْسانٍ فإن لم یفعل فإنه مأثوم فیما بینه وبین الله عز وجل، وکان الحکم الظاهر حکم الإسلام وقد أباح الله عز وجل لها أن تتزوج</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وطریق الصدوق إلی داود بن حصین وإن اشتمل علی الحکم بن مسکین وهو وإن لم یوثق، إلّا أنه قد روی عنه أصحاب الإجماع ولم یغمز علیه بشیء، وقد وقع فی طریق عدّة من الکتب فی مشیخة الصدوق والشیخ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وطریق الشیخ إلی داود بن حصین لا یتوقف فیه إلّا فی ذبیان بن حکیم، وهو وإن لم یوثق إلّا أنه لم یغمز علیه بشیء، وقد روی عنه الثقات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من الرجلین إمامی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ونظیرها صحیحة أبی عبیدة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رجل أمر رجلًا أن یزوجه امرأة من أهل البصرة من بنی تمیم، فزوجه امرأة من أهل الکوفة من بنی تمیم،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خالف أمره وعلی المأمور نصف الصداق لأهل المرأة</w:t>
      </w:r>
    </w:p>
    <w:p>
      <w:pPr>
        <w:pStyle w:val="BookText"/>
        <w:rPr/>
      </w:pPr>
      <w:r>
        <w:rPr>
          <w:rFonts w:ascii="IRNazanin" w:hAnsi="IRNazanin" w:eastAsia="IRNazanin"/>
          <w:color w:val="111111"/>
          <w:sz w:val="28"/>
          <w:sz w:val="28"/>
          <w:szCs w:val="28"/>
          <w:rtl w:val="true"/>
          <w:lang w:bidi="fa-IR"/>
        </w:rPr>
        <w:t>ولا عدّة علیها ولا میراث بینهما، فقال بعض من 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أمره أن یزوجه امرأة ولم یُسمّ أرضاً ولا قبیلة، ثمّ جحد الآمر أن یکون أمره بذلک بعد ما زوجه،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للمأمور بیّنة إنه کان أمره أن یزوجه کان الصداق علی الآمر، وإن لم یکن له بیّنة کان الصداق علی المأمور لأهل المرأة ولا میراث بینهما ولا عدّة علیها، ولها نصف الصداق إن کان فرض لها صداقاً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الصدوق 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یکن سمّی لها صداقاً فلا شیء لها</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صاحب الوسائل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الشیخ رواها فی موضع آخر</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وذکر الزیادة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ونظیرها روایة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سأل عن رجل زوّجته أمه وهو 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إن شاء المتزوج قبل وإن شاء ترک، فإن ترک المتزوج تزویجه فالمهر لازم لأمه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صاحب الوسائل</w:t>
      </w:r>
      <w:r>
        <w:rPr>
          <w:rStyle w:val="FootnoteAnchor"/>
          <w:rtl w:val="true"/>
        </w:rPr>
        <w:footnoteReference w:id="230"/>
      </w:r>
      <w:r>
        <w:rPr>
          <w:rFonts w:ascii="IRNazanin" w:hAnsi="IRNazanin" w:eastAsia="IRNazanin"/>
          <w:color w:val="111111"/>
          <w:sz w:val="28"/>
          <w:sz w:val="28"/>
          <w:szCs w:val="28"/>
          <w:rtl w:val="true"/>
          <w:lang w:bidi="fa-IR"/>
        </w:rPr>
        <w:t>أنه قد حمله البعض علی دعوی الأم الوکالة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الدلالة فی هذه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الوکیل حیث أقرّ علی نفسه بالوکالة وبصحة العقد فهو ضامن للمهر، وحیث لم یتم إثبات الوکالة فیحکم فی الظاهر بعدم النکاح وهو بمنزلة الانفساخ القهری، فیتم التقریب حینئذ بأنه بانفساخ النکاح یثبت للمرأة نصف المهر المسمّی بمنزلة</w:t>
      </w:r>
    </w:p>
    <w:p>
      <w:pPr>
        <w:pStyle w:val="BookText"/>
        <w:rPr/>
      </w:pPr>
      <w:r>
        <w:rPr>
          <w:rFonts w:ascii="IRNazanin" w:hAnsi="IRNazanin" w:eastAsia="IRNazanin"/>
          <w:color w:val="111111"/>
          <w:sz w:val="28"/>
          <w:sz w:val="28"/>
          <w:szCs w:val="28"/>
          <w:rtl w:val="true"/>
          <w:lang w:bidi="fa-IR"/>
        </w:rPr>
        <w:t>الطلاق، وقد عبر عن ذلک بحق المرأة، فللمرأة استحقاق فی مقابل بضعها ولو بالتعاقد بعقد النکاح، وما فی العیوب من عدم المهر لها مع عدم الدخول؛ فلأنه خلاف ما تعاقد علیه الزوج معها من الاشتراط والبناء علی السلامة، کما هو موضوع العیوب أو حکمة 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فیما إذا کان العیب فیها أما إذا کان العیب فیه فهی التی أقدمت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الفسخ والانفساخ رجوع کلّ عوض لصاحبه، فبناءً علی أن المهر عوض البضع لا تستحق المرأة من المهر شیئاً الصغیرة أو الکبیرة مع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المهر حکماً فی النکاح لا عوضاً لما أثّر الفسخ فیه شیئاً ولثبت للزوجة کاملًا، ولو مع عدم الدخول، وإنما تُنصّف بالطلاق أو الموت علی القول بالتعبّد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 الثلاث فموردها بقاء النکاح، غایة الأمر حکم بالبینونة بالظاهر، فما ینسب للمشهور فی الصغیرة والکبیرة مع عدم الدخول من عدم ثبوت المهر تام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الفسخ لیس مقتضاه ردّ المهر بتمامه إلی الزوج، بل نصفه، کما هو الحال فی الطلاق، وکما التزموا به أیضاً فی ارتداد الزوج، وکذا فی موت أحدهما للنص</w:t>
      </w:r>
      <w:r>
        <w:rPr>
          <w:rStyle w:val="FootnoteAnchor"/>
          <w:rtl w:val="true"/>
        </w:rPr>
        <w:footnoteReference w:id="231"/>
      </w:r>
      <w:r>
        <w:rPr>
          <w:rFonts w:ascii="IRNazanin" w:hAnsi="IRNazanin" w:eastAsia="IRNazanin"/>
          <w:color w:val="111111"/>
          <w:sz w:val="28"/>
          <w:sz w:val="28"/>
          <w:szCs w:val="28"/>
          <w:rtl w:val="true"/>
          <w:lang w:bidi="fa-IR"/>
        </w:rPr>
        <w:t>وفی بعضها کصحیح عبید بن زرارة إن لم یکن سمی لها مهراً فلا شیء لها، مما یدلل علی أن الفسخ لیس حکمه رد العوض کلّه، بل ثبوت نصف المهر وأما سقوطه فی العیوب فلأجل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وتتمّة الکلام فی مقتضی القاعدة بحثناه فی المهور</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القول بغرامة الزوج لنصف المهر تغرم المرضعة له ذلک؛ لإتلافها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مقدار ما تغرمه له هو مقدار ما یغرمه من المهر المسمّی نصفه أو کلّه بحسب الدخول وعدمه ولا تغرم له مهر المثل؛ وذلک لعدم إتلافها للبضع علیه لأن البضع بالفسخ خرج من ملکه ولم یتلف علیه وهو فی ملکه، خلافاً لما ذهب إلیه جماعة منهم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 إن العین فی المقام لم تتلف خارجاً وإنما أزیل سبب ملکه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فمقدار الخسارة التی توجهت له إنما هی بمقدار غرامته من المهر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القادة والحمد لله رب العالمین</w:t>
      </w:r>
      <w:r>
        <w:rPr>
          <w:rFonts w:eastAsia="IRNazanin" w:cs="IRNazanin"/>
          <w:color w:val="111111"/>
          <w:sz w:val="28"/>
          <w:szCs w:val="28"/>
          <w:rtl w:val="true"/>
          <w:lang w:bidi="fa-IR"/>
        </w:rPr>
        <w:t>.</w:t>
      </w:r>
      <w:bookmarkStart w:id="163" w:name="pg13690_120516"/>
    </w:p>
    <w:p>
      <w:pPr>
        <w:pStyle w:val="Heading2"/>
        <w:numPr>
          <w:ilvl w:val="1"/>
          <w:numId w:val="1"/>
        </w:numPr>
        <w:rPr/>
      </w:pPr>
      <w:bookmarkStart w:id="164" w:name="__RefHeading___Toc907086_1468164448"/>
      <w:bookmarkStart w:id="165" w:name="_Toc62"/>
      <w:bookmarkEnd w:id="163"/>
      <w:bookmarkEnd w:id="164"/>
      <w:r>
        <w:rPr>
          <w:rtl w:val="true"/>
        </w:rPr>
        <w:t>قاعدة</w:t>
      </w:r>
      <w:r>
        <w:rPr>
          <w:rtl w:val="true"/>
        </w:rPr>
        <w:t>:</w:t>
      </w:r>
      <w:r>
        <w:rPr>
          <w:rtl w:val="true"/>
        </w:rPr>
        <w:t>المرأة مصدقة فی قولها علی نفسها وشؤونها</w:t>
      </w:r>
      <w:bookmarkEnd w:id="16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6" w:name="__RefHeading___Toc907088_1468164448"/>
      <w:bookmarkStart w:id="167" w:name="_Toc63"/>
      <w:bookmarkEnd w:id="166"/>
      <w:r>
        <w:rPr>
          <w:rtl w:val="true"/>
        </w:rPr>
        <w:t>اشارة</w:t>
      </w:r>
      <w:bookmarkStart w:id="168" w:name="pg13690_120518"/>
      <w:bookmarkEnd w:id="167"/>
    </w:p>
    <w:p>
      <w:pPr>
        <w:pStyle w:val="Heading3"/>
        <w:numPr>
          <w:ilvl w:val="2"/>
          <w:numId w:val="1"/>
        </w:numPr>
        <w:rPr/>
      </w:pPr>
      <w:bookmarkStart w:id="169" w:name="__RefHeading___Toc907090_1468164448"/>
      <w:bookmarkStart w:id="170" w:name="_Toc64"/>
      <w:bookmarkEnd w:id="168"/>
      <w:bookmarkEnd w:id="169"/>
      <w:r>
        <w:rPr>
          <w:rtl w:val="true"/>
        </w:rPr>
        <w:t>من قواعد باب النکاح</w:t>
      </w:r>
      <w:r>
        <w:rPr>
          <w:rtl w:val="true"/>
        </w:rPr>
        <w:t>:</w:t>
      </w:r>
      <w:r>
        <w:rPr>
          <w:rtl w:val="true"/>
        </w:rPr>
        <w:t>المرأة مصدقة فی قولها علی نفسها وشؤونها</w:t>
      </w:r>
      <w:bookmarkEnd w:id="170"/>
    </w:p>
    <w:p>
      <w:pPr>
        <w:pStyle w:val="Heading4"/>
        <w:numPr>
          <w:ilvl w:val="3"/>
          <w:numId w:val="1"/>
        </w:numPr>
        <w:rPr/>
      </w:pPr>
      <w:bookmarkStart w:id="171" w:name="__RefHeading___Toc907092_1468164448"/>
      <w:bookmarkStart w:id="172" w:name="_Toc65"/>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والکلام فی هذه القاعدة یقع فی عدة جهات</w:t>
      </w:r>
      <w:r>
        <w:rPr>
          <w:rFonts w:eastAsia="IRNazanin" w:cs="IRNazanin"/>
          <w:color w:val="111111"/>
          <w:sz w:val="28"/>
          <w:szCs w:val="28"/>
          <w:rtl w:val="true"/>
          <w:lang w:bidi="fa-IR"/>
        </w:rPr>
        <w:t>:</w:t>
      </w:r>
    </w:p>
    <w:p>
      <w:pPr>
        <w:pStyle w:val="Heading4"/>
        <w:numPr>
          <w:ilvl w:val="3"/>
          <w:numId w:val="1"/>
        </w:numPr>
        <w:rPr/>
      </w:pPr>
      <w:bookmarkStart w:id="173" w:name="__RefHeading___Toc907094_1468164448"/>
      <w:bookmarkStart w:id="174" w:name="_Toc66"/>
      <w:bookmarkEnd w:id="173"/>
      <w:r>
        <w:rPr>
          <w:rtl w:val="true"/>
        </w:rPr>
        <w:t>الجهة الأولی</w:t>
      </w:r>
      <w:r>
        <w:rPr>
          <w:rtl w:val="true"/>
        </w:rPr>
        <w:t xml:space="preserve">: </w:t>
      </w:r>
      <w:r>
        <w:rPr>
          <w:rtl w:val="true"/>
        </w:rPr>
        <w:t>الأقوال فی القاعدة</w:t>
      </w:r>
      <w:r>
        <w:rPr>
          <w:rtl w:val="true"/>
        </w:rPr>
        <w:t>:</w:t>
      </w:r>
      <w:bookmarkEnd w:id="17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w:t>
      </w:r>
      <w:r>
        <w:rPr>
          <w:rStyle w:val="FootnoteAnchor"/>
          <w:rtl w:val="true"/>
        </w:rPr>
        <w:footnoteReference w:id="233"/>
      </w:r>
      <w:r>
        <w:rPr>
          <w:rFonts w:ascii="IRNazanin" w:hAnsi="IRNazanin" w:eastAsia="IRNazanin"/>
          <w:color w:val="111111"/>
          <w:sz w:val="28"/>
          <w:sz w:val="28"/>
          <w:szCs w:val="28"/>
          <w:rtl w:val="true"/>
          <w:lang w:bidi="fa-IR"/>
        </w:rPr>
        <w:t>الاتفاق علی تصدیق قولها فی ما اذا ادعت کونها خلیة حتی إذا کانت متهمة، کما یظهر من کلماتهم فی أوائل کتاب نکاح المتعة ، حیث قالوا باستحباب السؤال عن حالها مع التهمة</w:t>
      </w:r>
      <w:r>
        <w:rPr>
          <w:rStyle w:val="FootnoteAnchor"/>
          <w:rtl w:val="true"/>
        </w:rPr>
        <w:footnoteReference w:id="234"/>
      </w:r>
      <w:r>
        <w:rPr>
          <w:rFonts w:ascii="IRNazanin" w:hAnsi="IRNazanin" w:eastAsia="IRNazanin"/>
          <w:color w:val="111111"/>
          <w:sz w:val="28"/>
          <w:sz w:val="28"/>
          <w:szCs w:val="28"/>
          <w:rtl w:val="true"/>
          <w:lang w:bidi="fa-IR"/>
        </w:rPr>
        <w:t>، ولیست شرطاً فی الصحة، کما فی الشرائع</w:t>
      </w:r>
      <w:r>
        <w:rPr>
          <w:rStyle w:val="FootnoteAnchor"/>
          <w:rtl w:val="true"/>
        </w:rPr>
        <w:footnoteReference w:id="235"/>
      </w:r>
      <w:r>
        <w:rPr>
          <w:rFonts w:ascii="IRNazanin" w:hAnsi="IRNazanin" w:eastAsia="IRNazanin"/>
          <w:color w:val="111111"/>
          <w:sz w:val="28"/>
          <w:sz w:val="28"/>
          <w:szCs w:val="28"/>
          <w:rtl w:val="true"/>
          <w:lang w:bidi="fa-IR"/>
        </w:rPr>
        <w:t>والجواهر</w:t>
      </w:r>
      <w:r>
        <w:rPr>
          <w:rStyle w:val="FootnoteAnchor"/>
          <w:rtl w:val="true"/>
        </w:rPr>
        <w:footnoteReference w:id="236"/>
      </w:r>
      <w:r>
        <w:rPr>
          <w:rFonts w:ascii="IRNazanin" w:hAnsi="IRNazanin" w:eastAsia="IRNazanin"/>
          <w:color w:val="111111"/>
          <w:sz w:val="28"/>
          <w:sz w:val="28"/>
          <w:szCs w:val="28"/>
          <w:rtl w:val="true"/>
          <w:lang w:bidi="fa-IR"/>
        </w:rPr>
        <w:t>والحدائق</w:t>
      </w:r>
      <w:r>
        <w:rPr>
          <w:rStyle w:val="FootnoteAnchor"/>
          <w:rtl w:val="true"/>
        </w:rPr>
        <w:footnoteReference w:id="237"/>
      </w:r>
      <w:r>
        <w:rPr>
          <w:rFonts w:ascii="IRNazanin" w:hAnsi="IRNazanin" w:eastAsia="IRNazanin"/>
          <w:color w:val="111111"/>
          <w:sz w:val="28"/>
          <w:sz w:val="28"/>
          <w:szCs w:val="28"/>
          <w:rtl w:val="true"/>
          <w:lang w:bidi="fa-IR"/>
        </w:rPr>
        <w:t>، نعم فی باب دعواها المحلل قید بعضهم</w:t>
      </w:r>
      <w:r>
        <w:rPr>
          <w:rStyle w:val="FootnoteAnchor"/>
          <w:rtl w:val="true"/>
        </w:rPr>
        <w:footnoteReference w:id="238"/>
      </w:r>
      <w:r>
        <w:rPr>
          <w:rFonts w:ascii="IRNazanin" w:hAnsi="IRNazanin" w:eastAsia="IRNazanin"/>
          <w:color w:val="111111"/>
          <w:sz w:val="28"/>
          <w:sz w:val="28"/>
          <w:szCs w:val="28"/>
          <w:rtl w:val="true"/>
          <w:lang w:bidi="fa-IR"/>
        </w:rPr>
        <w:t>قبول قولها بما إذا کانت ثقة، کما فی الشرائع</w:t>
      </w:r>
      <w:r>
        <w:rPr>
          <w:rStyle w:val="FootnoteAnchor"/>
          <w:rtl w:val="true"/>
        </w:rPr>
        <w:footnoteReference w:id="239"/>
      </w:r>
      <w:r>
        <w:rPr>
          <w:rFonts w:ascii="Amiri" w:hAnsi="Amiri" w:eastAsia="Amiri" w:cs="Amiri"/>
          <w:color w:val="111111"/>
          <w:sz w:val="28"/>
          <w:sz w:val="28"/>
          <w:szCs w:val="28"/>
          <w:rtl w:val="true"/>
          <w:lang w:bidi="ar-SA"/>
        </w:rPr>
        <w:t>، وقیّد آخر</w:t>
      </w:r>
      <w:r>
        <w:rPr>
          <w:rStyle w:val="FootnoteAnchor"/>
          <w:rtl w:val="true"/>
        </w:rPr>
        <w:footnoteReference w:id="240"/>
      </w:r>
      <w:r>
        <w:rPr>
          <w:rFonts w:ascii="IRNazanin" w:hAnsi="IRNazanin" w:eastAsia="IRNazanin"/>
          <w:color w:val="111111"/>
          <w:sz w:val="28"/>
          <w:sz w:val="28"/>
          <w:szCs w:val="28"/>
          <w:rtl w:val="true"/>
          <w:lang w:bidi="fa-IR"/>
        </w:rPr>
        <w:t>بما إذا لم یکن لها معارض فی دعواها، کما لو أنکر من ادعت حصول</w:t>
      </w:r>
      <w:bookmarkStart w:id="175" w:name="pg13690_120519"/>
    </w:p>
    <w:p>
      <w:pPr>
        <w:pStyle w:val="BookText"/>
        <w:rPr/>
      </w:pPr>
      <w:bookmarkEnd w:id="175"/>
      <w:r>
        <w:rPr>
          <w:rFonts w:ascii="IRNazanin" w:hAnsi="IRNazanin" w:eastAsia="IRNazanin"/>
          <w:color w:val="111111"/>
          <w:sz w:val="28"/>
          <w:sz w:val="28"/>
          <w:szCs w:val="28"/>
          <w:rtl w:val="true"/>
          <w:lang w:bidi="fa-IR"/>
        </w:rPr>
        <w:t>التحلیل به، وفصل بعض محشی العروة الوثقی بین ما إذا لم یکن لها زوج فادعت طلاقها أو موته، وبین ما کان لها زوج؛ والوجه فی قبول قولها مضافاً إلی النصوص الآتیة عدّة أمور حمل مفاد النصوص علیها</w:t>
      </w:r>
      <w:r>
        <w:rPr>
          <w:rFonts w:eastAsia="IRNazanin" w:cs="IRNazanin"/>
          <w:color w:val="111111"/>
          <w:sz w:val="28"/>
          <w:szCs w:val="28"/>
          <w:rtl w:val="true"/>
          <w:lang w:bidi="fa-IR"/>
        </w:rPr>
        <w:t>.</w:t>
      </w:r>
    </w:p>
    <w:p>
      <w:pPr>
        <w:pStyle w:val="Heading4"/>
        <w:numPr>
          <w:ilvl w:val="3"/>
          <w:numId w:val="1"/>
        </w:numPr>
        <w:rPr/>
      </w:pPr>
      <w:bookmarkStart w:id="176" w:name="__RefHeading___Toc907096_1468164448"/>
      <w:bookmarkStart w:id="177" w:name="_Toc67"/>
      <w:bookmarkEnd w:id="176"/>
      <w:r>
        <w:rPr>
          <w:rtl w:val="true"/>
        </w:rPr>
        <w:t>الجهة الثانیة</w:t>
      </w:r>
      <w:r>
        <w:rPr>
          <w:rtl w:val="true"/>
        </w:rPr>
        <w:t xml:space="preserve">: </w:t>
      </w:r>
      <w:r>
        <w:rPr>
          <w:rtl w:val="true"/>
        </w:rPr>
        <w:t>أدلة القاعدة</w:t>
      </w:r>
      <w:r>
        <w:rPr>
          <w:rtl w:val="true"/>
        </w:rPr>
        <w:t>:</w:t>
      </w:r>
      <w:bookmarkEnd w:id="177"/>
    </w:p>
    <w:p>
      <w:pPr>
        <w:pStyle w:val="Heading5"/>
        <w:numPr>
          <w:ilvl w:val="4"/>
          <w:numId w:val="1"/>
        </w:numPr>
        <w:rPr/>
      </w:pPr>
      <w:bookmarkStart w:id="178" w:name="__RefHeading___Toc907098_1468164448"/>
      <w:bookmarkStart w:id="179" w:name="_Toc68"/>
      <w:bookmarkEnd w:id="178"/>
      <w:r>
        <w:rPr>
          <w:rtl w:val="true"/>
        </w:rPr>
        <w:t>الدلیل الأوّل</w:t>
      </w:r>
      <w:r>
        <w:rPr>
          <w:rtl w:val="true"/>
        </w:rPr>
        <w:t>:</w:t>
      </w:r>
      <w:bookmarkEnd w:id="179"/>
    </w:p>
    <w:p>
      <w:pPr>
        <w:pStyle w:val="BookText"/>
        <w:rPr/>
      </w:pPr>
      <w:r>
        <w:rPr>
          <w:rFonts w:ascii="IRNazanin" w:hAnsi="IRNazanin" w:eastAsia="IRNazanin"/>
          <w:color w:val="111111"/>
          <w:sz w:val="28"/>
          <w:sz w:val="28"/>
          <w:szCs w:val="28"/>
          <w:rtl w:val="true"/>
          <w:lang w:bidi="fa-IR"/>
        </w:rPr>
        <w:t>أن قبول قولها من باب قبول ما لا یعلم الحال إلّا من قبله، أی فی موارد تعذر إقامة البینة کما علل بذلک فی بعض النصوص الآتیة، لکن فی شمول هذا الوجه لکلّ الصور تأمل واضح، کما فی ادعاء المحلل وانقضاء العدّة والموت والطلاق، وعلیه فیکون هذا الدلیل اخص من المدعی ولا تثبت به القاعدة علی نحو الموجبة الکلیة</w:t>
      </w:r>
      <w:r>
        <w:rPr>
          <w:rFonts w:eastAsia="IRNazanin" w:cs="IRNazanin"/>
          <w:color w:val="111111"/>
          <w:sz w:val="28"/>
          <w:szCs w:val="28"/>
          <w:rtl w:val="true"/>
          <w:lang w:bidi="fa-IR"/>
        </w:rPr>
        <w:t>.</w:t>
      </w:r>
    </w:p>
    <w:p>
      <w:pPr>
        <w:pStyle w:val="Heading5"/>
        <w:numPr>
          <w:ilvl w:val="4"/>
          <w:numId w:val="1"/>
        </w:numPr>
        <w:rPr/>
      </w:pPr>
      <w:bookmarkStart w:id="180" w:name="__RefHeading___Toc907100_1468164448"/>
      <w:bookmarkStart w:id="181" w:name="_Toc69"/>
      <w:bookmarkEnd w:id="180"/>
      <w:r>
        <w:rPr>
          <w:rtl w:val="true"/>
        </w:rPr>
        <w:t>الدلیل الثانی</w:t>
      </w:r>
      <w:r>
        <w:rPr>
          <w:rtl w:val="true"/>
        </w:rPr>
        <w:t xml:space="preserve">: </w:t>
      </w:r>
      <w:r>
        <w:rPr>
          <w:rtl w:val="true"/>
        </w:rPr>
        <w:t>إنَّ قبول قولها من باب أنَّ من ادعی أمراً ممکناً بلا معارض یقبل قوله</w:t>
      </w:r>
      <w:r>
        <w:rPr>
          <w:rtl w:val="true"/>
        </w:rPr>
        <w:t>:</w:t>
      </w:r>
      <w:bookmarkEnd w:id="18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الوجه وإن کان تاماً فی الجملة، إلّا أنه أیضاً لا یشمل جمیع الصور فی قبول قولها، کما فی صورة إنکار من ادعت الزواج والمحلل به، وکما لو ادعت أنها خلیة وادعی آخر أنها زوجته، مع کونه ثقة أو مطلقاً، مع أن مقدار ما یثبت بهذا الوجه هو ما یختص بها من أحکام لا مطلقاً فیرد علیه ما ورد علی الدلیل الاول</w:t>
      </w:r>
      <w:r>
        <w:rPr>
          <w:rFonts w:eastAsia="IRNazanin" w:cs="IRNazanin"/>
          <w:color w:val="111111"/>
          <w:sz w:val="28"/>
          <w:szCs w:val="28"/>
          <w:rtl w:val="true"/>
          <w:lang w:bidi="fa-IR"/>
        </w:rPr>
        <w:t>.</w:t>
      </w:r>
      <w:bookmarkStart w:id="182" w:name="pg13690_120520"/>
    </w:p>
    <w:p>
      <w:pPr>
        <w:pStyle w:val="Heading5"/>
        <w:numPr>
          <w:ilvl w:val="4"/>
          <w:numId w:val="1"/>
        </w:numPr>
        <w:rPr/>
      </w:pPr>
      <w:bookmarkStart w:id="183" w:name="__RefHeading___Toc907102_1468164448"/>
      <w:bookmarkStart w:id="184" w:name="_Toc70"/>
      <w:bookmarkEnd w:id="182"/>
      <w:bookmarkEnd w:id="183"/>
      <w:r>
        <w:rPr>
          <w:rtl w:val="true"/>
        </w:rPr>
        <w:t>الدلیل الثالث</w:t>
      </w:r>
      <w:r>
        <w:rPr>
          <w:rtl w:val="true"/>
        </w:rPr>
        <w:t xml:space="preserve">: </w:t>
      </w:r>
      <w:r>
        <w:rPr>
          <w:rtl w:val="true"/>
        </w:rPr>
        <w:t>أن قبول قولها إنما هو صغری لکبری</w:t>
      </w:r>
      <w:r>
        <w:rPr>
          <w:rtl w:val="true"/>
        </w:rPr>
        <w:t>:</w:t>
      </w:r>
      <w:bookmarkEnd w:id="184"/>
    </w:p>
    <w:p>
      <w:pPr>
        <w:pStyle w:val="BookText"/>
        <w:rPr/>
      </w:pPr>
      <w:r>
        <w:rPr>
          <w:rFonts w:ascii="IRNazanin" w:hAnsi="IRNazanin" w:eastAsia="IRNazanin"/>
          <w:color w:val="111111"/>
          <w:sz w:val="28"/>
          <w:sz w:val="28"/>
          <w:szCs w:val="28"/>
          <w:rtl w:val="true"/>
          <w:lang w:bidi="fa-IR"/>
        </w:rPr>
        <w:t xml:space="preserve">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فعل المسلم علی الصحة</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الثابتة فی محلها</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إنما یکون فی الفعل الذی قد وقع لا فی دعوی الموضوع المأخوذ فی صحة فعل لم یقع بعد</w:t>
      </w:r>
      <w:r>
        <w:rPr>
          <w:rFonts w:eastAsia="IRNazanin" w:cs="IRNazanin"/>
          <w:color w:val="111111"/>
          <w:sz w:val="28"/>
          <w:szCs w:val="28"/>
          <w:rtl w:val="true"/>
          <w:lang w:bidi="fa-IR"/>
        </w:rPr>
        <w:t>.</w:t>
      </w:r>
    </w:p>
    <w:p>
      <w:pPr>
        <w:pStyle w:val="Heading5"/>
        <w:numPr>
          <w:ilvl w:val="4"/>
          <w:numId w:val="1"/>
        </w:numPr>
        <w:rPr/>
      </w:pPr>
      <w:bookmarkStart w:id="185" w:name="__RefHeading___Toc907104_1468164448"/>
      <w:bookmarkStart w:id="186" w:name="_Toc71"/>
      <w:bookmarkEnd w:id="185"/>
      <w:r>
        <w:rPr>
          <w:rtl w:val="true"/>
        </w:rPr>
        <w:t>الدلیل الرابع</w:t>
      </w:r>
      <w:r>
        <w:rPr>
          <w:rtl w:val="true"/>
        </w:rPr>
        <w:t xml:space="preserve">: </w:t>
      </w:r>
      <w:r>
        <w:rPr>
          <w:rtl w:val="true"/>
        </w:rPr>
        <w:t>أنَّها مصدقة علی نفسها</w:t>
      </w:r>
      <w:r>
        <w:rPr>
          <w:rtl w:val="true"/>
        </w:rPr>
        <w:t>:</w:t>
      </w:r>
      <w:bookmarkEnd w:id="186"/>
    </w:p>
    <w:p>
      <w:pPr>
        <w:pStyle w:val="BookText"/>
        <w:rPr/>
      </w:pP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مطابق لقالب لفظ النصوص کما فی روایة میسر الاتیة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المصدقة علی نفسها</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لکن سیأتی الکلام حول مقدار الإطلاق فیها</w:t>
      </w:r>
      <w:r>
        <w:rPr>
          <w:rFonts w:eastAsia="IRNazanin" w:cs="IRNazanin"/>
          <w:color w:val="111111"/>
          <w:sz w:val="28"/>
          <w:szCs w:val="28"/>
          <w:rtl w:val="true"/>
          <w:lang w:bidi="fa-IR"/>
        </w:rPr>
        <w:t>.</w:t>
      </w:r>
    </w:p>
    <w:p>
      <w:pPr>
        <w:pStyle w:val="Heading5"/>
        <w:numPr>
          <w:ilvl w:val="4"/>
          <w:numId w:val="1"/>
        </w:numPr>
        <w:rPr/>
      </w:pPr>
      <w:bookmarkStart w:id="187" w:name="__RefHeading___Toc907106_1468164448"/>
      <w:bookmarkStart w:id="188" w:name="_Toc72"/>
      <w:bookmarkEnd w:id="187"/>
      <w:r>
        <w:rPr>
          <w:rtl w:val="true"/>
        </w:rPr>
        <w:t>الدلیل الخامس</w:t>
      </w:r>
      <w:r>
        <w:rPr>
          <w:rtl w:val="true"/>
        </w:rPr>
        <w:t xml:space="preserve">: </w:t>
      </w:r>
      <w:r>
        <w:rPr>
          <w:rtl w:val="true"/>
        </w:rPr>
        <w:t xml:space="preserve">ان عدم قبول قولها یوجب وقوعها فی الضرر والحرج المنفیین شرعا </w:t>
      </w:r>
      <w:r>
        <w:rPr>
          <w:rtl w:val="true"/>
        </w:rPr>
        <w:t>.</w:t>
      </w:r>
      <w:bookmarkEnd w:id="18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أیضاً من الاستدلال بالقاعدتین، قاعدة الضرر والحرج بالمعنی الثانی، أی النوعی الذی هو من قبیل حکمة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فی مقدمة الجزء الاول من هذا الکتاب وفی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ومقدار دلالة الاقتضاء فیه لبیّة لا إطلاق فیها لکلّ الصور</w:t>
      </w:r>
      <w:r>
        <w:rPr>
          <w:rFonts w:eastAsia="IRNazanin" w:cs="IRNazanin"/>
          <w:color w:val="111111"/>
          <w:sz w:val="28"/>
          <w:szCs w:val="28"/>
          <w:rtl w:val="true"/>
          <w:lang w:bidi="fa-IR"/>
        </w:rPr>
        <w:t>.</w:t>
      </w:r>
      <w:bookmarkStart w:id="189" w:name="pg13690_120521"/>
    </w:p>
    <w:p>
      <w:pPr>
        <w:pStyle w:val="Heading5"/>
        <w:numPr>
          <w:ilvl w:val="4"/>
          <w:numId w:val="1"/>
        </w:numPr>
        <w:rPr/>
      </w:pPr>
      <w:bookmarkStart w:id="190" w:name="__RefHeading___Toc907108_1468164448"/>
      <w:bookmarkStart w:id="191" w:name="_Toc73"/>
      <w:bookmarkEnd w:id="189"/>
      <w:bookmarkEnd w:id="190"/>
      <w:r>
        <w:rPr>
          <w:rtl w:val="true"/>
        </w:rPr>
        <w:t>الدلیل السادس</w:t>
      </w:r>
      <w:r>
        <w:rPr>
          <w:rtl w:val="true"/>
        </w:rPr>
        <w:t xml:space="preserve">: </w:t>
      </w:r>
      <w:r>
        <w:rPr>
          <w:rtl w:val="true"/>
        </w:rPr>
        <w:t>هو النصوص الواردة فی جملة من الأبواب</w:t>
      </w:r>
      <w:r>
        <w:rPr>
          <w:rtl w:val="true"/>
        </w:rPr>
        <w:t>:</w:t>
      </w:r>
      <w:bookmarkEnd w:id="191"/>
    </w:p>
    <w:p>
      <w:pPr>
        <w:pStyle w:val="BookText"/>
        <w:rPr/>
      </w:pPr>
      <w:r>
        <w:rPr>
          <w:rFonts w:ascii="IRNazanin" w:hAnsi="IRNazanin" w:eastAsia="IRNazanin"/>
          <w:color w:val="111111"/>
          <w:sz w:val="28"/>
          <w:sz w:val="28"/>
          <w:szCs w:val="28"/>
          <w:rtl w:val="true"/>
          <w:lang w:bidi="fa-IR"/>
        </w:rPr>
        <w:t>حیث استظهر الإطلاق فی جملة منها، کصحیحة میسرة، 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ألقی المرأة بالفلاة التی لیس فیها أحد، فأقول لها ألکِ زوج؟ فتقول لا، فأتزوّجها،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هی المصدقة علی نفسها</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الروایة قاعدة عامة وهو حجیة قول المرأة فی شؤون نفسها مما لا یعلم نوعاً، إلّا من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شمول إطلاقها لما إذا کان الفحص یسیراً تأمل، کما فی مورد المرأة التی یعرفها</w:t>
      </w:r>
    </w:p>
    <w:p>
      <w:pPr>
        <w:pStyle w:val="BookText"/>
        <w:rPr/>
      </w:pPr>
      <w:r>
        <w:rPr>
          <w:rFonts w:ascii="IRNazanin" w:hAnsi="IRNazanin" w:eastAsia="IRNazanin"/>
          <w:color w:val="111111"/>
          <w:sz w:val="28"/>
          <w:sz w:val="28"/>
          <w:szCs w:val="28"/>
          <w:rtl w:val="true"/>
          <w:lang w:bidi="fa-IR"/>
        </w:rPr>
        <w:t>ویعرف سابقة زواج لها ونحو ذلک مما لا یخفی حالها علیه بأدنی فحص؛ وذلک لأن موردها فی المرأة غیر المعروفة، وإن کان المورد لا یخصص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الموثّق إلی إسحاق بن عمار عن فضل مولی محمد بن راشد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إنی تزوجت امرأة متعة فوقع فی نفسی أن لها زوجاً ففتشت عن ذلک فوجدت لها زوجاً،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فتشت؟</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وموردها کما تقدّم فی الروایة السابقة، ومثلها روایة مهران بن محمد عن بعض أصحابنا وروایة محمد بن عبد الله الأشعری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 للرضا الرجل یتزوج بالمرأة فیقع فی قلبه أن لها زوجاً،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علیه أرأیت لو سألها البینة کان یجد من یشهد أن لیس لها زوج؟</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واستظهر منها الشمول إلی المتهمة، لکنّه غیر ظاهر؛ لأن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فیقع فی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یلائم مجرّد الاحتمال والشک لا القرینة الحالیة المریبة، لاسیما وأن موردها أیضاً المرأة الغریبة لا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عمر بن حنظلة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تزوجت امرأة فسألت عنها فقیل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لم سألت أیضاً؟ لیس علیکم التفتیش</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وموردها أیضاً غیر المعروفة وغیر المتهمة، وصحیحة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والحیض للنساء إذا ادّعت صدقت</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وإن اختصت بالحیض وانقضاء مدة العدّة، إلّا أنها داعمة للعموم المتقدّم فی صحیحة میسرة من أنها مصدقة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وجملة أخری من الروایات قد یستظهر منها التقیید، کصحیح حمّاد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طلق امرأته ثلاثاً فبانت منه فأراد مراجعتها،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أرید مراجعتک فتزوجی زوجاً غیری،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تزوجت زوجاً غیرک وحللت لک نفسی أیصدق قولها ویراجعها؟ وکیف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المرأة ثقة صدّقت فی قولها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وحمل صاحب الجواهر التقیید بالثقة فیها علی الندبیة لعدم القائل بشرطیة الوثاقة فی تصدیق قولها فی تلک المسألة؛ إذ لا مدخلیة لوثاقة المدعی من حیث کونه ثقة فی تصدیقه وإلّا لاحتاج الموضوع إلی بینة ولم</w:t>
      </w:r>
      <w:bookmarkStart w:id="192" w:name="pg13690_120523"/>
    </w:p>
    <w:p>
      <w:pPr>
        <w:pStyle w:val="BookText"/>
        <w:rPr/>
      </w:pPr>
      <w:bookmarkEnd w:id="192"/>
      <w:r>
        <w:rPr>
          <w:rFonts w:ascii="IRNazanin" w:hAnsi="IRNazanin" w:eastAsia="IRNazanin"/>
          <w:color w:val="111111"/>
          <w:sz w:val="28"/>
          <w:sz w:val="28"/>
          <w:szCs w:val="28"/>
          <w:rtl w:val="true"/>
          <w:lang w:bidi="fa-IR"/>
        </w:rPr>
        <w:t>یکتف بدون ذلک بل لأجل کونها امرأة مصدقة علی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وموثّقة إسماعیل بن أبی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 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ادّعت أنها حاضت فی شهر واحد ثلاث حیض،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کلّفوا نسوة من بطانتها أن حیضها کان فی ما مضی علی ما ادعت فإن شهدت صدّقت وإلّا فهی کاذبة</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قیّد صاحب الوسائل عنوان الباب بتصدیق المرأة فی العدّة والحیض إلّا أن تدعی خلاف عادات النساء، ومورد هذه الموثّقة وإن کان أمراً ممکناً إلّا أنه حیث کان خلاف العادة فیکون محل 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أبی مریم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المتعة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المتعة الیوم لیس کما کانت قبل الیوم إنهن کنّ یومئذ یؤمنّ والیوم لا یؤمنّ فاسألوا عنهن</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ومضمون هذه الصحیحة أن اعتبار قولها فی غیر موارد التهمة النوعیة، ولکنّها حملت علی الاستحباب بقرینة ما فی مصحح میسر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ونظیرها روایة أبی سارة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قوله تعالی وَ الَّذِینَ هُمْ لِفُرُوجِهِمْ حافِظُونَ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تضع فرجک حیث لا تأمن علی درهمک</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907110_1468164448"/>
      <w:bookmarkStart w:id="194" w:name="_Toc74"/>
      <w:bookmarkEnd w:id="193"/>
      <w:r>
        <w:rPr>
          <w:rtl w:val="true"/>
        </w:rPr>
        <w:t>الجهة الثالثة</w:t>
      </w:r>
      <w:r>
        <w:rPr>
          <w:rtl w:val="true"/>
        </w:rPr>
        <w:t xml:space="preserve">: </w:t>
      </w:r>
      <w:r>
        <w:rPr>
          <w:rtl w:val="true"/>
        </w:rPr>
        <w:t>المحصّل مما تقدّم فی موضوع القاعدة</w:t>
      </w:r>
      <w:r>
        <w:rPr>
          <w:rtl w:val="true"/>
        </w:rPr>
        <w:t>:</w:t>
      </w:r>
      <w:bookmarkEnd w:id="19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بین الطائفتین وإن لم یکن تقیید قول المرأة بالوثاقة، إلّا أنه یقید بعدم التهمة بحسب نوع القرائن والشواهد الحالیة النوعیة عند</w:t>
      </w:r>
    </w:p>
    <w:p>
      <w:pPr>
        <w:pStyle w:val="BookText"/>
        <w:rPr/>
      </w:pPr>
      <w:r>
        <w:rPr>
          <w:rFonts w:ascii="IRNazanin" w:hAnsi="IRNazanin" w:eastAsia="IRNazanin"/>
          <w:color w:val="111111"/>
          <w:sz w:val="28"/>
          <w:sz w:val="28"/>
          <w:szCs w:val="28"/>
          <w:rtl w:val="true"/>
          <w:lang w:bidi="fa-IR"/>
        </w:rPr>
        <w:t>العقلاء، مضافاً إلی أن مجمل الروایات المطلقة هی فی مورد المرأة غیر المعروفة والغریبة، فلا یشمل ما إذا کانت معروفة ومعروف زوجها والفحص عنها لا یکلّف أدنی مؤونة، الذی هو من قبیل الالتفات إلی الموضوع، وقد حرر فی بحث الفحص فی الشبهة الموضوعیة لزومه وعدم صحة التمسک بالأصول بدون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نفوذ قولها إنما یکون فی الأحکام التی تتعلق بها لا فیما کان علی غیرها مما یوجب سلب حق أو نحوه، کما لو ادعت أن المیت طلقها فی المرض وأنکر الوارث وزعم أن الطلاق فی الصحة ونحو ذلک، ومن ثم عبّر جملة من الأصحاب عن حجیة قولها بالوجوه الخمسة المتقدّمة، وهی وإن لم تکن منطبقة علی الکلیة الواردة فی الروایات أنها مصدقة علی نفسها إلّا أنها تبین أن حجیة قولها بلحاظ نفسها لا علی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لو علم تفصیلًا بأن للمرأة زوج، وقد غاب غیبة منقطعة وادعت علمها بموته بقرائن أو أمارات، فالمدار حینئذ لیس علی قولها، وإنما علی السبب الکاشف الذی تدعیه، لما هو مقرر من أن الإمارة هی ذات السبب الإثباتی أو الثبوتی؛ فیکون المدار علی ذلک السبب إن کان إثباتیاً فعلی توفره لشرائط الحجیة وإن کان ثبوتیاً فعلی نفوذه وضعاً، وأما الوکیل عنها أو عن الزوج فجواز التوکیل تکلیفاً یدور مدار إحراز إباحة الفعل الذی هو مورد التوکیل، ویحصل بالاعتماد علی قولها کما فی الرجل الذی أراد تزویجها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195" w:name="pg13690_120526"/>
    </w:p>
    <w:p>
      <w:pPr>
        <w:pStyle w:val="Heading2"/>
        <w:numPr>
          <w:ilvl w:val="1"/>
          <w:numId w:val="1"/>
        </w:numPr>
        <w:rPr/>
      </w:pPr>
      <w:bookmarkStart w:id="196" w:name="__RefHeading___Toc907112_1468164448"/>
      <w:bookmarkStart w:id="197" w:name="_Toc75"/>
      <w:bookmarkEnd w:id="195"/>
      <w:bookmarkEnd w:id="196"/>
      <w:r>
        <w:rPr>
          <w:rtl w:val="true"/>
        </w:rPr>
        <w:t>قاعدة</w:t>
      </w:r>
      <w:r>
        <w:rPr>
          <w:rtl w:val="true"/>
        </w:rPr>
        <w:t>:</w:t>
      </w:r>
      <w:r>
        <w:rPr>
          <w:rtl w:val="true"/>
        </w:rPr>
        <w:t>حرمة تلذذ غیر الزوجین ببعضهما</w:t>
      </w:r>
      <w:bookmarkEnd w:id="19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8" w:name="__RefHeading___Toc907114_1468164448"/>
      <w:bookmarkStart w:id="199" w:name="_Toc76"/>
      <w:bookmarkEnd w:id="198"/>
      <w:r>
        <w:rPr>
          <w:rtl w:val="true"/>
        </w:rPr>
        <w:t>اشارة</w:t>
      </w:r>
      <w:bookmarkStart w:id="200" w:name="pg13690_120528"/>
      <w:bookmarkEnd w:id="199"/>
    </w:p>
    <w:p>
      <w:pPr>
        <w:pStyle w:val="Heading3"/>
        <w:numPr>
          <w:ilvl w:val="2"/>
          <w:numId w:val="1"/>
        </w:numPr>
        <w:rPr/>
      </w:pPr>
      <w:bookmarkStart w:id="201" w:name="__RefHeading___Toc907116_1468164448"/>
      <w:bookmarkStart w:id="202" w:name="_Toc77"/>
      <w:bookmarkEnd w:id="200"/>
      <w:bookmarkEnd w:id="201"/>
      <w:r>
        <w:rPr>
          <w:rtl w:val="true"/>
        </w:rPr>
        <w:t>من قواعد باب النکاح</w:t>
      </w:r>
      <w:r>
        <w:rPr>
          <w:rtl w:val="true"/>
        </w:rPr>
        <w:t>:</w:t>
      </w:r>
      <w:r>
        <w:rPr>
          <w:rtl w:val="true"/>
        </w:rPr>
        <w:t>حرمة تلذذ غیر الزوجین ببعضهما</w:t>
      </w:r>
      <w:bookmarkEnd w:id="202"/>
    </w:p>
    <w:p>
      <w:pPr>
        <w:pStyle w:val="Heading4"/>
        <w:numPr>
          <w:ilvl w:val="3"/>
          <w:numId w:val="1"/>
        </w:numPr>
        <w:rPr/>
      </w:pPr>
      <w:bookmarkStart w:id="203" w:name="__RefHeading___Toc907118_1468164448"/>
      <w:bookmarkStart w:id="204" w:name="_Toc78"/>
      <w:bookmarkEnd w:id="203"/>
      <w:r>
        <w:rPr>
          <w:rtl w:val="true"/>
        </w:rPr>
        <w:t>أدلة القاعدة</w:t>
      </w:r>
      <w:r>
        <w:rPr>
          <w:rtl w:val="true"/>
        </w:rPr>
        <w:t>:</w:t>
      </w:r>
      <w:bookmarkEnd w:id="204"/>
    </w:p>
    <w:p>
      <w:pPr>
        <w:pStyle w:val="Heading5"/>
        <w:numPr>
          <w:ilvl w:val="4"/>
          <w:numId w:val="1"/>
        </w:numPr>
        <w:rPr/>
      </w:pPr>
      <w:bookmarkStart w:id="205" w:name="__RefHeading___Toc907120_1468164448"/>
      <w:bookmarkStart w:id="206" w:name="_Toc79"/>
      <w:bookmarkEnd w:id="205"/>
      <w:r>
        <w:rPr>
          <w:rtl w:val="true"/>
        </w:rPr>
        <w:t>الدلیل الأول</w:t>
      </w:r>
      <w:r>
        <w:rPr>
          <w:rtl w:val="true"/>
        </w:rPr>
        <w:t xml:space="preserve">: </w:t>
      </w:r>
      <w:r>
        <w:rPr>
          <w:rtl w:val="true"/>
        </w:rPr>
        <w:t>الآیات القرآنیة</w:t>
      </w:r>
      <w:r>
        <w:rPr>
          <w:rtl w:val="true"/>
        </w:rPr>
        <w:t>:</w:t>
      </w:r>
      <w:bookmarkEnd w:id="206"/>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ابْتَغی وَراءَ ذلِکَ فَأُولئِکَ هُمُ العادُونَ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والمحصل من مفاد هذه الآیة لیس إرادة المنع عن خصوص لذّة الفرج، بل هو إشارة إلی مطلق الاستمتاعات الجنسیة، وذکر الفرج من باب أنه أبرز الأعضاء لظهور تلک الغریزة، فالتلذذ والاستمتاع بغریزة الجنس من أی عضو من الأعضاء سواء کان بالفرج أو البشرة باللمس أو العین أو الأذن بالسمع أو الأنف بالشم، ویشهد لإرادة هذا المعنی من حفظ الفرج وأن استخدام وإرسال الشهوة الجنسیة بأی عضو هو من التعدّی والعدوان فی الآیة، کما فی الصحیح إلی ابن أبی نجران</w:t>
      </w:r>
      <w:r>
        <w:rPr>
          <w:rStyle w:val="FootnoteAnchor"/>
          <w:rtl w:val="true"/>
        </w:rPr>
        <w:footnoteReference w:id="256"/>
      </w:r>
      <w:r>
        <w:rPr>
          <w:rFonts w:ascii="IRNazanin" w:hAnsi="IRNazanin" w:eastAsia="IRNazanin"/>
          <w:color w:val="111111"/>
          <w:sz w:val="28"/>
          <w:sz w:val="28"/>
          <w:szCs w:val="28"/>
          <w:rtl w:val="true"/>
          <w:lang w:bidi="fa-IR"/>
        </w:rPr>
        <w:t>عمن ذکره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ومحسّنة أبی جمیلة عن أبی جعفر وأبی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إلّا وهو یصیب حظاً من الزنا، فزنا العینین النظر وزنا الفم القبلة وزنا الیدین اللمس، صدّق الفرج ذلک أو کذّب</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فی روایة الجعفریات بسنده المعروف 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فاطمة بنت رسول الله صلی الله علیه و آله استأذن علیها أعمی فحجبته، فقال لها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حجبته وهو لا یراک؟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لم یکن یرانی فأنا أراه وهو یشم الریح،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بضعة منی</w:t>
      </w:r>
      <w:r>
        <w:rPr>
          <w:rFonts w:eastAsia="IRNazanin" w:cs="IRNazanin"/>
          <w:color w:val="111111"/>
          <w:sz w:val="28"/>
          <w:szCs w:val="28"/>
          <w:rtl w:val="true"/>
          <w:lang w:bidi="fa-IR"/>
        </w:rPr>
        <w:t>)</w:t>
      </w:r>
      <w:r>
        <w:rPr>
          <w:rStyle w:val="FootnoteAnchor"/>
          <w:rtl w:val="true"/>
        </w:rPr>
        <w:footnoteReference w:id="258"/>
      </w:r>
      <w:r>
        <w:rPr>
          <w:rFonts w:ascii="IRNazanin" w:hAnsi="IRNazanin" w:eastAsia="IRNazanin"/>
          <w:color w:val="111111"/>
          <w:sz w:val="28"/>
          <w:sz w:val="28"/>
          <w:szCs w:val="28"/>
          <w:rtl w:val="true"/>
          <w:lang w:bidi="fa-IR"/>
        </w:rPr>
        <w:t>وفی دعائم الإسلام</w:t>
      </w:r>
      <w:r>
        <w:rPr>
          <w:rStyle w:val="FootnoteAnchor"/>
          <w:rtl w:val="true"/>
        </w:rPr>
        <w:footnoteReference w:id="259"/>
      </w:r>
      <w:r>
        <w:rPr>
          <w:rFonts w:ascii="Amiri" w:hAnsi="Amiri" w:eastAsia="Amiri" w:cs="Amiri"/>
          <w:color w:val="111111"/>
          <w:sz w:val="28"/>
          <w:sz w:val="28"/>
          <w:szCs w:val="28"/>
          <w:rtl w:val="true"/>
          <w:lang w:bidi="ar-SA"/>
        </w:rPr>
        <w:t>مثله‌أیضاً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موثّق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صلی الله علیه و آله ما زینة المرأة للأعمی؟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والخضاب، فإنه من طیب النسمة</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فی صحیح الکاهلی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بعد النظرة تزرع فی القلب الشهوة وکفی بها لصاحبها فتنة</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مصحح محمد بن سنان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وحرم النظر إلی شعور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 من تهییج الرجال وما یدعو إلیه التهییج من الفساد</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وغیرها من الروایات فی الأبواب الدالة علی أن الاستمتاع بالشهوة یقع بجملة من الأعضاء، والظاهر أن هذا هو المراد مما ورد من أن</w:t>
      </w:r>
    </w:p>
    <w:p>
      <w:p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أحصنت فرجها، وکذلک ما ورد فی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أن حجاب العفاف کان منیعاً بینها وبین غیرها لا من قبلها، ولا تمکن الغیر قبلها، ومنه یعلم عموم تحریم التعدی فی الاستمتاعات الجنسیة فی الآیة إلی المماثل، ومن ثم بنی الفقهاء علی حرمة التلذذ بأی عضو مع غیر الزوج والزوجة وملک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ورد أن النساء عورات فالعورة لا تقتصر علی الفرج بل تعم مطلق أعضاء المرأة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تلنّ فی القول، بأن یکون فی صوتهن غلظة وخفاء، أی بجزالة وفصل لا بترخیم وترقیق،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 وخشونة من غیر تخنث، ککلام المریبات والمومسات، فیوجب طمع الذی فی قلبه ریب وشهوة،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تخاطبن الأجانب مخاطبة تؤدّی إلی طمعهم فیکن، کما تفعل المرأة التی تظهر الرغبة فی الرجال، وَ قُلْنَ قَوْلاً مَعْرُوفاً أی غیر منکر بعیداً عن الریبة والتهمة، وقد فسّر القول المعروف فی آیة المطلقات</w:t>
      </w:r>
      <w:r>
        <w:rPr>
          <w:rStyle w:val="FootnoteAnchor"/>
          <w:rtl w:val="true"/>
        </w:rPr>
        <w:footnoteReference w:id="263"/>
      </w:r>
      <w:r>
        <w:rPr>
          <w:rFonts w:ascii="IRNazanin" w:hAnsi="IRNazanin" w:eastAsia="IRNazanin"/>
          <w:color w:val="111111"/>
          <w:sz w:val="28"/>
          <w:sz w:val="28"/>
          <w:szCs w:val="28"/>
          <w:rtl w:val="true"/>
          <w:lang w:bidi="fa-IR"/>
        </w:rPr>
        <w:t>بعد إظهار الرغبة فی الطرف الآخر، کما فی روایة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 إنی أصنع کذا وأصنع کذا القبیح من الأمر فی البضع وکل أمر قبیح</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bookmarkStart w:id="207" w:name="pg13690_120531"/>
    </w:p>
    <w:p>
      <w:pPr>
        <w:pStyle w:val="BookText"/>
        <w:rPr/>
      </w:pPr>
      <w:bookmarkEnd w:id="207"/>
      <w:r>
        <w:rPr>
          <w:rFonts w:ascii="IRNazanin" w:hAnsi="IRNazanin" w:eastAsia="IRNazanin"/>
          <w:color w:val="111111"/>
          <w:sz w:val="28"/>
          <w:sz w:val="28"/>
          <w:szCs w:val="28"/>
          <w:rtl w:val="true"/>
          <w:lang w:bidi="fa-IR"/>
        </w:rPr>
        <w:t>وفی تفسیر علی بن إبراهیم لا یصرّح لها النکاح والتزویج وإن کان ذلک منکراً فی خصوص من کانت فی عصمة الغیر بعدّة أو نکاح، فیعلم من مقابلة الأمر بالقول بالمعروف أن المنهی عنه کلّ قول منکر سواء فی کیفیة الصوت وأدائه أو فی مضمون الکلام، وبأی نحو یکون فیه إظهار للرغبة المحرمة بینهما أو إثارة التشهّی الجنسی وإحداث الافتتان بینهما ولو بانبساط الحدیث وإطالة الکلام، والتعبیر فی صدر الآیة لَسْتُنَّ کَأَحَدٍ مِنَ النِّساءِ لا ظهور له فی خصوصیة الحکم لنساء النبی، بل الظاهر منه الإشارة إلی ما تقدّم علی الآیة من مضاعفة الأجر لهن إن اتقین ومضاعفة العذاب إن عصین؛ لشرافة نسبتهن إلی النبی، ومن ثم لم تذکر هذه الأحکام من خصائص النبی صلی الله علیه و آله وإن ذکر حرمة التزویج بنسائه من خصائصه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والتقریب ما مرَّ فی الآیة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وإن احتمل فیها التنزیه أو الاختصاص، إلّا أنها دالة علی أن مراتب المحادثة مع النساء من دون حجاب وستار لا سیما إذا کان مثیراً فإنه فتنة للقلوب</w:t>
      </w:r>
      <w:r>
        <w:rPr>
          <w:rFonts w:eastAsia="IRNazanin" w:cs="IRNazanin"/>
          <w:color w:val="111111"/>
          <w:sz w:val="28"/>
          <w:szCs w:val="28"/>
          <w:rtl w:val="true"/>
          <w:lang w:bidi="fa-IR"/>
        </w:rPr>
        <w:t>.</w:t>
      </w:r>
    </w:p>
    <w:p>
      <w:pPr>
        <w:pStyle w:val="Heading5"/>
        <w:numPr>
          <w:ilvl w:val="4"/>
          <w:numId w:val="1"/>
        </w:numPr>
        <w:rPr/>
      </w:pPr>
      <w:bookmarkStart w:id="208" w:name="__RefHeading___Toc907122_1468164448"/>
      <w:bookmarkStart w:id="209" w:name="_Toc80"/>
      <w:bookmarkEnd w:id="208"/>
      <w:r>
        <w:rPr>
          <w:rtl w:val="true"/>
        </w:rPr>
        <w:t>الدلیل الثانی</w:t>
      </w:r>
      <w:r>
        <w:rPr>
          <w:rtl w:val="true"/>
        </w:rPr>
        <w:t xml:space="preserve">: </w:t>
      </w:r>
      <w:r>
        <w:rPr>
          <w:rtl w:val="true"/>
        </w:rPr>
        <w:t>الروایات</w:t>
      </w:r>
      <w:r>
        <w:rPr>
          <w:rtl w:val="true"/>
        </w:rPr>
        <w:t>:</w:t>
      </w:r>
      <w:bookmarkEnd w:id="20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معتبرة أبی بصیر کنت أُقرئ امرأة کنت أُعلّمها القرآن فمازحتها بشیء، فقدمت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شیء قلت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فغطیت وجهی،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تعودنّ إلیها</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عقاب الأعمال عن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صافح امرأة حراماً جاء یوم القیامة مغلولًا ثم یؤمر به إلی النار، ومن فاکه امرأة لا یملکها حبسه الله بکل کلمة کلّمها فی الدنیا ألف عام</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دعائم الإسلام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محادثة النساء من مصائد الشیطان</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القطب الراوندی فی لب اللباب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مازح الجواری والغلمان فلابدّ له من الزنا ولابد للزانی من النار</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جملة من الروایات</w:t>
      </w:r>
      <w:r>
        <w:rPr>
          <w:rStyle w:val="FootnoteAnchor"/>
          <w:rtl w:val="true"/>
        </w:rPr>
        <w:footnoteReference w:id="269"/>
      </w:r>
      <w:r>
        <w:rPr>
          <w:rFonts w:ascii="IRNazanin" w:hAnsi="IRNazanin" w:eastAsia="IRNazanin"/>
          <w:color w:val="111111"/>
          <w:sz w:val="28"/>
          <w:sz w:val="28"/>
          <w:szCs w:val="28"/>
          <w:rtl w:val="true"/>
          <w:lang w:bidi="fa-IR"/>
        </w:rPr>
        <w:t>الأخری الناهیة عن محادثة النساء، وهی وإن حملت علی الکراهة والتنزیه إلّا أنها فیها إشعار بالحرمة بموارد الفتنة والتلذذ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ریب إن من موارد الفتنة والریبة الممازحة والمفاکهة مع النساء، لا سیما إذا اشتملت علی تغزل أو ما یستقبح ذکره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إقامة علاقة الصداقة مع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الخدن والخدین الصدیق، أو الخدن والخدین الذی یخادنک فیکون معک فی کلّ أمر ظاهر وباطن، وخدن الجاریة محدثها، وکانوا فی الجاهلیة لا یمتنعون من أن یحدث الجاریة فجاء الإسلام لهدمه، والمخادنة المصاحبة وفی التنزیل العزیز مُحْصَناتٍ غَیْرَ مُسافِحاتٍ وَ لا مُتَّخِذاتِ أَخْدانٍ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یتخذن 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القمی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مُتَّخِذاتِ أَخْدانٍ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لا یتخذها صدیقة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والأخدان الأخلاء فی السر أی غیر مجاهرات فی السفاح ولا مسرات له</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کانت البغایا فی الجاهلیة علی قسمین مشهورات ومتخذات أخدان، وکانوا بعقولهم یحرمون ما ظهر من الزنا ویحلون ما بطن، فنهی الله عز وجل عن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المستحصل من کلمات اللغویین وظاهر الآیة إن إقامة العلاقة والصداقة بین الأجنبی والأجنبیة للتواطئ علی أی نوع من الاستمتاع الجنسی أو الغرام محظور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تکوین العلاقة علی أساس الانفتاح الجنسی ولو علی صعید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المستفاد من قوله تعالی أیضاً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جُناحَ عَلَیْکُمْ فِیما عَرَّضْتُمْ بِهِ مِنْ خِطْبَةِ النِّساءِ أَوْ أَکْنَنْتُمْ فِی</w:t>
      </w:r>
    </w:p>
    <w:p>
      <w:pPr>
        <w:pStyle w:val="BookText"/>
        <w:rPr/>
      </w:pPr>
      <w:r>
        <w:rPr>
          <w:rFonts w:ascii="Amiri" w:hAnsi="Amiri" w:eastAsia="Amiri" w:cs="Amiri"/>
          <w:color w:val="111111"/>
          <w:sz w:val="28"/>
          <w:sz w:val="28"/>
          <w:szCs w:val="28"/>
          <w:rtl w:val="true"/>
          <w:lang w:bidi="ar-SA"/>
        </w:rPr>
        <w:t xml:space="preserve">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فی تفسیر الآیة أی لا تواعدوهن مواعدّة قط بالزواج، إلّا مواعدّة معروفة غیر منکرة أی لا تواعدوهن إلّا بالتعریض، أی لا تکنّوا فضلًا عن التصریح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وقیل فی معنی لا تُواعِدُوهُنَّ سِرًّا بالجماع، والقول المعروف هو القول الذی لیس فیه رفث ولا إفحاش، فالآیة الکریمة تحدد المقدار المجاز من الحدیث مع الأجنبیة مع أن هذا الحدیث متواطئ فیه علی الحلال وهو 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تسوغ التصریح ولا الکنایة، بل فی ذات البعل لا یجوز مطلقاً حتی 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الخلیة فیجوز التصریح دون الرفث فی القول من الکلمات المستهجنة المنافیة لحاجب الحیاء والستر بین الأجنبیین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تفسیر العیاشی 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تُواعِدُوهُنَّ سِرًّا إِلاّ أَنْ تَقُولُوا قَوْلاً مَعْرُوفاً؟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فی عدّتها تقول لها قولًا جمیلًا ترغبها فی نفسک ولا تقول إنی أصنع کذا وأصنع کذا القبیح من الأمر فی البضع وکل أمر قبیح</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تُواعِدُوهُنَّ سِرًّا هو قول الرجل للمرأة قبل أن تنقضی عدّتها أواعدک بیت آل فلان لترفث ویرفث معها</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وقریب من مضمونها ما رواه الکلینی من صحیح الحلبی وصحیح عبدالله بن سنان، وما رواه فی الصحیح عن علی بن حمزة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تواعدوهن سراً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الرجل أواعدک بیت آل فلان یعرض لها بالرفث ویرفث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والقول المعروف التعریض بالخطبة علی وجهها وحلّها، نعم ما رواه فی صحیح عبدالرحمن بن أبی عبدالله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القول المعروف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یلقاها ویقول إنی فیک لراغب وإنی فی النساء لمکرم ولا تسبقینی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لا یخلو معها حیث وعدها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ویستفاد مما ورد فی الآیة والنصوص والفتاوی فی مسألة الخطبة لذات العدّة المفروغیة من حرمة الرفث فی القول مع الأجنبیات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شطر وافر من الکلام حول حکم المفاکهة مع الأجنبیات والانبساط المثیر للرغبة والتلذذ فی السماع وکذا حکم الخلوة ولو من فئة من الرجال مع فئة من النساء ،وکل تلک المسائل ترسم حدود العلاقة بین الأجانب والأجنبیات، بما یکفل حفظ الطرفین عن معرضیة الوقوع فی التلذذ المحرم من الطرفین ولو بأدنی‌درجاته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ویؤید جمیع ما تقدّم المستفاد من فحوی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سَأَلْتُمُوهُنَّ</w:t>
      </w:r>
    </w:p>
    <w:p>
      <w:pPr>
        <w:pStyle w:val="BookText"/>
        <w:rPr/>
      </w:pPr>
      <w:r>
        <w:rPr>
          <w:rFonts w:ascii="Amiri" w:hAnsi="Amiri" w:eastAsia="Amiri" w:cs="Amiri"/>
          <w:color w:val="111111"/>
          <w:sz w:val="28"/>
          <w:sz w:val="28"/>
          <w:szCs w:val="28"/>
          <w:rtl w:val="true"/>
          <w:lang w:bidi="ar-SA"/>
        </w:rPr>
        <w:t xml:space="preserve">مَتاعاً فَسْئَلُوهُنَّ مِنْ وَراءِ حِجابٍ ذلِکُمْ أَطْهَرُ لِقُلُوبِکُمْ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ویعضد کلّ ما تقدّم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لِفُرُوجِهِمْ</w:t>
      </w:r>
    </w:p>
    <w:p>
      <w:pPr>
        <w:pStyle w:val="BookText"/>
        <w:rPr/>
      </w:pPr>
      <w:r>
        <w:rPr>
          <w:rFonts w:ascii="Amiri" w:hAnsi="Amiri" w:eastAsia="Amiri" w:cs="Amiri"/>
          <w:color w:val="111111"/>
          <w:sz w:val="28"/>
          <w:sz w:val="28"/>
          <w:szCs w:val="28"/>
          <w:rtl w:val="true"/>
          <w:lang w:bidi="ar-SA"/>
        </w:rPr>
        <w:t xml:space="preserve">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مقتضی الآیة کما ذکرنا فی قاعدة الستر والنظر هو حرمة الاستمتاع الجنسی مطلقاً بأی لون وبأی درجة وبای عضو الا الزوجة والمملوکة وهو شامل للتلذذ بالبهائم وغیرها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هذهِ القاعدة</w:t>
      </w:r>
      <w:bookmarkStart w:id="210" w:name="pg13690_120538"/>
    </w:p>
    <w:p>
      <w:pPr>
        <w:pStyle w:val="Heading2"/>
        <w:numPr>
          <w:ilvl w:val="1"/>
          <w:numId w:val="1"/>
        </w:numPr>
        <w:rPr/>
      </w:pPr>
      <w:bookmarkStart w:id="211" w:name="__RefHeading___Toc907124_1468164448"/>
      <w:bookmarkStart w:id="212" w:name="_Toc81"/>
      <w:bookmarkEnd w:id="210"/>
      <w:bookmarkEnd w:id="211"/>
      <w:r>
        <w:rPr>
          <w:rtl w:val="true"/>
        </w:rPr>
        <w:t>قاعدة</w:t>
      </w:r>
      <w:r>
        <w:rPr>
          <w:rtl w:val="true"/>
        </w:rPr>
        <w:t>:</w:t>
      </w:r>
      <w:r>
        <w:rPr>
          <w:rtl w:val="true"/>
        </w:rPr>
        <w:t>فی وحدة ماهیة النکاح</w:t>
      </w:r>
      <w:bookmarkEnd w:id="21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3" w:name="__RefHeading___Toc907126_1468164448"/>
      <w:bookmarkStart w:id="214" w:name="_Toc82"/>
      <w:bookmarkEnd w:id="213"/>
      <w:r>
        <w:rPr>
          <w:rtl w:val="true"/>
        </w:rPr>
        <w:t>اشارة</w:t>
      </w:r>
      <w:bookmarkStart w:id="215" w:name="pg13690_120540"/>
      <w:bookmarkEnd w:id="214"/>
    </w:p>
    <w:p>
      <w:pPr>
        <w:pStyle w:val="Heading3"/>
        <w:numPr>
          <w:ilvl w:val="2"/>
          <w:numId w:val="1"/>
        </w:numPr>
        <w:rPr/>
      </w:pPr>
      <w:bookmarkStart w:id="216" w:name="__RefHeading___Toc907128_1468164448"/>
      <w:bookmarkStart w:id="217" w:name="_Toc83"/>
      <w:bookmarkEnd w:id="215"/>
      <w:bookmarkEnd w:id="216"/>
      <w:r>
        <w:rPr>
          <w:rtl w:val="true"/>
        </w:rPr>
        <w:t>من قواعد باب النکاح</w:t>
      </w:r>
      <w:r>
        <w:rPr>
          <w:rtl w:val="true"/>
        </w:rPr>
        <w:t>:</w:t>
      </w:r>
      <w:r>
        <w:rPr>
          <w:rtl w:val="true"/>
        </w:rPr>
        <w:t>فی وحدة ماهیة النکاح</w:t>
      </w:r>
      <w:bookmarkEnd w:id="217"/>
    </w:p>
    <w:p>
      <w:pPr>
        <w:pStyle w:val="Heading4"/>
        <w:numPr>
          <w:ilvl w:val="3"/>
          <w:numId w:val="1"/>
        </w:numPr>
        <w:rPr/>
      </w:pPr>
      <w:bookmarkStart w:id="218" w:name="__RefHeading___Toc907130_1468164448"/>
      <w:bookmarkStart w:id="219" w:name="_Toc84"/>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 xml:space="preserve">یقع الکلام فی القاعدة فی جهتین </w:t>
      </w:r>
      <w:r>
        <w:rPr>
          <w:rFonts w:eastAsia="IRNazanin" w:cs="IRNazanin"/>
          <w:color w:val="111111"/>
          <w:sz w:val="28"/>
          <w:szCs w:val="28"/>
          <w:rtl w:val="true"/>
          <w:lang w:bidi="fa-IR"/>
        </w:rPr>
        <w:t>:</w:t>
      </w:r>
    </w:p>
    <w:p>
      <w:pPr>
        <w:pStyle w:val="Heading4"/>
        <w:numPr>
          <w:ilvl w:val="3"/>
          <w:numId w:val="1"/>
        </w:numPr>
        <w:rPr/>
      </w:pPr>
      <w:bookmarkStart w:id="220" w:name="__RefHeading___Toc907132_1468164448"/>
      <w:bookmarkStart w:id="221" w:name="_Toc85"/>
      <w:bookmarkEnd w:id="220"/>
      <w:r>
        <w:rPr>
          <w:rtl w:val="true"/>
        </w:rPr>
        <w:t>الجهة الأولی</w:t>
      </w:r>
      <w:r>
        <w:rPr>
          <w:rtl w:val="true"/>
        </w:rPr>
        <w:t xml:space="preserve">: </w:t>
      </w:r>
      <w:r>
        <w:rPr>
          <w:rtl w:val="true"/>
        </w:rPr>
        <w:t>الأقوال فی القاعدة</w:t>
      </w:r>
      <w:r>
        <w:rPr>
          <w:rtl w:val="true"/>
        </w:rPr>
        <w:t>:</w:t>
      </w:r>
      <w:bookmarkEnd w:id="221"/>
    </w:p>
    <w:p>
      <w:pPr>
        <w:pStyle w:val="BookText"/>
        <w:rPr/>
      </w:pPr>
      <w:r>
        <w:rPr>
          <w:rFonts w:ascii="IRNazanin" w:hAnsi="IRNazanin" w:eastAsia="IRNazanin"/>
          <w:color w:val="111111"/>
          <w:sz w:val="28"/>
          <w:sz w:val="28"/>
          <w:szCs w:val="28"/>
          <w:rtl w:val="true"/>
          <w:lang w:bidi="fa-IR"/>
        </w:rPr>
        <w:t>فالاختلاف واقع فی إنَّ ماهیة المنقطع والدائم نوع واحد والاختلاف فی الطوارئ والعوارض والأحوال أی إنَّ الاختلاف فی الصنف، أو إنَّ الاختلاف بینهما فی النوع أو إنَّ التعبد قد ورد بأنَّ عدم ذکر الأجل ولو غفلة موجب لقلب النکاح دائماً، ثم علی القول بوحدتهما فی الماهیة النوعیة یترتب إنَّ عنوان المنقطع والدائ عنوانان صنفیان وأنَّ هذا التصنیف هو آت من الاشتراط الزائد علی أصل الماهیة، وبالتالی فإنَّ الاشتراط هو سبب الاختلاف الآثار المترتبة علی العقد من الطلاق أو عدمه والإرث وعدمه وبقیة الحقوق</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حکی ذهاب المشهور</w:t>
      </w:r>
      <w:r>
        <w:rPr>
          <w:rStyle w:val="FootnoteAnchor"/>
          <w:rtl w:val="true"/>
        </w:rPr>
        <w:footnoteReference w:id="273"/>
      </w:r>
      <w:r>
        <w:rPr>
          <w:rFonts w:ascii="IRNazanin" w:hAnsi="IRNazanin" w:eastAsia="IRNazanin"/>
          <w:color w:val="111111"/>
          <w:sz w:val="28"/>
          <w:sz w:val="28"/>
          <w:szCs w:val="28"/>
          <w:rtl w:val="true"/>
          <w:lang w:bidi="fa-IR"/>
        </w:rPr>
        <w:t>إلی انقلاب العقد المنقطع إلی الدائم إن</w:t>
      </w:r>
    </w:p>
    <w:p>
      <w:pPr>
        <w:pStyle w:val="BookText"/>
        <w:rPr/>
      </w:pPr>
      <w:r>
        <w:rPr>
          <w:rFonts w:ascii="IRNazanin" w:hAnsi="IRNazanin" w:eastAsia="IRNazanin"/>
          <w:color w:val="111111"/>
          <w:sz w:val="28"/>
          <w:sz w:val="28"/>
          <w:szCs w:val="28"/>
          <w:rtl w:val="true"/>
          <w:lang w:bidi="fa-IR"/>
        </w:rPr>
        <w:t>لم یذکر الأجل فی إیجاب العقد، بل حکی علیه الإجماع، بل عن کشف اللثام والمسالک</w:t>
      </w:r>
      <w:r>
        <w:rPr>
          <w:rStyle w:val="FootnoteAnchor"/>
          <w:rtl w:val="true"/>
        </w:rPr>
        <w:footnoteReference w:id="274"/>
      </w:r>
      <w:r>
        <w:rPr>
          <w:rFonts w:ascii="IRNazanin" w:hAnsi="IRNazanin" w:eastAsia="IRNazanin"/>
          <w:color w:val="111111"/>
          <w:sz w:val="28"/>
          <w:sz w:val="28"/>
          <w:szCs w:val="28"/>
          <w:rtl w:val="true"/>
          <w:lang w:bidi="fa-IR"/>
        </w:rPr>
        <w:t>الجزم بذهاب المشهور إلی ذلک وإن کان المنقطع</w:t>
      </w:r>
      <w:r>
        <w:rPr>
          <w:rStyle w:val="FootnoteAnchor"/>
          <w:rtl w:val="true"/>
        </w:rPr>
        <w:footnoteReference w:id="275"/>
      </w:r>
      <w:r>
        <w:rPr>
          <w:rFonts w:ascii="IRNazanin" w:hAnsi="IRNazanin" w:eastAsia="IRNazanin"/>
          <w:color w:val="111111"/>
          <w:sz w:val="28"/>
          <w:sz w:val="28"/>
          <w:szCs w:val="28"/>
          <w:rtl w:val="true"/>
          <w:lang w:bidi="fa-IR"/>
        </w:rPr>
        <w:t>مقصوداً له من صیغة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حکی صاحب الجواهر</w:t>
      </w:r>
      <w:r>
        <w:rPr>
          <w:rStyle w:val="FootnoteAnchor"/>
          <w:rtl w:val="true"/>
        </w:rPr>
        <w:footnoteReference w:id="276"/>
      </w:r>
      <w:r>
        <w:rPr>
          <w:rFonts w:ascii="IRNazanin" w:hAnsi="IRNazanin" w:eastAsia="IRNazanin"/>
          <w:color w:val="111111"/>
          <w:sz w:val="28"/>
          <w:sz w:val="28"/>
          <w:szCs w:val="28"/>
          <w:rtl w:val="true"/>
          <w:lang w:bidi="fa-IR"/>
        </w:rPr>
        <w:t>أنهما أشکلا ذلک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إدریس</w:t>
      </w:r>
      <w:r>
        <w:rPr>
          <w:rStyle w:val="FootnoteAnchor"/>
          <w:rtl w:val="true"/>
        </w:rPr>
        <w:footnoteReference w:id="277"/>
      </w:r>
      <w:r>
        <w:rPr>
          <w:rFonts w:ascii="IRNazanin" w:hAnsi="IRNazanin" w:eastAsia="IRNazanin"/>
          <w:color w:val="111111"/>
          <w:sz w:val="28"/>
          <w:sz w:val="28"/>
          <w:szCs w:val="28"/>
          <w:rtl w:val="true"/>
          <w:lang w:bidi="fa-IR"/>
        </w:rPr>
        <w:t>التفصیل فإن کان الإیجاب بلفظ التزویج والنکاح فینقلب، وإن کان بلفظ التمتع فیبطل، وأن اللفظین الأولین صالحان لهما بخلاف الثالث، فإنه مختص بالمتعة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Style w:val="FootnoteAnchor"/>
          <w:rtl w:val="true"/>
        </w:rPr>
        <w:footnoteReference w:id="278"/>
      </w:r>
      <w:r>
        <w:rPr>
          <w:rFonts w:ascii="IRNazanin" w:hAnsi="IRNazanin" w:eastAsia="IRNazanin"/>
          <w:color w:val="111111"/>
          <w:sz w:val="28"/>
          <w:sz w:val="28"/>
          <w:szCs w:val="28"/>
          <w:rtl w:val="true"/>
          <w:lang w:bidi="fa-IR"/>
        </w:rPr>
        <w:t>بالفرق بین تعمّد ترک الأجل فینعقد دائماً وبین الجهل به ونسیانه فیبطل، بدعوی ظهور العمد فی إرادة الدوام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ومال صاحب الجواهر</w:t>
      </w:r>
      <w:r>
        <w:rPr>
          <w:rStyle w:val="FootnoteAnchor"/>
          <w:rtl w:val="true"/>
        </w:rPr>
        <w:footnoteReference w:id="279"/>
      </w:r>
      <w:r>
        <w:rPr>
          <w:rFonts w:ascii="IRNazanin" w:hAnsi="IRNazanin" w:eastAsia="IRNazanin"/>
          <w:color w:val="111111"/>
          <w:sz w:val="28"/>
          <w:sz w:val="28"/>
          <w:szCs w:val="28"/>
          <w:rtl w:val="true"/>
          <w:lang w:bidi="fa-IR"/>
        </w:rPr>
        <w:t>إلی المشهور إلّا أنه لم یستبعد البطلان مع قصد الانقطاع من نفس الصیغة، بحیث یکون ذکر الأجل قرینة علی الاستعمال أی لا من باب تعدد الدال والمدلول، لأنه لم یقصد مطلق النکاح حینئذ وعلیه یحمل مضمر سماعة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علی قول المشهور هل هذا یطّرد فی صیاغات الشروط</w:t>
      </w:r>
      <w:bookmarkStart w:id="222" w:name="pg13690_120542"/>
    </w:p>
    <w:p>
      <w:pPr>
        <w:pStyle w:val="BookText"/>
        <w:rPr/>
      </w:pPr>
      <w:bookmarkEnd w:id="222"/>
      <w:r>
        <w:rPr>
          <w:rFonts w:ascii="IRNazanin" w:hAnsi="IRNazanin" w:eastAsia="IRNazanin"/>
          <w:color w:val="111111"/>
          <w:sz w:val="28"/>
          <w:sz w:val="28"/>
          <w:szCs w:val="28"/>
          <w:rtl w:val="true"/>
          <w:lang w:bidi="fa-IR"/>
        </w:rPr>
        <w:t>الأخری، کما هو جار الآن عند بعض أبناء المذاهب الإسلامیة الأخری من زواج المسیار، حیث یشترط فیه عدم النفقة وإسقاط الحقوق من الطرفین ویفسخ بالطلاق، وکذا عندهم الزواج فی نهایة الأسبوع وبالتبانی علی عقد النکاح وعدم الدخول مثلًا ثم الطلاق بعده بیومین، وکما فی ما یسمی بالزواج العرفی بغض النظر عن صیغة الشروط المأخوذة فیه إنما الکلام بنحو الإجمال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ما یسمی بالزواج المدنی، هذا بعد الفراغ عن کون الشروط فی هذه الأقسام الجدید غیر مخالفة للکتاب والسنة، فالمدار فی تنقیح الأقسام علی بیان الجامع من الماهیة النوعیة للنکاح وأنَّ مقتضی الشروط فی الصیغة إنما تشکل العناوین الصنفیة بعد کونها شروطاً محلّلة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والعمدة بعد صحة مبنی المشهور تنقیح عدم مخالفة الشروط للکتاب والسنة فی تلک الاقسام ، والمهم فی المقام هو البحث عن وحدة الماهیة نوعاً، وأما حکم الشروط فی کلّ قسم فیأتی فی محلها</w:t>
      </w:r>
      <w:r>
        <w:rPr>
          <w:rFonts w:eastAsia="IRNazanin" w:cs="IRNazanin"/>
          <w:color w:val="111111"/>
          <w:sz w:val="28"/>
          <w:szCs w:val="28"/>
          <w:rtl w:val="true"/>
          <w:lang w:bidi="fa-IR"/>
        </w:rPr>
        <w:t>.</w:t>
      </w:r>
    </w:p>
    <w:p>
      <w:pPr>
        <w:pStyle w:val="Heading4"/>
        <w:numPr>
          <w:ilvl w:val="3"/>
          <w:numId w:val="1"/>
        </w:numPr>
        <w:rPr/>
      </w:pPr>
      <w:bookmarkStart w:id="223" w:name="__RefHeading___Toc907134_1468164448"/>
      <w:bookmarkStart w:id="224" w:name="_Toc86"/>
      <w:bookmarkEnd w:id="223"/>
      <w:r>
        <w:rPr>
          <w:rtl w:val="true"/>
        </w:rPr>
        <w:t>الجهة الثانیة</w:t>
      </w:r>
      <w:r>
        <w:rPr>
          <w:rtl w:val="true"/>
        </w:rPr>
        <w:t xml:space="preserve">: </w:t>
      </w:r>
      <w:r>
        <w:rPr>
          <w:rtl w:val="true"/>
        </w:rPr>
        <w:t>الأدلة</w:t>
      </w:r>
      <w:r>
        <w:rPr>
          <w:rtl w:val="true"/>
        </w:rPr>
        <w:t>:</w:t>
      </w:r>
      <w:bookmarkEnd w:id="22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یقرر مقتضی القاعدة کما فی الجواهر</w:t>
      </w:r>
      <w:r>
        <w:rPr>
          <w:rStyle w:val="FootnoteAnchor"/>
          <w:rtl w:val="true"/>
        </w:rPr>
        <w:footnoteReference w:id="280"/>
      </w:r>
      <w:r>
        <w:rPr>
          <w:rFonts w:ascii="IRNazanin" w:hAnsi="IRNazanin" w:eastAsia="IRNazanin"/>
          <w:color w:val="111111"/>
          <w:sz w:val="28"/>
          <w:sz w:val="28"/>
          <w:szCs w:val="28"/>
          <w:rtl w:val="true"/>
          <w:lang w:bidi="fa-IR"/>
        </w:rPr>
        <w:t>وغیره</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الجامع بین الدائم والمنقطع لا ریب فی تقرره وهو معنی الزوجیة والاقتران وتملیک البضع بالمهر، فیبقی الکلام حول الدیمومة والانقطاع کما هو مقتضی الحصر فی القسمین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لِفُرُوجِهِمْ</w:t>
      </w:r>
    </w:p>
    <w:p>
      <w:pPr>
        <w:pStyle w:val="BookText"/>
        <w:rPr/>
      </w:pPr>
      <w:r>
        <w:rPr>
          <w:rFonts w:ascii="Amiri" w:hAnsi="Amiri" w:eastAsia="Amiri" w:cs="Amiri"/>
          <w:color w:val="111111"/>
          <w:sz w:val="28"/>
          <w:sz w:val="28"/>
          <w:szCs w:val="28"/>
          <w:rtl w:val="true"/>
          <w:lang w:bidi="ar-SA"/>
        </w:rPr>
        <w:t xml:space="preserve">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فَإِنَّهُمْ غَیْرُ مَلُومِینَ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إلی عموم عنوان الزوجیة لکلّ من القسمین إلّا ما استثنی بالدلیل، مضافاً إلی إنشائهما بالألفاظ المشترکة، کما هو الحال فی إنشاء أقسام البیع من السلم والنقد والنسیئة بألفاظ ماهیة مشترکة، واختلاف الآثار مترتب علی الشرائط المأخوذة فی صیغة کلّ من الأقسام، وأما الدیمومة والانقطاع فهو منهما کما قرر فی البیع أنه مقتضی نفس العقد ما لم یأت رافع موجب للفسخ وإلا فالدیمومة لیست مأخوذة فی ماهیة البیع المستعمل فیها لفظه ولیست منشأه بالذات، بل حال الدیمومة فی جملة عدیدة من العقود والإیقاعات کذلک، بینما التحدید هو الذی یحتاج إلی التقیید فی اللفظ کما ستأتی دلالة الروایات علی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ورد تشبیه العقد المنقطع بانهن مستأجرات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اسْتَمْتَعْتُمْ بِهِ مِنْهُنَّ فَآتُوهُنَّ أُجُورَهُنَّ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حینئذ إن الاختلاف بین الدائم والمنقطع کالاختلاف بین البیع والإجارة فإن البیع والإجارة وإن اشترکا فی أصل التملیک للمنفعة، إلّا إن قوام الإجارة بذکر الأجل والتقدیر للمنفعة ولا ریب فی تباینهما فی الماهیة النوعیة لا الصنفیة، فهذا البیان یدعم القول المخالف للمشهور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البیع والإجارة علی قول یشترکان فی الماهیة من کون کلّ منهما تملیک للعین، غایة الأمر إن الإجارة تملیک للمنفعة علی نحو خاص</w:t>
      </w:r>
      <w:bookmarkStart w:id="225" w:name="pg13690_120544"/>
    </w:p>
    <w:p>
      <w:pPr>
        <w:pStyle w:val="BookText"/>
        <w:rPr/>
      </w:pPr>
      <w:bookmarkEnd w:id="225"/>
      <w:r>
        <w:rPr>
          <w:rFonts w:ascii="IRNazanin" w:hAnsi="IRNazanin" w:eastAsia="IRNazanin"/>
          <w:color w:val="111111"/>
          <w:sz w:val="28"/>
          <w:sz w:val="28"/>
          <w:szCs w:val="28"/>
          <w:rtl w:val="true"/>
          <w:lang w:bidi="fa-IR"/>
        </w:rPr>
        <w:t>أو فی جهة خاصة مقدرة، ومن ثم ورد بکثرة فی الروایات استعمال لفظ البیع فی باب الإجارة، فالحال فی الإجارة کذلک إذا أنشأت بلفظ البیع لابدّ أن تقدّر وتقیّد ویشترط جهة التملیک ونحوه، وإلا کان مقتضی لفظ البیع هو التملیک علی 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یشکل من أنَّ العقود تابعة للقصود فإذا لم یقصد الدائم، وکان قد قصد المنقطع إلّا أنه سهواً لم یقید بالشرط فیقع دائماً، فیکون ما قصد لم یقع وما وقع لم یقصد، وهل یظن ظانٌ أنَّ من قصد الإجارة بلفظ البیع وسهی عن التقیید بالمدة أنه یقع بیعاً علیه؟ مع أنه من الوضوح بمکان إن البیع غیر الإجارة، هذا مع لزوم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العقود اللازم توفرها فی صحة العقود هی قصد ماهیة العقود والأرکان المتقومة بها، وأما قصد الشروط الخارجة عن ماهیة المعاملة فلیس دخیلًا فی صحة المعاملات وإن کان السهو والغفلة فیها قد یکون مضراً مالیاً، ومجرّد تفاوت القیم المالیة لا یدلّ علی تباین ماهیة المعاملتین ذات القیمتین، ألا تری إن السلم یفترق عن النقد فی القیمة ومع ذلک فالسهو فی ذکر شرطیة الأجل لا یبطل البیع، بل غایة الأمر إنه یقع نقداً، ولو افترض تضرر أحد المتعاقدین مع سهوه وغفلته، فغایة ما یثبت خیار الغبن من دون بطلان العقد</w:t>
      </w:r>
      <w:r>
        <w:rPr>
          <w:rFonts w:eastAsia="IRNazanin" w:cs="IRNazanin"/>
          <w:color w:val="111111"/>
          <w:sz w:val="28"/>
          <w:szCs w:val="28"/>
          <w:rtl w:val="true"/>
          <w:lang w:bidi="fa-IR"/>
        </w:rPr>
        <w:t>.</w:t>
      </w:r>
    </w:p>
    <w:p>
      <w:pPr>
        <w:pStyle w:val="Heading4"/>
        <w:numPr>
          <w:ilvl w:val="3"/>
          <w:numId w:val="1"/>
        </w:numPr>
        <w:rPr/>
      </w:pPr>
      <w:bookmarkStart w:id="226" w:name="__RefHeading___Toc907136_1468164448"/>
      <w:bookmarkStart w:id="227" w:name="_Toc87"/>
      <w:bookmarkEnd w:id="226"/>
      <w:r>
        <w:rPr>
          <w:rtl w:val="true"/>
        </w:rPr>
        <w:t>فائدة</w:t>
      </w:r>
      <w:r>
        <w:rPr>
          <w:rtl w:val="true"/>
        </w:rPr>
        <w:t xml:space="preserve">: </w:t>
      </w:r>
      <w:r>
        <w:rPr>
          <w:rtl w:val="true"/>
        </w:rPr>
        <w:t>حقیقة توالد العقود</w:t>
      </w:r>
      <w:r>
        <w:rPr>
          <w:rtl w:val="true"/>
        </w:rPr>
        <w:t>:</w:t>
      </w:r>
      <w:bookmarkEnd w:id="22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والعمدة ملاحظة النسبة بین ماهیات العقود، فقد تکون النسبة من قبیل الجنس والنوع أو من قبیل النوع والصنف، لا سیما إذا کانت الماهیة</w:t>
      </w:r>
    </w:p>
    <w:p>
      <w:pPr>
        <w:pStyle w:val="BookText"/>
        <w:rPr/>
      </w:pPr>
      <w:r>
        <w:rPr>
          <w:rFonts w:ascii="IRNazanin" w:hAnsi="IRNazanin" w:eastAsia="IRNazanin"/>
          <w:color w:val="111111"/>
          <w:sz w:val="28"/>
          <w:sz w:val="28"/>
          <w:szCs w:val="28"/>
          <w:rtl w:val="true"/>
          <w:lang w:bidi="fa-IR"/>
        </w:rPr>
        <w:t>المعاملیة الثانیة هی بتوسط إضافة بعض الشرائط کأجزاء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بیئة المعاملات والتعارف العقلائی إنما تستحدث المعاملات الجدیدة عبر طریق زیادة الشروط علی معاملة تقلیدیة سابقة، والشروط تستحدث بحسب الأغراض والحاجیات فی البیئة المعاملیة علی صعید التعارف علی الحاجات والأشیاء، غایة الأمر أن التشارط الذی یضاف إلی الماهیة السابقة یندمج ماهویاً مع المعنی السابق فی إطار معنی فردی فی الذهن، ویتم ذلک بتعمّل من عالم الذهن وقدرة الفرض فی الاعتبار، أی القدرة علی الدمج بین المعانی فی کتلة معنی وحدانیاً، فی قبال قدرة الذهن والغرض الاعتباری علی فتق المعنی الوحدانی إلی معان مفصلّة متکثّرة متعدّدة، فخذ مثلًا أصل تملیک الشیء فإنه قد ضم إلیه المشارطة بتملیک آخر وهو العوض، فنتجت ماهیة المعاوضة بعد أن کان العقد تملیک مجرّد بسیط، فالمعاوضة لیست إلّا مشارطة بین تملیکین، ثم إن المعاوضة إذا اشترط فیها العین فی المعوّض، عنونت بعنوان البیع، وإذا جعلت المنفعة عنونت بعنوان الإجارة، واذا جعلت منافع خاصّة عنونت بعنوان المزارعة والمساقاة ونحوها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البیع إذا اشترط فیه بعض الشروط من الأجل ونحو ذلک فی أحد الطرفین عنون بعنوان السلم والنسیئة والنقد، ومن ثم یتبین إن تولّد المعاملات الحدیثة هی بإضافة شروط علی الماهیات المعاملیة الساذجة السابقة التی هی أبسط من الماهیة المعاملیة الترکیبیة الحدثیة، وقد ذکرنا فی فقه المصارف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الحیل والبنوک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المشارطة فی العقد تعود فی حقیقتها إلی معاوضة المزادة علی المعاملة السابقة یتبین إنها معاملة جدیدة فوقیة قد انضوت المعاملة السابقة تحتها کضلع من أحد طرفیها، وهذا لا ینافی ما</w:t>
      </w:r>
    </w:p>
    <w:p>
      <w:pPr>
        <w:pStyle w:val="BookText"/>
        <w:rPr/>
      </w:pPr>
      <w:r>
        <w:rPr>
          <w:rFonts w:ascii="IRNazanin" w:hAnsi="IRNazanin" w:eastAsia="IRNazanin"/>
          <w:color w:val="111111"/>
          <w:sz w:val="28"/>
          <w:sz w:val="28"/>
          <w:szCs w:val="28"/>
          <w:rtl w:val="true"/>
          <w:lang w:bidi="fa-IR"/>
        </w:rPr>
        <w:t>تقدّم تقریره من أنَّ المعاملة السابقة بمنزلة الجنس للمعاملة المتولدة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کلّ ذلک فالنسبة بین العقد الدائم والمنقطع نسبة الماهیة الجنسیة إلی الماهیة النوعیة أو الماهیة النوعیة إلی الماهیة الصنفیة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الطبیعة الجنسیة تلقائیاً إذا أنشأت من دون زیادة الشروط والمشارطة تنوجد حینئذ بنحو الماهیة بشرط لا، بخلاف ما إذا زیدت المشارطة، فإنها تکون بنحو البشرط شیء، وتباین 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کون المعنی والماهیة فی النحوین من تباین الأنواع، بل هذا التباین قد یفرض فی الماهیات الفردیة مع اتحادهما نوعاً، أو الصنفیة مع اتحادهما نوعاً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فإذا أنشأ المتکلم باللفظ الموضوع للجنس أو النوع من دون تقییده فلا محالة ینشأ به الماهیة الجنسیة، ولو کان ذلک عن سهو بالتقیید، فإنه لا یخلّ بالقصد المتوجّه إلی الماهیة الجنسیة، وإن کان هناک خلل فی توجّه القصد إلی الماهیة الفردیة أو الصنفیة، إلّا إن هذا المقدار من الخلل لا یخلّ بتحقّق القصد إلی الماهیة الجنسیة، نظیر ما لو أنشأ شخص البیع بلفظ ملّکت من دون أن یقیّده بعوض سهواً أو استحیاءاً، أی من دون أن یقول ملّکتک العین بکذا، فإن ذلک لا یخلّ بوقوع التملیک المجرّد ولا یؤدّی إلی کون الاستعمال مجازیاً، مع فرض عدم وجود القرینة فی البین علی استعماله المقیّد، سواء من باب تعدد الدال والمدلول أو من باب المجاز</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یفرّق بین ما إذا کان ذات المشروط رکن آخر فی العقد المرکب کما هو الحال فی العوض، وبین ما إذا لم یکن کذلک، بأن کان ذات المشروط من قبیل التحصیص والتحدید للماهیة السابقة، لا بأن یکون عوضاً مقابل لمعوّض،</w:t>
      </w:r>
      <w:bookmarkStart w:id="228" w:name="pg13690_120547"/>
    </w:p>
    <w:p>
      <w:pPr>
        <w:pStyle w:val="BookText"/>
        <w:rPr/>
      </w:pPr>
      <w:bookmarkEnd w:id="228"/>
      <w:r>
        <w:rPr>
          <w:rFonts w:ascii="IRNazanin" w:hAnsi="IRNazanin" w:eastAsia="IRNazanin"/>
          <w:color w:val="111111"/>
          <w:sz w:val="28"/>
          <w:sz w:val="28"/>
          <w:szCs w:val="28"/>
          <w:rtl w:val="true"/>
          <w:lang w:bidi="fa-IR"/>
        </w:rPr>
        <w:t>ولا ریب إن النمط الثانی أوضح فی عدم تخلّف أصل القصد، کما هو الحال فی البیع والسلم والنسیئة والنقد والدوام والمنقطع، بخلاف النمط الأوّل، کالهبة والبیع، هذا کلّه بحسب مقتضی القاعدة</w:t>
      </w:r>
      <w:r>
        <w:rPr>
          <w:rFonts w:eastAsia="IRNazanin" w:cs="IRNazanin"/>
          <w:color w:val="111111"/>
          <w:sz w:val="28"/>
          <w:szCs w:val="28"/>
          <w:rtl w:val="true"/>
          <w:lang w:bidi="fa-IR"/>
        </w:rPr>
        <w:t>.</w:t>
      </w:r>
    </w:p>
    <w:p>
      <w:pPr>
        <w:pStyle w:val="Heading4"/>
        <w:numPr>
          <w:ilvl w:val="3"/>
          <w:numId w:val="1"/>
        </w:numPr>
        <w:rPr/>
      </w:pPr>
      <w:bookmarkStart w:id="229" w:name="__RefHeading___Toc907138_1468164448"/>
      <w:bookmarkStart w:id="230" w:name="_Toc88"/>
      <w:bookmarkEnd w:id="229"/>
      <w:r>
        <w:rPr>
          <w:rtl w:val="true"/>
        </w:rPr>
        <w:t>وأما الروایات فعلی طوائف</w:t>
      </w:r>
      <w:r>
        <w:rPr>
          <w:rtl w:val="true"/>
        </w:rPr>
        <w:t>:</w:t>
      </w:r>
      <w:bookmarkEnd w:id="230"/>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ترک ذکر الأجل أنَّه ینعقد النکاح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کموثّق عبد الله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شرط قبل النکاح هدمه النکاح وما کان بعد النکاح فهو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سمی الأجل فهو متعة، وإن لم یسم الأجل فهو نکاح بات</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وصدر الروایة ظاهر فی تأسیس عموم دال علی عدم نفوذ الشروط التی یتقاول علیها قبل النکاح إذا لم یصرّح بها لفظاً أثناء إنشاء الصیغة، 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تطبیقاً لهذا العموم ذکر الأجل فی النکاح، ومن ثم لا یکفی التبانی علیه، بل لابدّ من التصریح به أثناء النکاح کی یقع متعة، وبهذا التقریب فی تطبیق العموم علی شرطیة الأجل فی النکاح تفید الروایة المطلوب الذی نحن فی صدده، وهو أنه لو تشارطا علی الأجل فی المقاولة قبل صیغة النکاح ثم لم یذکرا الأجل فی الصیغة، فإنه ینعقد نکاحاً باتاً، وبعباة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ذیل الروایة أورده صاحب الوسائل فی ذلک الباب مع حذف صدر الروایة، فتوهم من هذا الذیل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بیان مغایرة المتعة مع النکاح الدائم بذکر الأجل وعدم ذکره، بینما بقرینة صدر الروایة المحذوف یتبیّن</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تطبیق العموم الذی ذکره فی صدر الروایة بعد الفراغ عن تباین المنقطع والدائم بشرطیة الأجل، وإنما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صدد بیان أن هذه الشرطیة للأجل المفرّقة بین العقدین إنما تعدّ مشروطة فی العقد إذا ذکرت مع الصیغة، ولا یعتدّ بذکر الأجل والشرط فی المقاولة قبل العقد مع متارکة ذکره مع الصیغة، فمع هذا التقریب تکون الموثّقة نصّ فیما ذهب إلیه المشهور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معتبرة أبان بن تغلب،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لها إذا خلوت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أتزوّجک متعة علی کتاب الله وسنة نبیه صلی الله علیه و آله لاوارثة ولا موروثة کذا وکذا یوماً، وإن شئت کذا وکذا سنة بکذا وکذا درهماً، وتسمّی من الأجر ما تراضیتما علیه قلیلًا کان أم کثیرة، فإذا قالت نعم فقد رضیت فهی امرأتک وأنت أولی الناس 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أستحیی أن أذکر شرط الأیام؟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أضر علیک،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لم تشترط کان تزویج مقام ولزمتک النفقة فی العدّة، وکانت وارثة ولم تقدر علی أن تطلقها إلّا طلاق السنة</w:t>
      </w:r>
      <w:r>
        <w:rPr>
          <w:rFonts w:eastAsia="IRNazanin" w:cs="IRNazanin"/>
          <w:color w:val="111111"/>
          <w:sz w:val="28"/>
          <w:szCs w:val="28"/>
          <w:rtl w:val="true"/>
          <w:lang w:bidi="fa-IR"/>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رواها الکلینی بطریقین عن إبراهیم بن الفضل عن أبان والأول صحیح، وأما إبراهیم بن الفضل فهو وإن لم یوثق إلّا أن الشیخ قال عنه فی رجاله أسند عنه، أی أنه ممن یروی عنه، وهو یفید قرینة فی الحسن علی الأصح فی معنی هذه اللفظة، مضافاً إلی روایة جعفر بن بشیر عنه، وقد استشعر الوحید فی تعلیقته الوثاقة من ذلک، فلا أقل من الحسن بل فوق</w:t>
      </w:r>
    </w:p>
    <w:p>
      <w:pPr>
        <w:pStyle w:val="BookText"/>
        <w:rPr/>
      </w:pPr>
      <w:r>
        <w:rPr>
          <w:rFonts w:ascii="IRNazanin" w:hAnsi="IRNazanin" w:eastAsia="IRNazanin"/>
          <w:color w:val="111111"/>
          <w:sz w:val="28"/>
          <w:sz w:val="28"/>
          <w:szCs w:val="28"/>
          <w:rtl w:val="true"/>
          <w:lang w:bidi="fa-IR"/>
        </w:rPr>
        <w:t>الحسن ویکفی ذلک فی اعتبار الروایة، لاسیما وأن الروایة فی عرف الرواة تلمّذ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دلالة الروایة فهی نص بالمطلوب أیضاً، فإنه بیّن قصده للمنقطع إلّا أنه لم یذکر شرط الأجل استحیاءً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هذه المعتبرة فی خصوص مَن کان ملتفتاً إلی شرطیة الأجل ولم یذکره تعمّداً، ولو بداعی الاستحیاء، وهذا بخلاف مَن لم یذکره نسیاناً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مورد الروایة مَن تعمّد بناء اللفظ علی العدم، فکأنه قصد العدم وبنی اللفظ علیه بخلاف الناسی والغافل؟</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الفرق إن تم فی معتبرة أبان فلیس بتام فی موثّقة ابن بکیر مضافاً إلی ان ما فی معتبرة أبان وان کان تعمد من جهة الموضوع إلّا انه ناشئ عن الجهل بالحکم، وبالتالی فلیس عمداً تاماً؛ إذ لیس العامد بالموضوع عالم بالحکم، فالمورد مشوب بالجهل والغفلة أیضاً وبناءه علی کفایة قصد الشرط من دون التصریح له فلم یبن اللفظ علی العدم، أی لم یستعمل الترکیب المجموعی للجملة فی إرادة الدائم بنحو الجد، ولو من باب تعدّد الدال والمدلول، إذ أن المعنی المستعمل فیه النکاح فی القسمین واحد وإنما التغایر آت من ضمیمة الشرط، وهذا بنفسه تقریب آخر لدلالة الموثّقة والمعتبرة سیأتی بیانه فی الطائفة الثانیة، الدالة علی أن قوام التغایر بین القسمین هو لضمیمة لماهیة النکاح لا بنفس الماهیة</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وروایة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 المرأة</w:t>
      </w:r>
    </w:p>
    <w:p>
      <w:pPr>
        <w:pStyle w:val="BookText"/>
        <w:rPr/>
      </w:pPr>
      <w:r>
        <w:rPr>
          <w:rFonts w:ascii="IRNazanin" w:hAnsi="IRNazanin" w:eastAsia="IRNazanin"/>
          <w:color w:val="111111"/>
          <w:sz w:val="28"/>
          <w:sz w:val="28"/>
          <w:szCs w:val="28"/>
          <w:rtl w:val="true"/>
          <w:lang w:bidi="fa-IR"/>
        </w:rPr>
        <w:t>متعة مرةً مبهمة؟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ذاک أشدّ علیک ترثها وترثک، ولا یجوز لک أنَّ تطلقها إلّا علی طهر وشاهدین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فکیف 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أیاماً معدودة بشیء مسمّی مقدار ما تراضیتم به، فإذا مضت أیامها کان طلاقها فی شرطها ولا نفقة ولا عدّة لها علیک</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والروایة لیس فی سندها ما یتوقف فیه إلّا موسی بن سعدان الحنّاط وعبد الله بن القاسم الحضرمی، وقد ضعف النجاشی الحناط فی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فی الحدیث کوفی له کتب کثیرة ثم ذکر سنده إلی کتبه، وفیه الراوی لکتبه محمد بن الحسین بن أبی الخطاب الکوفی الثقة الجلیل ولکن الشیخ فی الفهرست لم یضعفه وسنده إلی کتابه صحیح، عن ابن أبی سعید عن ابن الولید عن الصفار عن ابن أبی الخطاب عن موسی بن سعدان، ویظهر من ذلک اعتماد بن الولید القمی شیخ الصدوق علی کتابه والصفار،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عرف من تشدّد 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الاعتماد علی کتابه مضافاً إلی ابن أبی الخطاب الکوفی، وقال عنه ابن الغضائری ضعیف فی مذهبه واعترض الوحید علی تضعیفه بأن ضعف الحدیث غیر ضعف الرجل وان نسبة الغلو من القدماء لا یعتنی بها وذکر جملة من الروایات التی رواها فی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لأمثال هذه رمی بالغلو، نظیر أن الأئمة یزدادون علماً فی لیلة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أن رمیه بالغلو لعله لروایته عن عبد الله بن القاسم الحضرمی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 جملة من القرائن للاعتماد علیه، وأما عبد الله بن القاسم</w:t>
      </w:r>
    </w:p>
    <w:p>
      <w:pPr>
        <w:pStyle w:val="BookText"/>
        <w:rPr/>
      </w:pPr>
      <w:r>
        <w:rPr>
          <w:rFonts w:ascii="IRNazanin" w:hAnsi="IRNazanin" w:eastAsia="IRNazanin"/>
          <w:color w:val="111111"/>
          <w:sz w:val="28"/>
          <w:sz w:val="28"/>
          <w:szCs w:val="28"/>
          <w:rtl w:val="true"/>
          <w:lang w:bidi="fa-IR"/>
        </w:rPr>
        <w:t>الحضرمی، فهو وإن ضعفه ابن الغضائری والنجاشی، وذکر أنه کذّاب غال وذکر سنده إلی کتابه والرمی بالکذب معلول عند القدماء للرمی بالغلو مع التصریح بکلا الصفتین، وجملة روایاته فی المعارف من نفائس الروایات التی یمج من قبولها مذاق الکلام علی النحو السطحی الجاف مثل ما رواه الکافی</w:t>
      </w:r>
      <w:r>
        <w:rPr>
          <w:rStyle w:val="FootnoteAnchor"/>
          <w:rtl w:val="true"/>
        </w:rPr>
        <w:footnoteReference w:id="285"/>
      </w:r>
      <w:r>
        <w:rPr>
          <w:rFonts w:ascii="IRNazanin" w:hAnsi="IRNazanin" w:eastAsia="IRNazanin"/>
          <w:color w:val="111111"/>
          <w:sz w:val="28"/>
          <w:sz w:val="28"/>
          <w:szCs w:val="28"/>
          <w:rtl w:val="true"/>
          <w:lang w:bidi="fa-IR"/>
        </w:rPr>
        <w:t>عنه فی باب أن الأئمة نور الله عز وجل، وما رواه الصدوق عنه من أنه ینادی یوم القیامة أن علی بن أبی طالب یدخل الجنة من شاء ویدخل النار من شاء</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روی حدیث اللوح فی أسماء الأئمة، وذکر بعض ذلک النمازی فی مستدرکاته، هذا مع أن الروایة فی المقام لیست فی المعارف، أی لیس فی الباب الذی ضعف فیه روایاته، وهذه نکتة یجدر الإلتفات إلیها، وهی أن التضعیف إذا کان مخصوصاً بباب علی تقدیر التسلیم بصحة مدرکه یخص ببابه، کما لو کان التضعیف من جهة المذهب الاعتقادی، أی المسائل الاعتقادیة التی یعتقد بها الراوی أو کان التضعیف من جهة الوقف، أو من جهة مذهب فقهی فی بعض المسائل الفقهیة، کما یقع ذلک لبعض الرواة ونحو ذلک فیخصّ بذلک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دلالة الروایة فهی منطبقة علی المقام، حیث یقصد من النکاح المتعة إلّا انه لا یقید جهلًا منه بالحکم، کما مر فی تقریر ما سبق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عدم نفوذ الشروط المتبانی علیها عند المتعاقدین، خاصة الروایات الواردة من أن الشرط السابق علی النکاح</w:t>
      </w:r>
    </w:p>
    <w:p>
      <w:pPr>
        <w:pStyle w:val="BookText"/>
        <w:rPr/>
      </w:pPr>
      <w:r>
        <w:rPr>
          <w:rFonts w:ascii="IRNazanin" w:hAnsi="IRNazanin" w:eastAsia="IRNazanin"/>
          <w:color w:val="111111"/>
          <w:sz w:val="28"/>
          <w:sz w:val="28"/>
          <w:szCs w:val="28"/>
          <w:rtl w:val="true"/>
          <w:lang w:bidi="fa-IR"/>
        </w:rPr>
        <w:t>لیس بنافذ بخلاف الذی یذکر مع العقد کروایة بن بکیر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اشترطت علی المرأة شروط المتعة فرضیت به وأوجبت التزویج فاردد علیها شرطک الأوّل بعد النکاح فإن أجازته فقد جاز وإن لم تجزه فلا یجوز علیها من شرط قبل النکاح</w:t>
      </w:r>
      <w:r>
        <w:rPr>
          <w:rFonts w:eastAsia="IRNazanin" w:cs="IRNazanin"/>
          <w:color w:val="111111"/>
          <w:sz w:val="28"/>
          <w:szCs w:val="28"/>
          <w:rtl w:val="true"/>
          <w:lang w:bidi="fa-IR"/>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الروایة أن شروط المتعة والذی عمدته الأجل والمهر إذا ذکر فی المقاولة قبل العقد فلا یعتد به ولا ینفذ إذا کانت الصیغة مطلقة، وأنه لابدّ فی نفوذ الشرط مع نفوذ العقد مرتبطاً فی ضمنه من ذکر الشروط مع الصیغة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دلالتها بالاقتضاء أن العقد فی الصورة الأولی نافذ دواماً وإن قصد به ما تشارطا من الأجل فی المقاولة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ومثلها صحیحة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جُناحَ عَلَیْکُمْ فِیما تَراضَیْتُمْ بِهِ مِنْ بَعْدِ الْفَرِیضَةِ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تراضوا به من بعد النکاح فهو جائز وما کان قبل النکاح فلا یجوز إلّا برضاها وبشیء یعطیها فترضی به</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مقدار ما یستفاد من هذه الطائفة هو کون النکاح یهدم الشروط السابقة المتبانی علیها عند المتعاقدین خاصّة دون ما کان التبانی علیها عند نوع العقلاء والعرف، کما هو صریح مورد تلک الروایات کالتعبیر بشرطک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فی موثّق بن بکیر مما یوهم الإطلاق أنه بقرینة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تخصیص الشروط بالخاصة عند المتعاقدین، أی مما جری</w:t>
      </w:r>
    </w:p>
    <w:p>
      <w:pPr>
        <w:pStyle w:val="BookText"/>
        <w:rPr/>
      </w:pPr>
      <w:r>
        <w:rPr>
          <w:rFonts w:ascii="IRNazanin" w:hAnsi="IRNazanin" w:eastAsia="IRNazanin"/>
          <w:color w:val="111111"/>
          <w:sz w:val="28"/>
          <w:sz w:val="28"/>
          <w:szCs w:val="28"/>
          <w:rtl w:val="true"/>
          <w:lang w:bidi="fa-IR"/>
        </w:rPr>
        <w:t>تداولها بینهما قبل العقد، بخلاف الشروط النوعیة عند العقلاء فلا توصف بالقبلیة، فالقدر المتیقن من هذه الطائفة هدم الشروط الخاصة عند المتعاقدین ویبقی الباقی علی مقتضی القاعدة وهو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بیان أن صیغة المتعة متقوّمة بالشروط کموثّقة سماعة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من أن یقول فیه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أتزوّجک متعة کذا وکذا یوماً بکذا وکذا درهماً نکاحاً غیر سفاح علی کتاب الله وسنة نبیه وعلی ان لا ترثینی ولا أرثک علی أن تعتدّی خمسة وأربعین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الموثّقة أن قوام المتعة بالشروط وبالتالی تخالفها مع الدائم بذلک لا فی مادة وماهیة النکاح وأن المتعة طور من النکاح متولّد من الشروط وغیرها من الروایات</w:t>
      </w:r>
      <w:r>
        <w:rPr>
          <w:rStyle w:val="FootnoteAnchor"/>
          <w:rtl w:val="true"/>
        </w:rPr>
        <w:footnoteReference w:id="290"/>
      </w:r>
      <w:r>
        <w:rPr>
          <w:rFonts w:ascii="IRNazanin" w:hAnsi="IRNazanin" w:eastAsia="IRNazanin"/>
          <w:color w:val="111111"/>
          <w:sz w:val="28"/>
          <w:sz w:val="28"/>
          <w:szCs w:val="28"/>
          <w:rtl w:val="true"/>
          <w:lang w:bidi="fa-IR"/>
        </w:rPr>
        <w:t>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کلّ ذلک أن الاختلاف بالشرط هو أنه لا تباین فی أصل قصد النکاح، وأنه لا اختلاف فی أصل قصد النکاح وإنما الاختلاف فی الشروط علی ذلک لو أنشأ النکاح مع الغفلة عن الشروط عن ذکرها مع الصیغة أو لم یذکرها لأسباب أخری فإن النکاح یقع باتاً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ذلک عند الشک فی کون العقد دائماً أو منقطعاً، فإن أصالة عدم الاشتراط تقتضی دوام العقد، کما هو الحال لو حصل نزاع بین الزوجین فإن مدّعی الدوام یکون منکراً، ولا یتوهم أن هذا من الأصل المثبت</w:t>
      </w:r>
    </w:p>
    <w:p>
      <w:pPr>
        <w:pStyle w:val="BookText"/>
        <w:rPr/>
      </w:pPr>
      <w:r>
        <w:rPr>
          <w:rFonts w:ascii="IRNazanin" w:hAnsi="IRNazanin" w:eastAsia="IRNazanin"/>
          <w:color w:val="111111"/>
          <w:sz w:val="28"/>
          <w:sz w:val="28"/>
          <w:szCs w:val="28"/>
          <w:rtl w:val="true"/>
          <w:lang w:bidi="fa-IR"/>
        </w:rPr>
        <w:t>وذلک لأن موضوع الدوام هو صرف العقد لا وصف التجرد لیشکل بأن هذا العنوان وجودی لا یمکن إحرازه، کما أن موضوع المنقطع مرکب</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 عدمه وهو محرز للموضوع وهو الدوام ویترتب علیه حرمة نکاح الخامسة</w:t>
      </w:r>
      <w:r>
        <w:rPr>
          <w:rFonts w:eastAsia="IRNazanin" w:cs="IRNazanin"/>
          <w:color w:val="111111"/>
          <w:sz w:val="28"/>
          <w:szCs w:val="28"/>
          <w:rtl w:val="true"/>
          <w:lang w:bidi="fa-IR"/>
        </w:rPr>
        <w:t>.</w:t>
      </w:r>
      <w:bookmarkStart w:id="231" w:name="pg13690_120556"/>
    </w:p>
    <w:p>
      <w:pPr>
        <w:pStyle w:val="Heading2"/>
        <w:numPr>
          <w:ilvl w:val="1"/>
          <w:numId w:val="1"/>
        </w:numPr>
        <w:rPr/>
      </w:pPr>
      <w:bookmarkStart w:id="232" w:name="__RefHeading___Toc907140_1468164448"/>
      <w:bookmarkStart w:id="233" w:name="_Toc89"/>
      <w:bookmarkEnd w:id="231"/>
      <w:bookmarkEnd w:id="232"/>
      <w:r>
        <w:rPr>
          <w:rtl w:val="true"/>
        </w:rPr>
        <w:t>قاعدة</w:t>
      </w:r>
      <w:r>
        <w:rPr>
          <w:rtl w:val="true"/>
        </w:rPr>
        <w:t>:</w:t>
      </w:r>
      <w:r>
        <w:rPr>
          <w:rtl w:val="true"/>
        </w:rPr>
        <w:t>فی تداخل العدد</w:t>
      </w:r>
      <w:bookmarkEnd w:id="233"/>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4" w:name="__RefHeading___Toc907142_1468164448"/>
      <w:bookmarkStart w:id="235" w:name="_Toc90"/>
      <w:bookmarkEnd w:id="234"/>
      <w:r>
        <w:rPr>
          <w:rtl w:val="true"/>
        </w:rPr>
        <w:t>اشارة</w:t>
      </w:r>
      <w:bookmarkStart w:id="236" w:name="pg13690_120558"/>
      <w:bookmarkEnd w:id="235"/>
    </w:p>
    <w:p>
      <w:pPr>
        <w:pStyle w:val="Heading3"/>
        <w:numPr>
          <w:ilvl w:val="2"/>
          <w:numId w:val="1"/>
        </w:numPr>
        <w:rPr/>
      </w:pPr>
      <w:bookmarkStart w:id="237" w:name="__RefHeading___Toc907144_1468164448"/>
      <w:bookmarkStart w:id="238" w:name="_Toc91"/>
      <w:bookmarkEnd w:id="236"/>
      <w:bookmarkEnd w:id="237"/>
      <w:r>
        <w:rPr>
          <w:rtl w:val="true"/>
        </w:rPr>
        <w:t>من قواعد باب النکاح</w:t>
      </w:r>
      <w:r>
        <w:rPr>
          <w:rtl w:val="true"/>
        </w:rPr>
        <w:t>:</w:t>
      </w:r>
      <w:r>
        <w:rPr>
          <w:rtl w:val="true"/>
        </w:rPr>
        <w:t>فی تداخل العدد</w:t>
      </w:r>
      <w:bookmarkEnd w:id="238"/>
    </w:p>
    <w:p>
      <w:pPr>
        <w:pStyle w:val="Heading4"/>
        <w:numPr>
          <w:ilvl w:val="3"/>
          <w:numId w:val="1"/>
        </w:numPr>
        <w:rPr/>
      </w:pPr>
      <w:bookmarkStart w:id="239" w:name="__RefHeading___Toc907146_1468164448"/>
      <w:bookmarkStart w:id="240" w:name="_Toc92"/>
      <w:bookmarkEnd w:id="239"/>
      <w:r>
        <w:rPr>
          <w:rtl w:val="true"/>
        </w:rPr>
        <w:t>اشارة</w:t>
      </w:r>
      <w:bookmarkEnd w:id="240"/>
    </w:p>
    <w:p>
      <w:pPr>
        <w:pStyle w:val="BookText"/>
        <w:rPr/>
      </w:pPr>
      <w:r>
        <w:rPr>
          <w:rFonts w:ascii="IRNazanin" w:hAnsi="IRNazanin" w:eastAsia="IRNazanin"/>
          <w:color w:val="111111"/>
          <w:sz w:val="28"/>
          <w:sz w:val="28"/>
          <w:szCs w:val="28"/>
          <w:rtl w:val="true"/>
          <w:lang w:bidi="fa-IR"/>
        </w:rPr>
        <w:t>البحث فی القاعدة یقع فی عدة امور</w:t>
      </w:r>
      <w:r>
        <w:rPr>
          <w:rFonts w:eastAsia="IRNazanin" w:cs="IRNazanin"/>
          <w:color w:val="111111"/>
          <w:sz w:val="28"/>
          <w:szCs w:val="28"/>
          <w:rtl w:val="true"/>
          <w:lang w:bidi="fa-IR"/>
        </w:rPr>
        <w:t>:</w:t>
      </w:r>
    </w:p>
    <w:p>
      <w:pPr>
        <w:pStyle w:val="Heading4"/>
        <w:numPr>
          <w:ilvl w:val="3"/>
          <w:numId w:val="1"/>
        </w:numPr>
        <w:rPr/>
      </w:pPr>
      <w:bookmarkStart w:id="241" w:name="__RefHeading___Toc907148_1468164448"/>
      <w:bookmarkStart w:id="242" w:name="_Toc93"/>
      <w:bookmarkEnd w:id="241"/>
      <w:r>
        <w:rPr>
          <w:rtl w:val="true"/>
        </w:rPr>
        <w:t>الأمر الأوّل</w:t>
      </w:r>
      <w:r>
        <w:rPr>
          <w:rtl w:val="true"/>
        </w:rPr>
        <w:t xml:space="preserve">: </w:t>
      </w:r>
      <w:r>
        <w:rPr>
          <w:rtl w:val="true"/>
        </w:rPr>
        <w:t>تداخل العدد ذات الأسباب المختلفة</w:t>
      </w:r>
      <w:r>
        <w:rPr>
          <w:rtl w:val="true"/>
        </w:rPr>
        <w:t>:</w:t>
      </w:r>
      <w:bookmarkEnd w:id="242"/>
    </w:p>
    <w:p>
      <w:pPr>
        <w:pStyle w:val="BookText"/>
        <w:rPr/>
      </w:pPr>
      <w:r>
        <w:rPr>
          <w:rFonts w:ascii="IRNazanin" w:hAnsi="IRNazanin" w:eastAsia="IRNazanin"/>
          <w:color w:val="111111"/>
          <w:sz w:val="28"/>
          <w:sz w:val="28"/>
          <w:szCs w:val="28"/>
          <w:rtl w:val="true"/>
          <w:lang w:bidi="fa-IR"/>
        </w:rPr>
        <w:t>هل تتداخل العدد ذات الأسباب المختلفة مع اختلاف الأشخاص، من عدّة وطی شبهة أو طلاق أو وفاة أو غیرها، أو لا؟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 التداخل بین العدد، القول الثانی، عدم التداخل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 فی الجواهر الثانی عن المشهور شهرة عظیمة، وأنه حکی علیه الإجماع، بینما نسب الأوّل إلی الصدوق وابن الجنید وجماعة من متأخری المتأخرین، حملًا لأخبار التعدد علی الندب أو التقیة، وتأمل فی نسبة هذا القول إلی الصدوق بکون المحکی عن موضع من کتاب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اعتمد علی متن صحیح علی بن بشیر النبّال الآتی الدال علی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یستظهر من الجمع بین کلامیه هو التفصیل بین ذات العدّة فی الثانی وبین ذات البعل فی الأوّل، أی بین کون وطی الشبهة وارداً أو موروداً، وإن لم یعهد هذا التفصیل من أحد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لکلّ من القولین تارة بمقتضی القاعدة وأخری بالروایات</w:t>
      </w:r>
      <w:bookmarkStart w:id="243" w:name="pg13690_120559"/>
    </w:p>
    <w:p>
      <w:pPr>
        <w:pStyle w:val="BookText"/>
        <w:rPr/>
      </w:pPr>
      <w:bookmarkEnd w:id="243"/>
      <w:r>
        <w:rPr>
          <w:rFonts w:ascii="IRNazanin" w:hAnsi="IRNazanin" w:eastAsia="IRNazanin"/>
          <w:color w:val="111111"/>
          <w:sz w:val="28"/>
          <w:sz w:val="28"/>
          <w:szCs w:val="28"/>
          <w:rtl w:val="true"/>
          <w:lang w:bidi="fa-IR"/>
        </w:rPr>
        <w:t>الواردة فی المقام</w:t>
      </w:r>
      <w:r>
        <w:rPr>
          <w:rFonts w:eastAsia="IRNazanin" w:cs="IRNazanin"/>
          <w:color w:val="111111"/>
          <w:sz w:val="28"/>
          <w:szCs w:val="28"/>
          <w:rtl w:val="true"/>
          <w:lang w:bidi="fa-IR"/>
        </w:rPr>
        <w:t>.</w:t>
      </w:r>
    </w:p>
    <w:p>
      <w:pPr>
        <w:pStyle w:val="Heading4"/>
        <w:numPr>
          <w:ilvl w:val="3"/>
          <w:numId w:val="1"/>
        </w:numPr>
        <w:rPr/>
      </w:pPr>
      <w:bookmarkStart w:id="244" w:name="__RefHeading___Toc907150_1468164448"/>
      <w:bookmarkStart w:id="245" w:name="_Toc94"/>
      <w:bookmarkEnd w:id="244"/>
      <w:r>
        <w:rPr>
          <w:rtl w:val="true"/>
        </w:rPr>
        <w:t>الأمر الثانی</w:t>
      </w:r>
      <w:r>
        <w:rPr>
          <w:rtl w:val="true"/>
        </w:rPr>
        <w:t xml:space="preserve">: </w:t>
      </w:r>
      <w:r>
        <w:rPr>
          <w:rtl w:val="true"/>
        </w:rPr>
        <w:t>تحریر القاعدة</w:t>
      </w:r>
      <w:r>
        <w:rPr>
          <w:rtl w:val="true"/>
        </w:rPr>
        <w:t>:</w:t>
      </w:r>
      <w:bookmarkEnd w:id="245"/>
    </w:p>
    <w:p>
      <w:pPr>
        <w:pStyle w:val="BookText"/>
        <w:rPr/>
      </w:pPr>
      <w:r>
        <w:rPr>
          <w:rFonts w:ascii="IRNazanin" w:hAnsi="IRNazanin" w:eastAsia="IRNazanin"/>
          <w:color w:val="111111"/>
          <w:sz w:val="28"/>
          <w:sz w:val="28"/>
          <w:szCs w:val="28"/>
          <w:rtl w:val="true"/>
          <w:lang w:bidi="fa-IR"/>
        </w:rPr>
        <w:t>فقد تقرّر فی محله من علم الأصول بأن الأصل عدم تداخل الأسباب ولا المسببات، وقد تقرّر أیضاً بأن مقتضاها التداخل فی خصوص المقام من بحث العدد، وبیانه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طبیعة أسباب العدد أن تکون العدد متصلة بالسبب، وعلی ضوء ذلک فلابدّ من تداخلها عند الاقتران والاجتماع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هذا التداخل لیس بمعنی عدم مراعاة مقادیر العدد کما لو اختلفت فی المقدار بسبب اختلاف البدء الزمنی أو الکم بینها، لاسیما وأن الاعتداد بالعدّة الغایة منه استبراء الرحم کما فی معتبرة زرارة</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نعی إلیها زوجها فاعتدت وتزوّجت فجاء زوجها الأوَّل ففارقها الآخر، کم تعتد للثانی؟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قروء وإنَّما یستبرأ رحمها بثلاثة قروء وتحل للناس کلهم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والزمان الواحد غیر قابل للتعدد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الأسباب فی الشرع معرّفات وتعریفات للأسباب الحقیقیة، فلیست علی نمط الأسباب التکوینیة الممتنع فیها الانفصال الزمنی بین السبب والمسبب، کما لا ضرورة للتقارن الزمنی بین المعرّف</w:t>
      </w:r>
      <w:bookmarkStart w:id="246" w:name="pg13690_120560"/>
    </w:p>
    <w:p>
      <w:pPr>
        <w:pStyle w:val="BookText"/>
        <w:rPr/>
      </w:pPr>
      <w:bookmarkEnd w:id="246"/>
      <w:r>
        <w:rPr>
          <w:rFonts w:ascii="IRNazanin" w:hAnsi="IRNazanin" w:eastAsia="IRNazanin"/>
          <w:color w:val="111111"/>
          <w:sz w:val="28"/>
          <w:sz w:val="28"/>
          <w:szCs w:val="28"/>
          <w:rtl w:val="true"/>
          <w:lang w:bidi="fa-IR"/>
        </w:rPr>
        <w:t>والسبب، لاسیما وأن هذا معهود فی باب العدد أیضاً، کما فی الفصل بین موت الزوج وعدّة الوفاة، وقد علّل ذلک فی الروایات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تحدّ علیه</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مما یدلل علی أن العدّة لیس الغرض منها مجرّد الاستبراء، ومثل ذلک حقّ رجوع الزوج فی العدّة الرجعیة، وکذا التفصیل فی تقدیم قاعدة الفراش التی بحثناها فی هذا الجزء من الکتاب، فإنه شاهد قوی علی اختلاف تحقّق قاعدة الفراش، بالإضافة إلی کلّ وطی من کلّ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ریب أن العدّة هی من توابع وأحکام تحقّق الفراش، فالتفصیل فی التقدیم والتأخیر زمناً فی قاعدة الفراش کما دلّت علیه الروایات التی بحثناها فی القاعدة، قد یستظهر أنه أحد الوجوه المهمّة لاعتماد المشهور التعدّد فی هذه المسألة</w:t>
      </w:r>
      <w:r>
        <w:rPr>
          <w:rFonts w:eastAsia="IRNazanin" w:cs="IRNazanin"/>
          <w:color w:val="111111"/>
          <w:sz w:val="28"/>
          <w:szCs w:val="28"/>
          <w:rtl w:val="true"/>
          <w:lang w:bidi="fa-IR"/>
        </w:rPr>
        <w:t>.</w:t>
      </w:r>
    </w:p>
    <w:p>
      <w:pPr>
        <w:pStyle w:val="Heading4"/>
        <w:numPr>
          <w:ilvl w:val="3"/>
          <w:numId w:val="1"/>
        </w:numPr>
        <w:rPr/>
      </w:pPr>
      <w:bookmarkStart w:id="247" w:name="__RefHeading___Toc907152_1468164448"/>
      <w:bookmarkStart w:id="248" w:name="_Toc95"/>
      <w:bookmarkEnd w:id="247"/>
      <w:r>
        <w:rPr>
          <w:rtl w:val="true"/>
        </w:rPr>
        <w:t>الأمر الثالث</w:t>
      </w:r>
      <w:r>
        <w:rPr>
          <w:rtl w:val="true"/>
        </w:rPr>
        <w:t xml:space="preserve">: </w:t>
      </w:r>
      <w:r>
        <w:rPr>
          <w:rtl w:val="true"/>
        </w:rPr>
        <w:t>الروایات الواردة فی المقام</w:t>
      </w:r>
      <w:r>
        <w:rPr>
          <w:rtl w:val="true"/>
        </w:rPr>
        <w:t>:</w:t>
      </w:r>
      <w:bookmarkEnd w:id="248"/>
    </w:p>
    <w:p>
      <w:pPr>
        <w:pStyle w:val="Heading5"/>
        <w:numPr>
          <w:ilvl w:val="4"/>
          <w:numId w:val="1"/>
        </w:numPr>
        <w:rPr/>
      </w:pPr>
      <w:bookmarkStart w:id="249" w:name="__RefHeading___Toc907154_1468164448"/>
      <w:bookmarkStart w:id="250" w:name="_Toc96"/>
      <w:bookmarkEnd w:id="249"/>
      <w:r>
        <w:rPr>
          <w:rtl w:val="true"/>
        </w:rPr>
        <w:t>اشارة</w:t>
      </w:r>
      <w:bookmarkEnd w:id="250"/>
    </w:p>
    <w:p>
      <w:pPr>
        <w:pStyle w:val="BookText"/>
        <w:rPr/>
      </w:pPr>
      <w:r>
        <w:rPr>
          <w:rFonts w:ascii="IRNazanin" w:hAnsi="IRNazanin" w:eastAsia="IRNazanin"/>
          <w:color w:val="111111"/>
          <w:sz w:val="28"/>
          <w:sz w:val="28"/>
          <w:szCs w:val="28"/>
          <w:rtl w:val="true"/>
          <w:lang w:bidi="fa-IR"/>
        </w:rPr>
        <w:t>وهی علی علی ألسن</w:t>
      </w:r>
      <w:r>
        <w:rPr>
          <w:rFonts w:eastAsia="IRNazanin" w:cs="IRNazanin"/>
          <w:color w:val="111111"/>
          <w:sz w:val="28"/>
          <w:szCs w:val="28"/>
          <w:rtl w:val="true"/>
          <w:lang w:bidi="fa-IR"/>
        </w:rPr>
        <w:t>:</w:t>
      </w:r>
    </w:p>
    <w:p>
      <w:pPr>
        <w:pStyle w:val="Heading5"/>
        <w:numPr>
          <w:ilvl w:val="4"/>
          <w:numId w:val="1"/>
        </w:numPr>
        <w:rPr/>
      </w:pPr>
      <w:bookmarkStart w:id="251" w:name="__RefHeading___Toc907156_1468164448"/>
      <w:bookmarkStart w:id="252" w:name="_Toc97"/>
      <w:bookmarkEnd w:id="251"/>
      <w:r>
        <w:rPr>
          <w:rtl w:val="true"/>
        </w:rPr>
        <w:t>اللسان الأول</w:t>
      </w:r>
      <w:r>
        <w:rPr>
          <w:rtl w:val="true"/>
        </w:rPr>
        <w:t xml:space="preserve">: </w:t>
      </w:r>
      <w:r>
        <w:rPr>
          <w:rtl w:val="true"/>
        </w:rPr>
        <w:t>عدم التداخل مطلقاً</w:t>
      </w:r>
      <w:r>
        <w:rPr>
          <w:rtl w:val="true"/>
        </w:rPr>
        <w:t>:</w:t>
      </w:r>
      <w:bookmarkEnd w:id="25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ادعی دلالته علی عدم التداخل مطلقاً، کصحیح علی بن بشیر النبّال،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امرأة فی عدّتها ولم یعلم وکانت هی قد علمت أنه قد بقی من عدّتها وأنه قذفها بعد علمه بذلک،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وفرّق بینهما وتعتدّ ما بقی من عدّتها الأولی وتعتدّ بعد</w:t>
      </w:r>
      <w:bookmarkStart w:id="253" w:name="pg13690_120561"/>
    </w:p>
    <w:p>
      <w:pPr>
        <w:pStyle w:val="BookText"/>
        <w:rPr/>
      </w:pPr>
      <w:bookmarkEnd w:id="253"/>
      <w:r>
        <w:rPr>
          <w:rFonts w:ascii="IRNazanin" w:hAnsi="IRNazanin" w:eastAsia="IRNazanin"/>
          <w:color w:val="111111"/>
          <w:sz w:val="28"/>
          <w:sz w:val="28"/>
          <w:szCs w:val="28"/>
          <w:rtl w:val="true"/>
          <w:lang w:bidi="fa-IR"/>
        </w:rPr>
        <w:t>ذلک عدّة کاملة</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موثّق محمد بن مسلم</w:t>
      </w:r>
      <w:r>
        <w:rPr>
          <w:rStyle w:val="FootnoteAnchor"/>
          <w:rtl w:val="true"/>
        </w:rPr>
        <w:footnoteReference w:id="294"/>
      </w:r>
      <w:r>
        <w:rPr>
          <w:rFonts w:ascii="IRNazanin" w:hAnsi="IRNazanin" w:eastAsia="IRNazanin"/>
          <w:color w:val="111111"/>
          <w:sz w:val="28"/>
          <w:sz w:val="28"/>
          <w:szCs w:val="28"/>
          <w:rtl w:val="true"/>
          <w:lang w:bidi="fa-IR"/>
        </w:rPr>
        <w:t>، وغیرهما</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دلالة هذه الروایات لیست مطلقة کما زعم، بل هی فی مورد ورود وطی الشبهة علی سبب للعدّة سابق، إلّا أن یرفع الید عرفاً عن ذلک بأنه من توارد أسباب العدد من دون خصوصیة</w:t>
      </w:r>
      <w:r>
        <w:rPr>
          <w:rFonts w:eastAsia="IRNazanin" w:cs="IRNazanin"/>
          <w:color w:val="111111"/>
          <w:sz w:val="28"/>
          <w:szCs w:val="28"/>
          <w:rtl w:val="true"/>
          <w:lang w:bidi="fa-IR"/>
        </w:rPr>
        <w:t>.</w:t>
      </w:r>
    </w:p>
    <w:p>
      <w:pPr>
        <w:pStyle w:val="Heading5"/>
        <w:numPr>
          <w:ilvl w:val="4"/>
          <w:numId w:val="1"/>
        </w:numPr>
        <w:rPr/>
      </w:pPr>
      <w:bookmarkStart w:id="254" w:name="__RefHeading___Toc907158_1468164448"/>
      <w:bookmarkStart w:id="255" w:name="_Toc98"/>
      <w:bookmarkEnd w:id="254"/>
      <w:r>
        <w:rPr>
          <w:rtl w:val="true"/>
        </w:rPr>
        <w:t>اللسان الثانی</w:t>
      </w:r>
      <w:r>
        <w:rPr>
          <w:rtl w:val="true"/>
        </w:rPr>
        <w:t xml:space="preserve">: </w:t>
      </w:r>
      <w:r>
        <w:rPr>
          <w:rtl w:val="true"/>
        </w:rPr>
        <w:t>التداخل مطلقاً</w:t>
      </w:r>
      <w:r>
        <w:rPr>
          <w:rtl w:val="true"/>
        </w:rPr>
        <w:t>:</w:t>
      </w:r>
      <w:bookmarkEnd w:id="255"/>
    </w:p>
    <w:p>
      <w:pPr>
        <w:pStyle w:val="BookText"/>
        <w:rPr/>
      </w:pPr>
      <w:r>
        <w:rPr>
          <w:rFonts w:ascii="IRNazanin" w:hAnsi="IRNazanin" w:eastAsia="IRNazanin"/>
          <w:color w:val="111111"/>
          <w:sz w:val="28"/>
          <w:sz w:val="28"/>
          <w:szCs w:val="28"/>
          <w:rtl w:val="true"/>
          <w:lang w:bidi="fa-IR"/>
        </w:rPr>
        <w:t>وهو ما ادّعی دلالته علی التداخل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کصحیح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تزوجت قبل أن تنقضی عدّتها،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یفرق بینهما، وتعتدّ عدّة واحدة منهما جمیعاً</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موثّقة أبی‌العباس</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الصحیح إلی جمیل بن دراج عن بعض أصحابه</w:t>
      </w:r>
      <w:r>
        <w:rPr>
          <w:rStyle w:val="FootnoteAnchor"/>
          <w:rtl w:val="true"/>
        </w:rPr>
        <w:footnoteReference w:id="298"/>
      </w:r>
      <w:r>
        <w:rPr>
          <w:rFonts w:ascii="IRNazanin" w:hAnsi="IRNazanin" w:eastAsia="IRNazanin"/>
          <w:color w:val="111111"/>
          <w:sz w:val="28"/>
          <w:sz w:val="28"/>
          <w:szCs w:val="28"/>
          <w:rtl w:val="true"/>
          <w:lang w:bidi="fa-IR"/>
        </w:rPr>
        <w:t>المتقدّم فی المسألة السابقة، وهو مع تضمّنه لتداخل العدّة قد فصل فی قاعدة الفراش</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والتأمل فی إطلاق هذه الروایات کما فی الطائفة السابقة</w:t>
      </w:r>
      <w:r>
        <w:rPr>
          <w:rFonts w:eastAsia="IRNazanin" w:cs="IRNazanin"/>
          <w:color w:val="111111"/>
          <w:sz w:val="28"/>
          <w:szCs w:val="28"/>
          <w:rtl w:val="true"/>
          <w:lang w:bidi="fa-IR"/>
        </w:rPr>
        <w:t>.</w:t>
      </w:r>
      <w:bookmarkStart w:id="256" w:name="pg13690_120562"/>
    </w:p>
    <w:p>
      <w:pPr>
        <w:pStyle w:val="Heading5"/>
        <w:numPr>
          <w:ilvl w:val="4"/>
          <w:numId w:val="1"/>
        </w:numPr>
        <w:rPr/>
      </w:pPr>
      <w:bookmarkStart w:id="257" w:name="__RefHeading___Toc907160_1468164448"/>
      <w:bookmarkStart w:id="258" w:name="_Toc99"/>
      <w:bookmarkEnd w:id="256"/>
      <w:bookmarkEnd w:id="257"/>
      <w:r>
        <w:rPr>
          <w:rtl w:val="true"/>
        </w:rPr>
        <w:t>اللسان الثالث</w:t>
      </w:r>
      <w:r>
        <w:rPr>
          <w:rtl w:val="true"/>
        </w:rPr>
        <w:t xml:space="preserve">: </w:t>
      </w:r>
      <w:r>
        <w:rPr>
          <w:rtl w:val="true"/>
        </w:rPr>
        <w:t>عدم التداخل فی صورة خاصة</w:t>
      </w:r>
      <w:r>
        <w:rPr>
          <w:rtl w:val="true"/>
        </w:rPr>
        <w:t>:</w:t>
      </w:r>
      <w:bookmarkEnd w:id="258"/>
    </w:p>
    <w:p>
      <w:pPr>
        <w:pStyle w:val="BookText"/>
        <w:rPr/>
      </w:pPr>
      <w:r>
        <w:rPr>
          <w:rFonts w:ascii="IRNazanin" w:hAnsi="IRNazanin" w:eastAsia="IRNazanin"/>
          <w:color w:val="111111"/>
          <w:sz w:val="28"/>
          <w:sz w:val="28"/>
          <w:szCs w:val="28"/>
          <w:rtl w:val="true"/>
          <w:lang w:bidi="fa-IR"/>
        </w:rPr>
        <w:t>وهو ما دل علی عدم التداخل فیما إذا کان وطی الشبهة موروداً أو وارداً علی عدّة الوفاة، کصحیح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الحبلی یموت زوجها فتضع وتزوج قبل أن تمضی لها أربعة أشهر وعشراً،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دخل بها فرّق بینهما ولم تحلّ له أبداً، واعتدّت بما بقی علیها من الأوّل، واستقبلت عدّة أخری من الآخر ثلاثة قروء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معتبرة محمد بن مسلم عن أبی جعفر</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جمیل بن صالح أن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أختین أهدیتا لأخوین، فأدخلت امرأة هذا علی هذا وامرأة هذا علی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واحدة منهما الصداق بالغشیان، وإن کان ولیّهما تعمّد ذلک أغرم الصداق، ولا یقرب واحد منهما امرأته حتی تنقضی العدّة، فإذا انقضت العدّة صارت کلّ امرأة منهما إلی زوجها الأوّل بالنکاح الأوّل،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ماتتا قبل انقضاء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الزوجان بنصف الصداق علی ورثتهما فیرثانهما الرجلان، قیل فإن مات الزوجان وهما فی العدّة،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ترثانهما، ولهما نصف المهر وعلیهما العدّة بعدما تفرغان من العدّة الأولی تعتدّان عدّة المتوفی عنها زوجها</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رواها الکلینی بسند صحیح عن جمیل أیضاً عن بعض أصحاب</w:t>
      </w:r>
    </w:p>
    <w:p>
      <w:pPr>
        <w:pStyle w:val="BookText"/>
        <w:rPr/>
      </w:pPr>
      <w:r>
        <w:rPr>
          <w:rFonts w:ascii="IRNazanin" w:hAnsi="IRNazanin" w:eastAsia="IRNazanin"/>
          <w:color w:val="111111"/>
          <w:sz w:val="28"/>
          <w:sz w:val="28"/>
          <w:szCs w:val="28"/>
          <w:rtl w:val="true"/>
          <w:lang w:bidi="fa-IR"/>
        </w:rPr>
        <w:t>أبی عبد الله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یجعله بحکم المرسل؛ وذلک لأن هذا التعبیر لو کان من علماء الرجال وکتب الفهارس لکان شاملًا لکلّ راو ثقة أو غیر ثقة، لکن هذا التعبیر هو من الرواة أنفسهم ومن جمیل نفسه والذی کان من أصحاب أبی عبد الله أیضاً، مما یعطی أن المراد خواص الرواة عن أبی عبد الله، هذا مضافاً إلی أنه لا یمتنع أن یکون الراوی رواها مرّة عمن رواها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عاود السؤال مباشرة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دیدن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ویظهر ذلک فی عدّة روایات وردت فی باب الحج فی أسئلة الرواة عن المتعة والإفراد الذی یقلب إلی التمتع، وقد کثر فی روایات جمیل بن دراج إسناد الروایة تارة إلی أبی عبدالله وأخری إلی بعض أصحابه عن أبی عبد الله، فهذا لا یسقط الروایة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مفاد الصحیحة هو طرو الموت الذی هو سبب لعدّة الوفاة فی الأثناء علی عدّة الشبهة، وهو عکس مورد الروایتین السابقتین من طرو عدّة الشبهة علی عدّة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 مجموع هذه الروایات أن عدّة الوفاة لا تتداخل مع عدّة الشبهة أو العدد الأخری، ولعله لما بین فی أدلة تشریع عدّة الوفاة وأنها تبدأ ببلوغ الخبر بعد الموت، أن من أغراض جعلها حداد المرأة علی زوجها وکأنه لا یتداخل ولا یمتزج مع ارتهانها وتربّصها لغیره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أیة حال فإن فی هذه الصحیحة دلالة أخری علی أن الزوجة إذا اعتدّت فی الأثناء من الشبهة، فإنها تعتزل زوجها فلا یحلّ له الاستمتاع بها مطلقاً؛ وذلک للتعبیر فی الروایة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یقرب واحد منهما</w:t>
      </w:r>
      <w:bookmarkStart w:id="259" w:name="pg13690_120564"/>
    </w:p>
    <w:p>
      <w:pPr>
        <w:pStyle w:val="BookText"/>
        <w:rPr/>
      </w:pPr>
      <w:bookmarkEnd w:id="259"/>
      <w:r>
        <w:rPr>
          <w:rFonts w:ascii="IRNazanin" w:hAnsi="IRNazanin" w:eastAsia="IRNazanin"/>
          <w:color w:val="111111"/>
          <w:sz w:val="28"/>
          <w:sz w:val="28"/>
          <w:szCs w:val="28"/>
          <w:rtl w:val="true"/>
          <w:lang w:bidi="fa-IR"/>
        </w:rPr>
        <w:t>امرأته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انقضت العدّة صارت کلّ امرأة منهما إلی زوجها الأوّل بالنکاح‌الأوّل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یفید معنی العزلة والاعتزال وتعلیق آثار النکاح مدة العدّة، وأن النکاح الأوّل یعاود التأثیر بعد انقضاء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المفاد یظهر أیضاً من صحیح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رجلین نکحا امرأتین فأتی هذا إمرأة هذا وهذا امرأة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هذه من هذا وهذه من هذا، ثم ترجع کلّ واحدة إلی زوجها</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التعبیر بالرجوع بعد انقضاء العدّة ظاهر بقوة فی العزل والاعتزال، وأن عقد الزواج یعلق تأثیره ضمن استباحة الاستمتاع فترة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وبنفس التعبیر ورد فی صحیحة إبراهیم بن عبد الحمید </w:t>
      </w:r>
      <w:r>
        <w:rPr>
          <w:rFonts w:eastAsia="IRNazanin" w:cs="IRNazanin"/>
          <w:color w:val="111111"/>
          <w:sz w:val="28"/>
          <w:szCs w:val="28"/>
          <w:rtl w:val="true"/>
          <w:lang w:bidi="fa-IR"/>
        </w:rPr>
        <w:t>.</w:t>
      </w:r>
    </w:p>
    <w:p>
      <w:pPr>
        <w:pStyle w:val="Heading5"/>
        <w:numPr>
          <w:ilvl w:val="4"/>
          <w:numId w:val="1"/>
        </w:numPr>
        <w:rPr/>
      </w:pPr>
      <w:bookmarkStart w:id="260" w:name="__RefHeading___Toc907162_1468164448"/>
      <w:bookmarkStart w:id="261" w:name="_Toc100"/>
      <w:bookmarkEnd w:id="260"/>
      <w:r>
        <w:rPr>
          <w:rtl w:val="true"/>
        </w:rPr>
        <w:t>اللسان الرابع</w:t>
      </w:r>
      <w:r>
        <w:rPr>
          <w:rtl w:val="true"/>
        </w:rPr>
        <w:t xml:space="preserve">: </w:t>
      </w:r>
      <w:r>
        <w:rPr>
          <w:rtl w:val="true"/>
        </w:rPr>
        <w:t>اعتداد الموطوءة شبهة عدّة واحدة لو طلقها زوجها</w:t>
      </w:r>
      <w:r>
        <w:rPr>
          <w:rtl w:val="true"/>
        </w:rPr>
        <w:t>:</w:t>
      </w:r>
      <w:bookmarkEnd w:id="261"/>
    </w:p>
    <w:p>
      <w:pPr>
        <w:pStyle w:val="BookText"/>
        <w:rPr/>
      </w:pPr>
      <w:r>
        <w:rPr>
          <w:rFonts w:ascii="IRNazanin" w:hAnsi="IRNazanin" w:eastAsia="IRNazanin"/>
          <w:color w:val="111111"/>
          <w:sz w:val="28"/>
          <w:sz w:val="28"/>
          <w:szCs w:val="28"/>
          <w:rtl w:val="true"/>
          <w:lang w:bidi="fa-IR"/>
        </w:rPr>
        <w:t>وهو ما دلّ علی أن الزوجة إذا وطئت شبهة، ثم طلقها زوجها أنها تعتدّ منهما عدّة واحدة، نظیر موثّق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امرأة فقد زوجها أو نعی إلیها، فتزوجت، ثم قدم زوجها بعد ذلک فطلقها،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منهما جمیعاً ثلاثة أشهر عدّة واحدة ولیس للآخر أن یتزوجها أبداً</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رواه الشیخ</w:t>
      </w:r>
      <w:r>
        <w:rPr>
          <w:rStyle w:val="FootnoteAnchor"/>
          <w:rtl w:val="true"/>
        </w:rPr>
        <w:footnoteReference w:id="305"/>
      </w:r>
      <w:r>
        <w:rPr>
          <w:rFonts w:ascii="IRNazanin" w:hAnsi="IRNazanin" w:eastAsia="IRNazanin"/>
          <w:color w:val="111111"/>
          <w:sz w:val="28"/>
          <w:sz w:val="28"/>
          <w:szCs w:val="28"/>
          <w:rtl w:val="true"/>
          <w:lang w:bidi="fa-IR"/>
        </w:rPr>
        <w:t>والکلینی</w:t>
      </w:r>
      <w:r>
        <w:rPr>
          <w:rStyle w:val="FootnoteAnchor"/>
          <w:rtl w:val="true"/>
        </w:rPr>
        <w:footnoteReference w:id="306"/>
      </w:r>
      <w:r>
        <w:rPr>
          <w:rFonts w:ascii="IRNazanin" w:hAnsi="IRNazanin" w:eastAsia="IRNazanin"/>
          <w:color w:val="111111"/>
          <w:sz w:val="28"/>
          <w:sz w:val="28"/>
          <w:szCs w:val="28"/>
          <w:rtl w:val="true"/>
          <w:lang w:bidi="fa-IR"/>
        </w:rPr>
        <w:t>أیضاً بطریق آخر</w:t>
      </w:r>
      <w:r>
        <w:rPr>
          <w:rStyle w:val="FootnoteAnchor"/>
          <w:rtl w:val="true"/>
        </w:rPr>
        <w:footnoteReference w:id="307"/>
      </w:r>
      <w:r>
        <w:rPr>
          <w:rFonts w:ascii="Amiri" w:hAnsi="Amiri" w:eastAsia="Amiri" w:cs="Amiri"/>
          <w:color w:val="111111"/>
          <w:sz w:val="28"/>
          <w:sz w:val="28"/>
          <w:szCs w:val="28"/>
          <w:rtl w:val="true"/>
          <w:lang w:bidi="ar-SA"/>
        </w:rPr>
        <w:t>عن زرارة عن</w:t>
      </w:r>
    </w:p>
    <w:p>
      <w:pPr>
        <w:pStyle w:val="BookText"/>
        <w:rPr/>
      </w:pPr>
      <w:r>
        <w:rPr>
          <w:rFonts w:ascii="IRNazanin" w:hAnsi="IRNazanin" w:eastAsia="IRNazanin"/>
          <w:color w:val="111111"/>
          <w:sz w:val="28"/>
          <w:sz w:val="28"/>
          <w:szCs w:val="28"/>
          <w:rtl w:val="true"/>
          <w:lang w:bidi="fa-IR"/>
        </w:rPr>
        <w:t>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امرأة نعی إلیها زوجها فاعتدّت وتزوجت فجاء زوجها الأوّل، ففارقها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 کم تعتدّ للثانی؟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قروء، وإنما یستبرأ رحمها بثلاثة قروء وتحل للناس کلُّهم،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 ناساً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عدّتین من کلّ واحد عدّة، فأبی ذلک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تعتدّ ثلاثة قروء وتحل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والتدبر یقضی بمنع الإطلاق فی الطائفة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موثّق محمد بن مسلم لیس صریحاً، بل ولا ظاهراً بقوة،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وأتمّت عدّتها من الأوّل وعدّة أخری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یقضی بالتعدّد؛لأنه یتلائم مع التداخل فی البعض، بأن تتم عدّتها بما بقی من الأوّل بمزامنة العدّة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الأمر أن العدّة الثانیة ابتداؤها مع البعض اللاحق من العدّة الأولی، فتبقی مستمرة إلی انتهائها، إذ لم یرد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جاء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أعم من التقارن والترتیب، والوجه فی التصریح بالعدّتین هو لبیان عدم زوال حکم العدّة الأولی وبقاء أحکامها إلی أن تنتهی، وأن بانتهائها لا تنتهی العدّة الثانیة؛ لأن التداخل تقارنی لا حقیقی، وهذا مراد من ذهب إلی التداخل لا بمعنی صیرورة العدّتان عدّة واحدة حقیقة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صحیحة النبّال،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وتعتدّ ما بقی من عدّتها الأولی وتعتدّ بعد ذلک عدّة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یأبی التقارن الزمانی أیضاً، فإن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تحصی بعد انتهاء الأولی ما یوجب کمال العدّة الثانیة أی تعتدّ بعد انتهاء العدّة الأولی ما یوجب کون المقدار الباقی مع ما تقدّم عدّة</w:t>
      </w:r>
      <w:bookmarkStart w:id="262" w:name="pg13690_120566"/>
    </w:p>
    <w:p>
      <w:pPr>
        <w:pStyle w:val="BookText"/>
        <w:rPr/>
      </w:pPr>
      <w:bookmarkEnd w:id="262"/>
      <w:r>
        <w:rPr>
          <w:rFonts w:ascii="IRNazanin" w:hAnsi="IRNazanin" w:eastAsia="IRNazanin"/>
          <w:color w:val="111111"/>
          <w:sz w:val="28"/>
          <w:sz w:val="28"/>
          <w:szCs w:val="28"/>
          <w:rtl w:val="true"/>
          <w:lang w:bidi="fa-IR"/>
        </w:rPr>
        <w:t>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أی تقدیر فلا صراحة فیها بأن مبدأ العدّة الثانیة هو بعد تمام العدّة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مصحح علی بن جعفر فهو وارد فی المتوفّی عنها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فلا یبقی دلیل لعدم التداخل، بمعنی عدم التقارن إلّا فی عدّة الوفاة للتصریح فی روایتها باستقبال عدّة أخری، وهو صریح فی أن مبدأ العدّة الثانیة هو بعد انتهاء العدّة الأولی، أو أن عدّة الوفاة تعتدّ بها بعد الفراغ من العدّة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 الوجه فی عدم تقارن عدّة الوفاة مع العدد الأخری لغیر الزوج المتوفّی هو أنه فی عدّة الوفاة یجب علی المرأة الحداد لزوجها المتوفّی، بخلاف العدد الأخری فإنها لاستبراء الرحم والامتناع عن التزوج بالآخرین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یعرف أن ما تقدّم من تقریر القاعدة بعدم التداخل بتعدد السبب إنما یقضی بعدم التداخل بمعنی وحدة العدّة حقیقة لا بمعنی عدم التقارن زمناً، أی بنحو التعاقب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یعضد هذا المعنی من عدم التداخل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هو تداخل زمنی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موثّق زرارة من نسبة التعاقب الزمنی فی العدد إلی العامة، ومثله معتبرة یونس عن بعض أصحابه من نسبة القول بالتعاقب إلی إبراهیم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من‌العامة</w:t>
      </w:r>
      <w:r>
        <w:rPr>
          <w:rFonts w:eastAsia="IRNazanin" w:cs="IRNazanin"/>
          <w:color w:val="111111"/>
          <w:sz w:val="28"/>
          <w:szCs w:val="28"/>
          <w:rtl w:val="true"/>
          <w:lang w:bidi="fa-IR"/>
        </w:rPr>
        <w:t>.</w:t>
      </w:r>
    </w:p>
    <w:p>
      <w:pPr>
        <w:pStyle w:val="Heading4"/>
        <w:numPr>
          <w:ilvl w:val="3"/>
          <w:numId w:val="1"/>
        </w:numPr>
        <w:rPr/>
      </w:pPr>
      <w:bookmarkStart w:id="263" w:name="__RefHeading___Toc907164_1468164448"/>
      <w:bookmarkStart w:id="264" w:name="_Toc101"/>
      <w:bookmarkEnd w:id="263"/>
      <w:r>
        <w:rPr>
          <w:rtl w:val="true"/>
        </w:rPr>
        <w:t>الأمر الرابع</w:t>
      </w:r>
      <w:r>
        <w:rPr>
          <w:rtl w:val="true"/>
        </w:rPr>
        <w:t xml:space="preserve">: </w:t>
      </w:r>
      <w:r>
        <w:rPr>
          <w:rtl w:val="true"/>
        </w:rPr>
        <w:t>تقدیم العدة التی تقدم سببها بناء علی التعدد</w:t>
      </w:r>
      <w:r>
        <w:rPr>
          <w:rtl w:val="true"/>
        </w:rPr>
        <w:t>:</w:t>
      </w:r>
      <w:bookmarkEnd w:id="26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التعدد بمعنی التعاقب فإنه تقدّم العدّة التی تقدّم سببها، کما هو الحال فی عدّة الوفاة التی مرّ أن التعدد فیها بمعنی التعاقب</w:t>
      </w:r>
      <w:r>
        <w:rPr>
          <w:rFonts w:eastAsia="IRNazanin" w:cs="IRNazanin"/>
          <w:color w:val="111111"/>
          <w:sz w:val="28"/>
          <w:szCs w:val="28"/>
          <w:rtl w:val="true"/>
          <w:lang w:bidi="fa-IR"/>
        </w:rPr>
        <w:t>.</w:t>
      </w:r>
      <w:bookmarkStart w:id="265" w:name="pg13690_120567"/>
    </w:p>
    <w:p>
      <w:pPr>
        <w:pStyle w:val="BookText"/>
        <w:rPr/>
      </w:pPr>
      <w:bookmarkEnd w:id="265"/>
      <w:r>
        <w:rPr>
          <w:rFonts w:ascii="IRNazanin" w:hAnsi="IRNazanin" w:eastAsia="IRNazanin"/>
          <w:color w:val="111111"/>
          <w:sz w:val="28"/>
          <w:sz w:val="28"/>
          <w:szCs w:val="28"/>
          <w:rtl w:val="true"/>
          <w:lang w:bidi="fa-IR"/>
        </w:rPr>
        <w:t>نعم فی وضع الحمل، حیث دلت الروایات الخاصة علی أنه مقدم علی القروء ونحوه من التقدیر فی العدد فهو مقدم علی بقیة الأسباب</w:t>
      </w:r>
      <w:r>
        <w:rPr>
          <w:rFonts w:eastAsia="IRNazanin" w:cs="IRNazanin"/>
          <w:color w:val="111111"/>
          <w:sz w:val="28"/>
          <w:szCs w:val="28"/>
          <w:rtl w:val="true"/>
          <w:lang w:bidi="fa-IR"/>
        </w:rPr>
        <w:t>.</w:t>
      </w:r>
    </w:p>
    <w:p>
      <w:pPr>
        <w:pStyle w:val="Heading4"/>
        <w:numPr>
          <w:ilvl w:val="3"/>
          <w:numId w:val="1"/>
        </w:numPr>
        <w:rPr/>
      </w:pPr>
      <w:bookmarkStart w:id="266" w:name="__RefHeading___Toc907166_1468164448"/>
      <w:bookmarkStart w:id="267" w:name="_Toc102"/>
      <w:bookmarkEnd w:id="266"/>
      <w:r>
        <w:rPr>
          <w:rtl w:val="true"/>
        </w:rPr>
        <w:t>الأمر الخامس</w:t>
      </w:r>
      <w:r>
        <w:rPr>
          <w:rtl w:val="true"/>
        </w:rPr>
        <w:t xml:space="preserve">: </w:t>
      </w:r>
      <w:r>
        <w:rPr>
          <w:rtl w:val="true"/>
        </w:rPr>
        <w:t>جواز الرجوع فی العدة الرجعیة بنا ءعلی التعدد وعدمه</w:t>
      </w:r>
      <w:r>
        <w:rPr>
          <w:rtl w:val="true"/>
        </w:rPr>
        <w:t>:</w:t>
      </w:r>
      <w:bookmarkEnd w:id="267"/>
    </w:p>
    <w:p>
      <w:pPr>
        <w:pStyle w:val="BookText"/>
        <w:rPr/>
      </w:pPr>
      <w:r>
        <w:rPr>
          <w:rFonts w:ascii="IRNazanin" w:hAnsi="IRNazanin" w:eastAsia="IRNazanin"/>
          <w:color w:val="111111"/>
          <w:sz w:val="28"/>
          <w:sz w:val="28"/>
          <w:szCs w:val="28"/>
          <w:rtl w:val="true"/>
          <w:lang w:bidi="fa-IR"/>
        </w:rPr>
        <w:t>بناءً علی التعدد وعدمه هل یجوز الرجوع فی العدّة الرجعیة قبل مجیء زمانها فی أثناء عدّة الشبهة، وهل ترث الزوج لو مات حینئذ؟</w:t>
      </w:r>
    </w:p>
    <w:p>
      <w:pPr>
        <w:pStyle w:val="BookText"/>
        <w:rPr/>
      </w:pPr>
      <w:r>
        <w:rPr>
          <w:rFonts w:ascii="IRNazanin" w:hAnsi="IRNazanin" w:eastAsia="IRNazanin"/>
          <w:color w:val="111111"/>
          <w:sz w:val="28"/>
          <w:sz w:val="28"/>
          <w:szCs w:val="28"/>
          <w:rtl w:val="true"/>
          <w:lang w:bidi="fa-IR"/>
        </w:rPr>
        <w:t>الأظهر جواز الرجوع لکون الموضع فی الأدلة هو عدم انقضاء العدّة کما فی موثّق عبد الله بن سنان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راجعها قبل أن یخلو أجلها</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وکما فی صحیح محمد بن مسلم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أملک برجعتها ما لم تنقض العدّة</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محمد بن مسلم الآخر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أراد أن یراجعها أشهد علی رجعتها قبل أن تمضی أقراؤها</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الحال فی المیراث، فإن المطلقة الرجعیة ما لم تنته العدّة زوجة حقیقة، فإن فعلیة البینونة معلّق علی انتهاء العدّة، کما وردت الروایات</w:t>
      </w:r>
      <w:bookmarkStart w:id="268" w:name="pg13690_120568"/>
    </w:p>
    <w:p>
      <w:pPr>
        <w:pStyle w:val="BookText"/>
        <w:rPr/>
      </w:pPr>
      <w:bookmarkEnd w:id="268"/>
      <w:r>
        <w:rPr>
          <w:rFonts w:ascii="IRNazanin" w:hAnsi="IRNazanin" w:eastAsia="IRNazanin"/>
          <w:color w:val="111111"/>
          <w:sz w:val="28"/>
          <w:sz w:val="28"/>
          <w:szCs w:val="28"/>
          <w:rtl w:val="true"/>
          <w:lang w:bidi="fa-IR"/>
        </w:rPr>
        <w:t>بثبوت الإرث لو مات أحدهما فی العدّة، ففی صحیح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امرأة طلقت ثم توفّی عنها زوجها قبل أن تنقضی عدّتها ولم تحرم علیه فإنها ترثه</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وغیرها من الروایات المثبتة للإرث ما لم تر الدم من الحیضة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فی بعضها من أخذ الموضوع بلسان الظرفیة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فی عدّة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فمثبتان لا متنافیان</w:t>
      </w:r>
      <w:r>
        <w:rPr>
          <w:rFonts w:eastAsia="IRNazanin" w:cs="IRNazanin"/>
          <w:color w:val="111111"/>
          <w:sz w:val="28"/>
          <w:szCs w:val="28"/>
          <w:rtl w:val="true"/>
          <w:lang w:bidi="fa-IR"/>
        </w:rPr>
        <w:t>.</w:t>
      </w:r>
    </w:p>
    <w:p>
      <w:pPr>
        <w:pStyle w:val="Heading4"/>
        <w:numPr>
          <w:ilvl w:val="3"/>
          <w:numId w:val="1"/>
        </w:numPr>
        <w:rPr/>
      </w:pPr>
      <w:bookmarkStart w:id="269" w:name="__RefHeading___Toc907168_1468164448"/>
      <w:bookmarkStart w:id="270" w:name="_Toc103"/>
      <w:bookmarkEnd w:id="269"/>
      <w:r>
        <w:rPr>
          <w:rtl w:val="true"/>
        </w:rPr>
        <w:t>الأمر السادس</w:t>
      </w:r>
      <w:r>
        <w:rPr>
          <w:rtl w:val="true"/>
        </w:rPr>
        <w:t xml:space="preserve">: </w:t>
      </w:r>
      <w:r>
        <w:rPr>
          <w:rtl w:val="true"/>
        </w:rPr>
        <w:t>لو کانت العدة المتأخرة عدة طلاق بائن</w:t>
      </w:r>
      <w:r>
        <w:rPr>
          <w:rtl w:val="true"/>
        </w:rPr>
        <w:t>:</w:t>
      </w:r>
      <w:bookmarkEnd w:id="270"/>
    </w:p>
    <w:p>
      <w:pPr>
        <w:pStyle w:val="BookText"/>
        <w:rPr/>
      </w:pPr>
      <w:r>
        <w:rPr>
          <w:rFonts w:ascii="IRNazanin" w:hAnsi="IRNazanin" w:eastAsia="IRNazanin"/>
          <w:color w:val="111111"/>
          <w:sz w:val="28"/>
          <w:sz w:val="28"/>
          <w:szCs w:val="28"/>
          <w:rtl w:val="true"/>
          <w:lang w:bidi="fa-IR"/>
        </w:rPr>
        <w:t>لو کانت العدّة المتأخرة هی عدّة الطلاق البائن، فهل یجوز تزویج المطلق لها وهی فی عدّة الشبهة السابقة علی عدّة الطلاق؟</w:t>
      </w:r>
    </w:p>
    <w:p>
      <w:pPr>
        <w:pStyle w:val="BookText"/>
        <w:rPr/>
      </w:pPr>
      <w:r>
        <w:rPr>
          <w:rFonts w:ascii="IRNazanin" w:hAnsi="IRNazanin" w:eastAsia="IRNazanin"/>
          <w:color w:val="111111"/>
          <w:sz w:val="28"/>
          <w:sz w:val="28"/>
          <w:szCs w:val="28"/>
          <w:rtl w:val="true"/>
          <w:lang w:bidi="fa-IR"/>
        </w:rPr>
        <w:t>بنی السید الیزدی فی العروة علی الجواز لاختیاره حرمة الوطی خاصة فی عدّة الشبهة لا سائر الاستمتاعات کما لو کانت مزوجة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وکلامه مدفوع لحرمة جمیع الاستمتاعات کما مرّ دلالة النصوص علیه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حکم الزواج غیر مرهون بحرمة الاستمتاعات بعد کونها حرمة موقتة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فمجرد حرمة جمیع الاستمتاعات لا یوجب بطلان العقد بعد کون الحرمة موقتة، بل الوجه فی منع صحة العقد هو أن مقتضی العدّة لزوم تربّص المرأة عن التزویج حتی تنقضی العدّة کما مرّ بیان ذلک فی الآیات</w:t>
      </w:r>
      <w:bookmarkStart w:id="271" w:name="pg13690_120569"/>
    </w:p>
    <w:p>
      <w:pPr>
        <w:pStyle w:val="BookText"/>
        <w:rPr/>
      </w:pPr>
      <w:bookmarkEnd w:id="271"/>
      <w:r>
        <w:rPr>
          <w:rFonts w:ascii="IRNazanin" w:hAnsi="IRNazanin" w:eastAsia="IRNazanin"/>
          <w:color w:val="111111"/>
          <w:sz w:val="28"/>
          <w:sz w:val="28"/>
          <w:szCs w:val="28"/>
          <w:rtl w:val="true"/>
          <w:lang w:bidi="fa-IR"/>
        </w:rPr>
        <w:t>والروایات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ینقض بالزوجة الموطوءة شبهة، حیث إن عدّة الشبهة حینئذ لا توجب إزالة التزویج والزوجیة عن الزوج؛ وذلک لوجود الفارق بین الصورتین، حیث إنه فی الصورة الثانیة فرض تقدّم العقد علی العدّة، فلا تمانع العدّة المتأخرة عن السبب السابق بعد کون اقتضاء العدّة المنع عن التزویج بنحو المقتضی لا التلازم العلّی، بخلاف ما إذا تأخر العقد عن العدّة، فإنها تؤثر فی الممانعة لسبقها زمناً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الحرمة فلو فرض تزویج المطلق لها فی عدّة الشبهة، فهل یوجب الحرمة الأبدیة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اختار السید الیزدی العدم لدعوی الانصراف، وأجیب بإطلاق الأدلة، لکن قد حررّ فی ذیل المسألة من سند العروة الوثقی کتاب النکاح، فصل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موضوع الأدلة هو العقد أو الوطی فی مورد المرأة المرتهنة بعصمة الغیر، کأن تکون زوجة للغیر أو ذات عدّة فیه، وهذا بخلاف المرأة التی بینها وبینه نحو عصمة کما لو کانت زوجة له ذات عدّة شبهة من غیره أو مطلقة منه، له علیها عدّة وهی ذات عدّة شبهة من غیره، وهذا النمط من الموارد یختلف نوعاً عن نوع الموارد الواردة فی أدلة التحریم الأبدی فلا یتعدّی عنها إلی ما نحن فیه</w:t>
      </w:r>
      <w:r>
        <w:rPr>
          <w:rFonts w:eastAsia="IRNazanin" w:cs="IRNazanin"/>
          <w:color w:val="111111"/>
          <w:sz w:val="28"/>
          <w:szCs w:val="28"/>
          <w:rtl w:val="true"/>
          <w:lang w:bidi="fa-IR"/>
        </w:rPr>
        <w:t>.</w:t>
      </w:r>
    </w:p>
    <w:p>
      <w:pPr>
        <w:pStyle w:val="Heading4"/>
        <w:numPr>
          <w:ilvl w:val="3"/>
          <w:numId w:val="1"/>
        </w:numPr>
        <w:rPr/>
      </w:pPr>
      <w:bookmarkStart w:id="272" w:name="__RefHeading___Toc907170_1468164448"/>
      <w:bookmarkStart w:id="273" w:name="_Toc104"/>
      <w:bookmarkEnd w:id="272"/>
      <w:r>
        <w:rPr>
          <w:rtl w:val="true"/>
        </w:rPr>
        <w:t>الأمر السابع</w:t>
      </w:r>
      <w:r>
        <w:rPr>
          <w:rtl w:val="true"/>
        </w:rPr>
        <w:t xml:space="preserve">: </w:t>
      </w:r>
      <w:r>
        <w:rPr>
          <w:rtl w:val="true"/>
        </w:rPr>
        <w:t>لو کانت العدتان لشخص واحد</w:t>
      </w:r>
      <w:r>
        <w:rPr>
          <w:rtl w:val="true"/>
        </w:rPr>
        <w:t>:</w:t>
      </w:r>
      <w:bookmarkEnd w:id="27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عدتان لشخص واحد کما لو طلقها بائناً، ثم وطأها شبهة أو طلقها رجعیاً، ثم توفی عنها، فالأظهر التداخل فی الصورة الأولی حتی لو</w:t>
      </w:r>
    </w:p>
    <w:p>
      <w:pPr>
        <w:pStyle w:val="BookText"/>
        <w:rPr/>
      </w:pPr>
      <w:r>
        <w:rPr>
          <w:rFonts w:ascii="IRNazanin" w:hAnsi="IRNazanin" w:eastAsia="IRNazanin"/>
          <w:color w:val="111111"/>
          <w:sz w:val="28"/>
          <w:sz w:val="28"/>
          <w:szCs w:val="28"/>
          <w:rtl w:val="true"/>
          <w:lang w:bidi="fa-IR"/>
        </w:rPr>
        <w:t>بنی علی عدم التداخل، فیما لو کانت العدّتان من شخصین؛ لخروج هذه الصورة عن مورد أدلة عدم التداخل، وهذا بخلاف الصورة الثانیة، فإن الصحیح هو عدم التداخل لما مرّ من أن عدّة الوفاة لا تتداخل مع عدّة أخری لوجوب الحداد علیها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ما مرّ من أن التداخل بمعنی التقارن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بمعنی التداخل‌الحقیقی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مفاد ومقتضی القاعدة وأدلة التداخل، وهناک صورة أخری وهی ما لو وطئت المرأة شبهة، ثم طلقها زوجها طلاقاً بائناً أو رجعیاً فعقد علیها الواطئ لها شبهة فی عدّة الشبهة المقارن لعدّة الطلاق</w:t>
      </w:r>
      <w:r>
        <w:rPr>
          <w:rFonts w:eastAsia="IRNazanin" w:cs="IRNazanin"/>
          <w:color w:val="111111"/>
          <w:sz w:val="28"/>
          <w:szCs w:val="28"/>
          <w:rtl w:val="true"/>
          <w:lang w:bidi="fa-IR"/>
        </w:rPr>
        <w:t>.</w:t>
      </w:r>
      <w:bookmarkStart w:id="274" w:name="pg13690_120572"/>
    </w:p>
    <w:p>
      <w:pPr>
        <w:pStyle w:val="Heading2"/>
        <w:numPr>
          <w:ilvl w:val="1"/>
          <w:numId w:val="1"/>
        </w:numPr>
        <w:rPr/>
      </w:pPr>
      <w:bookmarkStart w:id="275" w:name="__RefHeading___Toc907172_1468164448"/>
      <w:bookmarkStart w:id="276" w:name="_Toc105"/>
      <w:bookmarkEnd w:id="274"/>
      <w:bookmarkEnd w:id="275"/>
      <w:r>
        <w:rPr>
          <w:rtl w:val="true"/>
        </w:rPr>
        <w:t>قاعدة</w:t>
      </w:r>
      <w:r>
        <w:rPr>
          <w:rtl w:val="true"/>
        </w:rPr>
        <w:t>:</w:t>
      </w:r>
      <w:r>
        <w:rPr>
          <w:rtl w:val="true"/>
        </w:rPr>
        <w:t>عموم حرمة المس فی الأجنبیة</w:t>
      </w:r>
      <w:bookmarkEnd w:id="27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7" w:name="__RefHeading___Toc907174_1468164448"/>
      <w:bookmarkStart w:id="278" w:name="_Toc106"/>
      <w:bookmarkEnd w:id="277"/>
      <w:r>
        <w:rPr>
          <w:rtl w:val="true"/>
        </w:rPr>
        <w:t>اشارة</w:t>
      </w:r>
      <w:bookmarkStart w:id="279" w:name="pg13690_120574"/>
      <w:bookmarkEnd w:id="278"/>
    </w:p>
    <w:p>
      <w:pPr>
        <w:pStyle w:val="Heading3"/>
        <w:numPr>
          <w:ilvl w:val="2"/>
          <w:numId w:val="1"/>
        </w:numPr>
        <w:rPr/>
      </w:pPr>
      <w:bookmarkStart w:id="280" w:name="__RefHeading___Toc907176_1468164448"/>
      <w:bookmarkStart w:id="281" w:name="_Toc107"/>
      <w:bookmarkEnd w:id="279"/>
      <w:bookmarkEnd w:id="280"/>
      <w:r>
        <w:rPr>
          <w:rtl w:val="true"/>
        </w:rPr>
        <w:t>من قواعد باب النکاح</w:t>
      </w:r>
      <w:r>
        <w:rPr>
          <w:rtl w:val="true"/>
        </w:rPr>
        <w:t>:</w:t>
      </w:r>
      <w:r>
        <w:rPr>
          <w:rtl w:val="true"/>
        </w:rPr>
        <w:t>عموم حرمة اللمس فی الأجنبیة</w:t>
      </w:r>
      <w:bookmarkEnd w:id="281"/>
    </w:p>
    <w:p>
      <w:pPr>
        <w:pStyle w:val="Heading4"/>
        <w:numPr>
          <w:ilvl w:val="3"/>
          <w:numId w:val="1"/>
        </w:numPr>
        <w:rPr/>
      </w:pPr>
      <w:bookmarkStart w:id="282" w:name="__RefHeading___Toc907178_1468164448"/>
      <w:bookmarkStart w:id="283" w:name="_Toc108"/>
      <w:bookmarkEnd w:id="282"/>
      <w:r>
        <w:rPr>
          <w:rtl w:val="true"/>
        </w:rPr>
        <w:t>الأقوال فی القاعدة</w:t>
      </w:r>
      <w:r>
        <w:rPr>
          <w:rtl w:val="true"/>
        </w:rPr>
        <w:t>:</w:t>
      </w:r>
      <w:bookmarkEnd w:id="28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ملامسة الرجل المرأة الأجنبیة وبالعکس، ولو بنی علی جواز النظر إلی الوجه والکفین، فلا تلازم بین الجوازین</w:t>
      </w:r>
      <w:r>
        <w:rPr>
          <w:rStyle w:val="FootnoteAnchor"/>
          <w:rtl w:val="true"/>
        </w:rPr>
        <w:footnoteReference w:id="312"/>
      </w:r>
      <w:r>
        <w:rPr>
          <w:rFonts w:ascii="IRNazanin" w:hAnsi="IRNazanin" w:eastAsia="IRNazanin"/>
          <w:color w:val="111111"/>
          <w:sz w:val="28"/>
          <w:sz w:val="28"/>
          <w:szCs w:val="28"/>
          <w:rtl w:val="true"/>
          <w:lang w:bidi="fa-IR"/>
        </w:rPr>
        <w:t>، وحکایة الإجماع علیه بالاتفاق، بل الحال کذلک فی حرمة ملامسة ما حرم النظر الیه، کما فی مواضع بدن المحارم التی یجب سترها، وکذلک الحال فی مواضع جواز النظر إلی المحارم مع الریبة، ومن ثم لا یجوز مصافحة الأجنبیة، إلّا من وراء الثیاب</w:t>
      </w:r>
      <w:r>
        <w:rPr>
          <w:rStyle w:val="FootnoteAnchor"/>
          <w:rtl w:val="true"/>
        </w:rPr>
        <w:footnoteReference w:id="313"/>
      </w:r>
      <w:r>
        <w:rPr>
          <w:rFonts w:ascii="IRNazanin" w:hAnsi="IRNazanin" w:eastAsia="IRNazanin"/>
          <w:color w:val="111111"/>
          <w:sz w:val="28"/>
          <w:sz w:val="28"/>
          <w:szCs w:val="28"/>
          <w:rtl w:val="true"/>
          <w:lang w:bidi="fa-IR"/>
        </w:rPr>
        <w:t>، وقیدها بعضهم بعدم الغمز</w:t>
      </w:r>
      <w:r>
        <w:rPr>
          <w:rStyle w:val="FootnoteAnchor"/>
          <w:rtl w:val="true"/>
        </w:rPr>
        <w:footnoteReference w:id="314"/>
      </w:r>
      <w:r>
        <w:rPr>
          <w:rFonts w:ascii="IRNazanin" w:hAnsi="IRNazanin" w:eastAsia="IRNazanin"/>
          <w:color w:val="111111"/>
          <w:sz w:val="28"/>
          <w:sz w:val="28"/>
          <w:szCs w:val="28"/>
          <w:rtl w:val="true"/>
          <w:lang w:bidi="fa-IR"/>
        </w:rPr>
        <w:t>وعدم الریبة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bookmarkStart w:id="284" w:name="pg13690_120575"/>
    </w:p>
    <w:p>
      <w:pPr>
        <w:pStyle w:val="Heading4"/>
        <w:numPr>
          <w:ilvl w:val="3"/>
          <w:numId w:val="1"/>
        </w:numPr>
        <w:rPr/>
      </w:pPr>
      <w:bookmarkStart w:id="285" w:name="__RefHeading___Toc907180_1468164448"/>
      <w:bookmarkStart w:id="286" w:name="_Toc109"/>
      <w:bookmarkEnd w:id="284"/>
      <w:bookmarkEnd w:id="285"/>
      <w:r>
        <w:rPr>
          <w:rtl w:val="true"/>
        </w:rPr>
        <w:t>أدلة القاعدة</w:t>
      </w:r>
      <w:r>
        <w:rPr>
          <w:rtl w:val="true"/>
        </w:rPr>
        <w:t>:</w:t>
      </w:r>
      <w:bookmarkEnd w:id="286"/>
    </w:p>
    <w:p>
      <w:pPr>
        <w:pStyle w:val="Heading5"/>
        <w:numPr>
          <w:ilvl w:val="4"/>
          <w:numId w:val="1"/>
        </w:numPr>
        <w:rPr/>
      </w:pPr>
      <w:bookmarkStart w:id="287" w:name="__RefHeading___Toc907182_1468164448"/>
      <w:bookmarkStart w:id="288" w:name="_Toc110"/>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ویدل علی عموم حرمة المس فی الأجنبیة عدة ادلة</w:t>
      </w:r>
      <w:r>
        <w:rPr>
          <w:rFonts w:eastAsia="IRNazanin" w:cs="IRNazanin"/>
          <w:color w:val="111111"/>
          <w:sz w:val="28"/>
          <w:szCs w:val="28"/>
          <w:rtl w:val="true"/>
          <w:lang w:bidi="fa-IR"/>
        </w:rPr>
        <w:t>:</w:t>
      </w:r>
    </w:p>
    <w:p>
      <w:pPr>
        <w:pStyle w:val="Heading5"/>
        <w:numPr>
          <w:ilvl w:val="4"/>
          <w:numId w:val="1"/>
        </w:numPr>
        <w:rPr/>
      </w:pPr>
      <w:bookmarkStart w:id="289" w:name="__RefHeading___Toc907184_1468164448"/>
      <w:bookmarkStart w:id="290" w:name="_Toc111"/>
      <w:bookmarkEnd w:id="289"/>
      <w:r>
        <w:rPr>
          <w:rtl w:val="true"/>
        </w:rPr>
        <w:t>الدلیل الأوّل</w:t>
      </w:r>
      <w:r>
        <w:rPr>
          <w:rtl w:val="true"/>
        </w:rPr>
        <w:t xml:space="preserve">: </w:t>
      </w:r>
      <w:r>
        <w:rPr>
          <w:rtl w:val="true"/>
        </w:rPr>
        <w:t>اقتضاء أدلة حرمة النظر</w:t>
      </w:r>
      <w:r>
        <w:rPr>
          <w:rtl w:val="true"/>
        </w:rPr>
        <w:t>:</w:t>
      </w:r>
      <w:bookmarkEnd w:id="290"/>
    </w:p>
    <w:p>
      <w:pPr>
        <w:pStyle w:val="BookText"/>
        <w:rPr/>
      </w:pPr>
      <w:r>
        <w:rPr>
          <w:rFonts w:ascii="IRNazanin" w:hAnsi="IRNazanin" w:eastAsia="IRNazanin"/>
          <w:color w:val="111111"/>
          <w:sz w:val="28"/>
          <w:sz w:val="28"/>
          <w:szCs w:val="28"/>
          <w:rtl w:val="true"/>
          <w:lang w:bidi="fa-IR"/>
        </w:rPr>
        <w:t>إن الحکم المذکور مقتضی أدلة حرمة النظر، فإن الأقوی، کما ذکر فی قاعدة النظر أن حرمة النظر إلی الوجه والکفین حرمة حکمیة وان لم یحرم النظر بالحرمة الحقیة، أی ان النظر المستدیم أو بتحدیق وملأ العین یحرم حتی للوجه والکفین، وان لم تحرم النظرة الأولی العفویة، وکذلک فی المتکشفة المتبذلة مسلمة کانت أو کافرة، کما قلنا فی قاعدة، وإذا حرم النظر فیحرم اللمس بالأولویة القطعیة؛ لأن النظر أخف ارتباطاً بین الجنسین، فیحرم ما هو أشد منه وهو اللمس، بخلاف العکس، فإن حرمة اللمس لا تلازم حرمة النظر، هذا کله بحسب الطبیعة الأولیة لا بحسب العناوین الثانویة والاضطراریة، وکذلک الحال إذا جاز اللمس جاز النظر بحسب الطبع الأولی، لا فیما إذا کان جواز اللمس بعنوان اضطراری کالمعالجة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صحة عبارة السید الیزدی فی العروة</w:t>
      </w:r>
      <w:r>
        <w:rPr>
          <w:rStyle w:val="FootnoteAnchor"/>
          <w:rtl w:val="true"/>
        </w:rPr>
        <w:footnoteReference w:id="316"/>
      </w:r>
      <w:r>
        <w:rPr>
          <w:rFonts w:ascii="IRNazanin" w:hAnsi="IRNazanin" w:eastAsia="IRNazanin"/>
          <w:color w:val="111111"/>
          <w:sz w:val="28"/>
          <w:sz w:val="28"/>
          <w:szCs w:val="28"/>
          <w:rtl w:val="true"/>
          <w:lang w:bidi="fa-IR"/>
        </w:rPr>
        <w:t>وغیره من الأعلام، من انه إذا اضطرت الأجنبیة فی المعالجة للمس الطبیب، فیقتصر علیه دون ترکیز النظر مع عدم الحاجة إلیه</w:t>
      </w:r>
      <w:r>
        <w:rPr>
          <w:rFonts w:eastAsia="IRNazanin" w:cs="IRNazanin"/>
          <w:color w:val="111111"/>
          <w:sz w:val="28"/>
          <w:szCs w:val="28"/>
          <w:rtl w:val="true"/>
          <w:lang w:bidi="fa-IR"/>
        </w:rPr>
        <w:t>.</w:t>
      </w:r>
      <w:bookmarkStart w:id="291" w:name="pg13690_120576"/>
    </w:p>
    <w:p>
      <w:pPr>
        <w:pStyle w:val="Heading5"/>
        <w:numPr>
          <w:ilvl w:val="4"/>
          <w:numId w:val="1"/>
        </w:numPr>
        <w:rPr/>
      </w:pPr>
      <w:bookmarkStart w:id="292" w:name="__RefHeading___Toc907186_1468164448"/>
      <w:bookmarkStart w:id="293" w:name="_Toc112"/>
      <w:bookmarkEnd w:id="291"/>
      <w:bookmarkEnd w:id="292"/>
      <w:r>
        <w:rPr>
          <w:rtl w:val="true"/>
        </w:rPr>
        <w:t>الدلیل الثانی</w:t>
      </w:r>
      <w:r>
        <w:rPr>
          <w:rtl w:val="true"/>
        </w:rPr>
        <w:t xml:space="preserve">: </w:t>
      </w:r>
      <w:r>
        <w:rPr>
          <w:rtl w:val="true"/>
        </w:rPr>
        <w:t>روایات مصافحة الأجنبیة</w:t>
      </w:r>
      <w:r>
        <w:rPr>
          <w:rtl w:val="true"/>
        </w:rPr>
        <w:t>:</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الحسین بن زید عن جعفر بن محمد عن آبائه فی حدیث المناهی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صافح امرأة تحرم علیه فقد باء بسخط من الله عز وجل، ومن التزم امرأة حراماً قرن فی سلسلة من نار مع شیطان فیقذفان فی النار</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مرسل أبی کهمس مهزم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بالمدینة وکانت جاریة صاحب الدار تعجبنی وانی أتیت الباب فاستفتحت الجاریة، فغمزت ثدیها، فلما کان الغد دخلت علی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أقصی أثرک؟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برحت بالمسجد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تعلم ان أمرنا هذا لا یتم إلّا بالورع</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الروایات الواردة فی مصافحة الأجنبیة، کصحیحة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هل یصافح الرجل المرأة لیست بذات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وراء الثوب</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مصافحة الرجل المرأة؟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للرجل أن یصافح المرأة إلّا امرأة یحرم علیه أن یتزوجها أخت أو بنت أو عمة أو خالة أو بنت اخت أو نحوها واما المرأة التی یحل له أن یتزوجها فلا یصافحها إلّا ما وراء الثوب ولا یغمز کفها</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وهی تدلّ علی جواز مصافحة عموم المحرم نسبی أو سببی، والتمثیل فیها</w:t>
      </w:r>
    </w:p>
    <w:p>
      <w:pPr>
        <w:pStyle w:val="BookText"/>
        <w:rPr/>
      </w:pPr>
      <w:r>
        <w:rPr>
          <w:rFonts w:ascii="IRNazanin" w:hAnsi="IRNazanin" w:eastAsia="IRNazanin"/>
          <w:color w:val="111111"/>
          <w:sz w:val="28"/>
          <w:sz w:val="28"/>
          <w:szCs w:val="28"/>
          <w:rtl w:val="true"/>
          <w:lang w:bidi="fa-IR"/>
        </w:rPr>
        <w:t>وان أوهم خصوص السببی إلّا أن المقابلة قرینة علی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عموم المحرم لما حرمت بالسبب المحرم، کاللواط والزنا إشکال، بل لا یبعد فی عرف المتشرعة نفی عنوان المحرمیة عن مثل هذه‌الموارد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روایة المفضل بن عمر أنَّه صلی الله علیه و آله کانت بیعته لهن بغمس یدیه فی الماء</w:t>
      </w:r>
      <w:r>
        <w:rPr>
          <w:rStyle w:val="FootnoteAnchor"/>
          <w:rtl w:val="true"/>
        </w:rPr>
        <w:footnoteReference w:id="321"/>
      </w:r>
      <w:r>
        <w:rPr>
          <w:rFonts w:ascii="IRNazanin" w:hAnsi="IRNazanin" w:eastAsia="IRNazanin"/>
          <w:color w:val="111111"/>
          <w:sz w:val="28"/>
          <w:sz w:val="28"/>
          <w:szCs w:val="28"/>
          <w:rtl w:val="true"/>
          <w:lang w:bidi="fa-IR"/>
        </w:rPr>
        <w:t>، ومثلها روایة سعدان بن مسلم</w:t>
      </w:r>
      <w:r>
        <w:rPr>
          <w:rStyle w:val="FootnoteAnchor"/>
          <w:rtl w:val="true"/>
        </w:rPr>
        <w:footnoteReference w:id="322"/>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فی روایة الحکم بن مسکین الأمر بمصافحة الأخت أخاها من وراء الثوب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روایة الصدوق فی عقاب الأعمال باسناد متصل إلی عبد الله بن عباس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صافح امرأة حراماً جاء یوم القیامة مغلولًا ثم یؤمر به إلی النار</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الروایات الواردة فی تغسیل المیت</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لا یجوز أن یغسل الرجل ولا المرأة الآخر الأجنبیان</w:t>
      </w:r>
      <w:r>
        <w:rPr>
          <w:rStyle w:val="FootnoteAnchor"/>
          <w:rtl w:val="true"/>
        </w:rPr>
        <w:footnoteReference w:id="325"/>
      </w:r>
      <w:r>
        <w:rPr>
          <w:rFonts w:ascii="IRNazanin" w:hAnsi="IRNazanin" w:eastAsia="IRNazanin"/>
          <w:color w:val="111111"/>
          <w:sz w:val="28"/>
          <w:sz w:val="28"/>
          <w:szCs w:val="28"/>
          <w:rtl w:val="true"/>
          <w:lang w:bidi="fa-IR"/>
        </w:rPr>
        <w:t>، بل فی هذه الروایات</w:t>
      </w:r>
      <w:r>
        <w:rPr>
          <w:rStyle w:val="FootnoteAnchor"/>
          <w:rtl w:val="true"/>
        </w:rPr>
        <w:footnoteReference w:id="326"/>
      </w:r>
      <w:r>
        <w:rPr>
          <w:rFonts w:ascii="IRNazanin" w:hAnsi="IRNazanin" w:eastAsia="IRNazanin"/>
          <w:color w:val="111111"/>
          <w:sz w:val="28"/>
          <w:sz w:val="28"/>
          <w:szCs w:val="28"/>
          <w:rtl w:val="true"/>
          <w:lang w:bidi="fa-IR"/>
        </w:rPr>
        <w:t>عدم جواز تغسیل المحرم أیضاً إلّا عند فقد المماثل بنحو صب الماء من دون خلع</w:t>
      </w:r>
    </w:p>
    <w:p>
      <w:pPr>
        <w:pStyle w:val="BookText"/>
        <w:rPr/>
      </w:pPr>
      <w:r>
        <w:rPr>
          <w:rFonts w:ascii="IRNazanin" w:hAnsi="IRNazanin" w:eastAsia="IRNazanin"/>
          <w:color w:val="111111"/>
          <w:sz w:val="28"/>
          <w:sz w:val="28"/>
          <w:szCs w:val="28"/>
          <w:rtl w:val="true"/>
          <w:lang w:bidi="fa-IR"/>
        </w:rPr>
        <w:t>الثیاب، وفی بعضها</w:t>
      </w:r>
      <w:r>
        <w:rPr>
          <w:rStyle w:val="FootnoteAnchor"/>
          <w:rtl w:val="true"/>
        </w:rPr>
        <w:footnoteReference w:id="327"/>
      </w:r>
      <w:r>
        <w:rPr>
          <w:rFonts w:ascii="IRNazanin" w:hAnsi="IRNazanin" w:eastAsia="IRNazanin"/>
          <w:color w:val="111111"/>
          <w:sz w:val="28"/>
          <w:sz w:val="28"/>
          <w:szCs w:val="28"/>
          <w:rtl w:val="true"/>
          <w:lang w:bidi="fa-IR"/>
        </w:rPr>
        <w:t>من غیر أن ینظر إلی عورتها، وفی</w:t>
      </w:r>
      <w:r>
        <w:rPr>
          <w:rStyle w:val="FootnoteAnchor"/>
          <w:rtl w:val="true"/>
        </w:rPr>
        <w:footnoteReference w:id="328"/>
      </w:r>
      <w:r>
        <w:rPr>
          <w:rFonts w:ascii="IRNazanin" w:hAnsi="IRNazanin" w:eastAsia="IRNazanin"/>
          <w:color w:val="111111"/>
          <w:sz w:val="28"/>
          <w:sz w:val="28"/>
          <w:szCs w:val="28"/>
          <w:rtl w:val="true"/>
          <w:lang w:bidi="fa-IR"/>
        </w:rPr>
        <w:t>بعضها یلف علی الید خرقة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 بعضها</w:t>
      </w:r>
      <w:r>
        <w:rPr>
          <w:rStyle w:val="FootnoteAnchor"/>
          <w:rtl w:val="true"/>
        </w:rPr>
        <w:footnoteReference w:id="329"/>
      </w:r>
      <w:r>
        <w:rPr>
          <w:rFonts w:ascii="IRNazanin" w:hAnsi="IRNazanin" w:eastAsia="IRNazanin"/>
          <w:color w:val="111111"/>
          <w:sz w:val="28"/>
          <w:sz w:val="28"/>
          <w:szCs w:val="28"/>
          <w:rtl w:val="true"/>
          <w:lang w:bidi="fa-IR"/>
        </w:rPr>
        <w:t>أن المیت إذا کان امرأة تیمم مع عدم وجود المحرم ولا المماثل، وفی بعضها</w:t>
      </w:r>
      <w:r>
        <w:rPr>
          <w:rStyle w:val="FootnoteAnchor"/>
          <w:rtl w:val="true"/>
        </w:rPr>
        <w:footnoteReference w:id="330"/>
      </w:r>
      <w:r>
        <w:rPr>
          <w:rFonts w:ascii="IRNazanin" w:hAnsi="IRNazanin" w:eastAsia="IRNazanin"/>
          <w:color w:val="111111"/>
          <w:sz w:val="28"/>
          <w:sz w:val="28"/>
          <w:szCs w:val="28"/>
          <w:rtl w:val="true"/>
          <w:lang w:bidi="fa-IR"/>
        </w:rPr>
        <w:t>تغسل کفیها، وفی بعضها</w:t>
      </w:r>
      <w:r>
        <w:rPr>
          <w:rStyle w:val="FootnoteAnchor"/>
          <w:rtl w:val="true"/>
        </w:rPr>
        <w:footnoteReference w:id="331"/>
      </w:r>
      <w:r>
        <w:rPr>
          <w:rFonts w:ascii="IRNazanin" w:hAnsi="IRNazanin" w:eastAsia="IRNazanin"/>
          <w:color w:val="111111"/>
          <w:sz w:val="28"/>
          <w:sz w:val="28"/>
          <w:szCs w:val="28"/>
          <w:rtl w:val="true"/>
          <w:lang w:bidi="fa-IR"/>
        </w:rPr>
        <w:t>جواز التغسیل من وراء ثوب کثیف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فغیر المحرم لا یسوغ له مسّ الآخر ولو کان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هذه الروایات یستفاد منها حرمة المس ولو من وراء الثیاب ولو لبعض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لا یخفی أن هذا الحکم یعم بحسب الأدلة لمس المسلم للکافرة أو للمسملة للکافر، بل یعم غیرهم أیضاً، کما ذکرنا فی قاعدة النظر، أن عموم الحکم فی الحجاب بین الجنسین حکمی ولیس حقیاً راجعاً إلی طهارة المکلف نفسه، وان لم تکن للآخر حرمة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موثّق غیاث بن إبراهیم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العراق نبئت أن نساءکم یدافعن الرجال فی الطریق</w:t>
      </w:r>
      <w:bookmarkStart w:id="294" w:name="pg13690_120579"/>
    </w:p>
    <w:p>
      <w:pPr>
        <w:pStyle w:val="BookText"/>
        <w:rPr/>
      </w:pPr>
      <w:bookmarkEnd w:id="294"/>
      <w:r>
        <w:rPr>
          <w:rFonts w:ascii="IRNazanin" w:hAnsi="IRNazanin" w:eastAsia="IRNazanin"/>
          <w:color w:val="111111"/>
          <w:sz w:val="28"/>
          <w:sz w:val="28"/>
          <w:szCs w:val="28"/>
          <w:rtl w:val="true"/>
          <w:lang w:bidi="fa-IR"/>
        </w:rPr>
        <w:t>أما تستحون</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طریق البرقی زاد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لا یغار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علی بن الریان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یکون مع المرأة لا یباشرها إلّا من وراء ثیابها وثیابه، فیتحرک حتی ینزل ما الذی علیه؟ وهل یبلغ به حد الخضخضة؟ فوقع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بالغ أمره</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907188_1468164448"/>
      <w:bookmarkStart w:id="296" w:name="_Toc113"/>
      <w:bookmarkEnd w:id="295"/>
      <w:r>
        <w:rPr>
          <w:rtl w:val="true"/>
        </w:rPr>
        <w:t>الدلیل الثالث</w:t>
      </w:r>
      <w:r>
        <w:rPr>
          <w:rtl w:val="true"/>
        </w:rPr>
        <w:t xml:space="preserve">: </w:t>
      </w:r>
      <w:r>
        <w:rPr>
          <w:rtl w:val="true"/>
        </w:rPr>
        <w:t>روایات مباشرة الرجل للرجل من دون ثیاب</w:t>
      </w:r>
      <w:r>
        <w:rPr>
          <w:rtl w:val="true"/>
        </w:rPr>
        <w:t>:</w:t>
      </w:r>
      <w:bookmarkEnd w:id="296"/>
    </w:p>
    <w:p>
      <w:pPr>
        <w:pStyle w:val="BookText"/>
        <w:rPr/>
      </w:pPr>
      <w:r>
        <w:rPr>
          <w:rFonts w:ascii="IRNazanin" w:hAnsi="IRNazanin" w:eastAsia="IRNazanin"/>
          <w:color w:val="111111"/>
          <w:sz w:val="28"/>
          <w:sz w:val="28"/>
          <w:szCs w:val="28"/>
          <w:rtl w:val="true"/>
          <w:lang w:bidi="fa-IR"/>
        </w:rPr>
        <w:t>جملة من الروایات فی عدم مباشرة الرجل الرجل من دون ثیاب وعدم مباشرة المرأة المرأة من دون ثیاب، والتی مضی بعضها تحت عنوان النوم تحت لحاف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روایة الصدوق فی عقاب الأعمال باسناده المتصل إلی عبد الله بن عباس عن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والمرأة إذا طاوعت الرجل فالتزمها أو قبلها أو باشرها حراماً أو فاکهها وأصاب منها فاحشة فعلیها من الوزر ما علی الرجل</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الصحیح إلی ابن أبی نجران عمن ذکره والصحیح إلی یزید بن حماد وغیره عن أبی جمیلة عن أبی جعفر وأبی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أحد إلّا وهو یصیب حظاً من الزنا فزنا العینین النظر وزنا الفم القبلة وزنا</w:t>
      </w:r>
      <w:bookmarkStart w:id="297" w:name="pg13690_120580"/>
    </w:p>
    <w:p>
      <w:pPr>
        <w:pStyle w:val="BookText"/>
        <w:rPr/>
      </w:pPr>
      <w:bookmarkEnd w:id="297"/>
      <w:r>
        <w:rPr>
          <w:rFonts w:ascii="IRNazanin" w:hAnsi="IRNazanin" w:eastAsia="IRNazanin"/>
          <w:color w:val="111111"/>
          <w:sz w:val="28"/>
          <w:sz w:val="28"/>
          <w:szCs w:val="28"/>
          <w:rtl w:val="true"/>
          <w:lang w:bidi="fa-IR"/>
        </w:rPr>
        <w:t>الیدین اللمس، صدق الفرج ذلک أم کذب</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إنه قد یظهر من جملة من الروایات شدة التوقی من مباشرة الرجل الرجل أو المرأة المرأة من دون ثیاب، کما فی مرسلة الطبرسی فی مکارم الأخلاق</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ومعتبرة غیاث بن إبراهیم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عبد الله بن فضل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عن المکاعمة والمکامعة، فالمکاعمة أن یلثم الرجل الرجل والمکامعة أن یضاجعه ولا یکون بینهما ثوب من غیر ضرورة</w:t>
      </w:r>
      <w:r>
        <w:rPr>
          <w:rFonts w:eastAsia="IRNazanin" w:cs="IRNazanin"/>
          <w:color w:val="111111"/>
          <w:sz w:val="28"/>
          <w:szCs w:val="28"/>
          <w:rtl w:val="true"/>
          <w:lang w:bidi="fa-IR"/>
        </w:rPr>
        <w:t>»</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یسوغ اللمس المحضور فی موارد الاضطرار کالولادة للقابلة أو المعالجة من المماثل أو غیره، نعم مع إمکان رفع الحاجة بالمماثل لا تصل النوبة إلی غیره لشدة الحرمة والمفسدة فی غیر المماثل، ویفیده صحیح 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علی بن جعفر</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907190_1468164448"/>
      <w:bookmarkStart w:id="299" w:name="_Toc114"/>
      <w:bookmarkEnd w:id="298"/>
      <w:r>
        <w:rPr>
          <w:rtl w:val="true"/>
        </w:rPr>
        <w:t>الدلیل الرابع</w:t>
      </w:r>
      <w:r>
        <w:rPr>
          <w:rtl w:val="true"/>
        </w:rPr>
        <w:t xml:space="preserve">: </w:t>
      </w:r>
      <w:r>
        <w:rPr>
          <w:rtl w:val="true"/>
        </w:rPr>
        <w:t>روایات حرمة تقبیل الصبی الممیز</w:t>
      </w:r>
      <w:r>
        <w:rPr>
          <w:rtl w:val="true"/>
        </w:rPr>
        <w:t>:</w:t>
      </w:r>
      <w:bookmarkEnd w:id="29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تقدّم من الروایات الواردة فی أحکام الصبی تقبیلًا والتزاماً</w:t>
      </w:r>
    </w:p>
    <w:p>
      <w:pPr>
        <w:pStyle w:val="BookText"/>
        <w:rPr/>
      </w:pPr>
      <w:r>
        <w:rPr>
          <w:rFonts w:ascii="IRNazanin" w:hAnsi="IRNazanin" w:eastAsia="IRNazanin"/>
          <w:color w:val="111111"/>
          <w:sz w:val="28"/>
          <w:sz w:val="28"/>
          <w:szCs w:val="28"/>
          <w:rtl w:val="true"/>
          <w:lang w:bidi="fa-IR"/>
        </w:rPr>
        <w:t>والوضع فی الحجر، وقد قید فی جملة منها الجواز إلی ست سنین</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مباشرة الرجل للبنت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ویستفاد من هذه الطائفة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التقبیل ونحوها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حکم اللمس للصبیین الممیزین الحرمة أیضاً بالنسبة إلی البالغین، وکذلک التزام ومباشرة واحتضان الصبیین الممیزین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موثّقة السکونی</w:t>
      </w:r>
      <w:r>
        <w:rPr>
          <w:rStyle w:val="FootnoteAnchor"/>
          <w:rtl w:val="true"/>
        </w:rPr>
        <w:footnoteReference w:id="343"/>
      </w:r>
      <w:r>
        <w:rPr>
          <w:rFonts w:ascii="IRNazanin" w:hAnsi="IRNazanin" w:eastAsia="IRNazanin"/>
          <w:color w:val="111111"/>
          <w:sz w:val="28"/>
          <w:sz w:val="28"/>
          <w:szCs w:val="28"/>
          <w:rtl w:val="true"/>
          <w:lang w:bidi="fa-IR"/>
        </w:rPr>
        <w:t>المنع عن حجامة الصبی الممیز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جملة ما فی الروایات من موارد وصور قد یحمل علی بیان موارد الریبة 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یدعم الجواز فی الصبی الممیز ما یستظهر من الروایات الواردة فی وضع الجاریة فی الحجر وضمها، حیث یظهر منها جواز النظر، کما أشار إلیه غیر واحد من الأصحاب، مضافاً إلی ما یظهر من هذه الروایات من ارتکاز مفروغیة الجواز بالنسبة إلی عن النظر، أما السؤال فقد وقع عن ما هو أشد کالتقبیل أو الضم أو الوضع فی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قاعدة حرمة اللمس</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300" w:name="pg13690_120582"/>
    </w:p>
    <w:p>
      <w:pPr>
        <w:pStyle w:val="Heading2"/>
        <w:numPr>
          <w:ilvl w:val="1"/>
          <w:numId w:val="1"/>
        </w:numPr>
        <w:rPr/>
      </w:pPr>
      <w:bookmarkStart w:id="301" w:name="__RefHeading___Toc907192_1468164448"/>
      <w:bookmarkStart w:id="302" w:name="_Toc115"/>
      <w:bookmarkEnd w:id="300"/>
      <w:bookmarkEnd w:id="301"/>
      <w:r>
        <w:rPr>
          <w:rtl w:val="true"/>
        </w:rPr>
        <w:t>قاعدة</w:t>
      </w:r>
      <w:r>
        <w:rPr>
          <w:rtl w:val="true"/>
        </w:rPr>
        <w:t>:</w:t>
      </w:r>
      <w:r>
        <w:rPr>
          <w:rtl w:val="true"/>
        </w:rPr>
        <w:t>فی التبرج بالزینة</w:t>
      </w:r>
      <w:bookmarkEnd w:id="30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3" w:name="__RefHeading___Toc907194_1468164448"/>
      <w:bookmarkStart w:id="304" w:name="_Toc116"/>
      <w:bookmarkEnd w:id="303"/>
      <w:r>
        <w:rPr>
          <w:rtl w:val="true"/>
        </w:rPr>
        <w:t>اشارة</w:t>
      </w:r>
      <w:bookmarkStart w:id="305" w:name="pg13690_120584"/>
      <w:bookmarkEnd w:id="304"/>
    </w:p>
    <w:p>
      <w:pPr>
        <w:pStyle w:val="Heading3"/>
        <w:numPr>
          <w:ilvl w:val="2"/>
          <w:numId w:val="1"/>
        </w:numPr>
        <w:rPr/>
      </w:pPr>
      <w:bookmarkStart w:id="306" w:name="__RefHeading___Toc907196_1468164448"/>
      <w:bookmarkStart w:id="307" w:name="_Toc117"/>
      <w:bookmarkEnd w:id="305"/>
      <w:bookmarkEnd w:id="306"/>
      <w:r>
        <w:rPr>
          <w:rtl w:val="true"/>
        </w:rPr>
        <w:t>من قواعد باب النکاح</w:t>
      </w:r>
      <w:r>
        <w:rPr>
          <w:rtl w:val="true"/>
        </w:rPr>
        <w:t>:</w:t>
      </w:r>
      <w:r>
        <w:rPr>
          <w:rtl w:val="true"/>
        </w:rPr>
        <w:t>فی التبرج بالزینة</w:t>
      </w:r>
      <w:bookmarkEnd w:id="307"/>
    </w:p>
    <w:p>
      <w:pPr>
        <w:pStyle w:val="Heading4"/>
        <w:numPr>
          <w:ilvl w:val="3"/>
          <w:numId w:val="1"/>
        </w:numPr>
        <w:rPr/>
      </w:pPr>
      <w:bookmarkStart w:id="308" w:name="__RefHeading___Toc907198_1468164448"/>
      <w:bookmarkStart w:id="309" w:name="_Toc118"/>
      <w:bookmarkEnd w:id="308"/>
      <w:r>
        <w:rPr>
          <w:rtl w:val="true"/>
        </w:rPr>
        <w:t>اشارة</w:t>
      </w:r>
      <w:bookmarkEnd w:id="309"/>
    </w:p>
    <w:p>
      <w:pPr>
        <w:pStyle w:val="BookText"/>
        <w:rPr/>
      </w:pPr>
      <w:r>
        <w:rPr>
          <w:rFonts w:ascii="IRNazanin" w:hAnsi="IRNazanin" w:eastAsia="IRNazanin"/>
          <w:color w:val="111111"/>
          <w:sz w:val="28"/>
          <w:sz w:val="28"/>
          <w:szCs w:val="28"/>
          <w:rtl w:val="true"/>
          <w:lang w:bidi="fa-IR"/>
        </w:rPr>
        <w:t>البحث فی هذه القاعدة فی عدة نقاط</w:t>
      </w:r>
      <w:r>
        <w:rPr>
          <w:rFonts w:eastAsia="IRNazanin" w:cs="IRNazanin"/>
          <w:color w:val="111111"/>
          <w:sz w:val="28"/>
          <w:szCs w:val="28"/>
          <w:rtl w:val="true"/>
          <w:lang w:bidi="fa-IR"/>
        </w:rPr>
        <w:t>:</w:t>
      </w:r>
    </w:p>
    <w:p>
      <w:pPr>
        <w:pStyle w:val="Heading4"/>
        <w:numPr>
          <w:ilvl w:val="3"/>
          <w:numId w:val="1"/>
        </w:numPr>
        <w:rPr/>
      </w:pPr>
      <w:bookmarkStart w:id="310" w:name="__RefHeading___Toc907200_1468164448"/>
      <w:bookmarkStart w:id="311" w:name="_Toc119"/>
      <w:bookmarkEnd w:id="310"/>
      <w:r>
        <w:rPr>
          <w:rtl w:val="true"/>
        </w:rPr>
        <w:t>النقطة الاولی</w:t>
      </w:r>
      <w:r>
        <w:rPr>
          <w:rtl w:val="true"/>
        </w:rPr>
        <w:t xml:space="preserve">: </w:t>
      </w:r>
      <w:r>
        <w:rPr>
          <w:rtl w:val="true"/>
        </w:rPr>
        <w:t>الأقوال فی المسألة</w:t>
      </w:r>
      <w:r>
        <w:rPr>
          <w:rtl w:val="true"/>
        </w:rPr>
        <w:t>:</w:t>
      </w:r>
      <w:bookmarkEnd w:id="311"/>
    </w:p>
    <w:p>
      <w:pPr>
        <w:pStyle w:val="BookText"/>
        <w:rPr/>
      </w:pPr>
      <w:r>
        <w:rPr>
          <w:rFonts w:ascii="IRNazanin" w:hAnsi="IRNazanin" w:eastAsia="IRNazanin"/>
          <w:color w:val="111111"/>
          <w:sz w:val="28"/>
          <w:sz w:val="28"/>
          <w:szCs w:val="28"/>
          <w:rtl w:val="true"/>
          <w:lang w:bidi="fa-IR"/>
        </w:rPr>
        <w:t>قال الشیخ المفید فی رسالته أحکام النساء</w:t>
      </w:r>
      <w:r>
        <w:rPr>
          <w:rStyle w:val="FootnoteAnchor"/>
          <w:rtl w:val="true"/>
        </w:rPr>
        <w:footnoteReference w:id="3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یحل لها أن تصل شعرها بشعر غیرها من الناس، ولا یجوز لها وشم وجهها، وهو أن تنقب فی خدها من وجهها بأبرة وتجعل فیه الکحل لیکون کالخال المخلوق فی وجوه الناس، ولا یحل لها التصنع إلّا لبعلها ولا یحل ذلک لغیره من النساء والرجال علی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یحل لهن الاجتماع فی العرسات والتبذل فی الزینة والحلی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المحکی عن کشف الغطاء</w:t>
      </w:r>
      <w:r>
        <w:rPr>
          <w:rStyle w:val="FootnoteAnchor"/>
          <w:rtl w:val="true"/>
        </w:rPr>
        <w:footnoteReference w:id="3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والزینة المتعلقة بما لا یجب ستره</w:t>
      </w:r>
      <w:bookmarkStart w:id="312" w:name="pg13690_120585"/>
    </w:p>
    <w:p>
      <w:pPr>
        <w:pStyle w:val="BookText"/>
        <w:rPr/>
      </w:pPr>
      <w:bookmarkEnd w:id="312"/>
      <w:r>
        <w:rPr>
          <w:rFonts w:ascii="IRNazanin" w:hAnsi="IRNazanin" w:eastAsia="IRNazanin"/>
          <w:color w:val="111111"/>
          <w:sz w:val="28"/>
          <w:sz w:val="28"/>
          <w:szCs w:val="28"/>
          <w:rtl w:val="true"/>
          <w:lang w:bidi="fa-IR"/>
        </w:rPr>
        <w:t>فی النظر علی الأصح، والصلاة من خضاب أو کحل أو حمرة أو سواد أو حلی أو شعر خارج وصل بشعرها، ولو کان من شعر الرجال وقرامل من صوف ونحو یجب ستره عن الناظر دون الصلاة 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وحکی الأردبیلی</w:t>
      </w:r>
      <w:r>
        <w:rPr>
          <w:rStyle w:val="FootnoteAnchor"/>
          <w:rtl w:val="true"/>
        </w:rPr>
        <w:footnoteReference w:id="346"/>
      </w:r>
      <w:r>
        <w:rPr>
          <w:rFonts w:ascii="IRNazanin" w:hAnsi="IRNazanin" w:eastAsia="IRNazanin"/>
          <w:color w:val="111111"/>
          <w:sz w:val="28"/>
          <w:sz w:val="28"/>
          <w:szCs w:val="28"/>
          <w:rtl w:val="true"/>
          <w:lang w:bidi="fa-IR"/>
        </w:rPr>
        <w:t>فی زبدة البیان عن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الزینة ما تزینت به المرأة فما حلی أو کحل أو خضاب، من کان ظاهراً منها کالخاتم والفتخة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حلقة من فضة لا فص لها، والکحل والخضاب فلا بأس بإبدائه للأجانب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مواقع الزینة الظاهرة الوجه موقع الکحل فی عینیه والخضاب بالموسمه فی حاجبیه وشاربیه والغمرة فی خدیه والقدم وموقعا الخاتم والفتخة والخضاب بالحناء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آخر ما نقله عن الکشاف</w:t>
      </w:r>
      <w:r>
        <w:rPr>
          <w:rFonts w:eastAsia="IRNazanin" w:cs="IRNazanin"/>
          <w:color w:val="111111"/>
          <w:sz w:val="28"/>
          <w:szCs w:val="28"/>
          <w:rtl w:val="true"/>
          <w:lang w:bidi="fa-IR"/>
        </w:rPr>
        <w:t>).</w:t>
      </w:r>
    </w:p>
    <w:p>
      <w:pPr>
        <w:pStyle w:val="Heading4"/>
        <w:numPr>
          <w:ilvl w:val="3"/>
          <w:numId w:val="1"/>
        </w:numPr>
        <w:rPr/>
      </w:pPr>
      <w:bookmarkStart w:id="313" w:name="__RefHeading___Toc907202_1468164448"/>
      <w:bookmarkStart w:id="314" w:name="_Toc120"/>
      <w:bookmarkEnd w:id="313"/>
      <w:r>
        <w:rPr>
          <w:rtl w:val="true"/>
        </w:rPr>
        <w:t>النقطة الثانیة</w:t>
      </w:r>
      <w:r>
        <w:rPr>
          <w:rtl w:val="true"/>
        </w:rPr>
        <w:t xml:space="preserve">: </w:t>
      </w:r>
      <w:r>
        <w:rPr>
          <w:rtl w:val="true"/>
        </w:rPr>
        <w:t>تحریر محل البحث</w:t>
      </w:r>
      <w:r>
        <w:rPr>
          <w:rtl w:val="true"/>
        </w:rPr>
        <w:t>:</w:t>
      </w:r>
      <w:bookmarkEnd w:id="31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بناءً علی وجوب الجلباب یکون إبداء الملابس المنزلیة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التی تلبس تحت الرداء وتکون فیها بهیئتها فی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بمالها من الزینة هو إبداء للزینة الخفیة ولیست هی مما استثنی وظهر، کما أن إبداء الزینة الخفیة بلبسها علی الثیاب فی المواضع التی هی من الزینة الخفیة کالدملج فی العضد وکالقلادة فی العنق وکالقرطین فی الأذن والمنطقة المذهبة مثلًا فی الوسط وغیرها من آلات الزینة، فإنها وإن لبست علی الثیاب فی تلک المواضع أی ما کانت البشرة مستورة، إلّا أنه لما کان تزیین بزینة تلک المواضع کان إبداؤها إبداء للزینة فی تلک المواضع، فتندرج فی 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bookmarkStart w:id="315" w:name="pg13690_120586"/>
    </w:p>
    <w:p>
      <w:pPr>
        <w:pStyle w:val="BookText"/>
        <w:rPr/>
      </w:pPr>
      <w:bookmarkEnd w:id="315"/>
      <w:r>
        <w:rPr>
          <w:rFonts w:ascii="IRNazanin" w:hAnsi="IRNazanin" w:eastAsia="IRNazanin"/>
          <w:color w:val="111111"/>
          <w:sz w:val="28"/>
          <w:sz w:val="28"/>
          <w:szCs w:val="28"/>
          <w:rtl w:val="true"/>
          <w:lang w:bidi="fa-IR"/>
        </w:rPr>
        <w:t>یُبْدِینَ زِینَتَهُنَّ إِلاّ ما ظَهَرَ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النهی عن کشف المواضع وان استفید من الایة من النهی عن ابداء زینة تلک المواضع الا ان ذلک لا یعنی سقوط المفاد المطابقی عن الارادة الجدیة فان من خواص الاستعمال الکنائی إمکان إرادة کلّ من المعنیین علی نحو الطولیة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تقریب مفاد الآیة هو بعد الفراغ من عورویة جسد المرأة ولزوم ستره، إلّا المقدار الظاهر من الوجه والکفین والقدمین، فهی فی صدد حکم الزینة وإبداؤها وإنه لا یسوغ إبداؤها والتجمل بها أمام الرجال، إلّا التی فی ما یظهر من أعضاء البدن، ومن ذلک یظهر أن اتخاذ الألوان الخلابة فی الجلباب والرداء والتی هی بحسب العادة ألوان للقمیص وإزار المرأة للملابس المنزلیة ولیست هی ألوان مضادة للرداء والجلباب، فإن اتخاذها فی الجلباب نحو من إبداء للزینة الخفیة أو إبداء الزینة علی المواضع التی هی غیر ما ظهر، ومنه یظهر الحال فی الفرامل والشعر الموصول إذا کانت ملبوسة بادیة</w:t>
      </w:r>
      <w:r>
        <w:rPr>
          <w:rFonts w:eastAsia="IRNazanin" w:cs="IRNazanin"/>
          <w:color w:val="111111"/>
          <w:sz w:val="28"/>
          <w:szCs w:val="28"/>
          <w:rtl w:val="true"/>
          <w:lang w:bidi="fa-IR"/>
        </w:rPr>
        <w:t>.</w:t>
      </w:r>
    </w:p>
    <w:p>
      <w:pPr>
        <w:pStyle w:val="Heading4"/>
        <w:numPr>
          <w:ilvl w:val="3"/>
          <w:numId w:val="1"/>
        </w:numPr>
        <w:rPr/>
      </w:pPr>
      <w:bookmarkStart w:id="316" w:name="__RefHeading___Toc907204_1468164448"/>
      <w:bookmarkStart w:id="317" w:name="_Toc121"/>
      <w:bookmarkEnd w:id="316"/>
      <w:r>
        <w:rPr>
          <w:rtl w:val="true"/>
        </w:rPr>
        <w:t>النقطة الثالثة</w:t>
      </w:r>
      <w:r>
        <w:rPr>
          <w:rtl w:val="true"/>
        </w:rPr>
        <w:t xml:space="preserve">: </w:t>
      </w:r>
      <w:r>
        <w:rPr>
          <w:rtl w:val="true"/>
        </w:rPr>
        <w:t>القول فی تحدید الزینة الظاهرة</w:t>
      </w:r>
      <w:r>
        <w:rPr>
          <w:rtl w:val="true"/>
        </w:rPr>
        <w:t>:</w:t>
      </w:r>
      <w:bookmarkEnd w:id="317"/>
    </w:p>
    <w:p>
      <w:pPr>
        <w:pStyle w:val="BookText"/>
        <w:rPr/>
      </w:pPr>
      <w:r>
        <w:rPr>
          <w:rFonts w:ascii="Amiri" w:hAnsi="Amiri" w:eastAsia="Amiri" w:cs="Amiri"/>
          <w:color w:val="111111"/>
          <w:sz w:val="28"/>
          <w:sz w:val="28"/>
          <w:szCs w:val="28"/>
          <w:rtl w:val="true"/>
          <w:lang w:bidi="ar-SA"/>
        </w:rPr>
        <w:t>ففی صحیح الفضیل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الذراعین من المرأة هما من الزینة التی قال الله وَ لا یُبْدِینَ زِینَتَهُنَّ إِلاّ لِبُعُولَتِهِنَّ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وما دون الخمار من الزینة وما دون السوارین</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موثّقة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w:t>
      </w:r>
    </w:p>
    <w:p>
      <w:pPr>
        <w:pStyle w:val="BookText"/>
        <w:rPr/>
      </w:pPr>
      <w:r>
        <w:rPr>
          <w:rFonts w:ascii="Amiri" w:hAnsi="Amiri" w:eastAsia="Amiri" w:cs="Amiri"/>
          <w:color w:val="111111"/>
          <w:sz w:val="28"/>
          <w:sz w:val="28"/>
          <w:szCs w:val="28"/>
          <w:rtl w:val="true"/>
          <w:lang w:bidi="ar-SA"/>
        </w:rPr>
        <w:t>ظَهَرَ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الزینة الظاهرة الکحل والخاتم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مصححة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ما ظَهَرَ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والمسکة وهی القُلب</w:t>
      </w:r>
      <w:r>
        <w:rPr>
          <w:rFonts w:eastAsia="Amiri" w:cs="Amiri" w:ascii="Amiri" w:hAnsi="Amiri"/>
          <w:color w:val="111111"/>
          <w:sz w:val="28"/>
          <w:szCs w:val="28"/>
          <w:rtl w:val="true"/>
          <w:lang w:bidi="ar-SA"/>
        </w:rPr>
        <w:t>»</w:t>
      </w:r>
      <w:r>
        <w:rPr>
          <w:rStyle w:val="FootnoteAnchor"/>
          <w:rtl w:val="true"/>
        </w:rPr>
        <w:footnoteReference w:id="349"/>
      </w:r>
      <w:r>
        <w:rPr>
          <w:rFonts w:ascii="IRNazanin" w:hAnsi="IRNazanin" w:eastAsia="IRNazanin"/>
          <w:color w:val="111111"/>
          <w:sz w:val="28"/>
          <w:sz w:val="28"/>
          <w:szCs w:val="28"/>
          <w:rtl w:val="true"/>
          <w:lang w:bidi="fa-IR"/>
        </w:rPr>
        <w:t>والقلب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وموثّقة مسعدّة بن زیاد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جعفراً وسئل عما تظهر المرأة من زینتها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والکفین</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ویمکن الاستدلال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الْقَواعِدُ مِنَ النِّساءِ اللاّتِی لا یَرْجُونَ نِکاحاً فَلَیْسَ عَلَیْهِنَّ جُناحٌ أَنْ یَضَعْنَ ثِیابَهُنَّ غَیْرَ مُتَبَرِّجاتٍ بِزِینَةٍ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فی الآیة موضعین فی الدلالة علی المقام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علی أن لبس الجلباب عزیمة للمرأة، وإنما استثنی من ذلک القواعد من النساء،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یُدْنِینَ عَلَیْهِنَّ مِنْ جَلاَبِیبِهِنَّ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وردت الصحاح کصحیحة محمد بن مسلم</w:t>
      </w:r>
      <w:r>
        <w:rPr>
          <w:rStyle w:val="FootnoteAnchor"/>
          <w:rtl w:val="true"/>
        </w:rPr>
        <w:footnoteReference w:id="351"/>
      </w:r>
      <w:r>
        <w:rPr>
          <w:rFonts w:ascii="IRNazanin" w:hAnsi="IRNazanin" w:eastAsia="IRNazanin"/>
          <w:color w:val="111111"/>
          <w:sz w:val="28"/>
          <w:sz w:val="28"/>
          <w:szCs w:val="28"/>
          <w:rtl w:val="true"/>
          <w:lang w:bidi="fa-IR"/>
        </w:rPr>
        <w:t>والحلبی</w:t>
      </w:r>
      <w:r>
        <w:rPr>
          <w:rStyle w:val="FootnoteAnchor"/>
          <w:rtl w:val="true"/>
        </w:rPr>
        <w:footnoteReference w:id="352"/>
      </w:r>
      <w:r>
        <w:rPr>
          <w:rFonts w:ascii="IRNazanin" w:hAnsi="IRNazanin" w:eastAsia="IRNazanin"/>
          <w:color w:val="111111"/>
          <w:sz w:val="28"/>
          <w:sz w:val="28"/>
          <w:szCs w:val="28"/>
          <w:rtl w:val="true"/>
          <w:lang w:bidi="fa-IR"/>
        </w:rPr>
        <w:t>وأبی الصباح الکنانی</w:t>
      </w:r>
      <w:r>
        <w:rPr>
          <w:rStyle w:val="FootnoteAnchor"/>
          <w:rtl w:val="true"/>
        </w:rPr>
        <w:footnoteReference w:id="353"/>
      </w:r>
      <w:r>
        <w:rPr>
          <w:rFonts w:ascii="IRNazanin" w:hAnsi="IRNazanin" w:eastAsia="IRNazanin"/>
          <w:color w:val="111111"/>
          <w:sz w:val="28"/>
          <w:sz w:val="28"/>
          <w:szCs w:val="28"/>
          <w:rtl w:val="true"/>
          <w:lang w:bidi="fa-IR"/>
        </w:rPr>
        <w:t>وغیرها بتفسیر الثیاب بالجلباب، مما</w:t>
      </w:r>
    </w:p>
    <w:p>
      <w:pPr>
        <w:pStyle w:val="BookText"/>
        <w:rPr/>
      </w:pPr>
      <w:r>
        <w:rPr>
          <w:rFonts w:ascii="IRNazanin" w:hAnsi="IRNazanin" w:eastAsia="IRNazanin"/>
          <w:color w:val="111111"/>
          <w:sz w:val="28"/>
          <w:sz w:val="28"/>
          <w:szCs w:val="28"/>
          <w:rtl w:val="true"/>
          <w:lang w:bidi="fa-IR"/>
        </w:rPr>
        <w:t>یدلل علی أن ما تحت الجلباب لا یبدی وهو معنی عزیمة الجلباب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والموضع الثانی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نهیهن عن التبرج بزینة ما تحت الجلباب، أی عن البروز بالزینة التی یجب سترها من الحلی وثیاب التجمل؛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خروجهن بالزینة یدل علی أنهن متبرجات وداعیات للشواب لا طالبات لحاجاتهن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هکذا قرر السیوری فی کنز العرفان</w:t>
      </w:r>
      <w:r>
        <w:rPr>
          <w:rStyle w:val="FootnoteAnchor"/>
          <w:rtl w:val="true"/>
        </w:rPr>
        <w:footnoteReference w:id="354"/>
      </w:r>
      <w:r>
        <w:rPr>
          <w:rFonts w:ascii="IRNazanin" w:hAnsi="IRNazanin" w:eastAsia="IRNazanin"/>
          <w:color w:val="111111"/>
          <w:sz w:val="28"/>
          <w:sz w:val="28"/>
          <w:szCs w:val="28"/>
          <w:rtl w:val="true"/>
          <w:lang w:bidi="fa-IR"/>
        </w:rPr>
        <w:t>مفاد الآیة فی الموضع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یظهر أن ما یتعارف لبسه من الألبسة الضیقة من الثیاب من دون رداء وعباءة والتی تحکی مفاصل البدن أو المشتملة علی ألوان خلابة هو من التبرج بالزینة الواجب سترها، فضلًا عن أن ترک الجلباب هو بنفسه محظور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ویدعم ذلک ما ورد من التبرج لغة، کما عن الجوهری</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المرأة زینتها ومحاسنها 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الخلیل بن أحمد الفراهیدی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أبدت المرأة محاسن جیدها ووجهها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تبرجت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الکشاف</w:t>
      </w:r>
      <w:r>
        <w:rPr>
          <w:rStyle w:val="FootnoteAnchor"/>
          <w:rtl w:val="true"/>
        </w:rPr>
        <w:footnoteReference w:id="3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حقیقة التبرج؟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تکلّف إظهار ما یجب إخفاؤه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بارج لا غطاء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تتکشف المرأة للرجال بإبداء زینتها وإظهار محاسنها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مظهرات لما یتطلع إلیه منهن ولا متعرضات بالتزین للنظر إلیهن وإن کن یحل ذلک</w:t>
      </w:r>
    </w:p>
    <w:p>
      <w:pPr>
        <w:pStyle w:val="BookText"/>
        <w:rPr/>
      </w:pPr>
      <w:r>
        <w:rPr>
          <w:rFonts w:ascii="IRNazanin" w:hAnsi="IRNazanin" w:eastAsia="IRNazanin"/>
          <w:color w:val="111111"/>
          <w:sz w:val="28"/>
          <w:sz w:val="28"/>
          <w:szCs w:val="28"/>
          <w:rtl w:val="true"/>
          <w:lang w:bidi="fa-IR"/>
        </w:rPr>
        <w:t>منهن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تَبَرَّجْنَ تَبَرُّجَ الْجاهِلِیَّةِ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ولاتتزین بزینة الکفار فی الثیاب الرقاق الملونة،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منه لبس ما یصف أو یشف من الثیاب،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التبرج تبرج 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بین الرجال والتغنج والمیلان فی المشی، وعن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المرأة إذ ذلک تلبس الدرع من اللؤلؤ غیر مخیط الجانبین،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تلبس الثیاب تبلغ المأکم وهو العجزة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للکلام تتمة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یقع الکلام فی تحدید مقدار ما یسوغ من الزینة الظاهرة بعد کون الأقوی جواز إظهار الوجه والکفین والقدمین، لکن لا بنحو تبدو تمام صفحات الوجه، فهل السائغ حینئذ إبداء خصوص الکحل والخاتم والسوار المنصوص، أو أنَّ السائغ هو ما اعتبر وضعه لزینة، أم تسوغ مطلق أنواع الزینة فی ذلک الموضع کالحمرة والسواد وأنواع المکیاج، الحدیث بنحو یعد تبرج لا لزینة؟</w:t>
      </w:r>
    </w:p>
    <w:p>
      <w:pPr>
        <w:pStyle w:val="BookText"/>
        <w:rPr/>
      </w:pPr>
      <w:r>
        <w:rPr>
          <w:rFonts w:ascii="IRNazanin" w:hAnsi="IRNazanin" w:eastAsia="IRNazanin"/>
          <w:color w:val="111111"/>
          <w:sz w:val="28"/>
          <w:sz w:val="28"/>
          <w:szCs w:val="28"/>
          <w:rtl w:val="true"/>
          <w:lang w:bidi="fa-IR"/>
        </w:rPr>
        <w:t>ففی صحیح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للمرأة أن تعطل نفسها ولو أن تعلّق فی عنقها قلادة، ولا ینبغی أن تدع یدها من الخضاب ولو أن تمسحها مسحاً بالحناء، وإن کانت مسنة</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حلیة النساء بالذهب والفضة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المرسل إلی الإمام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 رسول الله صلی الله علیه و آله المرأة أن تخضب رأسها بالسواد، قال وأمر رسول الله صلی الله علیه و آله النساء بالخضاب ذات البعل وغیر ذات البعل فتزین لزوجها، وأما غیر ذات البعل فلا تشبه یدها ید الرجال</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لکنّه قد تقدّم دلالة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مُتَبَرِّجاتٍ بِزِینَةٍ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حرمة التبرج بالزینة فی نفسه وإن کان فی المواضع التی لا یجب سترها، وقد مرَّ أن التبرج بالزینة هو التکلیف بإظهار الزینة، وقد مرّ أیضاً أن إبراز المحاسن للمواضع التی ینبغی إخفاؤها مشمول للنهی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تَبَرَّجْنَ تَبَرُّجَ الْجاهِلِیَّةِ الْأُولی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مُتَبَرِّجاتٍ بِزِینَةٍ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 التفصیل فی المراد بالزینة المحرّم التبرج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ظهر وما ینبغی إخفاؤه بلحاظ موضع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قرأ أَنْ یَضَعْنَ ثِیابَهُنَّ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الخمار والجلباب،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من 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یدی من کان غیر متبرجة بزینة، فإن لم تفعل فهو خیر لها، والزینة التی یبدین لهن شیء فی الآیة الأخری</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إن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الزینة فی الآیة الأخری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یُبْدِینَ زِینَتَهُنَّ إِلاّ ما ظَهَرَ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الصحیحة الناظرة إلی تفصیل الآیة لا تدلّ علی جواز الزینة المثیرة فیما ظهر، لأن الزینة المثیرة تدخل فی عنوان التبرج المنهی عنه فی الآیتین، لما مرّ من أن تعریف اللغویین للتبرج من التکلف فی إظهار الزینة لجلب انتباه الرجال، وهو خارج عن إبداء الزینة الظاهرة، الذی هو بحد ما تخرج به المرأة عن أن تکون معطلة کما مر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فالتعریف اللغوی للتبرج المنهی عنه لا یختص بما خفی من زینة المرأة، بل یعم ما ظهر کما یعم ما یستحدث فی الجلباب أیضاً من ألوان مثیرة، فعن أبی عبیدة هو أن یبرزن محاسنهن فیظهرنها، وعن الزجاج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التبرّج إظهار الزینة وما تستدعی به شهوة الرجل، وقیل إنهن کن یتکسّرن فی مشیتهن ویتبخترن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من هذین التعریفین أنهما یشملان نحو المشی کما مر فی التغنج فی الصوت، وهذا التعمیم یمکن أن یستأنس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یَضْرِبْنَ بِأَرْجُلِهِنَّ لِیُعْلَمَ ما یُخْفِینَ مِنْ زِینَتِهِنَّ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فَیَطْمَعَ الَّذِی فِی قَلْبِهِ مَرَضٌ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ابی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التبرج إظهار الزینة والتصنّع بها</w:t>
      </w:r>
      <w:r>
        <w:rPr>
          <w:rFonts w:eastAsia="IRNazanin" w:cs="IRNazanin"/>
          <w:color w:val="111111"/>
          <w:sz w:val="28"/>
          <w:szCs w:val="28"/>
          <w:rtl w:val="true"/>
          <w:lang w:bidi="fa-IR"/>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المصطفوی فی التحقیق</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التبرج فی المرأة بالتزین فی مقابل الأجانب قولًا وعملًا وسلوکاً ومشیاً ولمزاً ونظراً، فکل حرکة أو سکون من المرأة یجذب نظر الرجل، ویقتضی نفوذها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تأثیرها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ویوجب</w:t>
      </w:r>
    </w:p>
    <w:p>
      <w:pPr>
        <w:pStyle w:val="BookText"/>
        <w:rPr/>
      </w:pPr>
      <w:r>
        <w:rPr>
          <w:rFonts w:ascii="IRNazanin" w:hAnsi="IRNazanin" w:eastAsia="IRNazanin"/>
          <w:color w:val="111111"/>
          <w:sz w:val="28"/>
          <w:sz w:val="28"/>
          <w:szCs w:val="28"/>
          <w:rtl w:val="true"/>
          <w:lang w:bidi="fa-IR"/>
        </w:rPr>
        <w:t>التظاهر والتجلی والاستعلاء فی قباله التبرج، وقال</w:t>
      </w:r>
      <w:r>
        <w:rPr>
          <w:rStyle w:val="FootnoteAnchor"/>
          <w:rtl w:val="true"/>
        </w:rPr>
        <w:footnoteReference w:id="3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والمرأة المتزینة الحسناء التی أظهرت محاسنها للأجانب ونفذت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أثارتهم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مقتضی صحیح الحلبی إن التبرج هو إبداء الزینة، لأنه قابل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متبرجة بزینة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والزینة التی یبدین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فیقتضی ذلک تخصیص عموم النهی عن‌التبرج بإلا ما ظهر، نعم هذه الروایة والروایات التی سبقت فی تفسیر الزینة التی نهی عن إبدائها والزینة التی رخص فیها ظاهرها إنها محاسن المرأة سواء بحسب طبیعة خلقة العضو أو بحسب ما یوضع علیه من مواد أو آلات، ففی صحیح الفضیل المتقدّم وقع السؤال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الذراعین والأعضاء نفسها من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موثّق زرارة وصحیح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جعل ما یتزین به من الزینة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موثّقة مسعدّة نظیر صحیح الفضیل، وعلی ذلک فلا یبقی لعموم التبرج المنهی عنه‌إطلاق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ذکر وإن کان متیناً، إلّا أنه لا ینافی ما ذکرناه أولًا، فإن الآیة المفصلة لما یبدی من الزینة وما لا یبدی ظاهرها بحسب الأعضاء وطبع محاسنها وما تتزین به بنحو لا تکون معطلة، وأما ما یزید علی ذلک من درجة الحسن وبروزه فهو باق علی عموم النهی عن التبرج، ویشهد لهذا التفصیل فی التبرج المسوغ عن المنهی ما مرت الإشارة إلیه فی الآیة من النهی عن الضرب بالأرجل لئلا یعلم ما یخفین من الزینة، مع إن الزینة التی هی تحت الثیاب مخفیة، إلّا أنه نهی عن بروزها ولو بتوسط الصوت، مما یدلل علی أن درجات البروز والتبرج ملحوظة فی مفاد الآیات وکذلک</w:t>
      </w:r>
    </w:p>
    <w:p>
      <w:pPr>
        <w:pStyle w:val="BookText"/>
        <w:rPr/>
      </w:pPr>
      <w:r>
        <w:rPr>
          <w:rFonts w:ascii="IRNazanin" w:hAnsi="IRNazanin" w:eastAsia="IRNazanin"/>
          <w:color w:val="111111"/>
          <w:sz w:val="28"/>
          <w:sz w:val="28"/>
          <w:szCs w:val="28"/>
          <w:rtl w:val="true"/>
          <w:lang w:bidi="fa-IR"/>
        </w:rPr>
        <w:t>یشیر إلی هذا النهی عن التخضع فی القول، فإن الکلام وإن رخص فیه وهو مما ظهر، إلّا أنه إذا أبرز بالقول محاسن أنوثة المرأة فإنه یکون منهی عنه، مما یدلل علی إن الإبداء علی درجات کما أن زینة المرأة ومحاسنها علی درجات ایضا ،ومن ثم یحرم الرفث من القول مع الأجنبیة،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تُواعِدُوهُنَّ سِرًّا إِلاّ أَنْ تَقُولُوا قَوْلاً مَعْرُوفاً</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وبالتالی یتبین الفرق بین ما هو زینة خفیفة معتادة فی تلک المواضع وبین ما هو زینة شدیدة تعمل بتکلّف وعنایة خاصة، وهی تختلف بحسب الأعراف والأزیاء المشتهرة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فی موثّقة السکونی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صلی الله علیه و آله ما زینة المرأة للأعمی؟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الطیب والخضاب فإنه من طیب النسمة</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یفید دخول الرائحة الطیبة فی الزینة، ولا ریب إنها علی درجات أیضاً</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الولید بین صبیح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أی امرأة تطیبت وخرجت من بیتها فهی تلعن حتی ترجع إلی بیتها متی ما رجعت</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طریق الصدوق</w:t>
      </w:r>
      <w:r>
        <w:rPr>
          <w:rStyle w:val="FootnoteAnchor"/>
          <w:rtl w:val="true"/>
        </w:rPr>
        <w:footnoteReference w:id="366"/>
      </w:r>
      <w:r>
        <w:rPr>
          <w:rFonts w:ascii="IRNazanin" w:hAnsi="IRNazanin" w:eastAsia="IRNazanin"/>
          <w:color w:val="111111"/>
          <w:sz w:val="28"/>
          <w:sz w:val="28"/>
          <w:szCs w:val="28"/>
          <w:rtl w:val="true"/>
          <w:lang w:bidi="fa-IR"/>
        </w:rPr>
        <w:t xml:space="preserve">وهو أیضاً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تطیبت لغیر زوجها ثم خرجت من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روایة سعد الجلاب</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موثّقة السکونی أیضاً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طیب النساء ما ظهر لونه وخفی ریحه وطیب الرجال ما ظهر ریحه وخفی لونه</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ومورد هذه الروایات فی الطیب ذو الرائحة المرکزة القویة المستعمل قبیل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یمکن تقریر التفصیل المحصل من التبرج المنهی عنه إن استخدام المرأة الزینة أو إظهار ما یحدث إثارة للرجال هو داخل فی التبرج المنهی عنه بخلاف ما لا یکون بطبعه مثیراً، ومنه یظهر إن قاعدة التبرج مقاربة لقاعدة حرمة الفتنة والافتتان الجنسی التی ذکرناها فی قاعدة مستقلة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التبرج هو کلّ ما تبرزه وتصطنعه المرأة من محاسن یثیر حفیظة الرجال الأجانب سواء فی القول أو العمل والسلوک أو النظرات والمشی وکیفیة حرکات أعضاء البدن والذی عبروا عنه بالتکسر تجاه حرکات الأعضاء، ومنه یظهر إن الانفتاح الشدید فی الاختلاط مع الرجال من</w:t>
      </w:r>
      <w:bookmarkStart w:id="318" w:name="pg13690_120595"/>
    </w:p>
    <w:p>
      <w:pPr>
        <w:pStyle w:val="BookText"/>
        <w:rPr/>
      </w:pPr>
      <w:bookmarkEnd w:id="318"/>
      <w:r>
        <w:rPr>
          <w:rFonts w:ascii="IRNazanin" w:hAnsi="IRNazanin" w:eastAsia="IRNazanin"/>
          <w:color w:val="111111"/>
          <w:sz w:val="28"/>
          <w:sz w:val="28"/>
          <w:szCs w:val="28"/>
          <w:rtl w:val="true"/>
          <w:lang w:bidi="fa-IR"/>
        </w:rPr>
        <w:t>دون‌حاجب العفاف فی السلوک العام هو الآخر یندرج فی مصادیق التبرج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هذا النمط من التبرج وردت فیه روایات خاصة</w:t>
      </w:r>
      <w:r>
        <w:rPr>
          <w:rFonts w:eastAsia="IRNazanin" w:cs="IRNazanin"/>
          <w:color w:val="111111"/>
          <w:sz w:val="28"/>
          <w:szCs w:val="28"/>
          <w:rtl w:val="true"/>
          <w:lang w:bidi="fa-IR"/>
        </w:rPr>
        <w:t>.</w:t>
      </w:r>
    </w:p>
    <w:p>
      <w:pPr>
        <w:pStyle w:val="Heading4"/>
        <w:numPr>
          <w:ilvl w:val="3"/>
          <w:numId w:val="1"/>
        </w:numPr>
        <w:rPr/>
      </w:pPr>
      <w:bookmarkStart w:id="319" w:name="__RefHeading___Toc907206_1468164448"/>
      <w:bookmarkStart w:id="320" w:name="_Toc122"/>
      <w:bookmarkEnd w:id="319"/>
      <w:r>
        <w:rPr>
          <w:rtl w:val="true"/>
        </w:rPr>
        <w:t>النقطة الرابعة</w:t>
      </w:r>
      <w:r>
        <w:rPr>
          <w:rtl w:val="true"/>
        </w:rPr>
        <w:t xml:space="preserve">: </w:t>
      </w:r>
      <w:r>
        <w:rPr>
          <w:rtl w:val="true"/>
        </w:rPr>
        <w:t>استطراد حکم إقامة علاقة الصداقة مع الأجنبیة</w:t>
      </w:r>
      <w:r>
        <w:rPr>
          <w:rtl w:val="true"/>
        </w:rPr>
        <w:t>:</w:t>
      </w:r>
      <w:bookmarkEnd w:id="320"/>
    </w:p>
    <w:p>
      <w:pPr>
        <w:pStyle w:val="BookText"/>
        <w:rPr/>
      </w:pPr>
      <w:r>
        <w:rPr>
          <w:rFonts w:ascii="IRNazanin" w:hAnsi="IRNazanin" w:eastAsia="IRNazanin"/>
          <w:color w:val="111111"/>
          <w:sz w:val="28"/>
          <w:sz w:val="28"/>
          <w:szCs w:val="28"/>
          <w:rtl w:val="true"/>
          <w:lang w:bidi="fa-IR"/>
        </w:rPr>
        <w:t>قال فی لسان العرب</w:t>
      </w:r>
      <w:r>
        <w:rPr>
          <w:rStyle w:val="FootnoteAnchor"/>
          <w:rtl w:val="true"/>
        </w:rPr>
        <w:footnoteReference w:id="3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الخدن والخدین الصدیق، أو الخدن والخدین الذی یخادنک فیکون معک فی کلّ أمر ظاهر وباطن، وخدن الجاریة محدثها، وکانوا فی الجاهلیة لا یمتنعون من أن یحدث الجاریة فجاء الإسلام لهدمه، والمخادنة المصاحبة وفی التنزیل العزیز مُحْصَناتٍ غَیْرَ مُسافِحاتٍ وَ لا مُتَّخِذاتِ أَخْدانٍ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یتخذن أصدقاء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تفسیر القمی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مُتَّخِذاتِ أَخْدانٍ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 لا یتخذها صدیقة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والأخدان الأخلاء فی السِّر أی غیر مجاهرات فی السفاح ولا مسرات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کانت البغایا فی الجاهلیة علی قسمین مشهورات ومتخذات أخدان، وکانوا بعقولهم یحرمون ما ظهر من الزنا ویستحلون ما بطن، فنهی الله عز وجل عن الجمیع</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المستحصل من کلمات اللغویین وظاهر الآیة إن إقامة العلاقة والصداقة بین الأجنبی والأجنبیة للتواطؤ علی أی نوع من الاستمتاع</w:t>
      </w:r>
    </w:p>
    <w:p>
      <w:pPr>
        <w:pStyle w:val="BookText"/>
        <w:rPr/>
      </w:pPr>
      <w:r>
        <w:rPr>
          <w:rFonts w:ascii="IRNazanin" w:hAnsi="IRNazanin" w:eastAsia="IRNazanin"/>
          <w:color w:val="111111"/>
          <w:sz w:val="28"/>
          <w:sz w:val="28"/>
          <w:szCs w:val="28"/>
          <w:rtl w:val="true"/>
          <w:lang w:bidi="fa-IR"/>
        </w:rPr>
        <w:t>الجنسی أو الغرام محضور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عدم تکوین العلاقة علی أساس الانفتاح الجنسی ولو علی صعید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المستفاد من قوله تعالی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جُناحَ عَلَیْکُمْ فِیما عَرَّضْتُمْ بِهِ مِنْ خِطْبَةِ النِّساءِ أَوْ أَکْنَنْتُمْ فِی أَنْفُسِکُمْ عَلِمَ اللّهُ أَنَّکُمْ سَتَذْکُرُونَهُنَّ وَ لکِنْ لا تُواعِدُوهُنَّ سِرًّا إِلاّ أَنْ تَقُولُوا قَوْلاً مَعْرُوفاً وَ لا تَعْزِمُوا عُقْدَةَ النِّکاحِ حَتّی یَبْلُغَ الْکِتابُ أَجَلَهُ وَ اعْلَمُوا أَنَّ اللّهَ یَعْلَمُ ما فِی أَنْفُسِکُمْ فَاحْذَرُوهُ وَ اعْلَمُوا أَنَّ اللّهَ غَفُورٌ حَلِیمٌ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 فی تفسیر الآیة أی لا تواعدوهن مواعدة قط بالزواج، إلّا مواعدة معروفة غیر منکرة أی لا تواعدوهن إلّا بالتعریض، أی لا تکنّوا فضلًا عن التصریح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فی معنی لا تُواعِدُوهُنَّ سِرًّا بالجماع، والقول المعروف هو القول الذی لیس فیه رفث ولا إفحاش، فالآیة الکریمة تحدد المقدار المجاز من الحدیث مع الأجنبیة مع أن هذا الحدیث متواطئ فیه علی الحلال وهو عقد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تسوغ التصریح ولا الکنایة، بل فی ذات البعل لا یجوز مطلقاً حتی التعریض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الخلیة فیجوز التصریح دون الرفث فی القول من الکلمات المستهجنة المنافیة لحاجب الحیاء والستر بین الأجنبیین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تفسیر العیاشی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تُواعِدُوهُنَّ سِرًّا إِلاّ أَنْ تَقُولُوا قَوْلاً مَعْرُوفاً؟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فی عدّتها تقول لها قولًا جمیلًا ترغبها فی نفسک ولا تقول إنی أصنع کذا وأصنع کذا القبیح من</w:t>
      </w:r>
    </w:p>
    <w:p>
      <w:pPr>
        <w:pStyle w:val="BookText"/>
        <w:rPr/>
      </w:pPr>
      <w:r>
        <w:rPr>
          <w:rFonts w:ascii="IRNazanin" w:hAnsi="IRNazanin" w:eastAsia="IRNazanin"/>
          <w:color w:val="111111"/>
          <w:sz w:val="28"/>
          <w:sz w:val="28"/>
          <w:szCs w:val="28"/>
          <w:rtl w:val="true"/>
          <w:lang w:bidi="fa-IR"/>
        </w:rPr>
        <w:t>الأمر فی البضع وکل أمر قبیح</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أبی بصیر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تُواعِدُوهُنَّ سِرًّا هو قول الرجل للمرأة قبل أن تنقضی عدّتها أواعدک بیت آل فلان لترفث ویرفث معها</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قریب من مضمونها ما رواه الکلینی</w:t>
      </w:r>
      <w:r>
        <w:rPr>
          <w:rStyle w:val="FootnoteAnchor"/>
          <w:rtl w:val="true"/>
        </w:rPr>
        <w:footnoteReference w:id="372"/>
      </w:r>
      <w:r>
        <w:rPr>
          <w:rFonts w:ascii="IRNazanin" w:hAnsi="IRNazanin" w:eastAsia="IRNazanin"/>
          <w:color w:val="111111"/>
          <w:sz w:val="28"/>
          <w:sz w:val="28"/>
          <w:szCs w:val="28"/>
          <w:rtl w:val="true"/>
          <w:lang w:bidi="fa-IR"/>
        </w:rPr>
        <w:t>من صحیح الحلبی وصحیح عبد الله بن سنان، وما رواه فی الصحیح عن علی بن حمزة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فیه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تُواعِدُوهُنَّ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الرجل أواعدک بیت آل فلان یعرض لها بالرفث ویرفث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والقول المعروف التعریض بالخطبة علی وجهها وحلّها، نعم ما رواه فی صحیح عبد الرحمن بن أبی عبد الله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القول المعروف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یلقاها ویقول إنی فیک لراغب وإنی فی النساء لمکرم ولا تسبقینی بنفسک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والسر لا یخلو معها حیث وعدها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مما ورد فی الآیة والنصوص والفتاوی فی مسألة الخطبة لذات العدّة المفروغیة من حرمة الرفث فی القول مع الأجنبیات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ذکرنا شطر وافر من الکلام</w:t>
      </w:r>
      <w:r>
        <w:rPr>
          <w:rStyle w:val="FootnoteAnchor"/>
          <w:rtl w:val="true"/>
        </w:rPr>
        <w:footnoteReference w:id="373"/>
      </w:r>
      <w:r>
        <w:rPr>
          <w:rFonts w:ascii="IRNazanin" w:hAnsi="IRNazanin" w:eastAsia="IRNazanin"/>
          <w:color w:val="111111"/>
          <w:sz w:val="28"/>
          <w:sz w:val="28"/>
          <w:szCs w:val="28"/>
          <w:rtl w:val="true"/>
          <w:lang w:bidi="fa-IR"/>
        </w:rPr>
        <w:t>حول حکم المفاکهة مع الأجنبیات والانبساط المثیر للرغبة والتلذذ فی السماع وکذا حکم الخلوة ولو من فئة من الرجال مع فئة من النساء، وکل تلک المسائل ترسم حدود العلاقة بین الأجانب والأجنبیات، بما یکفل حفظ الطرفین عن معرضیة الوقوع فی التلذذ المحرم</w:t>
      </w:r>
    </w:p>
    <w:p>
      <w:pPr>
        <w:pStyle w:val="BookText"/>
        <w:rPr/>
      </w:pPr>
      <w:r>
        <w:rPr>
          <w:rFonts w:ascii="IRNazanin" w:hAnsi="IRNazanin" w:eastAsia="IRNazanin"/>
          <w:color w:val="111111"/>
          <w:sz w:val="28"/>
          <w:sz w:val="28"/>
          <w:szCs w:val="28"/>
          <w:rtl w:val="true"/>
          <w:lang w:bidi="fa-IR"/>
        </w:rPr>
        <w:t>من الطرفین ولو بأدنی درجاته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ویؤید جمیع ما تقدّم المستفاد من فحوی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سَأَلْتُمُوهُنَّ</w:t>
      </w:r>
    </w:p>
    <w:p>
      <w:pPr>
        <w:pStyle w:val="BookText"/>
        <w:rPr/>
      </w:pPr>
      <w:r>
        <w:rPr>
          <w:rFonts w:ascii="Amiri" w:hAnsi="Amiri" w:eastAsia="Amiri" w:cs="Amiri"/>
          <w:color w:val="111111"/>
          <w:sz w:val="28"/>
          <w:sz w:val="28"/>
          <w:szCs w:val="28"/>
          <w:rtl w:val="true"/>
          <w:lang w:bidi="ar-SA"/>
        </w:rPr>
        <w:t xml:space="preserve">مَتاعاً فَسْئَلُوهُنَّ مِنْ وَراءِ حِجابٍ ذلِکُمْ أَطْهَرُ لِقُلُوبِکُمْ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ویعضد کلّ ما تقدّم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عَلی أَزْواجِهِمْ أَوْ ما مَلَکَتْ أَیْمانُهُمْ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مقتضی الآیة کما مرَّ فی مباحث الستر والنظر هو حرمة الاستمتاع الجنسی مطلقاً بأی لون وبأی درجة وبأی عضو إلّا فی ما یجوز من عدد الأزواج الزوجة والمملوکة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شامل للتلذذ بالبهائم وغیرها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321" w:name="pg13690_120600"/>
    </w:p>
    <w:p>
      <w:pPr>
        <w:pStyle w:val="Heading2"/>
        <w:numPr>
          <w:ilvl w:val="1"/>
          <w:numId w:val="1"/>
        </w:numPr>
        <w:rPr/>
      </w:pPr>
      <w:bookmarkStart w:id="322" w:name="__RefHeading___Toc907208_1468164448"/>
      <w:bookmarkStart w:id="323" w:name="_Toc123"/>
      <w:bookmarkEnd w:id="321"/>
      <w:bookmarkEnd w:id="322"/>
      <w:r>
        <w:rPr>
          <w:rtl w:val="true"/>
        </w:rPr>
        <w:t>قاعدة</w:t>
      </w:r>
      <w:r>
        <w:rPr>
          <w:rtl w:val="true"/>
        </w:rPr>
        <w:t>:</w:t>
      </w:r>
      <w:r>
        <w:rPr>
          <w:rtl w:val="true"/>
        </w:rPr>
        <w:t xml:space="preserve">فی الفرق بین النکاح </w:t>
      </w:r>
      <w:r>
        <w:rPr>
          <w:rtl w:val="true"/>
        </w:rPr>
        <w:t>(</w:t>
      </w:r>
      <w:r>
        <w:rPr>
          <w:rtl w:val="true"/>
        </w:rPr>
        <w:t>الإحصان</w:t>
      </w:r>
      <w:r>
        <w:rPr>
          <w:rtl w:val="true"/>
        </w:rPr>
        <w:t>)</w:t>
      </w:r>
      <w:r>
        <w:rPr>
          <w:rtl w:val="true"/>
        </w:rPr>
        <w:t xml:space="preserve">و السفاح </w:t>
      </w:r>
      <w:r>
        <w:rPr>
          <w:rtl w:val="true"/>
        </w:rPr>
        <w:t>(</w:t>
      </w:r>
      <w:r>
        <w:rPr>
          <w:rtl w:val="true"/>
        </w:rPr>
        <w:t>الزنا</w:t>
      </w:r>
      <w:r>
        <w:rPr>
          <w:rtl w:val="true"/>
        </w:rPr>
        <w:t>)</w:t>
      </w:r>
      <w:bookmarkEnd w:id="32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907210_1468164448"/>
      <w:bookmarkStart w:id="325" w:name="_Toc124"/>
      <w:bookmarkEnd w:id="324"/>
      <w:r>
        <w:rPr>
          <w:rtl w:val="true"/>
        </w:rPr>
        <w:t>اشارة</w:t>
      </w:r>
      <w:bookmarkStart w:id="326" w:name="pg13690_120602"/>
      <w:bookmarkEnd w:id="325"/>
    </w:p>
    <w:p>
      <w:pPr>
        <w:pStyle w:val="Heading3"/>
        <w:numPr>
          <w:ilvl w:val="2"/>
          <w:numId w:val="1"/>
        </w:numPr>
        <w:rPr/>
      </w:pPr>
      <w:bookmarkStart w:id="327" w:name="__RefHeading___Toc907212_1468164448"/>
      <w:bookmarkStart w:id="328" w:name="_Toc125"/>
      <w:bookmarkEnd w:id="326"/>
      <w:bookmarkEnd w:id="327"/>
      <w:r>
        <w:rPr>
          <w:rtl w:val="true"/>
        </w:rPr>
        <w:t>من قواعد باب النکاح</w:t>
      </w:r>
      <w:r>
        <w:rPr>
          <w:rtl w:val="true"/>
        </w:rPr>
        <w:t>:</w:t>
      </w:r>
      <w:r>
        <w:rPr>
          <w:rtl w:val="true"/>
        </w:rPr>
        <w:t xml:space="preserve">فی الفرق بین النکاح </w:t>
      </w:r>
      <w:r>
        <w:rPr>
          <w:rtl w:val="true"/>
        </w:rPr>
        <w:t>(</w:t>
      </w:r>
      <w:r>
        <w:rPr>
          <w:rtl w:val="true"/>
        </w:rPr>
        <w:t>الإحصان</w:t>
      </w:r>
      <w:r>
        <w:rPr>
          <w:rtl w:val="true"/>
        </w:rPr>
        <w:t xml:space="preserve">) </w:t>
      </w:r>
      <w:r>
        <w:rPr>
          <w:rtl w:val="true"/>
        </w:rPr>
        <w:t xml:space="preserve">والسفاح </w:t>
      </w:r>
      <w:r>
        <w:rPr>
          <w:rtl w:val="true"/>
        </w:rPr>
        <w:t>(</w:t>
      </w:r>
      <w:r>
        <w:rPr>
          <w:rtl w:val="true"/>
        </w:rPr>
        <w:t>الزنا</w:t>
      </w:r>
      <w:r>
        <w:rPr>
          <w:rtl w:val="true"/>
        </w:rPr>
        <w:t>)</w:t>
      </w:r>
      <w:bookmarkEnd w:id="328"/>
    </w:p>
    <w:p>
      <w:pPr>
        <w:pStyle w:val="BookText"/>
        <w:rPr/>
      </w:pPr>
      <w:r>
        <w:rPr>
          <w:rFonts w:ascii="IRNazanin" w:hAnsi="IRNazanin" w:eastAsia="IRNazanin"/>
          <w:color w:val="111111"/>
          <w:sz w:val="28"/>
          <w:sz w:val="28"/>
          <w:szCs w:val="28"/>
          <w:rtl w:val="true"/>
          <w:lang w:bidi="fa-IR"/>
        </w:rPr>
        <w:t>البحث فی هذه القاعدة یقع فی اشکال ودفع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یشکل بان عقد المتعة أو التحلیل فی عقد الیمین لا یفترق عن الزنا والسفاح، ومن ثم استدلّ بعض العامّة علی تحریم المتعة بأنها منسوخة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مُحْصِنِینَ غَیْرَ مُسافِحِینَ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انّ المتعة لیست احصان، بل سفاح، اذ لاتوجب النفقة ولا الإرث، ولیست فیها قسم ولا طلاق، ولایحتاج نفی الولد الی لعان، ولیس فیها 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 هناک فرق ماهوی بین النکاح مطلقاً سواء کان متعة أو دائما مع ماهیة الزنا، ویمکن تعداد تلک الفوارق</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فی النکاح ولو المتعة التزام من الطرفین وتملیک البضع والاستمتاعات، بخلاف ماهیة الزنا فانها لاتتضمن أی التزام من احد الطرفین تجاه الآخر، ومن ثمّ سمی القرآن الکریم النکاح احصاناً، والزنا سفاحاً، فانّ معنی الاحصان یتضمن الحصن والثبات والاقامة، بینما معنی السفاح هو الاراقة السریعة، ویطلق علی الماء الذی یجری علی سفح الارض ویقال سفح الماء أی صبّه أو الماء اذا انصب،</w:t>
      </w:r>
    </w:p>
    <w:p>
      <w:pPr>
        <w:pStyle w:val="BookText"/>
        <w:rPr/>
      </w:pPr>
      <w:r>
        <w:rPr>
          <w:rFonts w:ascii="IRNazanin" w:hAnsi="IRNazanin" w:eastAsia="IRNazanin"/>
          <w:color w:val="111111"/>
          <w:sz w:val="28"/>
          <w:sz w:val="28"/>
          <w:szCs w:val="28"/>
          <w:rtl w:val="true"/>
          <w:lang w:bidi="fa-IR"/>
        </w:rPr>
        <w:t>وسفح الجبل وجهه، ویقال للزنا سفاح لان الماء یصب ضائعا، فکأنّ الزانیین لاهمّ لهما فی احترام الماء من الطرفین بالالتزام والتعهد والاقرار بنسبة النسل المتولد من فعلهما وماءهما، حیث إن الزانی لاهمّ له الا إراقة الماء، وقضاء الشهوة، بینما فی النکاح هناک تعاقد وتواثق بین الطرفین علی تملیک الرجل منافع الاستمتاع من المرأة، وبضعها فی مقابل التزام الرجل بالالتزامات الزوجیة وآثارها</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النکاح ولو متعة قد اخذ فیه معنی الاقتران والمعیة والتکافؤ وهذا بخلافه فی الزنا، فانّ الرجل قد یزنی بالوضیعة والمجنونة، ولکنّه یأنف أن یقترن فی عقد النکاح بهما، بل ان النکاح نفسه علی درجات، فان من النساء من یتزوج بها من أجل قضاء الوطر کما فی المتعة، ومنهن من یتزوج بهن لأجل انشاء بیت الزوجیة، ومنهن من یتزوج بهن لاجل الانجاب، وأن تکون اماً لاولاده، کما یشیر الی ذلک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لِباسٌ لَکُمْ وَ أَنْتُمْ لِباسٌ لَهُنَّ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آیاتِهِ أَنْ خَلَقَ لَکُمْ</w:t>
      </w:r>
    </w:p>
    <w:p>
      <w:pPr>
        <w:pStyle w:val="BookText"/>
        <w:rPr/>
      </w:pPr>
      <w:r>
        <w:rPr>
          <w:rFonts w:ascii="Amiri" w:hAnsi="Amiri" w:eastAsia="Amiri" w:cs="Amiri"/>
          <w:color w:val="111111"/>
          <w:sz w:val="28"/>
          <w:sz w:val="28"/>
          <w:szCs w:val="28"/>
          <w:rtl w:val="true"/>
          <w:lang w:bidi="ar-SA"/>
        </w:rPr>
        <w:t>مِنْ أَنْفُسِکُمْ أَزْواجاً لِتَسْکُنُوا إِلَیْها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هناک فرقاً فی الآثار الوضعیة والتکوینیة بین النکاح والسفاح، مثل ان المرأة فی النکاح حیث أنها مملوکة بضعها ومتعتها للزوج فلا تخونه بحسب میثاق الزوجیة بفراش غیره، وهذا بخلاف الزنا، فلا تخلص فی الودّ والوفاء له، وبعبارة أخری ان هناک فی النکاح ارتباط روحیاً ووئاماً نفسیاً وعلاقة معنویة ولیست مجرد ارتباط جسدی بتحریک الغریزة الجنسیة، ومن ثمّ لا تجد هناک تعهد والتزام بالحضانة والکفالة لِما یتنسل وینجب من طریق الزنا والحرام بخلاف ما یکون من طریق النکاح، ویستتبع ذلک عدم بناء الاسرة وعدم تربیة اجیال المجتمع، وبالتالی نشوء اجیال تحمل العقد الروحیة والتمرد علی الطبیعة البشریة وعدم ألفتها للحنان والعطوفة التی حرمت منه، فیتفشی من ذلک ویتداعی جملة من المفاسد الخطیرة فی مجمل فصول النظام الاجتماعی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الفارق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هناک فرق بین النکاح وملک الیمین وبین ملک الیمین والزنا، حیث ان ملک الیمین ملکیة السید لمنافع الأمة الجنسیة وغیرها من دون تملک الأمة شیئاً عن السید عدا لزوم النفقة ونحوها لأنها فی عیلولته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فلیس فی ملک الیمین عنصر التکافؤ، وعلی ضوء ذلک</w:t>
      </w:r>
    </w:p>
    <w:p>
      <w:pPr>
        <w:pStyle w:val="BookText"/>
        <w:rPr/>
      </w:pPr>
      <w:r>
        <w:rPr>
          <w:rFonts w:ascii="IRNazanin" w:hAnsi="IRNazanin" w:eastAsia="IRNazanin"/>
          <w:color w:val="111111"/>
          <w:sz w:val="28"/>
          <w:sz w:val="28"/>
          <w:szCs w:val="28"/>
          <w:rtl w:val="true"/>
          <w:lang w:bidi="fa-IR"/>
        </w:rPr>
        <w:t>اختلفت جملة من الاثار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یتضح الفرق بین ملک الیمین والزنا، حیث ان لاملکیة شاملة فی الزنا اذ لم یقع التعاقد والاجارة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یتضح الفرق أیضاً بین نکاح المتعة والزنا والاجارة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ان هناک فی النکاح اقتراناً ومقارنة بین شخصیة الزوجین سواء فی بعد البدنی الجنسی أو غیره، کالبعد المعنوی، بل ان الزوج یملک البضع والاستمتاعات مقابل تملک المرأة المهر، بخلاف الاجارة علی الزنا فانه اتلاف للمنفعة مضمون أو انتفاع بضمان أو بذل فی مقابل بذل، ولک ان تقول ان فی النکاح املاک المرأة نفسها للزوج سواء بلحاظ المنافع والاستمتاعات أو بلحاظ أنها سکن له، بینما فی الزنا یقتصر لو سلم فی ماهیته علی منافع الاستمتاع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عرف أصحابنا الزنا بعدة تعریفات فقال الراوندی فی فقه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الزنا هو فعل مخصوص لایجری علی طریقة لازمة وسنة جاریة، لذلک لایقال للمشرکین فی الجاهلیة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لاهل الذمة والمعاهدین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عقدا بینهم یتعارفونه</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یخرج فعل الصداقة عند الغربیین عن الزنا ویندرج فی نمط من الزواج العرفی بلحاظ ماجری له من تطویر فی التزام النفقة والسکن المشترک وغیرها من الالتزامات فیصحح محاولة فقهاء القانون عندهم فی دراستهم أن یکیفوها مع ماهیة النکاح، وعرّف کثیر من الاصحاب الزنا بالوطی أو الایلاج بغیر عقد نکاح ولاملک مع</w:t>
      </w:r>
    </w:p>
    <w:p>
      <w:pPr>
        <w:pStyle w:val="BookText"/>
        <w:rPr/>
      </w:pPr>
      <w:r>
        <w:rPr>
          <w:rFonts w:ascii="IRNazanin" w:hAnsi="IRNazanin" w:eastAsia="IRNazanin"/>
          <w:color w:val="111111"/>
          <w:sz w:val="28"/>
          <w:sz w:val="28"/>
          <w:szCs w:val="28"/>
          <w:rtl w:val="true"/>
          <w:lang w:bidi="fa-IR"/>
        </w:rPr>
        <w:t>العلم بالتحریم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من کلامهم ان الزنا هو الوطی المأخوذ فیه ان لایکون عن علاقة مشروعة وکل طریق غیر رسمی وغیر مرسوم لدی العرف یندرج فی الزنا، وهو یقرب لما قاله الراوندی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ثم أنَّه یتجنب الاعلان والاظهار فی موارد الزنا، بخلاف موارد النکاح وملک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السید الکلبایکانی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الزنا هو الوطی غیر المستحق</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وهذا فی الحقیقة راجع الی تعریف المشهور أیضاً، حیث ان الاستحقاق انما یتم بالاسباب المشروعة والمرسومة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قد یشکل بالفرق بین النکاح والزنا والتخادن، کما فی قوله تعالی مُحْصِنِینَ غَیْرَ مُسافِحِینَ وَ لا مُتَّخِذِی أَخْدانٍ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ففرق بین السفاح والاخدان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یشکل علی تعریف المشهور للزنا بانّه لیس من التمییز الماهوی بینه وبین النکاح، بل هو من أخذ الحکم فی موضوع نفسه فهو اشبه بالدور، نعم هذا التعریف هو باللوازم لکونها اظهر من کنه المائز الذاتی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ویفرق بین العناوین الثلاثة بانّ المحصنین هم الذین یتقیدون بالمعقود علیها ویعفّون انفسهم عن الفجور، بخلاف المسافحین الذین لایمسکون میولهم عن أی امرأة، أو عن ما عدا الحلیلة، وأمّا المتخادنون فهم الذین ینشئوون الصداقة الخفیة ویتواطئون فیها علی الفجور عن طریق غیر</w:t>
      </w:r>
    </w:p>
    <w:p>
      <w:pPr>
        <w:pStyle w:val="BookText"/>
        <w:rPr/>
      </w:pPr>
      <w:r>
        <w:rPr>
          <w:rFonts w:ascii="IRNazanin" w:hAnsi="IRNazanin" w:eastAsia="IRNazanin"/>
          <w:color w:val="111111"/>
          <w:sz w:val="28"/>
          <w:sz w:val="28"/>
          <w:szCs w:val="28"/>
          <w:rtl w:val="true"/>
          <w:lang w:bidi="fa-IR"/>
        </w:rPr>
        <w:t xml:space="preserve">مشروع، اذ الخدن هو الخلیل فی السرّ، والتخادن هو العلاقة المتواطیء علیها سرا، وسبب الاسرار بها کونها غیر رسمیة وعلاقة غیر مقرّ بها، لایرتادها الناس شرعة، والظاهر ان هذا التعریف للزنا من السلوک والعلاقة الجنسیة من طریق غیر مشروع هو التعریف المقرر فی اعراف جملة الشعوب البشریة فی هذه الماهیة الا أن الخلاف یقع بینها فی تحدید الطرق المشروعة، ومن ثمّ ورد عنه صلی الله علیه و آله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قوم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النهی عن الطعن فی ابناء الأمم الاخری معللین ذلک بان لکل قوم نکاح</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ان النکاح فی فرقه عن الزنا، انه اعتبار بین الشخصین مقرر فی شرع عرف السماء کطریقة مقرّ بها ومرسومة بخلاف الزنا، فتکوین الاعتبار المرسوم بین الشخصین نکاح، وبالتالی یکون محترما عند العرف، ویرتّب علیه الآثار ویعتدّ به، ومن ثم یدخل فی طی معناه الکفاءة والتعادل بین الرجل والمرأة، وهذا الاعتبار یتفاوت شدة وضعفا، فانّ النکاح الدائم المعلن عنه اشد من النکاح الدائم غیر المعلن، کما ان ما یقصد به بناء بیت الزوجیة وانجاب النسل یختلف عن مایقصد به مجرد العشرة، کما انّه یختلف عن نکاح المتعة المنقطع وهو ذو درجات فما یکون منه لمدة طویلة بنحو معلن عنه مبرز ولاسیما اذا کان بداعی الانجاب أیضاً یختلف عن الذی یکون لمدّة قصیرة، وعلی أی تقدیر فالطرق المشروعة تختلف فی درجات اعتبارها بین کونها سبل اصلیة، أو سبل فرعیة، فالسبل الاصلیة هی التی تمارس بکثرة والسبل الفرعیة تمارس بقلة أو فی حالة الحاجة والضرورة من دون أن یعنی ذلک الغاءها کمتنفس ومحل ارتیاد فی جملة من الصور والحالات، ولعل مایروی عند العامة من امره صلی الله علیه و آله بالمتعة تارة ونهیه أخری وتکرر کل من الامر والنهی لو سلم صدق هذه النسبة فلعلها بلحاظ</w:t>
      </w:r>
    </w:p>
    <w:p>
      <w:pPr>
        <w:pStyle w:val="BookText"/>
        <w:rPr/>
      </w:pPr>
      <w:r>
        <w:rPr>
          <w:rFonts w:ascii="IRNazanin" w:hAnsi="IRNazanin" w:eastAsia="IRNazanin"/>
          <w:color w:val="111111"/>
          <w:sz w:val="28"/>
          <w:sz w:val="28"/>
          <w:szCs w:val="28"/>
          <w:rtl w:val="true"/>
          <w:lang w:bidi="fa-IR"/>
        </w:rPr>
        <w:t>ذلک، أی بلحاظ ان لایهجر النکاح الدائم ویتخذ نکاح المتعة سبیلاً اصلیا، لا انّه نهی تحریمی ذاتی فضلا ان یکون ناسخا، بل قد یراد الارشاد منه، والاشارة الی تجنب ممارسة تطبیقیة مفرطة فیه، کما ان تأکید الامر به کی یبقی طریقاً مشروعاً لابدّ منه لحل جملة من الحالات التی یستعصی فیها اقامة النکاح الدائم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الفارق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 قد یفرق بین النکاح والزنا بان النکاح ارتباط معنوی وبدنی بین الزوجین، بینما الزنا ارتباط بدنی لاغیر، فکانّه فعل بهیمی محض نظیر ما تفعله بعض الحیوانات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متردی فی الحضیض الغریزی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البعض الآخر التی تقوم بالسفاد بنحو اختصاص، نظیر ما عند الانسان أی من غیر شیوع فی النزوة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الزنا مثل الفعل البهیمی لأحط 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وبکل ما مرّ یتبیّن وهن الاشکال المتقدم بکون المتعة سفاح منسوخة بالآیة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محصنین غیر مسفحین اذ مع اعتبار الخصم أنها مشروعة سابقاً فکیف یشملها عنوان السفاح، مع ان هذا المقطع من الآیة فی نفس آیة حلیة المتعة فبعده قوله تعالی فما استمتعتم به منهن، وأمّا انتفاء جملة من الآثار علی المتعة فهذا لایسلب ماهیة النکاح عنها، اذ النفقة تسقط بالنشوز أیضاً، والارث قد یمنع عن الزوجة أیضاً فی فرض لو کانت قاتلة، أو ذمیة أو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والطلاق والبینونة قد تحصل بغیر طلاق فی الدائمة کما فی الملاعنة والمرتدّة والأمة المبیعة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عدم اللعان والظهار والایلاء، ففی الدائمة أیضاً قد تمتنتع هذه العناوین اذا فقدت الشروط</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هناک جملة من الاشکالات التی تثار عندهم علی المتعة لاترتبط بتشریع نکاح المتعة وانما هی اشکالات نابعة من عدم صیرورة نکاح المتعة عرفاً سائداً اذ أی تشریع یحتاج فی مرحلة التطبیق والتنزّل الی الممارسة العملیة والی تجربة من العرف فی کیفیة حسن العمل والاستفادة من ذلک التشریع والقانون وکیفیة التحرز من سوء الاستفادة من ذلک التشریع والقانون، فجملة من هذه الاشکالات ناشئة من ذلک، والاّ فهی بعینها قابلة للتصویر والایراد علی النکاح الدائم أیضاً بلا فرق بین قسمی النکاح</w:t>
      </w:r>
      <w:r>
        <w:rPr>
          <w:rFonts w:eastAsia="IRNazanin" w:cs="IRNazanin"/>
          <w:color w:val="111111"/>
          <w:sz w:val="28"/>
          <w:szCs w:val="28"/>
          <w:rtl w:val="true"/>
          <w:lang w:bidi="fa-IR"/>
        </w:rPr>
        <w:t>.</w:t>
      </w:r>
      <w:bookmarkStart w:id="329" w:name="pg13690_120610"/>
    </w:p>
    <w:p>
      <w:pPr>
        <w:pStyle w:val="Heading2"/>
        <w:numPr>
          <w:ilvl w:val="1"/>
          <w:numId w:val="1"/>
        </w:numPr>
        <w:rPr/>
      </w:pPr>
      <w:bookmarkStart w:id="330" w:name="__RefHeading___Toc907214_1468164448"/>
      <w:bookmarkStart w:id="331" w:name="_Toc126"/>
      <w:bookmarkEnd w:id="329"/>
      <w:bookmarkEnd w:id="330"/>
      <w:r>
        <w:rPr>
          <w:rtl w:val="true"/>
        </w:rPr>
        <w:t>قاعدة</w:t>
      </w:r>
      <w:r>
        <w:rPr>
          <w:rtl w:val="true"/>
        </w:rPr>
        <w:t>:</w:t>
      </w:r>
      <w:r>
        <w:rPr>
          <w:rtl w:val="true"/>
        </w:rPr>
        <w:t>فی المال او الحق المأخوذ استمالة أو اکراها</w:t>
      </w:r>
      <w:bookmarkEnd w:id="331"/>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2" w:name="__RefHeading___Toc907216_1468164448"/>
      <w:bookmarkStart w:id="333" w:name="_Toc127"/>
      <w:bookmarkEnd w:id="332"/>
      <w:r>
        <w:rPr>
          <w:rtl w:val="true"/>
        </w:rPr>
        <w:t>اشارة</w:t>
      </w:r>
      <w:bookmarkStart w:id="334" w:name="pg13690_120612"/>
      <w:bookmarkEnd w:id="333"/>
    </w:p>
    <w:p>
      <w:pPr>
        <w:pStyle w:val="Heading3"/>
        <w:numPr>
          <w:ilvl w:val="2"/>
          <w:numId w:val="1"/>
        </w:numPr>
        <w:rPr/>
      </w:pPr>
      <w:bookmarkStart w:id="335" w:name="__RefHeading___Toc907218_1468164448"/>
      <w:bookmarkStart w:id="336" w:name="_Toc128"/>
      <w:bookmarkEnd w:id="334"/>
      <w:bookmarkEnd w:id="335"/>
      <w:r>
        <w:rPr>
          <w:rtl w:val="true"/>
        </w:rPr>
        <w:t>من قواعد أبواب المعاملات</w:t>
      </w:r>
      <w:r>
        <w:rPr>
          <w:rtl w:val="true"/>
        </w:rPr>
        <w:t>:</w:t>
      </w:r>
      <w:r>
        <w:rPr>
          <w:rtl w:val="true"/>
        </w:rPr>
        <w:t>فی المال أو الحق المأخوذ استمالة أو إکراها</w:t>
      </w:r>
      <w:bookmarkEnd w:id="336"/>
    </w:p>
    <w:p>
      <w:pPr>
        <w:pStyle w:val="BookText"/>
        <w:rPr/>
      </w:pPr>
      <w:r>
        <w:rPr>
          <w:rFonts w:ascii="IRNazanin" w:hAnsi="IRNazanin" w:eastAsia="IRNazanin"/>
          <w:color w:val="111111"/>
          <w:sz w:val="28"/>
          <w:sz w:val="28"/>
          <w:szCs w:val="28"/>
          <w:rtl w:val="true"/>
          <w:lang w:bidi="fa-IR"/>
        </w:rPr>
        <w:t>وهذه الضابطة لیست میزانا فی المقام فحسب بل هی ساریة فی کل العقود والمعاملات والایقاعات من انّ انشاءها والاقدام علیها اذا کان لدفع شر الطرف الآخر أو سوء خلقه أو بعض الاذیة أو الضرر والاضرار غیر الواصل الی حدّ الشدة والحدّه أو الالجاء أو الاضطرار فانه لیس باکراه مبطل لذلک الانشاء، وترتیب الآثار علیه من الطرفین، نعم هو دناءة من الأخذ وقد یسمی سحتاً بهذا اللحاظ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لهذه القاعدة عدة تطبیقات منها ما فی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بذل الزوجة شیء من حقوقها أو مالها استمالة أو للخلع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البذل یفترض علی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الزوج تارة یمنعها عن الحقوق المستحبة أو غیرها لابنحو الایذاء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واخری یمنعها عن حقوقها الواجبة لابقصد بذلها وتنازلها عن حقوقها</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یمنعها عن حقوقها الواجبة بقصد ذلک ولکن من دون أن یظهر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یمنعها عن حقوقها الواجبة بقصد ذلک مع اظهار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اکرهها علی نفس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اتفقوا علی جوازه لانه لیس باکراه منه لها علی ذلک، ولا امساک لها بضرار لیکون اخذ ما بذلته 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فی المبسوط وکذا فی متن الشرائع وعن الارشاد والمسالک الجواز فی الصورة الثانیة أیضاً بل یظهر من بعض المذکورین بل صریح بعضهم الجواز فی الصورة الثالثة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فی الصورة الثانیة بعد ما حکی المنع عن بعض العامة انّ الذی یقتضیه مذهبنا انّ هذا لیس اکراها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القواعد تقیید الحقوق بالمستحبة، وفی الحدائق انما لم یکن ذلک اکراها لانّه أمر منفک عن طلب الخلع فانّه قد یفعل ذلک مع ارادته المقام معها، وانما منعها لحرصه علی المال وقلّة تدینه أو میله الی ضرتها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ذکره من التعلیل أو الوجه منطبق علی الصورة الثانیة وقابل للانطباق علی الصورة الثالثة</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الجواهر استشکل فیما عدا الصورة الأولی، أما الاخیرتین فلصدق الاکراه، واما الثالثة فلإندراجه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تُمْسِکُوهُنَّ ضِراراً لِتَعْتَدُوا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قرّب عموم الاندراج للصورة الثانیة أیضاً، ولکونه اشبه شیء بعوض علی المحرّم، فانّ بذلها للخلاص من اسره ومن ظلمه</w:t>
      </w:r>
    </w:p>
    <w:p>
      <w:pPr>
        <w:pStyle w:val="BookText"/>
        <w:rPr/>
      </w:pPr>
      <w:r>
        <w:rPr>
          <w:rFonts w:ascii="IRNazanin" w:hAnsi="IRNazanin" w:eastAsia="IRNazanin"/>
          <w:color w:val="111111"/>
          <w:sz w:val="28"/>
          <w:sz w:val="28"/>
          <w:szCs w:val="28"/>
          <w:rtl w:val="true"/>
          <w:lang w:bidi="fa-IR"/>
        </w:rPr>
        <w:t>فیحرم علی الظالم، وذکر الشهید الثانی فی شرح اللمعة فی مسألة نُشوز الزوج، ولیس له منع بعض حقوقها لتبذل له مالا لیخلعها فان فعل فبذلت أثم وصح قبوله ولم یکن اکراها، نعم لو قهرها علیه بخصوصه لم یحل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یقرب الاستدلال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تَعْضُلُوهُنَّ لِتَذْهَبُوا بِبَعْضِ ما آتَیْتُمُوهُنَّ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 الله عضل المرأة بغیر حق واحواجها بالعضل الی ان تفتدی نفسها فیذهب بذلک ببعض ما آتاها، واصل العضل التضییق والمنع، والمراد هنا مضادة المرأة وسوء العشرة معها لیضطرها الی الافتداء منه بمالها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واطلاق الآیة شامل لما اذا اظهر قصده أم لم یظهره، بل قد یقال انه شامل لما لو لم یقصد أیضاً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العاقبة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فالتقطه آل فرعون لیکون لهم عدوا وحزنا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لمطلق الترتب وان لم یکن فیها 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ویعضده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الآیة دلالات متعددة حیث انّ الحرمة انصبت علی الاخذ بقول مطلق الذی هو قد یکون نتیجة عضل الزوج أو مضارته لها، کما انّ مفهوم نفی الجناح علی کل منهما المتعلق بفدائها هو الآخر متعلق بأخذ المال أیضاً</w:t>
      </w:r>
    </w:p>
    <w:p>
      <w:pPr>
        <w:pStyle w:val="BookText"/>
        <w:rPr/>
      </w:pPr>
      <w:r>
        <w:rPr>
          <w:rFonts w:ascii="IRNazanin" w:hAnsi="IRNazanin" w:eastAsia="IRNazanin"/>
          <w:color w:val="111111"/>
          <w:sz w:val="28"/>
          <w:sz w:val="28"/>
          <w:szCs w:val="28"/>
          <w:rtl w:val="true"/>
          <w:lang w:bidi="fa-IR"/>
        </w:rPr>
        <w:t>وانّ الحل مقید بمورد تنازعهما ووجود النفرة بینهما، وانّ ما وراء ذلک تعدی لحدود الله کما لو کان النشوز منه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والنهی عن الأخذ مطلقا الا فی صورة الکراهة من الطرفین أو من طرف واحد کما التزم بذلک فی الخلع والمباراة کما فی صحیح أبی الصباح الکنانی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ولایحل له ان یخلعها حتی تکون هی التی تطلب ذلک منه من غیر أن یضر بها، وحتی تقول لا أبرّ لک قسما ولا اغتسل لک من جنابة ولأدخلنّ بیتک من تکره ولأوطئن فراشک ولا اقیم حدود الله، فاذا کان هذا منها فقد طاب له ما أخذ منها</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الروایات الشارطة حل وطیب الاخذ والمأخوذ بذلک لاسیما وان الخلع والمباراة نحو من الصلح والمعاوضة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استثنی فی الآیة إِلاّ أَنْ یَأْتِینَ بِفاحِشَةٍ مُبَیِّنَةٍ وفسرت بالزنا، وقیل کل ما یوجب الحدّ وقیل کل معصیة، ونسبه فی مجمع البیان الی الروایة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النشوز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ویدل علی التعمیم الی ذلک عموم الآیة فی سورة البقرة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یستدل به فی المقام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أَرَدْتُمُ اسْتِبْدالَ زَوْجٍ مَکانَ زَوْجٍ وَ آتَیْتُمْ إِحْداهُنَّ قِنْطاراً فَلا تَأْخُذُوا مِنْهُ شَیْئاً أَ تَأْخُذُونَهُ بُهْتاناً وَ إِثْماً مُبِیناً وَ کَیْفَ تَأْخُذُونَهُ وَ قَدْ أَفْضی بَعْضُکُمْ إِلی بَعْضٍ وَ أَخَذْنَ مِنْکُمْ مِیثاقاً غَلِیظاً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فی مجمع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تکون المرأة عجوزا أو ذمیمة فیضار بها الزوج لتفتدی نفسها منه فهذا لایحل له للآیة بخلاف ما لو رآها علی فاحشة أو خافا أن لایقیما حدود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انّه یمکن تقریب حرمة أخذ الزوج العوض علی الطلاق بأنه من باب الجمع بین العوض والمعوض، حیث بوطئه للزوجة فقد استوفی عوضه، فاذا اخذ مالا علی الطلاق یکون بذلک قد استرجع العوض من دون أن یرجع المعوض الا فی موارد کراهة الزوجة أو نشوزها فانها حینئذ تکون متعدیة علی حقه بقاءاً، فیسوغ له أخذ العوض علی ما یذهب من حقه، ومثل ذلک ما لو أتت بفاحشة مبیّنة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ذلک اسقاط المرأة بعض حقوقها لان لایضار بها الزوج، ویقلع عن ایذائها اذا کان الاسقاط عوضاً عن ترکه للعضل والمضارة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اذا کان ذلک من المرأة لیس بنحو المعاوضة ولکن بداعی ذلک، وکانت المضارة من الزوج هی بداعی اسقاطها فلایبعد أن یکون ذلک ملحقا بالاکراه، وأمّا اذا لم تکن المضارة من الزوج بداعی ذلک، ولکن اسقاط المرأة کان بداعی استمالته وترکه مضارتها فعدم ادائه لما اسقطته من حقوق لایرد علیه شبهة الاکراه ودعوی صاحب الجواهر انّه شبه العوض علی المحرم لیس الا من التشبیه الذی لیس بحقیقة، نعم قد یعدّ سحتاً بمعنی الامر الدنیء، نعم لایسوغ ذلک فی البذل علی الطلاق لما عرفت من انه جمع بین العوض والمعوض، وان لم یکن الزوج قاصداً للاضرار</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لایخفی انّ فی صورة اسقاط المرأة لبعض حقوقها استمالة یسوغ لها المطالبة بالحقوق المستجدة لانها مخیرة فی الاصل بین استیفاء حقوقها أو</w:t>
      </w:r>
    </w:p>
    <w:p>
      <w:pPr>
        <w:pStyle w:val="BookText"/>
        <w:rPr/>
      </w:pPr>
      <w:r>
        <w:rPr>
          <w:rFonts w:ascii="IRNazanin" w:hAnsi="IRNazanin" w:eastAsia="IRNazanin"/>
          <w:color w:val="111111"/>
          <w:sz w:val="28"/>
          <w:sz w:val="28"/>
          <w:szCs w:val="28"/>
          <w:rtl w:val="true"/>
          <w:lang w:bidi="fa-IR"/>
        </w:rPr>
        <w:t>اسقاطها، فالتخییر علی حاله بقاءا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استدل للجواز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بتقریب ان المراد من الخوف العلم والاطمئنان نظیر قوله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هذا یکون موضوع الآیة وقوع النشوز من الزوج، بخلاف ما اذا فسر الخوف بالترقب والحذر فیکون موضوع الآیة ترقب النشوز لا وقوعه، کما انّ الاعراض عبارة‌عن نوع من سوء العشرة، ویعضد هذا الاستظهار ما فی الآیة من فرض الصلح بینهما، وهو یقتضی فرض وقوع النزاع وان کانت الروایات الواردة فی ذیل الآیة قد فسرتها بالخوف من الطلاق، وکراهة الزوج لها، ولعلّ ذلک من باب بیان بعض المصادیق</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ففی صحیح الحلبی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وَ إِنِ امْرَأَةٌ خافَتْ مِنْ بَعْلِها نُشُوزاً أَوْ إِعْراضاً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المرأة تکون عند الرجل فیکرهها فیقول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انی ارید أن اطلقک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لاتفعل انی اکره أن تشمت بی ولکن انظر فی لیلتی فاصنع بها ما شئت، وما کان سوی ذلک من شیء فهو لک، ودعنی علی حالتی فهو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جُناحَ عَلَیْهِما أَنْ یُصْلِحا بَیْنَهُما صُلْحاً وهذا هو الصلح</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بقیة الروایات فی الباب، وعلی هذا التفسیر فی الروایات یکون إلجاء الزوج للزوجة بشیء محلل وهو الطلاق، وقد یستدل أیضاً باطلاق آیة الخلع لما لو کان النزاع بینهما سببه نشوز الزوج أولاً وعضله، کما یستدل باطلاق الفاحشة المبینة الذی هو استثناء من حرمة العضل، لمطلق معصیة الزوجة للزوج</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ویرد علی الاستدلال بالجواز ان مورد الآیة وان کان الاظهر فیه وقوع النشوز بالقرائن السابقة الا انّ البذل والاسقاط لیس فی مقابل نشوز الزوج بل فی مقابل کراهته للمقام معها وارادته الانفصال عنها، وهذا ما اشارت الیه الروایات الواردة فی ذیل الآیة فانها فی صدد تعیین المبذول بازائه لا فی صدد نفی النشوز فإنما یصح للزوج فی‌مقابل ذلک، وأما اطلاق آیة الخلع ونحوها لما لو کان ابتداء النزاع من نشوز الزوج وکراهته فلایصلح دلیلا للجواز وذلک لانّ الفرض انّ البذل حصل بعد وقوع الکراهة من الزوجة وهو حینئذ سائغ لانها تکون ناشزا أو متعدیة علی حق الزوج، وان کان ذلک منها هو بسبب نشوز الزوج ابتداءاً، فلاشهادة فی الاطلاق علی جواز اخذ الفداء أو البذل مقابل نشوز الزوج خاصة مع عدم نشوزها وعدم کراهتها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ما قررناه من مقتضی القاعدة منطبق علیه الادلة الواردة وهو انّ بذل المرأة فی مقابل الطلاق لایصح للزوج أخذه الا مع کراهتها له، فیحرم الاخذ فیما عدا الصورة الاولی من الصور الخمسة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اسقاطها لبعض حقوقها أو تنازلها عنها فلایصح ذلک للزوج مع کونه مضارا لها عاضلا ایاها بقصد ذلک وهی الصورة الثالثة فضلا عن ابراز ذلک، فانّه نمط من التسبیب منه فیکون اکراهاً عرفاً</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ان لایکون قاصدا ذلک فلعلّ الاوجه التفصیل بین ما لو کان نشوزه وتضییقه علیها کان بدرجة شدیدة ضاغطة علی المرأة یضطرها الی التنازل عن حقوقها فانّه یعدّ عرفاً تسبیباً منه لذلک واکراها منه لها وان لم یقصد، بخلاف ما لو لم یکن بتلک الدرجة ولم یکن بحدّ الالجاء والاضطرار العرفی للمرأة، فانه لایکون ذلک منه تسبیباً باستقلال السببیة فلایکون اکراها، ویکون اقدام الزوجة باختیار منها، ولایبعد هذا التفصیل فی الصورة الثالثة أیضاً، وانّ مراد جملة من المتقدمین ممن فصل بین الاکراه وهی الصورة الرابعة والخامسة وبین غیر الاکراه من الصورة الثانیة والثالثة هو التفصیل بلحاظ ذلک فما أورده علیهم صاحب الجواهر مدفوع بما عرفت من عدم وجود التسبیب بنحو یوجب صدق الاکراه أو الالجاء أو فقد الاختیار، ولیس العوض علی فعله أو التنازل عن بعض الحقوق محرم، کما انّه لایصدق الحدّ المذکور فی الآیات انه عضل لیذهب ببعض ما أتاها، ولا مضارة لیضیق علیها أو لیعتدی مما قد ورد فی الآیات، فانّ ذلک انّما یصدق فی الشدید المستقل فی التسبیب الضاغط علی ارادتها وهو مما یصدق معه الاکراه، فالتفصیل بما ذکره القدماء من صدق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الاکراه وعدمه هو الصحیح وأنّه لیس مطلق نشوز الزوج یحرم معه البذل وان کان نشوزه فی نفسه محرم، ولکن الاخذ لیس بمحرم لاتکلیفا ولا وضعا</w:t>
      </w:r>
      <w:r>
        <w:rPr>
          <w:rFonts w:eastAsia="IRNazanin" w:cs="IRNazanin"/>
          <w:color w:val="111111"/>
          <w:sz w:val="28"/>
          <w:szCs w:val="28"/>
          <w:rtl w:val="true"/>
          <w:lang w:bidi="fa-IR"/>
        </w:rPr>
        <w:t>.</w:t>
      </w:r>
      <w:bookmarkStart w:id="337" w:name="pg13690_120622"/>
    </w:p>
    <w:p>
      <w:pPr>
        <w:pStyle w:val="Heading2"/>
        <w:numPr>
          <w:ilvl w:val="1"/>
          <w:numId w:val="1"/>
        </w:numPr>
        <w:rPr/>
      </w:pPr>
      <w:bookmarkStart w:id="338" w:name="__RefHeading___Toc907220_1468164448"/>
      <w:bookmarkStart w:id="339" w:name="_Toc129"/>
      <w:bookmarkEnd w:id="337"/>
      <w:bookmarkEnd w:id="338"/>
      <w:r>
        <w:rPr>
          <w:rtl w:val="true"/>
        </w:rPr>
        <w:t>قاعدة</w:t>
      </w:r>
      <w:r>
        <w:rPr>
          <w:rtl w:val="true"/>
        </w:rPr>
        <w:t>:</w:t>
      </w:r>
      <w:r>
        <w:rPr>
          <w:rtl w:val="true"/>
        </w:rPr>
        <w:t>فی لزوم الفحص الموضوعی قبل البینة أو الیمین</w:t>
      </w:r>
      <w:bookmarkEnd w:id="339"/>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0" w:name="__RefHeading___Toc907222_1468164448"/>
      <w:bookmarkStart w:id="341" w:name="_Toc130"/>
      <w:bookmarkEnd w:id="340"/>
      <w:r>
        <w:rPr>
          <w:rtl w:val="true"/>
        </w:rPr>
        <w:t>اشارة</w:t>
      </w:r>
      <w:bookmarkStart w:id="342" w:name="pg13690_120624"/>
      <w:bookmarkEnd w:id="341"/>
    </w:p>
    <w:p>
      <w:pPr>
        <w:pStyle w:val="Heading3"/>
        <w:numPr>
          <w:ilvl w:val="2"/>
          <w:numId w:val="1"/>
        </w:numPr>
        <w:rPr/>
      </w:pPr>
      <w:bookmarkStart w:id="343" w:name="__RefHeading___Toc907224_1468164448"/>
      <w:bookmarkStart w:id="344" w:name="_Toc131"/>
      <w:bookmarkEnd w:id="342"/>
      <w:bookmarkEnd w:id="343"/>
      <w:r>
        <w:rPr>
          <w:rtl w:val="true"/>
        </w:rPr>
        <w:t>من القواعد العامة</w:t>
      </w:r>
      <w:r>
        <w:rPr>
          <w:rtl w:val="true"/>
        </w:rPr>
        <w:t>:</w:t>
      </w:r>
      <w:r>
        <w:rPr>
          <w:rtl w:val="true"/>
        </w:rPr>
        <w:t>فی لزوم الفحص الموضوعی قبل البینة أو الیمین</w:t>
      </w:r>
      <w:bookmarkEnd w:id="344"/>
    </w:p>
    <w:p>
      <w:pPr>
        <w:pStyle w:val="Heading4"/>
        <w:numPr>
          <w:ilvl w:val="3"/>
          <w:numId w:val="1"/>
        </w:numPr>
        <w:rPr/>
      </w:pPr>
      <w:bookmarkStart w:id="345" w:name="__RefHeading___Toc907226_1468164448"/>
      <w:bookmarkStart w:id="346" w:name="_Toc132"/>
      <w:bookmarkEnd w:id="345"/>
      <w:r>
        <w:rPr>
          <w:rtl w:val="true"/>
        </w:rPr>
        <w:t>اشارة</w:t>
      </w:r>
      <w:bookmarkEnd w:id="346"/>
    </w:p>
    <w:p>
      <w:pPr>
        <w:pStyle w:val="BookText"/>
        <w:rPr/>
      </w:pPr>
      <w:r>
        <w:rPr>
          <w:rFonts w:ascii="IRNazanin" w:hAnsi="IRNazanin" w:eastAsia="IRNazanin"/>
          <w:color w:val="111111"/>
          <w:sz w:val="28"/>
          <w:sz w:val="28"/>
          <w:szCs w:val="28"/>
          <w:rtl w:val="true"/>
          <w:lang w:bidi="fa-IR"/>
        </w:rPr>
        <w:t>قال الأصفهانی فی 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اختلفا فی العیب فالقول قول منکره مع الیمین، اذا لم یکن لمدعیه بیّنة، ویثبت بها العیب حتی العنن علی الاقوی، کما انّه یثبت کل عیب باقرار صاحبه أو البیّنة علی اقراره، وکذا یثبت بالیمین المردودة علی المدعی ونکول المنکر عن الیمین کسائر الدعاوی، وتثبت العیوب الباطنة للنساء بشهادة أربعة نسوة عادلات کما فی نظائرها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اختلفا فی العیب فأصالة السلامة هی مع نافی العیب فیکون منکرا، والقائل بوجوده یکون مدعیاً فتکون البینة علی من ادعی العیب والیمین علی منکره ، لکن الظاهر من الروایات الآتیة انّه مع امکان الفحص وتبیّن الواقع فاللازم هو الفحص وعدم الاکتفاء بالحلف ونحوه، کما فی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تزوج الرجل المرأة الثیّب التی تزوجت زوجا غیره، فزعمت انّه لم یقربها منذ دخل بها فانّ القول فی ذلک قول الرجل وعلیه ان یحلف بالله لقد جامعها، لانها المدعیة،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تزوجت وهی بکر فزعمت انّه لم یصل الیها فانّ</w:t>
      </w:r>
    </w:p>
    <w:p>
      <w:pPr>
        <w:pStyle w:val="BookText"/>
        <w:rPr/>
      </w:pPr>
      <w:r>
        <w:rPr>
          <w:rFonts w:ascii="IRNazanin" w:hAnsi="IRNazanin" w:eastAsia="IRNazanin"/>
          <w:color w:val="111111"/>
          <w:sz w:val="28"/>
          <w:sz w:val="28"/>
          <w:szCs w:val="28"/>
          <w:rtl w:val="true"/>
          <w:lang w:bidi="fa-IR"/>
        </w:rPr>
        <w:t>مثل هذا تعرف النساء، فلینظر الیها من یوثق به منهنّ، فاذا ذکرت أنها عذراء فعلی الامام ان یأجله سنه، فان وصل الیها والاّ فرّق بینهما</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روایة عبدالله بن الفضل الهاشمی عن بعض مشایخه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امرأة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سأله رجل عن رجل تدعی علیه امرأته انّه عنین وینکر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تحشوها القابلة الخلوق، ولاتعلم الرجل، ویدخل علیها الرجل فان خرج وعلی ذکره الخلوق کذبت وصدق والاّ صدقت وکذب</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ونظیرها روایة غیاث بن ابراهیم</w:t>
      </w:r>
      <w:r>
        <w:rPr>
          <w:rStyle w:val="FootnoteAnchor"/>
          <w:rtl w:val="true"/>
        </w:rPr>
        <w:footnoteReference w:id="382"/>
      </w:r>
      <w:r>
        <w:rPr>
          <w:rFonts w:ascii="IRNazanin" w:hAnsi="IRNazanin" w:eastAsia="IRNazanin"/>
          <w:color w:val="111111"/>
          <w:sz w:val="28"/>
          <w:sz w:val="28"/>
          <w:szCs w:val="28"/>
          <w:rtl w:val="true"/>
          <w:lang w:bidi="fa-IR"/>
        </w:rPr>
        <w:t>الاّ انّ فیها انّه یغسل ذکره بعد ذلک فان خرج الماء اصفر صدّقه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مرسل الصدوق انّه یقعد الرجل فی ماء بارد فان استرخی ذکره فهو عنین وان تشنج فلیس بعنین</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خبر آخر انه یطعم السمک الطری ثلاثة أیام ثم یقال له بُل علی الرماد فان ثقب بوله الرماد فلیس بعنین وان لم یثقب بوله الرماد فهو عنین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الروایات جملتها متفقة علی مفاد واحد وهو لزوم الفحص</w:t>
      </w:r>
    </w:p>
    <w:p>
      <w:pPr>
        <w:pStyle w:val="BookText"/>
        <w:rPr/>
      </w:pPr>
      <w:r>
        <w:rPr>
          <w:rFonts w:ascii="IRNazanin" w:hAnsi="IRNazanin" w:eastAsia="IRNazanin"/>
          <w:color w:val="111111"/>
          <w:sz w:val="28"/>
          <w:sz w:val="28"/>
          <w:szCs w:val="28"/>
          <w:rtl w:val="true"/>
          <w:lang w:bidi="fa-IR"/>
        </w:rPr>
        <w:t>موضوعا مع الامکان، ولایبعد ان یقرر قاعدة فی باب القضاء من هذا المورد وأمثاله وهی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اعتبار البیّنة والیمین لاسیما الیمین ونحوها بعدم امکان استبیان الواقع والاّ تعیّن، وتتمة الکلام فیما یاتی من طیات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ظاهر صحیحة أبی حمزة الاکتفاء بالمرأة الواحدة فی الشهادة علی بکارة المرأة، لاسناد الفعل الی المفرد، ولکن فی صحیحة داود بن سرحان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 کان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لا تراها الرجال اجیزت شهادة النساء علیها</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الحلبی عن أبی عبدالله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بها ما لا یراه الرجال جازت شهادة النساء علیها</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یقال بالتفصیل بین ما کان من عیب فی عورة المرأة بالنسبة الی المرأة، فیکفی فیه امرأة موثوقة واحدة کما هو ظاهر صحیحة أبی حمزة ولانه من الضرورة، بخلاف ما اذا کان فی مواضع اخری من بدن المرأة حیث یمکن للنساء ان یطّلعن علیه فاللازم اربع الذی هو نصاب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یمکن أن یقرّب انّه مقتضی القاعدة وخرج منه ما استدعته الضرورة مما کان العیب فی موضع القبل أو الدبر، مما لایسوغ للنساء النظر إلیه الا ما استدعته الضرورة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وبقیة الکلام محرر فی باب القضاء</w:t>
      </w:r>
      <w:r>
        <w:rPr>
          <w:rFonts w:eastAsia="IRNazanin" w:cs="IRNazanin"/>
          <w:color w:val="111111"/>
          <w:sz w:val="28"/>
          <w:szCs w:val="28"/>
          <w:rtl w:val="true"/>
          <w:lang w:bidi="fa-IR"/>
        </w:rPr>
        <w:t>.</w:t>
      </w:r>
      <w:bookmarkStart w:id="347" w:name="pg13690_120627"/>
    </w:p>
    <w:p>
      <w:pPr>
        <w:pStyle w:val="Heading4"/>
        <w:numPr>
          <w:ilvl w:val="3"/>
          <w:numId w:val="1"/>
        </w:numPr>
        <w:rPr/>
      </w:pPr>
      <w:bookmarkStart w:id="348" w:name="__RefHeading___Toc907228_1468164448"/>
      <w:bookmarkStart w:id="349" w:name="_Toc133"/>
      <w:bookmarkEnd w:id="347"/>
      <w:bookmarkEnd w:id="348"/>
      <w:r>
        <w:rPr>
          <w:rtl w:val="true"/>
        </w:rPr>
        <w:t>فرع</w:t>
      </w:r>
      <w:r>
        <w:rPr>
          <w:rtl w:val="true"/>
        </w:rPr>
        <w:t>:</w:t>
      </w:r>
      <w:bookmarkEnd w:id="349"/>
    </w:p>
    <w:p>
      <w:pPr>
        <w:pStyle w:val="BookText"/>
        <w:rPr/>
      </w:pPr>
      <w:r>
        <w:rPr>
          <w:rFonts w:ascii="IRNazanin" w:hAnsi="IRNazanin" w:eastAsia="IRNazanin"/>
          <w:color w:val="111111"/>
          <w:sz w:val="28"/>
          <w:sz w:val="28"/>
          <w:szCs w:val="28"/>
          <w:rtl w:val="true"/>
          <w:lang w:bidi="fa-IR"/>
        </w:rPr>
        <w:t>قال فی 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ثبت عنن الرجل بأحد الوجوه المذکورة، فان صبرت فلاکلام، وان لم تصبر ورفعت امرها الی الحاکم الشرعی لاستخلاص نفسها منه أجلّها سنة کاملة من حین المرافعة، فان واقعها أو واقع غیرها فی أثناء هذه المدّة فلاخیار لها، والاّ کان لها الفسخ فوراً عرفیاً، وان لم تبادر بالفسخ فان کان بسبب جهلها بالخیار أو فوریته لایضر کما مرّ والاّ سقط خیارها، وکذا ان رضیت ان تقیم معه ثم طلبت الفسخ بعد ذلک فانّه لیس لها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ان ظاهر جملة من الروایات الواردة فی باب العیوب سواء فی العنن أو فی غیره، ظاهرها الفحص عن وجود العیب کالثیبوبه والعنن</w:t>
      </w:r>
      <w:r>
        <w:rPr>
          <w:rStyle w:val="FootnoteAnchor"/>
          <w:rtl w:val="true"/>
        </w:rPr>
        <w:footnoteReference w:id="387"/>
      </w:r>
      <w:r>
        <w:rPr>
          <w:rFonts w:ascii="IRNazanin" w:hAnsi="IRNazanin" w:eastAsia="IRNazanin"/>
          <w:color w:val="111111"/>
          <w:sz w:val="28"/>
          <w:sz w:val="28"/>
          <w:szCs w:val="28"/>
          <w:rtl w:val="true"/>
          <w:lang w:bidi="fa-IR"/>
        </w:rPr>
        <w:t>، والزمانة التی لاتراها الا النساء</w:t>
      </w:r>
      <w:r>
        <w:rPr>
          <w:rStyle w:val="FootnoteAnchor"/>
          <w:rtl w:val="true"/>
        </w:rPr>
        <w:footnoteReference w:id="388"/>
      </w:r>
      <w:r>
        <w:rPr>
          <w:rFonts w:ascii="Amiri" w:hAnsi="Amiri" w:eastAsia="Amiri" w:cs="Amiri"/>
          <w:color w:val="111111"/>
          <w:sz w:val="28"/>
          <w:sz w:val="28"/>
          <w:szCs w:val="28"/>
          <w:rtl w:val="true"/>
          <w:lang w:bidi="ar-SA"/>
        </w:rPr>
        <w:t>، واستعلام الجنون بعدم معرفة أوقات الصلاة</w:t>
      </w:r>
      <w:r>
        <w:rPr>
          <w:rStyle w:val="FootnoteAnchor"/>
          <w:rtl w:val="true"/>
        </w:rPr>
        <w:footnoteReference w:id="389"/>
      </w:r>
      <w:r>
        <w:rPr>
          <w:rFonts w:ascii="IRNazanin" w:hAnsi="IRNazanin" w:eastAsia="IRNazanin"/>
          <w:color w:val="111111"/>
          <w:sz w:val="28"/>
          <w:sz w:val="28"/>
          <w:szCs w:val="28"/>
          <w:rtl w:val="true"/>
          <w:lang w:bidi="fa-IR"/>
        </w:rPr>
        <w:t>، وهی فی موارد العیوب الخفیة، ومقتضاها لزوم الفحص مقدما علی یمین المنکر کما حکی عن الصدوق فی المقنع، والشیخ فی الخلاف، وابن حمزة وجماعة، وظاهر عبارة الشرائع والجواهر الاشکال فی اعتبار اماریة الکیفیات المذکورة فی روایات العنن لعدم تمامیة جملة من اسانیدها واستثنی فی الجواهر ما لو حصل منها القطع، ومن ثمَّ بنیا علی اعتبار قول الزوج مع یمینه لکونه منکراً، بمقتضی اصالة السلامة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الصحیح ان البحث لیس فی اعتبار خصوص هذه الامارات</w:t>
      </w:r>
    </w:p>
    <w:p>
      <w:pPr>
        <w:pStyle w:val="BookText"/>
        <w:rPr/>
      </w:pPr>
      <w:r>
        <w:rPr>
          <w:rFonts w:ascii="IRNazanin" w:hAnsi="IRNazanin" w:eastAsia="IRNazanin"/>
          <w:color w:val="111111"/>
          <w:sz w:val="28"/>
          <w:sz w:val="28"/>
          <w:szCs w:val="28"/>
          <w:rtl w:val="true"/>
          <w:lang w:bidi="fa-IR"/>
        </w:rPr>
        <w:t>المذکورة فی الروایات، بل البحث فی لزوم الفحص ولو بکیفیات اخری ما لم یمتنع الفحص وبعبارة اخری مؤدی لزوم الفحص هو عدم حجیة المیزان الظاهری فی باب القضاء کیمین المنکر بدون الفحص الموضوعی مع التمکن، أما فی باب العیوب بل مطلقاً فی الموضوعات التی یتمکن من الفحص عن حقیقة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وبعض من الروایات المتقدمة معتبرة السند والمجموع یوثق بصدوره اجمالاً بغض النظر عن خصوصیة الکیفیات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أی تقدیر فان ثبت العنن باحد الوجوه أو العجز لو قیل ان العنن متقوم بمرور سنة، فان صبرت فذلک لها، ولکنّه لایسقط الخیار ولو استمر سنین بعد عدم رفع امرها الی الحاکم الشرعی، لکن فی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الصدوق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اقامت المرأة مع زوجها بعد ما علمت انّه عنین ورضیت به لم یکن لها الخیار بعد الرضا</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فی صحیح أبی الصباح من تعلیل التأجیل سنة کی یعالج نفسه قد یُفهم منه ان ذلک استحقاق للرجل فلایثبت لها الخیار من غیر ضرب المدّة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وروایة أبی البختری</w:t>
      </w:r>
      <w:r>
        <w:rPr>
          <w:rStyle w:val="FootnoteAnchor"/>
          <w:rtl w:val="true"/>
        </w:rPr>
        <w:footnoteReference w:id="391"/>
      </w:r>
      <w:r>
        <w:rPr>
          <w:rFonts w:ascii="IRNazanin" w:hAnsi="IRNazanin" w:eastAsia="IRNazanin"/>
          <w:color w:val="111111"/>
          <w:sz w:val="28"/>
          <w:sz w:val="28"/>
          <w:szCs w:val="28"/>
          <w:rtl w:val="true"/>
          <w:lang w:bidi="fa-IR"/>
        </w:rPr>
        <w:t>کالنص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الرویاات الواردة فی تحدید السنة</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العنین یتربص به سنة ثم ان شاءت</w:t>
      </w:r>
    </w:p>
    <w:p>
      <w:pPr>
        <w:pStyle w:val="BookText"/>
        <w:rPr/>
      </w:pPr>
      <w:r>
        <w:rPr>
          <w:rFonts w:ascii="IRNazanin" w:hAnsi="IRNazanin" w:eastAsia="IRNazanin"/>
          <w:color w:val="111111"/>
          <w:sz w:val="28"/>
          <w:sz w:val="28"/>
          <w:szCs w:val="28"/>
          <w:rtl w:val="true"/>
          <w:lang w:bidi="fa-IR"/>
        </w:rPr>
        <w:t>امرأته تزوجت وان شاءت اقامت</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ومفادها وان لم یذکر فیه المرافعة الی الحاکم الشرعی بصریح اللفظ، الا انّ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یتربص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جاری بصیغة المبنی للمجهول فی فعل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صحیح أبی الصباح</w:t>
      </w:r>
      <w:r>
        <w:rPr>
          <w:rStyle w:val="FootnoteAnchor"/>
          <w:rtl w:val="true"/>
        </w:rPr>
        <w:footnoteReference w:id="393"/>
      </w:r>
      <w:r>
        <w:rPr>
          <w:rFonts w:ascii="IRNazanin" w:hAnsi="IRNazanin" w:eastAsia="IRNazanin"/>
          <w:color w:val="111111"/>
          <w:sz w:val="28"/>
          <w:sz w:val="28"/>
          <w:szCs w:val="28"/>
          <w:rtl w:val="true"/>
          <w:lang w:bidi="fa-IR"/>
        </w:rPr>
        <w:t>الا انّ فیها اجّل سنة، والتقریب فیها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موثق الحسین بن علوان عن جعفر بن محمد عن أبیه،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یقضی فی العنین انه یؤجل سنة من یوم ترافعه المرأة</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روایة أبی البختری</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تقید الروایات المطلقة الدالة علی ثبوت الخیار لها بمجرد العنن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من اختصاص العنن بلزوم المرافعة هو لخفاءه، فیکون مورداً للنزاع والاشتباه لاسیما وانه مأخوذ فی حده استمرار العجز سنة کاملة</w:t>
      </w:r>
      <w:r>
        <w:rPr>
          <w:rFonts w:eastAsia="IRNazanin" w:cs="IRNazanin"/>
          <w:color w:val="111111"/>
          <w:sz w:val="28"/>
          <w:szCs w:val="28"/>
          <w:rtl w:val="true"/>
          <w:lang w:bidi="fa-IR"/>
        </w:rPr>
        <w:t>.</w:t>
      </w:r>
      <w:bookmarkStart w:id="350" w:name="pg13690_120630"/>
    </w:p>
    <w:p>
      <w:pPr>
        <w:pStyle w:val="Heading2"/>
        <w:numPr>
          <w:ilvl w:val="1"/>
          <w:numId w:val="1"/>
        </w:numPr>
        <w:rPr/>
      </w:pPr>
      <w:bookmarkStart w:id="351" w:name="__RefHeading___Toc907230_1468164448"/>
      <w:bookmarkStart w:id="352" w:name="_Toc134"/>
      <w:bookmarkEnd w:id="350"/>
      <w:bookmarkEnd w:id="351"/>
      <w:r>
        <w:rPr>
          <w:rtl w:val="true"/>
        </w:rPr>
        <w:t>قاعدة</w:t>
      </w:r>
      <w:r>
        <w:rPr>
          <w:rtl w:val="true"/>
        </w:rPr>
        <w:t>:</w:t>
      </w:r>
      <w:r>
        <w:rPr>
          <w:rtl w:val="true"/>
        </w:rPr>
        <w:t>فی نظام التحکیم والصلح والنزاعات</w:t>
      </w:r>
      <w:bookmarkEnd w:id="35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3" w:name="__RefHeading___Toc907232_1468164448"/>
      <w:bookmarkStart w:id="354" w:name="_Toc135"/>
      <w:bookmarkEnd w:id="353"/>
      <w:r>
        <w:rPr>
          <w:rtl w:val="true"/>
        </w:rPr>
        <w:t>اشارة</w:t>
      </w:r>
      <w:bookmarkStart w:id="355" w:name="pg13690_120632"/>
      <w:bookmarkEnd w:id="354"/>
    </w:p>
    <w:p>
      <w:pPr>
        <w:pStyle w:val="Heading3"/>
        <w:numPr>
          <w:ilvl w:val="2"/>
          <w:numId w:val="1"/>
        </w:numPr>
        <w:rPr/>
      </w:pPr>
      <w:bookmarkStart w:id="356" w:name="__RefHeading___Toc907234_1468164448"/>
      <w:bookmarkStart w:id="357" w:name="_Toc136"/>
      <w:bookmarkEnd w:id="355"/>
      <w:bookmarkEnd w:id="356"/>
      <w:r>
        <w:rPr>
          <w:rtl w:val="true"/>
        </w:rPr>
        <w:t>من قواعد باب القضاء والنزاعات</w:t>
      </w:r>
      <w:r>
        <w:rPr>
          <w:rtl w:val="true"/>
        </w:rPr>
        <w:t>:</w:t>
      </w:r>
      <w:r>
        <w:rPr>
          <w:rtl w:val="true"/>
        </w:rPr>
        <w:t>فی نظام التحکیم والصلح فی النزاعات</w:t>
      </w:r>
      <w:bookmarkEnd w:id="357"/>
    </w:p>
    <w:p>
      <w:pPr>
        <w:pStyle w:val="Heading4"/>
        <w:numPr>
          <w:ilvl w:val="3"/>
          <w:numId w:val="1"/>
        </w:numPr>
        <w:rPr/>
      </w:pPr>
      <w:bookmarkStart w:id="358" w:name="__RefHeading___Toc907236_1468164448"/>
      <w:bookmarkStart w:id="359" w:name="_Toc137"/>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هل هو إصلاح وصلح أو هو تحکیم، والتحکیم هل هو صلح بالتحکیم وتراض منهما نظیر قاضی التحکیم أو هو توکیل منهما فیرجع الی الصلح بناءً علی ان المخاطب بالبعث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بَیْنِهِما فَابْعَثُوا حَکَماً مِنْ أَهْلِهِ وَ حَکَماً مِنْ أَهْلِها إِنْ یُرِیدا إِصْلاحاً یُوَفِّقِ اللّهُ بَیْنَهُما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الزوجان وکذلک الحال فی تصویر قاضی التحکیم منهما، أو هو توکیل الحاکم الشرعی لهما بالحکم فهو تحکیم من الحاکم علی القول بان الباعث للحکمین والمخاطب بالبعث هو الحاکم الشرعی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 التحکیم هاهنا هل هو من القضاء المعهود الاصطلاحی، أو هو قضاء بالصلح فلیس هو قاضی التحکیم المعتاد، أو ان الفصل هو بالفتوی، ولتنقیح الحال فی هذه الوجوه والاحتمالات للتحکیم فی مثل نزاع الزوجین لابد من بیان الفوارق بینهما</w:t>
      </w:r>
      <w:r>
        <w:rPr>
          <w:rFonts w:eastAsia="IRNazanin" w:cs="IRNazanin"/>
          <w:color w:val="111111"/>
          <w:sz w:val="28"/>
          <w:szCs w:val="28"/>
          <w:rtl w:val="true"/>
          <w:lang w:bidi="fa-IR"/>
        </w:rPr>
        <w:t>.</w:t>
      </w:r>
    </w:p>
    <w:p>
      <w:pPr>
        <w:pStyle w:val="Heading4"/>
        <w:numPr>
          <w:ilvl w:val="3"/>
          <w:numId w:val="1"/>
        </w:numPr>
        <w:rPr/>
      </w:pPr>
      <w:bookmarkStart w:id="360" w:name="__RefHeading___Toc907238_1468164448"/>
      <w:bookmarkStart w:id="361" w:name="_Toc138"/>
      <w:bookmarkEnd w:id="360"/>
      <w:r>
        <w:rPr>
          <w:rtl w:val="true"/>
        </w:rPr>
        <w:t>موائز الصلح</w:t>
      </w:r>
      <w:r>
        <w:rPr>
          <w:rtl w:val="true"/>
        </w:rPr>
        <w:t>:</w:t>
      </w:r>
      <w:bookmarkEnd w:id="361"/>
    </w:p>
    <w:p>
      <w:pPr>
        <w:pStyle w:val="BookText"/>
        <w:rPr/>
      </w:pPr>
      <w:r>
        <w:rPr>
          <w:rFonts w:ascii="IRNazanin" w:hAnsi="IRNazanin" w:eastAsia="IRNazanin"/>
          <w:color w:val="111111"/>
          <w:sz w:val="28"/>
          <w:sz w:val="28"/>
          <w:szCs w:val="28"/>
          <w:rtl w:val="true"/>
          <w:lang w:bidi="fa-IR"/>
        </w:rPr>
        <w:t>فاما الصلح فیتمیز بجملة من الأمور</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عقد من العقود یتم بالتراضی بین المتنازعین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مقدم مطلقاً علی أحکام الشقاق الفتوائیة، أن الأحکام الفتوائیة لأی نزاع آخر فضلاً عن القضائیة کما هو الحال فی تقدمه علی احکام النشوز لانه یزیل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فیه حینئذ من کونه علی الشرائط الاولیة الشرعیة فی مقابل الثانویة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 الصلح یتضمن التفاوض والمداولة والتشاور والنصح لرفع فتیل الشحنة والتشاحن النفسی وایجاد الألفه النفسیة، کما یتم فیه تنظیر واقتراحات وحلول وبدائل للتسویة بین الطرفین وهذا بخلاف القضاء المعتاد، فانه یقتصر علی استنقاذ الحق من دون معالجة العداوة بین الطرفین، ومن ثمّ ورد فی الآیة الکریمة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الصُّلْحُ خَیْرٌ وَ أُحْضِرَتِ الْأَنْفُسُ الشُّحَّ وَ إِنْ تُحْسِنُوا وَ تَتَّقُوا فَإِنَّ اللّهَ کانَ بِما تَعْمَلُونَ خَبِیراً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وتشیر الآیة الی وجه معالجة الصلح لمنشأ النزاع حیث ان منشأه الشح والحرص الذی یزول بالتراضی بعد المداولة بین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اعتمدت الدول المعاصرة نظام اقرار الصلح عبر اللجان کی لایتم وصول النوبة الی الحسم والفصل بالقضاء، وقد أُکد علی تقدیم الصلح علی القضاء باتفاق فتوی الاصحاب والنصوص</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یعتمد الصلح واُمر به فی النزاع بین الجماعات أو القبائل والعشائر، أو الامم والدول،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طائِفَتانِ مِنَ</w:t>
      </w:r>
    </w:p>
    <w:p>
      <w:pPr>
        <w:pStyle w:val="BookText"/>
        <w:rPr/>
      </w:pPr>
      <w:r>
        <w:rPr>
          <w:rFonts w:ascii="Amiri" w:hAnsi="Amiri" w:eastAsia="Amiri" w:cs="Amiri"/>
          <w:color w:val="111111"/>
          <w:sz w:val="28"/>
          <w:sz w:val="28"/>
          <w:szCs w:val="28"/>
          <w:rtl w:val="true"/>
          <w:lang w:bidi="ar-SA"/>
        </w:rPr>
        <w:t xml:space="preserve">الْمُؤْمِنِینَ اقْتَتَلُوا فَأَصْلِحُوا بَیْنَهُما فَإِنْ بَغَتْ إِحْداهُما عَلَی الْأُخْری فَقاتِلُوا الَّتِی تَبْغِی حَتّی تَفِیءَ إِلی أَمْرِ اللّهِ فَإِنْ فاءَتْ فَأَصْلِحُوا بَیْنَهُما بِالْعَدْلِ وَ أَقْسِطُوا إِنَّ اللّهَ یُحِبُّ الْمُقْسِطِینَ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فرغم فرض الاقتتال بین الطائفتین إلاّ أنّه تعالی أوصی بالصلح الذی یوجب سلب فتیل ومنشأ النزاع، حیث یمتاز بذلک دون القضاء، کما انّه تعالی فرض الصلح مرة اخری بعد مقاتلة الطائفة الباغیة اذا لم تفیء الی الصلح ابتداءً، حتی تفیء إلی الذی هو امر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قید الصلح کونه بالعدل، أی یجب ارساء التراضی والتسویة بین الطرفین بنحو یستوفی حقوق الطرفین مهما امکن، وفی هذه الآیة بیان علی ان القسط بین المتنازعین یمکن اقامته بغیر القضاء، کما انّ فی الآیة دلالة علی انّ الفصل فی النزاع یمکن ان یتم بالصلح بالعدل، وهو لیس بقضاء، بل هو یتم بموازین الفتوی أی بالأحکام الاولیة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الآیة بیان أیضاً ان الضمانة فی استقرار الصلح هو تشییده علی العدل والقسط، والاّ لکان ذلک معرضاً لتجدد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انه لیس من صلاحیة الصلح اثبات حق ماض أو نفیه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الصلح مطلقا مطلوب بعدما مرّ بیانه من تقدمه علی القضاء بالعدل، وکذا تقدمه علی التحکیم،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الصُّلْحُ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مرت الآیة وبیانها، وکذلک الصلح بین الطائفتین من المؤمنین، وکذا یدل علی مطلوبیة الصلح قوله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فَاتَّقُوا اللّهَ</w:t>
      </w:r>
    </w:p>
    <w:p>
      <w:pPr>
        <w:pStyle w:val="BookText"/>
        <w:rPr/>
      </w:pPr>
      <w:r>
        <w:rPr>
          <w:rFonts w:ascii="Amiri" w:hAnsi="Amiri" w:eastAsia="Amiri" w:cs="Amiri"/>
          <w:color w:val="111111"/>
          <w:sz w:val="28"/>
          <w:sz w:val="28"/>
          <w:szCs w:val="28"/>
          <w:rtl w:val="true"/>
          <w:lang w:bidi="ar-SA"/>
        </w:rPr>
        <w:t xml:space="preserve">وَ أَصْلِحُوا ذاتَ بَیْنِکُمْ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ویمکن أن یستدل له أیضاً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بتقریب شمول عمومه لذلک، حیث ان المشیر علی المتنازعین بطریق الصلح یکمل لهما ادراک الرشد ویعلمهما طریق الصواب بمثابة الولی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من الآیات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الصلح لایحتاج الی ولایة شرعیة خاصة ولا تولیة فیما لم یکن مورده من الامور العامة، بل کان من الامور الخاصة، والشأن الشخصی فالوسطاء فی الصلح کوکلاء فی الصلح ابتداءً وبقاءً</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الاقدام علی الصلح واجب؟ لاسیما مع اقامته علی العدل أو انّ الخصمین مخیّران بینه وبین التحکیم أو التقاضی عند القاضی المنصوب، الظاهر التفصیل بین الحکم التکلیفی والوضعی، فبلحاظ الحکم الوضعی الخیارات کلها صحیحة ونافذة وضعا وان کان الصلح بعد وجوده مزیلاً لموضوع التحکیم والتقاضی، وأما الحکم التکلیفی فالظاهر لزوم الصلح تعییناً لانّ الاصل فی الوظیفة هی العمل بالاحکام الاولیة وقد مرّ انّ الصلح لابد أن یکون بموازین الفتوی والاحکام الاولیة، والالتزام بها متعیّن، نعم لو کان فی البین شبهة موضوعیة أو اراد</w:t>
      </w:r>
      <w:bookmarkStart w:id="362" w:name="pg13690_120636"/>
    </w:p>
    <w:p>
      <w:pPr>
        <w:pStyle w:val="BookText"/>
        <w:rPr/>
      </w:pPr>
      <w:bookmarkEnd w:id="362"/>
      <w:r>
        <w:rPr>
          <w:rFonts w:ascii="IRNazanin" w:hAnsi="IRNazanin" w:eastAsia="IRNazanin"/>
          <w:color w:val="111111"/>
          <w:sz w:val="28"/>
          <w:sz w:val="28"/>
          <w:szCs w:val="28"/>
          <w:rtl w:val="true"/>
          <w:lang w:bidi="fa-IR"/>
        </w:rPr>
        <w:t>احد الخصمین توثیق الاستحقاق أو الردع عن معرضیة تجدد النزاع أو غیر ذلک، فلایبعد جواز اختیار التحکیم والتقاضی علی الصلح</w:t>
      </w:r>
      <w:r>
        <w:rPr>
          <w:rFonts w:eastAsia="IRNazanin" w:cs="IRNazanin"/>
          <w:color w:val="111111"/>
          <w:sz w:val="28"/>
          <w:szCs w:val="28"/>
          <w:rtl w:val="true"/>
          <w:lang w:bidi="fa-IR"/>
        </w:rPr>
        <w:t>.</w:t>
      </w:r>
    </w:p>
    <w:p>
      <w:pPr>
        <w:pStyle w:val="Heading4"/>
        <w:numPr>
          <w:ilvl w:val="3"/>
          <w:numId w:val="1"/>
        </w:numPr>
        <w:rPr/>
      </w:pPr>
      <w:bookmarkStart w:id="363" w:name="__RefHeading___Toc907240_1468164448"/>
      <w:bookmarkStart w:id="364" w:name="_Toc139"/>
      <w:bookmarkEnd w:id="363"/>
      <w:r>
        <w:rPr>
          <w:rtl w:val="true"/>
        </w:rPr>
        <w:t>التحکیم</w:t>
      </w:r>
      <w:r>
        <w:rPr>
          <w:rtl w:val="true"/>
        </w:rPr>
        <w:t>:</w:t>
      </w:r>
      <w:bookmarkEnd w:id="364"/>
    </w:p>
    <w:p>
      <w:pPr>
        <w:pStyle w:val="Heading5"/>
        <w:numPr>
          <w:ilvl w:val="4"/>
          <w:numId w:val="1"/>
        </w:numPr>
        <w:rPr/>
      </w:pPr>
      <w:bookmarkStart w:id="365" w:name="__RefHeading___Toc907242_1468164448"/>
      <w:bookmarkStart w:id="366" w:name="_Toc140"/>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فأما التحکیم فبیانه بجملة من الأمور</w:t>
      </w:r>
      <w:r>
        <w:rPr>
          <w:rFonts w:eastAsia="IRNazanin" w:cs="IRNazanin"/>
          <w:color w:val="111111"/>
          <w:sz w:val="28"/>
          <w:szCs w:val="28"/>
          <w:rtl w:val="true"/>
          <w:lang w:bidi="fa-IR"/>
        </w:rPr>
        <w:t>:</w:t>
      </w:r>
    </w:p>
    <w:p>
      <w:pPr>
        <w:pStyle w:val="Heading5"/>
        <w:numPr>
          <w:ilvl w:val="4"/>
          <w:numId w:val="1"/>
        </w:numPr>
        <w:rPr/>
      </w:pPr>
      <w:bookmarkStart w:id="367" w:name="__RefHeading___Toc907244_1468164448"/>
      <w:bookmarkStart w:id="368" w:name="_Toc141"/>
      <w:bookmarkEnd w:id="367"/>
      <w:r>
        <w:rPr>
          <w:rtl w:val="true"/>
        </w:rPr>
        <w:t>الأمر الأوّل</w:t>
      </w:r>
      <w:r>
        <w:rPr>
          <w:rtl w:val="true"/>
        </w:rPr>
        <w:t xml:space="preserve">: </w:t>
      </w:r>
      <w:r>
        <w:rPr>
          <w:rtl w:val="true"/>
        </w:rPr>
        <w:t>ان حقیقة التحکیم هو تراضی الخصمین</w:t>
      </w:r>
      <w:r>
        <w:rPr>
          <w:rtl w:val="true"/>
        </w:rPr>
        <w:t>:</w:t>
      </w:r>
      <w:bookmarkEnd w:id="368"/>
    </w:p>
    <w:p>
      <w:pPr>
        <w:pStyle w:val="Heading6"/>
        <w:numPr>
          <w:ilvl w:val="5"/>
          <w:numId w:val="1"/>
        </w:numPr>
        <w:rPr/>
      </w:pPr>
      <w:bookmarkStart w:id="369" w:name="__RefHeading___Toc907246_1468164448"/>
      <w:bookmarkStart w:id="370" w:name="_Toc142"/>
      <w:bookmarkEnd w:id="369"/>
      <w:r>
        <w:rPr>
          <w:rtl w:val="true"/>
        </w:rPr>
        <w:t>اشارة</w:t>
      </w:r>
      <w:bookmarkEnd w:id="370"/>
    </w:p>
    <w:p>
      <w:pPr>
        <w:pStyle w:val="BookText"/>
        <w:rPr/>
      </w:pPr>
      <w:r>
        <w:rPr>
          <w:rFonts w:ascii="IRNazanin" w:hAnsi="IRNazanin" w:eastAsia="IRNazanin"/>
          <w:color w:val="111111"/>
          <w:sz w:val="28"/>
          <w:sz w:val="28"/>
          <w:szCs w:val="28"/>
          <w:rtl w:val="true"/>
          <w:lang w:bidi="fa-IR"/>
        </w:rPr>
        <w:t>بحَکَم من قبل کل طرف منهما أو تراضیهما علی حَکَم واحد کما فی قاضی التحکیم، وقد یفرض التحکیم من الحاکم الشرعی بان یشرف علی تحکیم حکمین أو أکثر عن کل خصم، وقد یفرض شمول التحکیم للوکلاء المفوضین بتفویض مطلق لرسم الصلح بین الطرفین وعقده، ووجه تسمیة هذا الشق الأخیر بالتحکیم مع انّه من صور الصلح المتقدم هو ان الوکیل المفوض تصرفه نافذ علی الموکل وملزم له، فالتفویض فی التوکیل بلا عزل نحو انفاذ وتحکیم</w:t>
      </w:r>
      <w:r>
        <w:rPr>
          <w:rFonts w:eastAsia="IRNazanin" w:cs="IRNazanin"/>
          <w:color w:val="111111"/>
          <w:sz w:val="28"/>
          <w:szCs w:val="28"/>
          <w:rtl w:val="true"/>
          <w:lang w:bidi="fa-IR"/>
        </w:rPr>
        <w:t>.</w:t>
      </w:r>
    </w:p>
    <w:p>
      <w:pPr>
        <w:pStyle w:val="Heading6"/>
        <w:numPr>
          <w:ilvl w:val="5"/>
          <w:numId w:val="1"/>
        </w:numPr>
        <w:rPr/>
      </w:pPr>
      <w:bookmarkStart w:id="371" w:name="__RefHeading___Toc907248_1468164448"/>
      <w:bookmarkStart w:id="372" w:name="_Toc143"/>
      <w:bookmarkEnd w:id="371"/>
      <w:r>
        <w:rPr>
          <w:rtl w:val="true"/>
        </w:rPr>
        <w:t>أدلة قاضی التحکیم</w:t>
      </w:r>
      <w:r>
        <w:rPr>
          <w:rtl w:val="true"/>
        </w:rPr>
        <w:t>:</w:t>
      </w:r>
      <w:bookmarkEnd w:id="372"/>
    </w:p>
    <w:p>
      <w:pPr>
        <w:pStyle w:val="Heading5"/>
        <w:numPr>
          <w:ilvl w:val="4"/>
          <w:numId w:val="1"/>
        </w:numPr>
        <w:rPr/>
      </w:pPr>
      <w:bookmarkStart w:id="373" w:name="__RefHeading___Toc907250_1468164448"/>
      <w:bookmarkStart w:id="374" w:name="_Toc144"/>
      <w:bookmarkEnd w:id="373"/>
      <w:r>
        <w:rPr>
          <w:rtl w:val="true"/>
        </w:rPr>
        <w:t>الأمر الثانی</w:t>
      </w:r>
      <w:r>
        <w:rPr>
          <w:rtl w:val="true"/>
        </w:rPr>
        <w:t xml:space="preserve">: </w:t>
      </w:r>
      <w:r>
        <w:rPr>
          <w:rtl w:val="true"/>
        </w:rPr>
        <w:t>فی مشروعیة التحکیم</w:t>
      </w:r>
      <w:r>
        <w:rPr>
          <w:rtl w:val="true"/>
        </w:rPr>
        <w:t>:</w:t>
      </w:r>
      <w:bookmarkEnd w:id="374"/>
    </w:p>
    <w:p>
      <w:pPr>
        <w:pStyle w:val="Heading6"/>
        <w:numPr>
          <w:ilvl w:val="5"/>
          <w:numId w:val="1"/>
        </w:numPr>
        <w:rPr/>
      </w:pPr>
      <w:bookmarkStart w:id="375" w:name="__RefHeading___Toc907252_1468164448"/>
      <w:bookmarkStart w:id="376" w:name="_Toc145"/>
      <w:bookmarkEnd w:id="375"/>
      <w:r>
        <w:rPr>
          <w:rtl w:val="true"/>
        </w:rPr>
        <w:t>اشارة</w:t>
      </w:r>
      <w:bookmarkEnd w:id="376"/>
    </w:p>
    <w:p>
      <w:pPr>
        <w:pStyle w:val="BookText"/>
        <w:rPr/>
      </w:pPr>
      <w:r>
        <w:rPr>
          <w:rFonts w:ascii="IRNazanin" w:hAnsi="IRNazanin" w:eastAsia="IRNazanin"/>
          <w:color w:val="111111"/>
          <w:sz w:val="28"/>
          <w:sz w:val="28"/>
          <w:szCs w:val="28"/>
          <w:rtl w:val="true"/>
          <w:lang w:bidi="fa-IR"/>
        </w:rPr>
        <w:t>ویدل علی ذلک مادل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المشروعیة فی قاضی التحکیم، أما بناءً علی ان حقیقة التحکیم هو ذلک، أو بناءً علی ان قاضی التحکیم هو احد انماط التحکیم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بَیْنِهِما فَابْعَثُوا حَکَماً مِنْ</w:t>
      </w:r>
    </w:p>
    <w:p>
      <w:pPr>
        <w:pStyle w:val="BookText"/>
        <w:rPr/>
      </w:pPr>
      <w:r>
        <w:rPr>
          <w:rFonts w:ascii="Amiri" w:hAnsi="Amiri" w:eastAsia="Amiri" w:cs="Amiri"/>
          <w:color w:val="111111"/>
          <w:sz w:val="28"/>
          <w:sz w:val="28"/>
          <w:szCs w:val="28"/>
          <w:rtl w:val="true"/>
          <w:lang w:bidi="ar-SA"/>
        </w:rPr>
        <w:t>أَهْلِهِ وَ حَکَماً مِنْ أَهْلِها إِنْ یُرِیدا إِصْلاحاً یُوَفِّقِ اللّهُ بَیْنَهُما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الآیة الشریفة صالحة بان یقرب الاستدلال بها علی مشروعیة قاضی التحکیم فضلا عن عموم التحکیم، وذلک لانّ ظاهرها ان التحکیم آلیة للاصلاح مشروعة فی نفسها، مفروغ عن ذلک فی الرتبة السابقة علی بحث الشقاق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یتبین امکانیة تقریب عموم ادلة الصلح للتحکیم بعد کون التحکیم هو بتراضی الخصمین کما فی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الاستناد الی ادلة نفوذ تصرفات الوکیل المفوض قبل علمه بالعزل، کما مرّ شمول التحکیم لموارد التوکیل بالتفویض، وعلی ذلک فالتحکیم علی انماط وأنواع ویتنوع بذلک مستنده وتختلف آثاره وأحکامه، ومنه ینفتح تعدد وجوه مشروعیة قاضی التحکیم بحسب انواعه وانماطه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یمکن ان یستدل لمشروعیة التحکیم الذی التزم به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بسبب الاکراه من قبل الخوارج الذین کانوا فی جیشه، وفی هذا المستند والوجه دلالة علی عدم اشتراط کون قاضی التحکیم واجداً لشرائط القاضی المنصوب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الوجه دلالة علی جواز قاضی الجور مع الاضطرار سواء فی قاضی التحکیم أو قاضی الجور المنصوب</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یستدل فی المقام علی مشروعیة تحکیم غیر العادل فی الشقاق</w:t>
      </w:r>
    </w:p>
    <w:p>
      <w:pPr>
        <w:pStyle w:val="BookText"/>
        <w:rPr/>
      </w:pPr>
      <w:r>
        <w:rPr>
          <w:rFonts w:ascii="IRNazanin" w:hAnsi="IRNazanin" w:eastAsia="IRNazanin"/>
          <w:color w:val="111111"/>
          <w:sz w:val="28"/>
          <w:sz w:val="28"/>
          <w:szCs w:val="28"/>
          <w:rtl w:val="true"/>
          <w:lang w:bidi="fa-IR"/>
        </w:rPr>
        <w:t>اذا اضطر الی ذلک لقطع النزاع، کما انّ فی هذا الوجه دلالة علی عمومیة قاضی التحکیم فی الشأن العام وأمور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أن یستدل لقاضی التحکیم أیضاً بأدلة القاضی المنصوب بناءً علی لزوم شرائط المنصوب فی قاضی التحکیم کما ذهب الی ذلک جماعة أو فی صورة تحکیم المتخاصمین لشخص جامع للشرائط فهو منصوب بالنصب العام فیکون نفوذ حکمه من جهتین، من جهة تراضی الخصمین ومن جهة النصب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لایخفی ان الاستناد فی‌ا لمشروعیة الی تراضی الخصمین الذی مرّ فی الدلیل الثالث، أی الی الصلح أنَّه استناد الی ادلة نفوذ عهد الصلح إلاّ ما خالف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التلفیق مع الدلیل الثالث وهو عقد الصلح ما قیل من وجه فی‌تخریج التحکیم من انه فصل بالفتوی وحسم للنزاع بها، بتقریب عموم ادلة الامر بالمعروف والنهی عن المنکر ان مقتضاها الالزام بالاحکام الاولیة فی الفتوی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معاهداته صلی الله علیه و آله فی بدایة وروده الی المدینة، وکذا فیما بعده وتحکیمه صلی الله علیه وآله فی قصة‌بنی قریظة سعد بن معاذ</w:t>
      </w:r>
      <w:r>
        <w:rPr>
          <w:rStyle w:val="FootnoteAnchor"/>
          <w:rtl w:val="true"/>
        </w:rPr>
        <w:footnoteReference w:id="396"/>
      </w:r>
      <w:r>
        <w:rPr>
          <w:rFonts w:ascii="IRNazanin" w:hAnsi="IRNazanin" w:eastAsia="IRNazanin"/>
          <w:color w:val="111111"/>
          <w:sz w:val="28"/>
          <w:sz w:val="28"/>
          <w:szCs w:val="28"/>
          <w:rtl w:val="true"/>
          <w:lang w:bidi="fa-IR"/>
        </w:rPr>
        <w:t>، وکذا</w:t>
      </w:r>
      <w:bookmarkStart w:id="377" w:name="pg13690_120639"/>
    </w:p>
    <w:p>
      <w:pPr>
        <w:pStyle w:val="BookText"/>
        <w:rPr/>
      </w:pPr>
      <w:bookmarkEnd w:id="377"/>
      <w:r>
        <w:rPr>
          <w:rFonts w:ascii="IRNazanin" w:hAnsi="IRNazanin" w:eastAsia="IRNazanin"/>
          <w:color w:val="111111"/>
          <w:sz w:val="28"/>
          <w:sz w:val="28"/>
          <w:szCs w:val="28"/>
          <w:rtl w:val="true"/>
          <w:lang w:bidi="fa-IR"/>
        </w:rPr>
        <w:t>صلحه فی الحدیبیة</w:t>
      </w:r>
      <w:r>
        <w:rPr>
          <w:rStyle w:val="FootnoteAnchor"/>
          <w:rtl w:val="true"/>
        </w:rPr>
        <w:footnoteReference w:id="397"/>
      </w:r>
      <w:r>
        <w:rPr>
          <w:rFonts w:ascii="IRNazanin" w:hAnsi="IRNazanin" w:eastAsia="IRNazanin"/>
          <w:color w:val="111111"/>
          <w:sz w:val="28"/>
          <w:sz w:val="28"/>
          <w:szCs w:val="28"/>
          <w:rtl w:val="true"/>
          <w:lang w:bidi="fa-IR"/>
        </w:rPr>
        <w:t>، وکذا تقریره لحلف الفضول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یتبیّن ان التحکیم وقاضی التحکیم یمکن أن یخرّج من أبواب متعددة نظیر ما ذکر من وجوه وتخریجات لقضاء غیر المجتهد</w:t>
      </w:r>
      <w:r>
        <w:rPr>
          <w:rFonts w:eastAsia="IRNazanin" w:cs="IRNazanin"/>
          <w:color w:val="111111"/>
          <w:sz w:val="28"/>
          <w:szCs w:val="28"/>
          <w:rtl w:val="true"/>
          <w:lang w:bidi="fa-IR"/>
        </w:rPr>
        <w:t>.</w:t>
      </w:r>
    </w:p>
    <w:p>
      <w:pPr>
        <w:pStyle w:val="Heading6"/>
        <w:numPr>
          <w:ilvl w:val="5"/>
          <w:numId w:val="1"/>
        </w:numPr>
        <w:rPr/>
      </w:pPr>
      <w:bookmarkStart w:id="378" w:name="__RefHeading___Toc907254_1468164448"/>
      <w:bookmarkStart w:id="379" w:name="_Toc146"/>
      <w:bookmarkEnd w:id="378"/>
      <w:r>
        <w:rPr>
          <w:rtl w:val="true"/>
        </w:rPr>
        <w:t>کلمات الاعلام فی ادلته</w:t>
      </w:r>
      <w:r>
        <w:rPr>
          <w:rtl w:val="true"/>
        </w:rPr>
        <w:t>:</w:t>
      </w:r>
      <w:bookmarkEnd w:id="379"/>
    </w:p>
    <w:p>
      <w:pPr>
        <w:pStyle w:val="BookText"/>
        <w:rPr/>
      </w:pPr>
      <w:r>
        <w:rPr>
          <w:rFonts w:ascii="IRNazanin" w:hAnsi="IRNazanin" w:eastAsia="IRNazanin"/>
          <w:color w:val="111111"/>
          <w:sz w:val="28"/>
          <w:sz w:val="28"/>
          <w:szCs w:val="28"/>
          <w:rtl w:val="true"/>
          <w:lang w:bidi="fa-IR"/>
        </w:rPr>
        <w:t>ثم ان الادلة الخاصة التی‌ا ستدل بها الاعلام علی نفوذ حکم قاضی التحکیم 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أَقْسِطُوا إِنَّ اللّهَ یُحِبُّ الْمُقْسِطِینَ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کُونُوا قَوّامِینَ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اعْدِلُوا هُوَ أَقْرَبُ لِلتَّقْوی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وغیرها من العمومات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العمومات أنما تتعرض لشرائط الحکم وموازینه دون صفات القاضی وصلاحیاته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 هذا الاستدلال التمسک بعموم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حکم بحکمنا</w:t>
      </w:r>
    </w:p>
    <w:p>
      <w:pPr>
        <w:pStyle w:val="BookText"/>
        <w:rPr/>
      </w:pPr>
      <w:r>
        <w:rPr>
          <w:rFonts w:ascii="IRNazanin" w:hAnsi="IRNazanin" w:eastAsia="IRNazanin"/>
          <w:color w:val="111111"/>
          <w:sz w:val="28"/>
          <w:sz w:val="28"/>
          <w:szCs w:val="28"/>
          <w:rtl w:val="true"/>
          <w:lang w:bidi="fa-IR"/>
        </w:rPr>
        <w:t>فلم یقبل منه فانما استخف بحکم الله و علینا رد</w:t>
      </w:r>
      <w:r>
        <w:rPr>
          <w:rStyle w:val="FootnoteAnchor"/>
          <w:rtl w:val="true"/>
        </w:rPr>
        <w:footnoteReference w:id="398"/>
      </w:r>
      <w:r>
        <w:rPr>
          <w:rFonts w:ascii="IRNazanin" w:hAnsi="IRNazanin" w:eastAsia="IRNazanin"/>
          <w:color w:val="111111"/>
          <w:sz w:val="28"/>
          <w:sz w:val="28"/>
          <w:szCs w:val="28"/>
          <w:rtl w:val="true"/>
          <w:lang w:bidi="fa-IR"/>
        </w:rPr>
        <w:t>علی نفوذ الحکم الذی یکون علی طبق موازینهم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صدر من غیر المجتهد، فانّ المدار لیس علی ذلک فقط کما ورد فی مصحح عمر بن حنظلة حیث قد ذکر قبل 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شرائط القاضی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قد روی حدیثنا ونظر فی حلالنا وحرامنا وعرف أحکامنا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مافی جملة من الروایات من اطلاق نفوذ حکم اهل العدل، والمراد بذلک مطلق اهل العدل فی مقابل اهل الجور، فیشمل کل اتباعهم اذا حکموا بحکمهم، نظیر محسّنة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فی کتابه وَ لا تَأْکُلُوا أَمْوالَکُمْ بَیْنَکُمْ بِالْباطِلِ وَ تُدْلُوا بِها إِلَی الْحُکّامِ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 ان الله عزّوجلّ قد علم ان فی الامة حکاما یجورون اما انّه لم یعنی حکام اهل العدل، ولکنه عنی حکام أهل الجور،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کان لک علی رجل حق فدعوته الی حکام أهل العدل فأبی علیک الا أن یرافعک الی حکّام اهل الجور لیقضوا له لکان ممن حاکم الی الطاغوت وهو قول الله عَزَّ وَجَلَّ أَ لَمْ تَرَ إِلَی الَّذِینَ یَزْعُمُونَ أَنَّهُمْ آمَنُوا بِما أُنْزِلَ إِلَیْکَ وَ ما أُنْزِلَ مِنْ قَبْلِکَ یُرِیدُونَ أَنْ یَتَحاکَمُوا إِلَی الطّاغُوتِ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ونظیرها روایة أبی بصیر الاخری حیث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فدعاه الی رجل من</w:t>
      </w:r>
    </w:p>
    <w:p>
      <w:pPr>
        <w:pStyle w:val="BookText"/>
        <w:rPr/>
      </w:pPr>
      <w:r>
        <w:rPr>
          <w:rFonts w:ascii="IRNazanin" w:hAnsi="IRNazanin" w:eastAsia="IRNazanin"/>
          <w:color w:val="111111"/>
          <w:sz w:val="28"/>
          <w:sz w:val="28"/>
          <w:szCs w:val="28"/>
          <w:rtl w:val="true"/>
          <w:lang w:bidi="fa-IR"/>
        </w:rPr>
        <w:t>اخوانه لیحکم بینهم وبینه فأبی الا أن یرافعه الی هؤلاء</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مصحح آخر لعمر بن حنظلة من تحاکم الیهم فی حق أو باطل فقد تحاکم الی الطاغوت</w:t>
      </w:r>
      <w:r>
        <w:rPr>
          <w:rStyle w:val="FootnoteAnchor"/>
          <w:rtl w:val="true"/>
        </w:rPr>
        <w:footnoteReference w:id="40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کان بین الرجلین من أصحابنا المنازعة فی الشیء فیتراضیان برجل منا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ذاک انما هو الذی یجبر الناس علی حکمه بالسیف والسوط‌</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الصحیحة کما تدل علی المفاد السابق فی الروایات من کفایة کون القاضی من أهل العدل أی من أهل الایمان، کذلک هی ظاهرة بقوة فی التحکیم بتراضی الخصمین، بل انّ المفاد الاول فی الروایات السابقة تدل علی نفوذ حکم مطلق اهل العدل والایمان الشامل لقاضی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محسنة عطاء بن السائب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کنتم فی ائمة الجور فاقضوا فی احکامهم ولاتشهروا أنفسکم فتقتلوا، وان تعاملتم باحکامنا کان خیراً لکم</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جلّ هذه الطائفة من الروایات انما هی فی صدد اشتراط الایمان فی القاضی، واستناده فی الحکم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صحیح الحلبی لایبعد ظهوره فی التحکیم، وکذلک محسنة عطاء</w:t>
      </w:r>
    </w:p>
    <w:p>
      <w:pPr>
        <w:pStyle w:val="BookText"/>
        <w:rPr/>
      </w:pPr>
      <w:r>
        <w:rPr>
          <w:rFonts w:ascii="IRNazanin" w:hAnsi="IRNazanin" w:eastAsia="IRNazanin"/>
          <w:color w:val="111111"/>
          <w:sz w:val="28"/>
          <w:sz w:val="28"/>
          <w:szCs w:val="28"/>
          <w:rtl w:val="true"/>
          <w:lang w:bidi="fa-IR"/>
        </w:rPr>
        <w:t>بن السائب، وان کان قد یتأمل فی الدلالة أیضاً، بانهما فی صدد الدلالة السابقة فی بقیة روایات هذه الطائفة، لاسیما فی محسنة عطاء بن السائب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ادلة حرمة کتمان الشهادة کما اشار الشیخ الی ذلک فی الخلاف وان لازم وجوب اظهار الشهادة نفوذ مؤداها والعمل بها عند من یدلی بها عنده ویتراضی به الخصمان، ولایخفی ما فیه، حیث انّ لزوم الاظهار لایستلزم اللغویة بل هو اعداد للمستند للحکم لدی من له اهلیة وصلاحیة للقضاء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مافی مصحح عمر بن حنظلة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فلیرضوا به حکما</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ما فی معتبرة أبی خدیجة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اجعلوا بینکم رجلا قد عرف حلالنا وحرامنا</w:t>
      </w:r>
      <w:r>
        <w:rPr>
          <w:rStyle w:val="FootnoteAnchor"/>
          <w:rtl w:val="true"/>
        </w:rPr>
        <w:footnoteReference w:id="404"/>
      </w:r>
      <w:r>
        <w:rPr>
          <w:rFonts w:ascii="IRNazanin" w:hAnsi="IRNazanin" w:eastAsia="IRNazanin"/>
          <w:color w:val="111111"/>
          <w:sz w:val="28"/>
          <w:sz w:val="28"/>
          <w:szCs w:val="28"/>
          <w:rtl w:val="true"/>
          <w:lang w:bidi="fa-IR"/>
        </w:rPr>
        <w:t xml:space="preserve">وقوله عجل الله تعالی فرجه فی التوقیع المبارک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الحوادث الواقعة فارجعوا فیها الی رواة حدیثنا</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ومعتبرة داوود بن الحصین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اتفقا علی عدلین جعلاهما بینهما فی حکم وقع بینهما فیه خلاف فرضیا بالعدلین، فاختلف العدلان بینهما عن قول ایهما یمضی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الی افقههما واعلمهما بأحادیثنا وأورعهما فینفذ حکمه ولایلتفت الی الآخر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أحمد بن الفضل الکناسی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بلغنی عنکم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انکم اقعدتم قاضیاً بالکناسة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رجل یقال له عروة القتّات وهو رجل له حظ من عقل یجتمع عنده فیتکلم ویتساءل ثم یرد ذلک إلیکم،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استدل بهذه الروایات علی مشروعیة قاضی التحکیم بتقیید الفرض فی هذه الروایات بتراضی الخصمین وتحکیمهما، ومن ثم ذهب جماعة من اعلام هذا العصر الی عدم وجود دلیل علی القاضی المنصوب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جملة هذه الروایات 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بجعله الواجد للصفات حاکما، وتعلیل رضاهم به لنصبه ایاه حاکما، فهذا التراضی مأمورون به انقیادا لتنصیبه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صریح مصحح عمر بن حنظلة ومعتبرة أبی خدیجة، وکذا التوقیع المبارک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یستفاد من اخذ تراضی الخصمین شرطیة رجوع الناس ورضاهم به فی فعلیة تعیینه للمنصب من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ماعرف فی الکلمات بشرطیة بسط الید، أو کونه مسموع الکلمة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تجعل هذه الصیغة شاکله متوسطة بین قاضی المنصوب وقاضی التحکیم، وأمّآ روایة الکناسی فلایبعد دلالتها علی قاضی التحکیم باعتبار انهم اقعدوه ورضوا به وان کان احتمال الصیغة الترکیبیة لقاضی التحکیم والقاضی المنصوب التی مرّت فی هذه الطائفة قریب من مفاد</w:t>
      </w:r>
    </w:p>
    <w:p>
      <w:pPr>
        <w:pStyle w:val="BookText"/>
        <w:rPr/>
      </w:pPr>
      <w:r>
        <w:rPr>
          <w:rFonts w:ascii="IRNazanin" w:hAnsi="IRNazanin" w:eastAsia="IRNazanin"/>
          <w:color w:val="111111"/>
          <w:sz w:val="28"/>
          <w:sz w:val="28"/>
          <w:szCs w:val="28"/>
          <w:rtl w:val="true"/>
          <w:lang w:bidi="fa-IR"/>
        </w:rPr>
        <w:t>الروایة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مجموع هذه الطوائف الأربعة انّ صحیح الحلبی وروایة الکناسی ومحسنة عطاء بن السائب قریبة الدلالة علی قاضی التحکیم، ولا یبعد دلالة الطائفة الاولی والاخیرتین علی نفوذ التحکیم بالصلح، والصلح بالعدل، نظیر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تعاملتم بأحکامنا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وماذکره فی الجواهر من الاستناد بالوجه الاول والثالث، أو ما ذکره الشیخ فی الوجه الثانی من نفوذ القضاء لقاضی التحکیم فلا یخلو من منع اختصاص دلالتها علی قاضی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النفوذ والالزام اعم من الصلح بالعدل والتحکیم بالصلح، فهذه الوجوه الأربعة بعضها دال علی الالزام بالفصل بالفتوی، وبعضها علی الصلح بالعدل وشاملة للتحکیم بالصلح، وبعضها دال علی القاضی المنصوب الملفق بالتحکیم والتراضی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الوجوه الأربعة مجموعها هو الوجه الاوّل من الوجوه السبعة التی مرت فی توجیه مشروعیة قاضی التحکیم، أی بانضمامها إلیها یتوفر علی صیاغات ماهویة عدیدة للتحکیم، أو للصلح ثم للتحکیم ثم للقضاء علی نحو الترتیب وبینهما درجات تلفیقیة من الصلح والتحکیم أو التحکیم والقضاء أو الثلاثة معاً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یشیر الی عموم استعمال الحکم والتحکیم فی مطلق الرأی قوله تعالی فی فداء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یَحْکُمُ بِهِ ذَوا عَدْلٍ مِنْکُمْ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80" w:name="pg13690_120645"/>
    </w:p>
    <w:p>
      <w:pPr>
        <w:pStyle w:val="Heading5"/>
        <w:numPr>
          <w:ilvl w:val="4"/>
          <w:numId w:val="1"/>
        </w:numPr>
        <w:rPr/>
      </w:pPr>
      <w:bookmarkStart w:id="381" w:name="__RefHeading___Toc907256_1468164448"/>
      <w:bookmarkStart w:id="382" w:name="_Toc147"/>
      <w:bookmarkEnd w:id="380"/>
      <w:bookmarkEnd w:id="381"/>
      <w:r>
        <w:rPr>
          <w:rtl w:val="true"/>
        </w:rPr>
        <w:t>الأمر الثالث</w:t>
      </w:r>
      <w:r>
        <w:rPr>
          <w:rtl w:val="true"/>
        </w:rPr>
        <w:t xml:space="preserve">: </w:t>
      </w:r>
      <w:r>
        <w:rPr>
          <w:rtl w:val="true"/>
        </w:rPr>
        <w:t>الفوارق بین أنماط التحکیم والصلح</w:t>
      </w:r>
      <w:r>
        <w:rPr>
          <w:rtl w:val="true"/>
        </w:rPr>
        <w:t>:</w:t>
      </w:r>
      <w:bookmarkEnd w:id="382"/>
    </w:p>
    <w:p>
      <w:pPr>
        <w:pStyle w:val="BookText"/>
        <w:rPr/>
      </w:pPr>
      <w:r>
        <w:rPr>
          <w:rFonts w:ascii="IRNazanin" w:hAnsi="IRNazanin" w:eastAsia="IRNazanin"/>
          <w:color w:val="111111"/>
          <w:sz w:val="28"/>
          <w:sz w:val="28"/>
          <w:szCs w:val="28"/>
          <w:rtl w:val="true"/>
          <w:lang w:bidi="fa-IR"/>
        </w:rPr>
        <w:t>فی بیان الفوارق بین هذه الأنماط والأسالیب فی رفع النزاع، أی بین الصلح، والصلح بالتحکیم، وتحکیم الصلح، وقاضی التحکیم، والفصل بالفتوی، فان التحکیم بالصلح لیس من القضاء والحکم بموازین القضاء، بل هو کما مرّ من الالزام بصیغة التسویة کحدّ أدنی أو متوسط لمصلحة الطرفین، ویمتاز بعدّة 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من صلاحیته اثبات حق أو نفیه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من صلاحیته ازالة الموضوع المتنازع علیه کالزوجیة الا بتصریح وتولیة من المتنازعین له، لانّ وظیفة القضاء والتحکیم بالصلح معالجة النزاع مع وجود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تعدد الحکم عن الاطراف المتنازعة ولایُتفرد بحکم عن طرف، نعم للاطراف المتنازعة ان یجعلوا شخصاً واحداً من قبل کل منهم، بان یفاوض کل منهم ذلک الشخص، فتنویبه یکون بمنزلة المتعدد، والظاهر رجحان التعدد بحسب الادلة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لکل حکم ان یصیغ ما هو مصلحة طرفه، بخلاف القاضی بموازین القضاء فانه یرعی الموازین بغض النظر عن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رضی المتنازعین ابتداءاً لانه لیس قضاء فصل لاسترجاع حق، بل قضاء صلح، فیترکب من ماهیة القضاء وشرائط ماهیة الصلح</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ترکیبه من ماهیة القضاء فلاستعمال موازین الفتوی وبعض موازین القضاء مما تشترک مع موازین الفتوی، أی مما یکون دلیل حجیتها</w:t>
      </w:r>
    </w:p>
    <w:p>
      <w:pPr>
        <w:pStyle w:val="BookText"/>
        <w:rPr/>
      </w:pPr>
      <w:r>
        <w:rPr>
          <w:rFonts w:ascii="IRNazanin" w:hAnsi="IRNazanin" w:eastAsia="IRNazanin"/>
          <w:color w:val="111111"/>
          <w:sz w:val="28"/>
          <w:sz w:val="28"/>
          <w:szCs w:val="28"/>
          <w:rtl w:val="true"/>
          <w:lang w:bidi="fa-IR"/>
        </w:rPr>
        <w:t>ونفوذها مطلق غیر مقید بولایة القضاء والقاضی المنصوب، ولک أن تقول ان ترکیب الصلح وتلفیقه مع موازین الفتوی أو مع موازین القضاء، أی التراضی بنحو لایتدافع ولایتناقض مع موازین الفتوی والقضاء، بل التراضی بالاسقاط أو التعویض المبنی علی نتائج تلک الموازین سواء نتیجة مجموعها أو نتیجة بعضها، هو تلفیق یؤدی الی صیاغة تلفیقیة بین باب الصلح وباب القضاء، وعلی ضوء ذلک فهو علی درجات وانحاء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فی التحکیم والقضاء والصلح لابد من تحری الحکمین ما هو من نفع الطرفین ولاینفذ ما هو علیهما إلاّ برضی مجدد من الخصمین بما یحکمان، فالقضاء بالصلح هو ایجاد حلول موضوعیة بتسویة تفاوضیة، نظیر ماهو متعارف فی العصر الحالی فی شرکات التحکیم الخبرویة، وهیئات الصلح الخبرویة الاهلیة المحلیة والدولیة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ثمّ التحکیم نظام صلحی فی النزاعات محاذی لنظام القضاء، ولایختص بباب الزواج، بل یجری فی سائر الأبواب ولمطلق النزاعات الاجتماعیة والقبلیة والفرعیة أو القومیة والطائفیة والدولیة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یفرق فی الحکم بین التحکیم بالصلح وقاضی التحکیم، وهو یظهر ممّا قدمناه من اختلاف انحاء التحکیم وادلة مشروعیته، لانّ فی التحکیم فی الصلح لابد من بصیرة الحکم بموازین الصلح والالفة ومتعلقه بخلاف حکم القاضی بالعدل، فانه یلزمه العلم بموازین القضاء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فی المبسوط الی إشتراط رضی المتخاصمین بحکم قاضی التحکیم، وعلی ذلک یکون قضاء قاضی التحکیم علی مقتضی القاعدة لانه من الصلح ولیس من القضاء فی شیء، ومن ثمّ لم یعممه الی باب الحدود</w:t>
      </w:r>
      <w:bookmarkStart w:id="383" w:name="pg13690_120647"/>
    </w:p>
    <w:p>
      <w:pPr>
        <w:pStyle w:val="BookText"/>
        <w:rPr/>
      </w:pPr>
      <w:bookmarkEnd w:id="383"/>
      <w:r>
        <w:rPr>
          <w:rFonts w:ascii="IRNazanin" w:hAnsi="IRNazanin" w:eastAsia="IRNazanin"/>
          <w:color w:val="111111"/>
          <w:sz w:val="28"/>
          <w:sz w:val="28"/>
          <w:szCs w:val="28"/>
          <w:rtl w:val="true"/>
          <w:lang w:bidi="fa-IR"/>
        </w:rPr>
        <w:t>والتعزیرات، وکذا من لم یشترط فی قاضی التحکیم توفره علی شرائط القاضی المنصوب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یقال ان التحکیم هو عند عدم القاضی المنصوب، فکانه قیام من الامة بواجب القضاء عند عدم الوالی الشرعی، أو عدم تصدیه، وهذه ضابطة مطردة فی شؤون ومسؤولیات الحکم والادارة العامة من تعدد مراتب الاولیاء فیکون بتراضی وتحکیم حکومة جزئیة مؤقتة موردیة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ان التحکیم اذا کان فی الشؤون العامة وکذا الصلح فاللازم فی مشروعیته من لحاظ وجود التفویض والتولیة الشرعیة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باستکشاف اذنه علیه السلام من قاعدة الحسبة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تقدم یظهر عموم بحث الصلح والتحکیم الی مجال النظام السیاسی لاخصوص القضاء العام فضلا عن الخاص، ومن ثمّ قد یقرّب شمول قاضی التحکیم الی باب الحدود والتعزیرات والقانون الجزائی الدینی مع وصول النوبة فی مراتب الاولیاء الی استکشاف الاذن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بالحسبة، وعلی هذا فصیغة التحکیم فی النظام السیاسی لاتتقاطع مع القول بالنص فی الولایة مع استکشاف الاذن النیابی منه علیه السلام کما مرّ، وهو مفاد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فاجعلوه حاکماً فانی جعلته علیکم حاکماً</w:t>
      </w:r>
      <w:r>
        <w:rPr>
          <w:rFonts w:eastAsia="IRNazanin" w:cs="IRNazanin"/>
          <w:color w:val="111111"/>
          <w:sz w:val="28"/>
          <w:szCs w:val="28"/>
          <w:rtl w:val="true"/>
          <w:lang w:bidi="fa-IR"/>
        </w:rPr>
        <w:t>).</w:t>
      </w:r>
    </w:p>
    <w:p>
      <w:pPr>
        <w:pStyle w:val="Heading5"/>
        <w:numPr>
          <w:ilvl w:val="4"/>
          <w:numId w:val="1"/>
        </w:numPr>
        <w:rPr/>
      </w:pPr>
      <w:bookmarkStart w:id="384" w:name="__RefHeading___Toc907258_1468164448"/>
      <w:bookmarkStart w:id="385" w:name="_Toc148"/>
      <w:bookmarkEnd w:id="384"/>
      <w:r>
        <w:rPr>
          <w:rtl w:val="true"/>
        </w:rPr>
        <w:t>الأمر الرابع</w:t>
      </w:r>
      <w:r>
        <w:rPr>
          <w:rtl w:val="true"/>
        </w:rPr>
        <w:t xml:space="preserve">: </w:t>
      </w:r>
      <w:r>
        <w:rPr>
          <w:rtl w:val="true"/>
        </w:rPr>
        <w:t>الحکمان توکیل أو تحکیم</w:t>
      </w:r>
      <w:r>
        <w:rPr>
          <w:rtl w:val="true"/>
        </w:rPr>
        <w:t>:</w:t>
      </w:r>
      <w:bookmarkEnd w:id="385"/>
    </w:p>
    <w:p>
      <w:pPr>
        <w:pStyle w:val="Heading6"/>
        <w:numPr>
          <w:ilvl w:val="5"/>
          <w:numId w:val="1"/>
        </w:numPr>
        <w:rPr/>
      </w:pPr>
      <w:bookmarkStart w:id="386" w:name="__RefHeading___Toc907260_1468164448"/>
      <w:bookmarkStart w:id="387" w:name="_Toc149"/>
      <w:bookmarkEnd w:id="386"/>
      <w:r>
        <w:rPr>
          <w:rtl w:val="true"/>
        </w:rPr>
        <w:t>اشارة</w:t>
      </w:r>
      <w:bookmarkEnd w:id="387"/>
    </w:p>
    <w:p>
      <w:pPr>
        <w:pStyle w:val="BookText"/>
        <w:rPr/>
      </w:pPr>
      <w:r>
        <w:rPr>
          <w:rFonts w:ascii="IRNazanin" w:hAnsi="IRNazanin" w:eastAsia="IRNazanin"/>
          <w:color w:val="111111"/>
          <w:sz w:val="28"/>
          <w:sz w:val="28"/>
          <w:szCs w:val="28"/>
          <w:rtl w:val="true"/>
          <w:lang w:bidi="fa-IR"/>
        </w:rPr>
        <w:t>هل للزوجین التقایل ممّا حکم به الحکمان؟ أو اشترطا؟ واختار ابن براج فی الکامل انه توکیل وفی المهذب انه تحکیم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لهما مع اتفاقهما أن یطرحا ما فعله</w:t>
      </w:r>
    </w:p>
    <w:p>
      <w:pPr>
        <w:pStyle w:val="BookText"/>
        <w:rPr/>
      </w:pPr>
      <w:r>
        <w:rPr>
          <w:rFonts w:ascii="IRNazanin" w:hAnsi="IRNazanin" w:eastAsia="IRNazanin"/>
          <w:color w:val="111111"/>
          <w:sz w:val="28"/>
          <w:sz w:val="28"/>
          <w:szCs w:val="28"/>
          <w:rtl w:val="true"/>
          <w:lang w:bidi="fa-IR"/>
        </w:rPr>
        <w:t>الحکمان</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مع ان الشیخ فی الخلاف أیضاً ذهب الی ان بعث الحکمین فی الشقاق علی سبیل التحکیم لا علی سبیل التوکیل، واستشهد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الحکمین مصلحان بینهما من دون استئمار، ولو کان توکیلا لما نفذ صلحهما من دون استئمار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الزوجین فی الشقاق ممتنعان من اداء الحق فهو اجبار لهما علی الفیء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وبأنّ فض النزاع من باب الولایة فی الشأن العام وان کان النزاع فی الموارد الجزئیة فلیس بتوکیل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وبان الباعث للحکمین هو الحاکم الشرعی، ولو قیل بان الباعث هما الزوجان أو الأهل لکان من باب التحکیم لا التوکیل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وتعبیر الآیة والروایات</w:t>
      </w:r>
      <w:r>
        <w:rPr>
          <w:rStyle w:val="FootnoteAnchor"/>
          <w:rtl w:val="true"/>
        </w:rPr>
        <w:footnoteReference w:id="409"/>
      </w:r>
      <w:r>
        <w:rPr>
          <w:rFonts w:ascii="IRNazanin" w:hAnsi="IRNazanin" w:eastAsia="IRNazanin"/>
          <w:color w:val="111111"/>
          <w:sz w:val="28"/>
          <w:sz w:val="28"/>
          <w:szCs w:val="28"/>
          <w:rtl w:val="true"/>
          <w:lang w:bidi="fa-IR"/>
        </w:rPr>
        <w:t>بلفظ الحکمین والتحکیم ظاهر فی الحکم لا فی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التأمل فی هذه الشواهد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فلان الحکمین یستأذنان الزوجین سواء فی الاصلاح أو فی التفریق، کما فی موثق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 فَابْعَثُوا حَکَماً مِنْ أَهْلِهِ وَ حَکَماً مِنْ أَهْلِها ارأیت ان استأذنا الحکمان فقال للرجل والمرأة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قد جعلتما امرکما إلینا فی الاصلاح</w:t>
      </w:r>
    </w:p>
    <w:p>
      <w:pPr>
        <w:pStyle w:val="BookText"/>
        <w:rPr/>
      </w:pPr>
      <w:r>
        <w:rPr>
          <w:rFonts w:ascii="IRNazanin" w:hAnsi="IRNazanin" w:eastAsia="IRNazanin"/>
          <w:color w:val="111111"/>
          <w:sz w:val="28"/>
          <w:sz w:val="28"/>
          <w:szCs w:val="28"/>
          <w:rtl w:val="true"/>
          <w:lang w:bidi="fa-IR"/>
        </w:rPr>
        <w:t>والتفریق فقال الرجل 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فاشهدا بذلک شهودا علیهما أیجوز تفریقهما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وموثق أبی بصیر</w:t>
      </w:r>
      <w:r>
        <w:rPr>
          <w:rStyle w:val="FootnoteAnchor"/>
          <w:rtl w:val="true"/>
        </w:rPr>
        <w:footnoteReference w:id="411"/>
      </w:r>
      <w:r>
        <w:rPr>
          <w:rFonts w:ascii="IRNazanin" w:hAnsi="IRNazanin" w:eastAsia="IRNazanin"/>
          <w:color w:val="111111"/>
          <w:sz w:val="28"/>
          <w:sz w:val="28"/>
          <w:szCs w:val="28"/>
          <w:rtl w:val="true"/>
          <w:lang w:bidi="fa-IR"/>
        </w:rPr>
        <w:t>، وکذا صحیح الحلبی</w:t>
      </w:r>
      <w:r>
        <w:rPr>
          <w:rStyle w:val="FootnoteAnchor"/>
          <w:rtl w:val="true"/>
        </w:rPr>
        <w:footnoteReference w:id="412"/>
      </w:r>
      <w:r>
        <w:rPr>
          <w:rFonts w:ascii="IRNazanin" w:hAnsi="IRNazanin" w:eastAsia="IRNazanin"/>
          <w:color w:val="111111"/>
          <w:sz w:val="28"/>
          <w:sz w:val="28"/>
          <w:szCs w:val="28"/>
          <w:rtl w:val="true"/>
          <w:lang w:bidi="fa-IR"/>
        </w:rPr>
        <w:t>وغیرها من الروایات</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کان فی بعض الروایات الاقتصار علی الاستئذان فی التفرقة کصحیح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حَکَماً مِنْ أَهْلِهِ وَ حَکَماً مِنْ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للحکمین ان یفرقا حتی یستأمرا</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الثانی فکونهما ممتنعین لاینافی رفع شقاقهما بالصلح بتوکیلهما، أولک أن تقول ان الزوجین فی صور الشقاق لیسا علی درجة واحدة من الامتناع والتنازع، فبعض درجات النزاع لاترتفع معه ارادة الاصلاح والتوفیق فیهما، ولعلَّ إلیه الاشارة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یُرِیدا إِصْلاحاً یُوَفِّقِ اللّهُ بَیْنَهُما بناءً علی عود ضمیر الفاعل الی الزوجین، نعم لو وصلت شدة النزاع الی درجة تمرد کل منهما بحیث لایستجیبان الی الاصلاح فتصل النوبة الی التحکیم من قبل الحاکم کما مرّ فی کلام الشیخ فی المبسوط</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الثالث ففض النزاع ان کان بالقسر والاجبار فهو من باب الولایة ولکن لاینحصر بذلک، ولکن یمکن فضه بالصلح والتوکیل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الشاهد الرابع فسیأتی فی الأمر الخامس ان الصحیح فی الباعث انه یختلف بحسب درجات وشدة وتوسط النزاع، وانما ینحصر فی الحاکم عند اشتداد الخصومة وانقطاع امکان التسویة منهما أو من أهلهما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الخامس فقد تقدم فی النصوص دلالتها علی لزوم استئذان الحکمین فی الاصلاح والتفریق، وقد مرّ ان الوکیل المفوض اذا انفذ امراً علی الموکل فلیس له ردّه بعد ذلک، فالتفویض فی التوکیل نحو تحکیم عرفا، وان عنوان وماهیة التحکیم هی علی انحاء وانواع بدءً من التوکیل فی الصلح والصلح بالعدل والتحکیم بالصلح والصلح بالتحکیم وهو قاضی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استعمل التحکیم فی مطلق الرأی کما فی قوله تعالی فی فداء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بِهِ ذَوا عَدْلٍ مِنْکُمْ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الصحیح هو اختلاف نوع التحکیم بحسب درجات النزاع والتدرج فی نمط التحکیم بحسبه،والتقایل بحسب الانواع الاولی فیه متصور، بل لو افترضنا انه من باب التحکیم أیضاً، فالتقایل أیضاً سائغ لانه من تنازل من له الحکم برضا منه لنفع من علیه الحکم، نعم لو کان التحکیم بانواعه قد وقع علی الفرقة والطلاق بشرائطه فلا یتصور التقایل فی الایقاع وهو الطلاق، بل فی الخلع ونحوه، أو الرجوع مع بقاء العدّة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جُناحَ عَلَیْهِما أَنْ یَتَراجَعا إِنْ ظَنّا أَنْ یُقِیما حُدُودَ اللّهِ </w:t>
      </w:r>
      <w:r>
        <w:rPr>
          <w:rFonts w:eastAsia="IRNazanin" w:cs="IRNazanin"/>
          <w:color w:val="111111"/>
          <w:sz w:val="28"/>
          <w:szCs w:val="28"/>
          <w:lang w:bidi="fa-IR"/>
        </w:rPr>
        <w:t>1</w:t>
      </w:r>
      <w:r>
        <w:rPr>
          <w:rFonts w:eastAsia="IRNazanin" w:cs="IRNazanin"/>
          <w:color w:val="111111"/>
          <w:sz w:val="28"/>
          <w:szCs w:val="28"/>
          <w:rtl w:val="true"/>
          <w:lang w:bidi="fa-IR"/>
        </w:rPr>
        <w:t>.</w:t>
      </w:r>
      <w:bookmarkStart w:id="388" w:name="pg13690_120651"/>
    </w:p>
    <w:p>
      <w:pPr>
        <w:pStyle w:val="Heading6"/>
        <w:numPr>
          <w:ilvl w:val="5"/>
          <w:numId w:val="1"/>
        </w:numPr>
        <w:rPr/>
      </w:pPr>
      <w:bookmarkStart w:id="389" w:name="__RefHeading___Toc907262_1468164448"/>
      <w:bookmarkStart w:id="390" w:name="_Toc150"/>
      <w:bookmarkEnd w:id="388"/>
      <w:bookmarkEnd w:id="389"/>
      <w:r>
        <w:rPr>
          <w:rtl w:val="true"/>
        </w:rPr>
        <w:t>المشرف علی نظام التحکیم</w:t>
      </w:r>
      <w:r>
        <w:rPr>
          <w:rtl w:val="true"/>
        </w:rPr>
        <w:t>:</w:t>
      </w:r>
      <w:bookmarkEnd w:id="390"/>
    </w:p>
    <w:p>
      <w:pPr>
        <w:pStyle w:val="Heading5"/>
        <w:numPr>
          <w:ilvl w:val="4"/>
          <w:numId w:val="1"/>
        </w:numPr>
        <w:rPr/>
      </w:pPr>
      <w:bookmarkStart w:id="391" w:name="__RefHeading___Toc907264_1468164448"/>
      <w:bookmarkStart w:id="392" w:name="_Toc151"/>
      <w:bookmarkEnd w:id="391"/>
      <w:r>
        <w:rPr>
          <w:rtl w:val="true"/>
        </w:rPr>
        <w:t>الأمر الخامس</w:t>
      </w:r>
      <w:r>
        <w:rPr>
          <w:rtl w:val="true"/>
        </w:rPr>
        <w:t>:</w:t>
      </w:r>
      <w:r>
        <w:rPr>
          <w:rtl w:val="true"/>
        </w:rPr>
        <w:t>الباعث للحکمین ومن له انفاذهما</w:t>
      </w:r>
      <w:r>
        <w:rPr>
          <w:rtl w:val="true"/>
        </w:rPr>
        <w:t>:</w:t>
      </w:r>
      <w:bookmarkEnd w:id="392"/>
    </w:p>
    <w:p>
      <w:pPr>
        <w:pStyle w:val="Heading6"/>
        <w:numPr>
          <w:ilvl w:val="5"/>
          <w:numId w:val="1"/>
        </w:numPr>
        <w:rPr/>
      </w:pPr>
      <w:bookmarkStart w:id="393" w:name="__RefHeading___Toc907266_1468164448"/>
      <w:bookmarkStart w:id="394" w:name="_Toc152"/>
      <w:bookmarkEnd w:id="393"/>
      <w:r>
        <w:rPr>
          <w:rtl w:val="true"/>
        </w:rPr>
        <w:t>اشارة</w:t>
      </w:r>
      <w:bookmarkEnd w:id="394"/>
    </w:p>
    <w:p>
      <w:pPr>
        <w:pStyle w:val="BookText"/>
        <w:rPr/>
      </w:pPr>
      <w:r>
        <w:rPr>
          <w:rFonts w:ascii="IRNazanin" w:hAnsi="IRNazanin" w:eastAsia="IRNazanin"/>
          <w:color w:val="111111"/>
          <w:sz w:val="28"/>
          <w:sz w:val="28"/>
          <w:szCs w:val="28"/>
          <w:rtl w:val="true"/>
          <w:lang w:bidi="fa-IR"/>
        </w:rPr>
        <w:t>فقد اختلف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الباعث هو الحاکم الشرعی ونسب الی الاکثر واختاره فی الشرائع والقواعد وجملة من متأخری المتأخرین منهم صاحب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الزوجان، واختاره فی الفقیه والمقنعة والفقه الرضوی ومختصر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تفاصیل اخری من الأقوال انه الحاکم وباشتراط الزوجین علی الحکمین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الزوجان فاذا امتنعا فالحاکم، ذهب الیه فی المختصر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الحاکم یأمر الزوجین بالبعث</w:t>
      </w:r>
      <w:r>
        <w:rPr>
          <w:rFonts w:eastAsia="IRNazanin" w:cs="IRNazanin"/>
          <w:color w:val="111111"/>
          <w:sz w:val="28"/>
          <w:szCs w:val="28"/>
          <w:rtl w:val="true"/>
          <w:lang w:bidi="fa-IR"/>
        </w:rPr>
        <w:t>.</w:t>
      </w:r>
    </w:p>
    <w:p>
      <w:pPr>
        <w:pStyle w:val="Heading6"/>
        <w:numPr>
          <w:ilvl w:val="5"/>
          <w:numId w:val="1"/>
        </w:numPr>
        <w:rPr/>
      </w:pPr>
      <w:bookmarkStart w:id="395" w:name="__RefHeading___Toc907268_1468164448"/>
      <w:bookmarkStart w:id="396" w:name="_Toc153"/>
      <w:bookmarkEnd w:id="395"/>
      <w:r>
        <w:rPr>
          <w:rtl w:val="true"/>
        </w:rPr>
        <w:t>أدلة وشواهد الاقوال</w:t>
      </w:r>
      <w:r>
        <w:rPr>
          <w:rtl w:val="true"/>
        </w:rPr>
        <w:t>:</w:t>
      </w:r>
      <w:bookmarkEnd w:id="39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واستشهد للاول انّ هذا الخطاب شأنه شأن بقیة الخطابات فی الولایات والشؤون العامة موجه للحاکمین ولیس موجه للزوجین للتعبیر والجمع فابعثوا، ولا التثنیة المشیرة للزوجین مضافا الی التعبیر بالغائب عند الزوجین من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أهلها، وکذا فی یریدا و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الباعث مصلح والزوجان فی فرض الشقاق متنازعان متشاققان وکیف یکون الباعث هو المبعوث الیه، وبان الحکمین من باب التحکیم لا التوکیل، والحکومة من صلاحیة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والشواهد قد مرّت علی انّه من باب التحکیم فی الامر السابق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ویمکن التأمل فی هذه الشواهد بان الخطاب بالجمع قد استعمل بلحاظ الاستغراق للازواج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اللاّتِی تَخافُونَ نُشُوزَهُنَّ فَعِظُوهُنَّ وَ اهْجُرُوهُنَّ فِی الْمَضاجِعِ وَ اضْرِبُوهُنَّ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والتعبیر بالغیبة عن الزوجین یصح أن یکون من باب الالتفات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والتحکیم قد مرّ انّه علی انواع وانماط لاتتنافی مع تضمن ماهیة التوکیل، واستدل للثانی بما تقدم فی الروایات من لزوم استئذان الحکمین من الزوجین فی الاصلاح والتفریق، مما یدل علی ان الباعث للحکمین هما الزوجان، وانّ هذا التحکیم قد اطلق علیه بالاصلاح والصلح فی الآیة إِنْ یُرِیدا إِصْلاحاً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التأمل فی الاستدلال المزبور بأنه لایتنافی مع کون الباعث هو الحاکم، الا انّه مع اشتراط رضی الزوجین کما فی القول الرابع، أو أنْ یجمع بین شواهد القول الأول والثانی بالتفصیل الذی مرّ فی القول الخامس أو السادس، وهذا هو الاقوی والمختار بعد ما عرفت من ان التحکیم ذو درجات وانواع، بحسب درجة النزاع والشقاق، ففی الدرجات الاولی یتصور ان یکون الباعث هما الزوجان، وإلا فیقوم الاهلون من ذویهما</w:t>
      </w:r>
      <w:bookmarkStart w:id="397" w:name="pg13690_120653"/>
    </w:p>
    <w:p>
      <w:pPr>
        <w:pStyle w:val="BookText"/>
        <w:rPr/>
      </w:pPr>
      <w:bookmarkEnd w:id="397"/>
      <w:r>
        <w:rPr>
          <w:rFonts w:ascii="IRNazanin" w:hAnsi="IRNazanin" w:eastAsia="IRNazanin"/>
          <w:color w:val="111111"/>
          <w:sz w:val="28"/>
          <w:sz w:val="28"/>
          <w:szCs w:val="28"/>
          <w:rtl w:val="true"/>
          <w:lang w:bidi="fa-IR"/>
        </w:rPr>
        <w:t>باصلاح ذات البین بارضائهما بالتحکیم، وإلا فیأمرهما الحاکم بذلک، وإلا فیبعث هو حکمین مع استئذان من الزوجین فی الاصلاح أو الفرقة</w:t>
      </w:r>
      <w:r>
        <w:rPr>
          <w:rFonts w:eastAsia="IRNazanin" w:cs="IRNazanin"/>
          <w:color w:val="111111"/>
          <w:sz w:val="28"/>
          <w:szCs w:val="28"/>
          <w:rtl w:val="true"/>
          <w:lang w:bidi="fa-IR"/>
        </w:rPr>
        <w:t>.</w:t>
      </w:r>
    </w:p>
    <w:p>
      <w:pPr>
        <w:pStyle w:val="Heading6"/>
        <w:numPr>
          <w:ilvl w:val="5"/>
          <w:numId w:val="1"/>
        </w:numPr>
        <w:rPr/>
      </w:pPr>
      <w:bookmarkStart w:id="398" w:name="__RefHeading___Toc907270_1468164448"/>
      <w:bookmarkStart w:id="399" w:name="_Toc154"/>
      <w:bookmarkEnd w:id="398"/>
      <w:r>
        <w:rPr>
          <w:rtl w:val="true"/>
        </w:rPr>
        <w:t>قاعدة</w:t>
      </w:r>
      <w:r>
        <w:rPr>
          <w:rtl w:val="true"/>
        </w:rPr>
        <w:t xml:space="preserve">: </w:t>
      </w:r>
      <w:r>
        <w:rPr>
          <w:rtl w:val="true"/>
        </w:rPr>
        <w:t>إنَّ الإجبار بالحکم متأخر عن أداء الواجب الحسبی طوعانیة</w:t>
      </w:r>
      <w:r>
        <w:rPr>
          <w:rtl w:val="true"/>
        </w:rPr>
        <w:t>:</w:t>
      </w:r>
      <w:bookmarkEnd w:id="399"/>
    </w:p>
    <w:p>
      <w:pPr>
        <w:pStyle w:val="BookText"/>
        <w:rPr/>
      </w:pPr>
      <w:r>
        <w:rPr>
          <w:rFonts w:ascii="IRNazanin" w:hAnsi="IRNazanin" w:eastAsia="IRNazanin"/>
          <w:color w:val="111111"/>
          <w:sz w:val="28"/>
          <w:sz w:val="28"/>
          <w:szCs w:val="28"/>
          <w:rtl w:val="true"/>
          <w:lang w:bidi="fa-IR"/>
        </w:rPr>
        <w:t>وهذا هو مقتضی القاعدة من تسلط الناس علی شؤونهم وان الاجبار والقسر انما تنتهی إلیه النوبة مع الامتناع بنحو مطلق، وهذا الترتب لیس فی المقام فحسب بل هو فی کل شأن اجتماعی عام، وانّ الخطاب فی الوظائف العامة ان قام به من تعلّق به بالفعل تلقائیاً وطوعانیاً فلاتصل النوبة الی الحاکم بحسب المراتب السابقة وانما تصل عند الحاجة الی الالزام والاجبار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خصّ الشیخ فی المبسوط بعث الحاکم بما اذا بلغ النزاع ذروته فلم یصطلحا لا علی المقام ولا علی الطلاق، هذا مضافا الی عموم مادة التحکیم المأخوذ فی الآیة کما عرفت وتقریب عموم المخاطب بالبعث کما مرّ تقریبه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ولایخفی انه علی القول الاوّل والثلاثة الأخیرة یکون من حاکمیة القاضی علی نظام التحکیم</w:t>
      </w:r>
      <w:r>
        <w:rPr>
          <w:rFonts w:eastAsia="IRNazanin" w:cs="IRNazanin"/>
          <w:color w:val="111111"/>
          <w:sz w:val="28"/>
          <w:szCs w:val="28"/>
          <w:rtl w:val="true"/>
          <w:lang w:bidi="fa-IR"/>
        </w:rPr>
        <w:t>.</w:t>
      </w:r>
    </w:p>
    <w:p>
      <w:pPr>
        <w:pStyle w:val="Heading6"/>
        <w:numPr>
          <w:ilvl w:val="5"/>
          <w:numId w:val="1"/>
        </w:numPr>
        <w:rPr/>
      </w:pPr>
      <w:bookmarkStart w:id="400" w:name="__RefHeading___Toc907272_1468164448"/>
      <w:bookmarkStart w:id="401" w:name="_Toc155"/>
      <w:bookmarkEnd w:id="400"/>
      <w:r>
        <w:rPr>
          <w:rtl w:val="true"/>
        </w:rPr>
        <w:t>قاعدة</w:t>
      </w:r>
      <w:r>
        <w:rPr>
          <w:rtl w:val="true"/>
        </w:rPr>
        <w:t xml:space="preserve">: </w:t>
      </w:r>
      <w:r>
        <w:rPr>
          <w:rtl w:val="true"/>
        </w:rPr>
        <w:t>عمومیة القضاء بالموازین أو بأنواع التحکیم</w:t>
      </w:r>
      <w:r>
        <w:rPr>
          <w:rtl w:val="true"/>
        </w:rPr>
        <w:t>:</w:t>
      </w:r>
      <w:bookmarkEnd w:id="40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ان صلاحیة القاضی فی الحکم لاتنحصر بموازین القضاء، بل له ان یتوسل بمراتب وأنواع التحکیم المختلفة التی مرّت الاشارة إلیها</w:t>
      </w:r>
      <w:r>
        <w:rPr>
          <w:rFonts w:eastAsia="IRNazanin" w:cs="IRNazanin"/>
          <w:color w:val="111111"/>
          <w:sz w:val="28"/>
          <w:szCs w:val="28"/>
          <w:rtl w:val="true"/>
          <w:lang w:bidi="fa-IR"/>
        </w:rPr>
        <w:t>.</w:t>
      </w:r>
      <w:bookmarkStart w:id="402" w:name="pg13690_120654"/>
    </w:p>
    <w:p>
      <w:pPr>
        <w:pStyle w:val="Heading5"/>
        <w:numPr>
          <w:ilvl w:val="4"/>
          <w:numId w:val="1"/>
        </w:numPr>
        <w:rPr/>
      </w:pPr>
      <w:bookmarkStart w:id="403" w:name="__RefHeading___Toc907274_1468164448"/>
      <w:bookmarkStart w:id="404" w:name="_Toc156"/>
      <w:bookmarkEnd w:id="402"/>
      <w:bookmarkEnd w:id="403"/>
      <w:r>
        <w:rPr>
          <w:rtl w:val="true"/>
        </w:rPr>
        <w:t>الأمر السادس</w:t>
      </w:r>
      <w:r>
        <w:rPr>
          <w:rtl w:val="true"/>
        </w:rPr>
        <w:t xml:space="preserve">: </w:t>
      </w:r>
      <w:r>
        <w:rPr>
          <w:rtl w:val="true"/>
        </w:rPr>
        <w:t>حکم البعث</w:t>
      </w:r>
      <w:r>
        <w:rPr>
          <w:rtl w:val="true"/>
        </w:rPr>
        <w:t>!:</w:t>
      </w:r>
      <w:bookmarkEnd w:id="404"/>
    </w:p>
    <w:p>
      <w:pPr>
        <w:pStyle w:val="BookText"/>
        <w:rPr/>
      </w:pPr>
      <w:r>
        <w:rPr>
          <w:rFonts w:ascii="IRNazanin" w:hAnsi="IRNazanin" w:eastAsia="IRNazanin"/>
          <w:color w:val="111111"/>
          <w:sz w:val="28"/>
          <w:sz w:val="28"/>
          <w:szCs w:val="28"/>
          <w:rtl w:val="true"/>
          <w:lang w:bidi="fa-IR"/>
        </w:rPr>
        <w:t>فی حکم البعث والتحکیم هل هو واجب أو الأمر به ارشادی، وقیل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فالوجوب اذا کان المخاطب به الحاکم کوظیفة حکومیة وارشادی اذا کان المخاطب به الزوجان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للارشادیة بأنّ المقام نظیر واشهدوا اذا تبایعتم وبأن التدبیر فی المعیشة والمصلحة الدنیویة ارشادی فی الغالب وجواز الاصلاح بطرق اخری، أو رجوعهما للحقّ بدون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للوجوب بظاهر الامر وبان دفع المفسدة الزامی، وبأن نفوذ حکم الحکمین یتناسب مع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أنَّ المراتب الاولی من التحکیم خیاریة، والواجب انما هو الفیء الی الحق والارعواء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مع وصول النزاع الی المرتبة القصوی فبعث الحکمین الزامی للحاکم کما فی روایة العیاشی من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فی التوکیل للحکم فی الاصلاح والفرقة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لاتبرح حتی تقرّ بما اقرت به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907276_1468164448"/>
      <w:bookmarkStart w:id="406" w:name="_Toc157"/>
      <w:bookmarkEnd w:id="405"/>
      <w:r>
        <w:rPr>
          <w:rtl w:val="true"/>
        </w:rPr>
        <w:t>الأمر السابع</w:t>
      </w:r>
      <w:r>
        <w:rPr>
          <w:rtl w:val="true"/>
        </w:rPr>
        <w:t xml:space="preserve">: </w:t>
      </w:r>
      <w:r>
        <w:rPr>
          <w:rtl w:val="true"/>
        </w:rPr>
        <w:t>الفصل بالولایة والفتوی</w:t>
      </w:r>
      <w:r>
        <w:rPr>
          <w:rtl w:val="true"/>
        </w:rPr>
        <w:t>:</w:t>
      </w:r>
      <w:bookmarkEnd w:id="40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التحکیم فی المقام بالتراضی منهما بالحکمین، فلایجبرهما الحاکم علیه ولایتصور الوجوب علیهما، نعم لایهمل الخصومة، بل یتحری ویخبُر المتجاوز فی الحقوق بینهما، ویجبر کل متخلف منهما علی ادائه</w:t>
      </w:r>
    </w:p>
    <w:p>
      <w:pPr>
        <w:pStyle w:val="BookText"/>
        <w:rPr/>
      </w:pPr>
      <w:r>
        <w:rPr>
          <w:rFonts w:ascii="IRNazanin" w:hAnsi="IRNazanin" w:eastAsia="IRNazanin"/>
          <w:color w:val="111111"/>
          <w:sz w:val="28"/>
          <w:sz w:val="28"/>
          <w:szCs w:val="28"/>
          <w:rtl w:val="true"/>
          <w:lang w:bidi="fa-IR"/>
        </w:rPr>
        <w:t>والزامه بالحق، وهو نحو حسم وفصل بالفتوی، أی إلزام لکل من الطرفین بالموازین الاولیة، ویقطع الشقاق بذلک، ویجازی ویؤدب من یستحق الادب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قطع للنزاع بالولایة لا بالصلح ولا التحکیم ولا بالقضاء وهو ما یقال عنه بفصل النزاع بالفتوی اذا اجبر علیه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من خیارات وصلاحیات الحکمین فی التحکیم ان ینکرا علی الناشز من الزوجین بعد تعیینهما له، وان یلزماه بإیفاء حقوق الآخر من دون استحقاقه لاخذ حقوقه کمدة تعویضیة عن ما فوته من عوض علی الآخر؟</w:t>
      </w:r>
    </w:p>
    <w:p>
      <w:pPr>
        <w:pStyle w:val="BookText"/>
        <w:rPr/>
      </w:pPr>
      <w:r>
        <w:rPr>
          <w:rFonts w:ascii="IRNazanin" w:hAnsi="IRNazanin" w:eastAsia="IRNazanin"/>
          <w:color w:val="111111"/>
          <w:sz w:val="28"/>
          <w:sz w:val="28"/>
          <w:szCs w:val="28"/>
          <w:rtl w:val="true"/>
          <w:lang w:bidi="fa-IR"/>
        </w:rPr>
        <w:t>قال علی بن ابراهیم فی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کانت المرأة‌هی الناشزة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عدوة الله الناشزة العاصیة لزوجک لیس لک علیه نفقة ولا کرامة لک، وهو احق ان یبغضک ابداً حتی ترجعی الی امر الله وان کان الرجل هو الناشز 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عدو الله وأنت العاصی لامر الله المبغض لأمراتِک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 نفقتها ولاتدخل لها بیتاً ولاتری لها وجهاً ابداً حتی ترجع الی امر الله وکتابه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للحاکم حبس الممتنع من الزوجین عن الاذن للحکمین بالحکم بما یریانه، کما ذهب الیه البعض</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والصحیح ان هذه الصلاحیات من الاجبار والتعزیر والحبس</w:t>
      </w:r>
      <w:bookmarkStart w:id="407" w:name="pg13690_120656"/>
    </w:p>
    <w:p>
      <w:pPr>
        <w:pStyle w:val="BookText"/>
        <w:rPr/>
      </w:pPr>
      <w:bookmarkEnd w:id="407"/>
      <w:r>
        <w:rPr>
          <w:rFonts w:ascii="IRNazanin" w:hAnsi="IRNazanin" w:eastAsia="IRNazanin"/>
          <w:color w:val="111111"/>
          <w:sz w:val="28"/>
          <w:sz w:val="28"/>
          <w:szCs w:val="28"/>
          <w:rtl w:val="true"/>
          <w:lang w:bidi="fa-IR"/>
        </w:rPr>
        <w:t>ونحوه هی من صلاحیات القاضی المنصوب، فان تراضیا به فله ذلک لا من باب التحکیم، بل من باب نصبه من قبل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فلاتثبت لقاضی التحکیم هذه الصلاحیات، فضلا عن ما لو کان وکیلا مفوضا فی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الاجبار من باب الامر بالمعروف والنهی عن المنکر فلایسوغ کل ذلک إلا اذا انطبق عنوان الحسبة، أی استدعت الضرورة والانتظام الاجتماعی الی ذلک</w:t>
      </w:r>
      <w:r>
        <w:rPr>
          <w:rFonts w:eastAsia="IRNazanin" w:cs="IRNazanin"/>
          <w:color w:val="111111"/>
          <w:sz w:val="28"/>
          <w:szCs w:val="28"/>
          <w:rtl w:val="true"/>
          <w:lang w:bidi="fa-IR"/>
        </w:rPr>
        <w:t>.</w:t>
      </w:r>
    </w:p>
    <w:p>
      <w:pPr>
        <w:pStyle w:val="Heading5"/>
        <w:numPr>
          <w:ilvl w:val="4"/>
          <w:numId w:val="1"/>
        </w:numPr>
        <w:rPr/>
      </w:pPr>
      <w:bookmarkStart w:id="408" w:name="__RefHeading___Toc907278_1468164448"/>
      <w:bookmarkStart w:id="409" w:name="_Toc158"/>
      <w:bookmarkEnd w:id="408"/>
      <w:r>
        <w:rPr>
          <w:rtl w:val="true"/>
        </w:rPr>
        <w:t>الأمر الثامن</w:t>
      </w:r>
      <w:r>
        <w:rPr>
          <w:rtl w:val="true"/>
        </w:rPr>
        <w:t xml:space="preserve">: </w:t>
      </w:r>
      <w:r>
        <w:rPr>
          <w:rtl w:val="true"/>
        </w:rPr>
        <w:t>حکم تعدد الحکمین وجواز کونهما اجنبیین</w:t>
      </w:r>
      <w:r>
        <w:rPr>
          <w:rtl w:val="true"/>
        </w:rPr>
        <w:t>:</w:t>
      </w:r>
      <w:bookmarkEnd w:id="409"/>
    </w:p>
    <w:p>
      <w:pPr>
        <w:pStyle w:val="BookText"/>
        <w:rPr/>
      </w:pPr>
      <w:r>
        <w:rPr>
          <w:rFonts w:ascii="IRNazanin" w:hAnsi="IRNazanin" w:eastAsia="IRNazanin"/>
          <w:color w:val="111111"/>
          <w:sz w:val="28"/>
          <w:sz w:val="28"/>
          <w:szCs w:val="28"/>
          <w:rtl w:val="true"/>
          <w:lang w:bidi="fa-IR"/>
        </w:rPr>
        <w:t>هل یجوز زیادة الحکمین عن الاثنین أی ثلاثة فما فوق أو توحده؟ وهل یلزم أن یکون الحکمین کل منهما من اهل الزوجین أو یسوغ أن یکونا اجنبیین؟ وهل یشترط اتفاقهما فی الحکم، فلو اختلفا لم یَنْفُذْ؟</w:t>
      </w:r>
    </w:p>
    <w:p>
      <w:pPr>
        <w:pStyle w:val="BookText"/>
        <w:rPr/>
      </w:pPr>
      <w:r>
        <w:rPr>
          <w:rFonts w:ascii="IRNazanin" w:hAnsi="IRNazanin" w:eastAsia="IRNazanin"/>
          <w:color w:val="111111"/>
          <w:sz w:val="28"/>
          <w:sz w:val="28"/>
          <w:szCs w:val="28"/>
          <w:rtl w:val="true"/>
          <w:lang w:bidi="fa-IR"/>
        </w:rPr>
        <w:t>ففی 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أرأیت ان قال احد الحکمین قد فرقت بینهما،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افرق بینهما؟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التفریق حتی یجتمعا جمیعاً علی التفریق، فاذا اجتمعا علی التفریق جاز تفریقهما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وظاهر الموثق لزوم اتفاقهما، والوجه فی ذلک ان التحکیم کما مرّ منطو علی توکیل بالصلح، فلاینفذ تصرف احد الحکمین من دون الحکم</w:t>
      </w:r>
      <w:bookmarkStart w:id="410" w:name="pg13690_120657"/>
    </w:p>
    <w:p>
      <w:pPr>
        <w:pStyle w:val="BookText"/>
        <w:rPr/>
      </w:pPr>
      <w:bookmarkEnd w:id="410"/>
      <w:r>
        <w:rPr>
          <w:rFonts w:ascii="IRNazanin" w:hAnsi="IRNazanin" w:eastAsia="IRNazanin"/>
          <w:color w:val="111111"/>
          <w:sz w:val="28"/>
          <w:sz w:val="28"/>
          <w:szCs w:val="28"/>
          <w:rtl w:val="true"/>
          <w:lang w:bidi="fa-IR"/>
        </w:rPr>
        <w:t>الآخر، نعم لو بنی علی جواز زیادة الحکمین الی ثلاثة فما فوق، وبنی علی أن التحکیم من باب التراضی فللزوجین أن یشترطا نفوذ حکم الأکثریة، مادام انه نحو من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قاضی التحکیم حکمه بموازین القضاء ففی مصحح عمر بن حنظلة، ان الافقه والاصدق والاورع حکمه نافذ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والوجه فی ذلک ان القضاء بموازین القضاء نفوذه کما مرّ بانفاذ وامضاء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فلابد أن یکون النفوذ بشرائطه، وقد یستفاد من مصحح عمر بن حنظلة نفوذ حکم الأکثر عددا اذا انطبق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 فان المجمع علیه لاریب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کون الحکمین من أهلهما فالظاهر انّه لکونهما اعرف بحالهما وأوثق فی رعایة مصلحتهما، وإلاّ فلو افترض انعکاس الحال فی الاجنبی فهو ادخل فی الغرض، ویشهد له اشارة الامیر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باتخاذ مالک الأشتر حکما فی صفین بعد ما رفض الخوارج الحسنین وعبدالله بن العباس</w:t>
      </w:r>
      <w:r>
        <w:rPr>
          <w:rFonts w:eastAsia="IRNazanin" w:cs="IRNazanin"/>
          <w:color w:val="111111"/>
          <w:sz w:val="28"/>
          <w:szCs w:val="28"/>
          <w:rtl w:val="true"/>
          <w:lang w:bidi="fa-IR"/>
        </w:rPr>
        <w:t>.</w:t>
      </w:r>
    </w:p>
    <w:p>
      <w:pPr>
        <w:pStyle w:val="Heading5"/>
        <w:numPr>
          <w:ilvl w:val="4"/>
          <w:numId w:val="1"/>
        </w:numPr>
        <w:rPr/>
      </w:pPr>
      <w:bookmarkStart w:id="411" w:name="__RefHeading___Toc907280_1468164448"/>
      <w:bookmarkStart w:id="412" w:name="_Toc159"/>
      <w:bookmarkEnd w:id="411"/>
      <w:r>
        <w:rPr>
          <w:rtl w:val="true"/>
        </w:rPr>
        <w:t>الأمر التاسع</w:t>
      </w:r>
      <w:r>
        <w:rPr>
          <w:rtl w:val="true"/>
        </w:rPr>
        <w:t xml:space="preserve">: </w:t>
      </w:r>
      <w:r>
        <w:rPr>
          <w:rtl w:val="true"/>
        </w:rPr>
        <w:t>فی شرائط الحکمین</w:t>
      </w:r>
      <w:r>
        <w:rPr>
          <w:rtl w:val="true"/>
        </w:rPr>
        <w:t>:</w:t>
      </w:r>
      <w:bookmarkEnd w:id="412"/>
    </w:p>
    <w:p>
      <w:pPr>
        <w:pStyle w:val="BookText"/>
        <w:rPr/>
      </w:pPr>
      <w:r>
        <w:rPr>
          <w:rFonts w:ascii="IRNazanin" w:hAnsi="IRNazanin" w:eastAsia="IRNazanin"/>
          <w:color w:val="111111"/>
          <w:sz w:val="28"/>
          <w:sz w:val="28"/>
          <w:szCs w:val="28"/>
          <w:rtl w:val="true"/>
          <w:lang w:bidi="fa-IR"/>
        </w:rPr>
        <w:t>فهل یشترط الذکورة والبلوغ والاسلام والایمان والعدالة والعلم والاجتهاد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انّ ذلک یدور مدار نمط الصلح والتحکیم، ففی ما کان توکیلا فلایزید عن شرائط الوکالة، واما ما کان من قبیل قاضی التحکیم فلامحالة یُعتبر فیه شرائط قاضی التحکیم من الذکورة والبلوغ والعلم بمقدار ما یتوقف علیه انشاء الحکم فی مورد النزاع، اذا کان فصلاً</w:t>
      </w:r>
      <w:bookmarkStart w:id="413" w:name="pg13690_120658"/>
    </w:p>
    <w:p>
      <w:pPr>
        <w:pStyle w:val="BookText"/>
        <w:rPr/>
      </w:pPr>
      <w:bookmarkEnd w:id="413"/>
      <w:r>
        <w:rPr>
          <w:rFonts w:ascii="IRNazanin" w:hAnsi="IRNazanin" w:eastAsia="IRNazanin"/>
          <w:color w:val="111111"/>
          <w:sz w:val="28"/>
          <w:sz w:val="28"/>
          <w:szCs w:val="28"/>
          <w:rtl w:val="true"/>
          <w:lang w:bidi="fa-IR"/>
        </w:rPr>
        <w:t>بالفتوی، وأما لو کان فصلا بموازین القضاء فالظاهر اعتبار الاجتهاد المتجزی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لو کان الباعث للحکمین هو الحاکم وکان تولیة منه لهما فیقرب عدم اشتراط الاجتهاد بلحاظ کون الحکم فی الامور الجزئیة والموضوعیة، وکون الحسم مستندا الی الحاکم الباعث لهما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المقدار من الشرائط یدور مدار نمط التحکیم ونوعیته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سابقاً انه ینبغی اختیار من یوثق به من جهة الخبرة ومن جهة الامانة</w:t>
      </w:r>
      <w:r>
        <w:rPr>
          <w:rFonts w:eastAsia="IRNazanin" w:cs="IRNazanin"/>
          <w:color w:val="111111"/>
          <w:sz w:val="28"/>
          <w:szCs w:val="28"/>
          <w:rtl w:val="true"/>
          <w:lang w:bidi="fa-IR"/>
        </w:rPr>
        <w:t>.</w:t>
      </w:r>
    </w:p>
    <w:p>
      <w:pPr>
        <w:pStyle w:val="Heading5"/>
        <w:numPr>
          <w:ilvl w:val="4"/>
          <w:numId w:val="1"/>
        </w:numPr>
        <w:rPr/>
      </w:pPr>
      <w:bookmarkStart w:id="414" w:name="__RefHeading___Toc907282_1468164448"/>
      <w:bookmarkStart w:id="415" w:name="_Toc160"/>
      <w:bookmarkEnd w:id="414"/>
      <w:r>
        <w:rPr>
          <w:rtl w:val="true"/>
        </w:rPr>
        <w:t>الأمر العاشر</w:t>
      </w:r>
      <w:r>
        <w:rPr>
          <w:rtl w:val="true"/>
        </w:rPr>
        <w:t xml:space="preserve">: </w:t>
      </w:r>
      <w:r>
        <w:rPr>
          <w:rtl w:val="true"/>
        </w:rPr>
        <w:t>حکم اختلاف الحکمین</w:t>
      </w:r>
      <w:r>
        <w:rPr>
          <w:rtl w:val="true"/>
        </w:rPr>
        <w:t>:</w:t>
      </w:r>
      <w:bookmarkEnd w:id="415"/>
    </w:p>
    <w:p>
      <w:pPr>
        <w:pStyle w:val="BookText"/>
        <w:rPr/>
      </w:pPr>
      <w:r>
        <w:rPr>
          <w:rFonts w:ascii="IRNazanin" w:hAnsi="IRNazanin" w:eastAsia="IRNazanin"/>
          <w:color w:val="111111"/>
          <w:sz w:val="28"/>
          <w:sz w:val="28"/>
          <w:szCs w:val="28"/>
          <w:rtl w:val="true"/>
          <w:lang w:bidi="fa-IR"/>
        </w:rPr>
        <w:t>اذا اختلف الحکمان ولم یصلا الی نقطة توافق، یعاد بعث حکمین، وهلمّ جرّا، وینبغی توخی ذوی الخبرة والمهارة واللباقة، لاسیما وقد تطورت الاعراف العقلائیة فی انماط التحکیم بآلیات نافعة وناجحة، لاتتدافع مع الشرائط المقررة التی مرّ ذکرها فی أنماط التحکیم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قد ذکر غیر واحد من الاصحاب ان الحکمین ینبغی لهما اخلاص النیة وقصد الاصلاح، فمن حسنت نیته اصلح الله مسعاه، فقد ورد انّ ما اضمر امرء نیة الا اظهرها الله ان خیراً فخیر وان شرا فشر، وکما یشیر الیه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یریدا اصلاحا یوفّق الله بینهما بناءا علی عود الضمیر الی الحکمین لا الزوجین</w:t>
      </w:r>
      <w:r>
        <w:rPr>
          <w:rFonts w:eastAsia="IRNazanin" w:cs="IRNazanin"/>
          <w:color w:val="111111"/>
          <w:sz w:val="28"/>
          <w:szCs w:val="28"/>
          <w:rtl w:val="true"/>
          <w:lang w:bidi="fa-IR"/>
        </w:rPr>
        <w:t>.</w:t>
      </w:r>
      <w:bookmarkStart w:id="416" w:name="pg13690_120659"/>
    </w:p>
    <w:p>
      <w:pPr>
        <w:pStyle w:val="Heading5"/>
        <w:numPr>
          <w:ilvl w:val="4"/>
          <w:numId w:val="1"/>
        </w:numPr>
        <w:rPr/>
      </w:pPr>
      <w:bookmarkStart w:id="417" w:name="__RefHeading___Toc907284_1468164448"/>
      <w:bookmarkStart w:id="418" w:name="_Toc161"/>
      <w:bookmarkEnd w:id="416"/>
      <w:bookmarkEnd w:id="417"/>
      <w:r>
        <w:rPr>
          <w:rtl w:val="true"/>
        </w:rPr>
        <w:t>الأمر الحادی عشر</w:t>
      </w:r>
      <w:r>
        <w:rPr>
          <w:rtl w:val="true"/>
        </w:rPr>
        <w:t xml:space="preserve">: </w:t>
      </w:r>
      <w:r>
        <w:rPr>
          <w:rtl w:val="true"/>
        </w:rPr>
        <w:t>حکم غیاب أحد الزوجین</w:t>
      </w:r>
      <w:r>
        <w:rPr>
          <w:rtl w:val="true"/>
        </w:rPr>
        <w:t>:</w:t>
      </w:r>
      <w:bookmarkEnd w:id="418"/>
    </w:p>
    <w:p>
      <w:pPr>
        <w:pStyle w:val="BookText"/>
        <w:rPr/>
      </w:pPr>
      <w:r>
        <w:rPr>
          <w:rFonts w:ascii="IRNazanin" w:hAnsi="IRNazanin" w:eastAsia="IRNazanin"/>
          <w:color w:val="111111"/>
          <w:sz w:val="28"/>
          <w:sz w:val="28"/>
          <w:szCs w:val="28"/>
          <w:rtl w:val="true"/>
          <w:lang w:bidi="fa-IR"/>
        </w:rPr>
        <w:t>لو غاب احد الزوجین فقد استشکل البعض فی صحة التحکیم، لان الحکم ینفذ علی الغائب، ولاینفذ له، ولان الغائب قد لایکون باقیاً علی الشقاق، والوکیل لابد ان یکون تابعاً للموکل، وقد تستجد احوالا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 هذه الوجوه لیست مطردة فی کل الصور ولا فی کل أنماط التحکیم، کما ان الغیبة قد تفرض فی أول التحکیم، وقد تفرض فیما بعد، فاللازم ملاحظة کل صورة بحسبها وبحسب نمط التحکیم، ثم ان المجری للطلاق هو الحکم من قبل الزوج، وان کان لابد من توافق کل من الحکمین علی الطلاق بلحاظ ان الحکم من قبل الزوج وکیل عنه، ولو فرض ان الباعث للحکمین هوالحاکم</w:t>
      </w:r>
      <w:r>
        <w:rPr>
          <w:rFonts w:eastAsia="IRNazanin" w:cs="IRNazanin"/>
          <w:color w:val="111111"/>
          <w:sz w:val="28"/>
          <w:szCs w:val="28"/>
          <w:rtl w:val="true"/>
          <w:lang w:bidi="fa-IR"/>
        </w:rPr>
        <w:t>.</w:t>
      </w:r>
    </w:p>
    <w:p>
      <w:pPr>
        <w:pStyle w:val="Heading5"/>
        <w:numPr>
          <w:ilvl w:val="4"/>
          <w:numId w:val="1"/>
        </w:numPr>
        <w:rPr/>
      </w:pPr>
      <w:bookmarkStart w:id="419" w:name="__RefHeading___Toc907286_1468164448"/>
      <w:bookmarkStart w:id="420" w:name="_Toc162"/>
      <w:bookmarkEnd w:id="419"/>
      <w:r>
        <w:rPr>
          <w:rtl w:val="true"/>
        </w:rPr>
        <w:t>الأمر الثانی عشر</w:t>
      </w:r>
      <w:r>
        <w:rPr>
          <w:rtl w:val="true"/>
        </w:rPr>
        <w:t xml:space="preserve">: </w:t>
      </w:r>
      <w:r>
        <w:rPr>
          <w:rtl w:val="true"/>
        </w:rPr>
        <w:t>التحکیم فی القوانین الوضعیة</w:t>
      </w:r>
      <w:r>
        <w:rPr>
          <w:rtl w:val="true"/>
        </w:rPr>
        <w:t>:</w:t>
      </w:r>
      <w:bookmarkEnd w:id="420"/>
    </w:p>
    <w:p>
      <w:pPr>
        <w:pStyle w:val="BookText"/>
        <w:rPr/>
      </w:pPr>
      <w:r>
        <w:rPr>
          <w:rFonts w:ascii="IRNazanin" w:hAnsi="IRNazanin" w:eastAsia="IRNazanin"/>
          <w:color w:val="111111"/>
          <w:sz w:val="28"/>
          <w:sz w:val="28"/>
          <w:szCs w:val="28"/>
          <w:rtl w:val="true"/>
          <w:lang w:bidi="fa-IR"/>
        </w:rPr>
        <w:t>قد ذکر للتحکیم فی القوانین الوضعیة المعاصرة جملة من النقاط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الاصل فی التحکیم هو بالقانون الاولی، والعدل به، أما الاصلاح بالصلح والمعالجة الموضوعیة فتحتاج الی تنصیص وتفویض زائد علی المتنازعین، ویراعی فی الصلح والحلول الموضوعیة الانصاف العرفی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یقع الاتفاق علی التحکیم، کذلک یجوز الاشتراط فیه،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التحکیم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نحو تحدید للحکم المحکّم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یعم التحکیم للموارد التی فی معرض النزاع سدا لبابه وان لم یقع موضوعها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التحکیم ظاهرة منتشرة بین الدول لعدم وجود والی متنفذ علی</w:t>
      </w:r>
    </w:p>
    <w:p>
      <w:pPr>
        <w:pStyle w:val="BookText"/>
        <w:rPr/>
      </w:pPr>
      <w:r>
        <w:rPr>
          <w:rFonts w:ascii="IRNazanin" w:hAnsi="IRNazanin" w:eastAsia="IRNazanin"/>
          <w:color w:val="111111"/>
          <w:sz w:val="28"/>
          <w:sz w:val="28"/>
          <w:szCs w:val="28"/>
          <w:rtl w:val="true"/>
          <w:lang w:bidi="fa-IR"/>
        </w:rPr>
        <w:t>الکل، ولاسیما فی الحروب، وفی التجارة الدولیة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وشرطیة التحکیم فی عقد لایتوقف علی نفوذ العقد لکون ارادة التحکیم مستقلة وهذا مطرد فی نمط من الشروط التی هی بصورة ضمنیة ولکنها تراد بنحو الاستقلال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التحکیم یتوسل به الطرفان أو الاطراف الذین لایریدون الخضوع تحت سیادة الدولة، أو سیادة محکمة قضائیة فیکون التحکیم توازن تسویة فی نظام السیطرة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تکثر الحکم أو المحکّم یختار کل واحد طرف أو أکثر علی التساوی ثم الزائد وهو الذی یشکل فردیة عدد المجموع کالحکم الثالث مثلا، یعیّن من الطرفین حیادیاً، وهذا حیاد فی تعیین الاغلبیة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الأمور التی ذکروها من مجلات ونشرات القوانین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وجملة هذه النظم التی ذکروها لاتتنافی مع موازین انماط الصلح والتحکیم فیما اذا کانت راجعة الی الصلح والتوکیل فی التحکیم والحکم بالفتوی، وأما فی التحکیم لقاضی التحکیم فکذلک فی الجملة، ویراعی حینئذ بقیة الشرائط</w:t>
      </w:r>
      <w:r>
        <w:rPr>
          <w:rFonts w:eastAsia="IRNazanin" w:cs="IRNazanin"/>
          <w:color w:val="111111"/>
          <w:sz w:val="28"/>
          <w:szCs w:val="28"/>
          <w:rtl w:val="true"/>
          <w:lang w:bidi="fa-IR"/>
        </w:rPr>
        <w:t>.</w:t>
      </w:r>
      <w:bookmarkStart w:id="421" w:name="pg13690_120662"/>
    </w:p>
    <w:p>
      <w:pPr>
        <w:pStyle w:val="Heading2"/>
        <w:numPr>
          <w:ilvl w:val="1"/>
          <w:numId w:val="1"/>
        </w:numPr>
        <w:rPr/>
      </w:pPr>
      <w:bookmarkStart w:id="422" w:name="__RefHeading___Toc907288_1468164448"/>
      <w:bookmarkStart w:id="423" w:name="_Toc163"/>
      <w:bookmarkEnd w:id="421"/>
      <w:bookmarkEnd w:id="422"/>
      <w:r>
        <w:rPr>
          <w:rtl w:val="true"/>
        </w:rPr>
        <w:t>قاعدة</w:t>
      </w:r>
      <w:r>
        <w:rPr>
          <w:rtl w:val="true"/>
        </w:rPr>
        <w:t>:</w:t>
      </w:r>
      <w:r>
        <w:rPr>
          <w:rtl w:val="true"/>
        </w:rPr>
        <w:t>حق المرأة العشرة بالمعروف أو التسریح بإحسان</w:t>
      </w:r>
      <w:bookmarkEnd w:id="42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4" w:name="__RefHeading___Toc907290_1468164448"/>
      <w:bookmarkStart w:id="425" w:name="_Toc164"/>
      <w:bookmarkEnd w:id="424"/>
      <w:r>
        <w:rPr>
          <w:rtl w:val="true"/>
        </w:rPr>
        <w:t>اشارة</w:t>
      </w:r>
      <w:bookmarkStart w:id="426" w:name="pg13690_120664"/>
      <w:bookmarkEnd w:id="425"/>
    </w:p>
    <w:p>
      <w:pPr>
        <w:pStyle w:val="Heading3"/>
        <w:numPr>
          <w:ilvl w:val="2"/>
          <w:numId w:val="1"/>
        </w:numPr>
        <w:rPr/>
      </w:pPr>
      <w:bookmarkStart w:id="427" w:name="__RefHeading___Toc907292_1468164448"/>
      <w:bookmarkStart w:id="428" w:name="_Toc165"/>
      <w:bookmarkEnd w:id="426"/>
      <w:bookmarkEnd w:id="427"/>
      <w:r>
        <w:rPr>
          <w:rtl w:val="true"/>
        </w:rPr>
        <w:t>من قواعد باب النکاح</w:t>
      </w:r>
      <w:r>
        <w:rPr>
          <w:rtl w:val="true"/>
        </w:rPr>
        <w:t>:</w:t>
      </w:r>
      <w:r>
        <w:rPr>
          <w:rtl w:val="true"/>
        </w:rPr>
        <w:t>حق المرأة العشرة بالمعروف أو التسریح بإحسان</w:t>
      </w:r>
      <w:bookmarkEnd w:id="428"/>
    </w:p>
    <w:p>
      <w:pPr>
        <w:pStyle w:val="Heading4"/>
        <w:numPr>
          <w:ilvl w:val="3"/>
          <w:numId w:val="1"/>
        </w:numPr>
        <w:rPr/>
      </w:pPr>
      <w:bookmarkStart w:id="429" w:name="__RefHeading___Toc907294_1468164448"/>
      <w:bookmarkStart w:id="430" w:name="_Toc166"/>
      <w:bookmarkEnd w:id="429"/>
      <w:r>
        <w:rPr>
          <w:rtl w:val="true"/>
        </w:rPr>
        <w:t>اشارة</w:t>
      </w:r>
      <w:bookmarkEnd w:id="430"/>
    </w:p>
    <w:p>
      <w:pPr>
        <w:pStyle w:val="BookText"/>
        <w:rPr/>
      </w:pPr>
      <w:r>
        <w:rPr>
          <w:rFonts w:ascii="IRNazanin" w:hAnsi="IRNazanin" w:eastAsia="IRNazanin"/>
          <w:color w:val="111111"/>
          <w:sz w:val="28"/>
          <w:sz w:val="28"/>
          <w:szCs w:val="28"/>
          <w:rtl w:val="true"/>
          <w:lang w:bidi="fa-IR"/>
        </w:rPr>
        <w:t>والکلام فی القاعدة فی جهات</w:t>
      </w:r>
      <w:r>
        <w:rPr>
          <w:rFonts w:eastAsia="IRNazanin" w:cs="IRNazanin"/>
          <w:color w:val="111111"/>
          <w:sz w:val="28"/>
          <w:szCs w:val="28"/>
          <w:rtl w:val="true"/>
          <w:lang w:bidi="fa-IR"/>
        </w:rPr>
        <w:t>:</w:t>
      </w:r>
    </w:p>
    <w:p>
      <w:pPr>
        <w:pStyle w:val="Heading4"/>
        <w:numPr>
          <w:ilvl w:val="3"/>
          <w:numId w:val="1"/>
        </w:numPr>
        <w:rPr/>
      </w:pPr>
      <w:bookmarkStart w:id="431" w:name="__RefHeading___Toc907296_1468164448"/>
      <w:bookmarkStart w:id="432" w:name="_Toc167"/>
      <w:bookmarkEnd w:id="431"/>
      <w:r>
        <w:rPr>
          <w:rtl w:val="true"/>
        </w:rPr>
        <w:t>الجهة الأولی</w:t>
      </w:r>
      <w:r>
        <w:rPr>
          <w:rtl w:val="true"/>
        </w:rPr>
        <w:t xml:space="preserve">: </w:t>
      </w:r>
      <w:r>
        <w:rPr>
          <w:rtl w:val="true"/>
        </w:rPr>
        <w:t>فی کون حق الوطی من حقوق المرأة</w:t>
      </w:r>
      <w:r>
        <w:rPr>
          <w:rtl w:val="true"/>
        </w:rPr>
        <w:t>:</w:t>
      </w:r>
      <w:bookmarkEnd w:id="432"/>
    </w:p>
    <w:p>
      <w:pPr>
        <w:pStyle w:val="BookText"/>
        <w:rPr/>
      </w:pPr>
      <w:r>
        <w:rPr>
          <w:rFonts w:ascii="IRNazanin" w:hAnsi="IRNazanin" w:eastAsia="IRNazanin"/>
          <w:color w:val="111111"/>
          <w:sz w:val="28"/>
          <w:sz w:val="28"/>
          <w:szCs w:val="28"/>
          <w:rtl w:val="true"/>
          <w:lang w:bidi="fa-IR"/>
        </w:rPr>
        <w:t>وأصل الحکم مورد وفاق کما حکی</w:t>
      </w:r>
      <w:r>
        <w:rPr>
          <w:rStyle w:val="FootnoteAnchor"/>
          <w:rtl w:val="true"/>
        </w:rPr>
        <w:footnoteReference w:id="418"/>
      </w:r>
      <w:r>
        <w:rPr>
          <w:rFonts w:ascii="IRNazanin" w:hAnsi="IRNazanin" w:eastAsia="IRNazanin"/>
          <w:color w:val="111111"/>
          <w:sz w:val="28"/>
          <w:sz w:val="28"/>
          <w:szCs w:val="28"/>
          <w:rtl w:val="true"/>
          <w:lang w:bidi="fa-IR"/>
        </w:rPr>
        <w:t>، وإن وقع الاختلاف فی جملة من شقوق المسألة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ویستدل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بصحیحة صفوان بن یحیی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عن الرجل یکون عنده المرأة الشابة، فیمسک عنها الأشهر والسنة لا یقربها لیس یرید الإضرار بها، یکون فی ذلک آثماً؟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ترکها أربعة أشهر کان آثماً بعد ذلک</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وإطلاق هذه الروایة شامل بظاهره إلی کلّ الأقسام والشقوق التی مرّت سواء فی المرأة أو فی الرجل، عدا التقیید عجوز، ومن ثم قید جملة من</w:t>
      </w:r>
      <w:bookmarkStart w:id="433" w:name="pg13690_120665"/>
    </w:p>
    <w:p>
      <w:pPr>
        <w:pStyle w:val="BookText"/>
        <w:rPr/>
      </w:pPr>
      <w:bookmarkEnd w:id="433"/>
      <w:r>
        <w:rPr>
          <w:rFonts w:ascii="IRNazanin" w:hAnsi="IRNazanin" w:eastAsia="IRNazanin"/>
          <w:color w:val="111111"/>
          <w:sz w:val="28"/>
          <w:sz w:val="28"/>
          <w:szCs w:val="28"/>
          <w:rtl w:val="true"/>
          <w:lang w:bidi="fa-IR"/>
        </w:rPr>
        <w:t>أعلام العصر</w:t>
      </w:r>
      <w:r>
        <w:rPr>
          <w:rStyle w:val="FootnoteAnchor"/>
          <w:rtl w:val="true"/>
        </w:rPr>
        <w:footnoteReference w:id="421"/>
      </w:r>
      <w:r>
        <w:rPr>
          <w:rFonts w:ascii="IRNazanin" w:hAnsi="IRNazanin" w:eastAsia="IRNazanin"/>
          <w:color w:val="111111"/>
          <w:sz w:val="28"/>
          <w:sz w:val="28"/>
          <w:szCs w:val="28"/>
          <w:rtl w:val="true"/>
          <w:lang w:bidi="fa-IR"/>
        </w:rPr>
        <w:t>، الحکم بذلک واستشکل بعض آخر فی الإطلاق للمسافر</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موثّق إسحاق بن عمّار عن جعفر عن أبیه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المرأة تزعم أن زوجها لا یمسّها، ویزعم أنه یمسّها،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 ثم یترک</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وظاهر الموثّق الإطلاق من دون التقیید بالشابة ومن دون التقیید بالدائمة، کما یتبین أیضاً أن المسّ إجمالًا من حقوق الزوجة من دون التقیید بالأربعة أشهر</w:t>
      </w:r>
      <w:r>
        <w:rPr>
          <w:rFonts w:eastAsia="IRNazanin" w:cs="IRNazanin"/>
          <w:color w:val="111111"/>
          <w:sz w:val="28"/>
          <w:szCs w:val="28"/>
          <w:rtl w:val="true"/>
          <w:lang w:bidi="fa-IR"/>
        </w:rPr>
        <w:t>.</w:t>
      </w:r>
    </w:p>
    <w:p>
      <w:pPr>
        <w:pStyle w:val="Heading4"/>
        <w:numPr>
          <w:ilvl w:val="3"/>
          <w:numId w:val="1"/>
        </w:numPr>
        <w:rPr/>
      </w:pPr>
      <w:bookmarkStart w:id="434" w:name="__RefHeading___Toc907298_1468164448"/>
      <w:bookmarkStart w:id="435" w:name="_Toc168"/>
      <w:bookmarkEnd w:id="434"/>
      <w:r>
        <w:rPr>
          <w:rtl w:val="true"/>
        </w:rPr>
        <w:t>الجهة الثانیة</w:t>
      </w:r>
      <w:r>
        <w:rPr>
          <w:rtl w:val="true"/>
        </w:rPr>
        <w:t xml:space="preserve">: </w:t>
      </w:r>
      <w:r>
        <w:rPr>
          <w:rtl w:val="true"/>
        </w:rPr>
        <w:t>وحدة موضوع العیوب والإیلاء والظهار من جهة حق الوطی</w:t>
      </w:r>
      <w:r>
        <w:rPr>
          <w:rtl w:val="true"/>
        </w:rPr>
        <w:t>:</w:t>
      </w:r>
      <w:bookmarkEnd w:id="435"/>
    </w:p>
    <w:p>
      <w:pPr>
        <w:pStyle w:val="BookText"/>
        <w:rPr/>
      </w:pPr>
      <w:r>
        <w:rPr>
          <w:rFonts w:ascii="IRNazanin" w:hAnsi="IRNazanin" w:eastAsia="IRNazanin"/>
          <w:color w:val="111111"/>
          <w:sz w:val="28"/>
          <w:sz w:val="28"/>
          <w:szCs w:val="28"/>
          <w:rtl w:val="true"/>
          <w:lang w:bidi="fa-IR"/>
        </w:rPr>
        <w:t>جاء فی صحیحة أبی حمزة 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تزوج الرجل المرأة الثیب التی تزوجت زوجاً غیره فزعمت أنه لم یقربها منذ دخل بها، فإن القول فی ذلک قول الرجل، وعلیه أن یحلف بالله لقد جامعها؛ لأنها</w:t>
      </w:r>
    </w:p>
    <w:p>
      <w:pPr>
        <w:pStyle w:val="BookText"/>
        <w:rPr/>
      </w:pPr>
      <w:r>
        <w:rPr>
          <w:rFonts w:ascii="IRNazanin" w:hAnsi="IRNazanin" w:eastAsia="IRNazanin"/>
          <w:color w:val="111111"/>
          <w:sz w:val="28"/>
          <w:sz w:val="28"/>
          <w:szCs w:val="28"/>
          <w:rtl w:val="true"/>
          <w:lang w:bidi="fa-IR"/>
        </w:rPr>
        <w:t>المدعیة،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تزوجت وهی بکر فزعمت أنه لم یصل إلیها فإن مثل هذا تعرف النساء، فلینظر إلیها من یوثق به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الصحیحة وإن أوردها صاحب الوسائل فی أبواب العیوب والعنن، إلّا أن مفادها یقتضی ویستلزم کون الوطی من حقوق الزوجة؛ وإلا لما کان لها حق المرافعة علیه، کما أن هذه الروایة لم تقید بالشابة، وسیأتی فی روایات العنن والعیوب أن الأقوی فی موضوعها هو کونه حق المرأة فی الوطی، وإن اختلف أثره بین ما یکون قبل العقد وبعده قبل الوطی، فیوجب حق الفسخ، وبین ما کان بعد تحقّق الوطی وترکه بعد ذلک، فإنه یوجب حق الإجبار علی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حفص بن البختری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غاضب الرجل امرأته فلم یقربها من غیر یمین أربعة أشهر استعدت علیه، فإما أن یفیء وإما أن یطلق، فإن ترکها من غیر مغاضبة أو یمین فلیس بمؤل</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 ودعوی أن الصحیحة واردة فی مورد إلحاق المغاضبة بالإیلاء ولاربط لها فیما نحن فیه من ثبوت حق للمرأة فی الوطی مطلقاً، مدفوعة؛ إذ لم نقف علی قائل بإلحاق المغاضبة بالإیلاء</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ذیل الروایة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ترکها من غیر مغاضبة فلیس بمؤل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یتوهم منه أن ترک الوطی بدون مغاضبة لا یثبت معه حق للمرأة فی الاستعداء؛ وذلک لأن المفهوم من الترک من غیر مغاضبة یعنی من غیر</w:t>
      </w:r>
    </w:p>
    <w:p>
      <w:pPr>
        <w:pStyle w:val="BookText"/>
        <w:rPr/>
      </w:pPr>
      <w:r>
        <w:rPr>
          <w:rFonts w:ascii="IRNazanin" w:hAnsi="IRNazanin" w:eastAsia="IRNazanin"/>
          <w:color w:val="111111"/>
          <w:sz w:val="28"/>
          <w:sz w:val="28"/>
          <w:szCs w:val="28"/>
          <w:rtl w:val="true"/>
          <w:lang w:bidi="fa-IR"/>
        </w:rPr>
        <w:t>غضب الزوجة وهو رضاها بالترک، وهذا غیر ما نحن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هذه الصحیحة کموثّقة إسحاق المتقدّمة، دالة علی أن الاستعداء علی الزوج فی الإیلاء لیس موضوعه الإیلاء نفسه، وإنما موضوعه هو موضوع الإیلاء، وهو حق المرأة فی الوطی بعد الأربعة أشهر، ومن ثم ذهب بعضهم فی الإیلاء إلی أن مبدأ المدة فی الأربعة أشهر هی منذ إیقاع الإیلاء لا منذ مرافعتها للحاکم، وکأن الوجه فی جعل الإیلاء مبدأ دون ترک الوطی هو أنه من حین الإیلاء تحصل المغاضبة وعدم رضا الزوجة بترک حقّها، ومن ثم قد تجعل نفس المرافعة مبدءاً للأربعة لا من حین الإیلاء، کما قد یظهر من بعض نصوص روایات الإیلاء أنها إن سکتت سکت عنها، حیث أن السکوت بمنزلة الرضا، وعدم المطالبة بالحق بمعنی الرضا بسقوطه فی تلک المدّة السابقة، فلا ینقض علی من استدل بروایات الإیلاء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موضوع الإیلاء مع الموضوع فی المقام، إذ غایة ما یختص به الإیلاء هو انعقاد الیمین فیما هو مرجوح أو محرم ولزوم الکفارة علیه، وأما بقیة أحکامه فمأخوذ فی موضوعها حق المرأة فی الوطی، کما سیتبین من بعض روایاته الآتیة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الحال فی الظهار، فإنه وإن حدّد بالثلاثة أشهر لکونه نحو طلاق موجب للبینونة المؤبدة فی الجاهلیة، والشارع لم یبطل أثره من رأس وإنما جعل أثره معلّق ومؤقت بالکفارة أو الطلاق، ومن هنا کان الأقوی فیه حرمة مطلق استمتاع الرجل بالمرأة ما لم یفیء ویکفر أو یطلق، 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المرأة معلقة لا هی زوجة ولا مطلقة هضم لحقوقها فی القسم والعشرة بالمعروف والوطی</w:t>
      </w:r>
      <w:r>
        <w:rPr>
          <w:rFonts w:eastAsia="IRNazanin" w:cs="IRNazanin"/>
          <w:color w:val="111111"/>
          <w:sz w:val="28"/>
          <w:szCs w:val="28"/>
          <w:rtl w:val="true"/>
          <w:lang w:bidi="fa-IR"/>
        </w:rPr>
        <w:t>.</w:t>
      </w:r>
      <w:bookmarkStart w:id="436" w:name="pg13690_120668"/>
    </w:p>
    <w:p>
      <w:pPr>
        <w:pStyle w:val="Heading4"/>
        <w:numPr>
          <w:ilvl w:val="3"/>
          <w:numId w:val="1"/>
        </w:numPr>
        <w:rPr/>
      </w:pPr>
      <w:bookmarkStart w:id="437" w:name="__RefHeading___Toc907300_1468164448"/>
      <w:bookmarkStart w:id="438" w:name="_Toc169"/>
      <w:bookmarkEnd w:id="436"/>
      <w:bookmarkEnd w:id="437"/>
      <w:r>
        <w:rPr>
          <w:rtl w:val="true"/>
        </w:rPr>
        <w:t>الجهة الثالثة</w:t>
      </w:r>
      <w:r>
        <w:rPr>
          <w:rtl w:val="true"/>
        </w:rPr>
        <w:t xml:space="preserve">: </w:t>
      </w:r>
      <w:r>
        <w:rPr>
          <w:rtl w:val="true"/>
        </w:rPr>
        <w:t>عموم حق استعداء المرأة بالطلاق مع عدم العشرة بالمعروف من دون تقیید ذلک بخصوص النفقة</w:t>
      </w:r>
      <w:bookmarkEnd w:id="438"/>
    </w:p>
    <w:p>
      <w:pPr>
        <w:pStyle w:val="BookText"/>
        <w:rPr/>
      </w:pPr>
      <w:r>
        <w:rPr>
          <w:rFonts w:ascii="IRNazanin" w:hAnsi="IRNazanin" w:eastAsia="IRNazanin"/>
          <w:color w:val="111111"/>
          <w:sz w:val="28"/>
          <w:sz w:val="28"/>
          <w:szCs w:val="28"/>
          <w:rtl w:val="true"/>
          <w:lang w:bidi="fa-IR"/>
        </w:rPr>
        <w:t>ویدل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مضی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النصوص الخاصة الواردة فی حق الإنفاق وبهذه النصوص یتعزز ثبوت القاعدة التی التزم بها جملة من أعلام عصرنا کالسید الکلبایکانی وسیدنا الأستاذ السید محمد الروحانی وغیرهما، من عموم حق المرافعة للزوجة بالطلاق أو العشرة بالمعروف فی کلّ ما للمرأة من حق العشرة لا خصوص ما إذا امتنع عن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الآیات والروایات الواردة فی باب الإیلاء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الآیات والروایات الواردة فی باب الظهار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العیوب، کما فی العیب المستجد بعد الوطی، کما سیأتی استعراضها، الدالة علی أن موضوع الإجبار علی الطلاق أو علی أداء الحقوق لا یختص بحق النفقة، وإنما یعم بقیة حقوقها الأصلیة، کالوطی</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العموم فی حقوق المرأة مطابق للآیات القرآنیة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فَإِمْساکٌ بِمَعْرُوفٍ أَوْ تَسْرِیحٌ بِإِحْسانٍ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فَأَمْسِکُوهُنَّ بِمَعْرُوفٍ أَوْ سَرِّحُوهُنَّ بِمَعْرُوفٍ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فَأَمْسِکُوهُنَّ بِمَعْرُوفٍ</w:t>
      </w:r>
    </w:p>
    <w:p>
      <w:pPr>
        <w:pStyle w:val="BookText"/>
        <w:rPr/>
      </w:pPr>
      <w:r>
        <w:rPr>
          <w:rFonts w:ascii="Amiri" w:hAnsi="Amiri" w:eastAsia="Amiri" w:cs="Amiri"/>
          <w:color w:val="111111"/>
          <w:sz w:val="28"/>
          <w:sz w:val="28"/>
          <w:szCs w:val="28"/>
          <w:rtl w:val="true"/>
          <w:lang w:bidi="ar-SA"/>
        </w:rPr>
        <w:t>أَوْ فارِقُوهُنَّ بِمَعْرُوفٍ وقوله تعالی وَ عاشِرُوهُنَّ بِالْمَعْرُوفِ فَإِنْ کَرِهْتُمُوهُنَّ فَعَسی أَنْ تَکْرَهُوا شَیْئاً وَ یَجْعَلَ اللّهُ فِیهِ خَیْراً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الروایات ما ورد فی الإیلاء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أبی مریم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المؤل یوقف بعد الأربعة أشهر فإن شاء إمساک بمعروف أو تسریح بإحسان، فإن عزم الطلاق فهی واحدة وهو أملک برجعتها</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الصحیحة ناصة علی عموم الآیة فی غیر حق النفقة، وأن الإجبار علی الطلاق فی باب الإیلاء هو حکم موضوعه حق المرأة فی الوطی ولیس موضوعه الحلف بما هو 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إلی التعبیر المستفیض أو المتواتر فی روایات الإیلاء کما هو فی قوله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التعبیر بالفیء هو الرجوع إلی مصالحة أهله أی أداء حقوقها من الجماع، کما فی صحیحة أبی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فاء وهو أن یصالح أهله فإن الله غفور رحیم وإن لم یفئ جبر علی أن یطلق</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وفی موثّق سماعة قال فی حدیث</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والإیفاء أن یصالح أهله فإن الله غفوررحیم</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حق المرافعة والشکوی للزوجة علی الرجل المؤلی یقتضی فی رتبة سابقة أن لها حقاً مضیعاً من قبله، وفی صحیح برید بن معاویة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مضت الأربعة أشهر قبل أن یمسها فسکتت ورضیت فهو فی حل وسعة، فإن رفعت أمرها، قیل له إما أن تفیء فتمسها وإما أن تطلق</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ورد فی الظهار، کما فی صحیح یزید الکناسی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ظاهر منها ثم ترکها لا یمسها إلّا أنه یراها متجردة من غیر أن یمسها هل علیه فی ذلک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امرأته ولیس یحرم علیه مجامعتها، ولکن یجب علیه ما یجب علی المظاهر قبل أن یجامع وهی امرأته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رفعته إلی السلطان وقالت هذا زوجی وقد ظاهر منی وقد أمسکنی لا یمسّنی مخافة أن یجب علیه ما یجب علی المظاهر،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أن یجبر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یکن له ما یعتق ولم 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یقدر علی أن یعتق فإن علی الإمام أن یجبره </w:t>
      </w:r>
      <w:r>
        <w:rPr>
          <w:rFonts w:eastAsia="IRNazanin" w:cs="IRNazanin"/>
          <w:color w:val="111111"/>
          <w:sz w:val="28"/>
          <w:szCs w:val="28"/>
          <w:rtl w:val="true"/>
          <w:lang w:bidi="fa-IR"/>
        </w:rPr>
        <w:t xml:space="preserve">..» </w:t>
      </w:r>
      <w:r>
        <w:rPr>
          <w:rStyle w:val="FootnoteAnchor"/>
          <w:rtl w:val="true"/>
        </w:rPr>
        <w:footnoteReference w:id="430"/>
      </w:r>
      <w:r>
        <w:rPr>
          <w:rFonts w:ascii="IRNazanin" w:hAnsi="IRNazanin" w:eastAsia="IRNazanin"/>
          <w:color w:val="111111"/>
          <w:sz w:val="28"/>
          <w:sz w:val="28"/>
          <w:szCs w:val="28"/>
          <w:rtl w:val="true"/>
          <w:lang w:bidi="fa-IR"/>
        </w:rPr>
        <w:t>والحدیث نص فی أن حکم الإجبار فی الظهار لیس مترتباً علی الظهار بما هو هو، وإنما مترتب علی ترک حق المرأة، سواء کونها معلّقة أو لحق الوطی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أتاها فعلیه عتق رقبة أو صیام شهرین متتابعین أو إطعام ستین مسکیناً وإلّا ترک ثلاثة أشهر، فإن فاء وإلّا أوقف حتی یُسأل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فی امرأتک حاجة؟ أو تطلقها فإن فاء فلیس علیه شیء وهی امرأته، وإن طلق واحدة فهو أملک برجعته</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والصحیحة نص فی أن حکم الإجبار علی الطلاق أو أداء الحقوق المعبّر عنه بالفیء موضوعه حق المرأة، ومن ثم کان لها حق المرافعة والشکایة علیه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بالفیء فی الظهار والإیلاء، کما فسر فی روایات الإیلاء بأن یصالح أهله، یقتضی أن یکون معنی الزوجیة التی هی المسبب فی عقد الزواج هو الاقتران بضمیمة الإملاک، وهو یباین القطیعة والانقطاع بین الزوجین، فمن ثم عبّر عما یقابلهما بالفیء والمصالحة، وهو مفاد ما تقدّم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فَإِمْساکٌ بِمَعْرُوفٍ أَوْ تَسْرِیحٌ بِإِحْسانٍ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 فَلا تَمِیلُوا کُلَّ الْمَیْلِ فَتَذَرُوها کَالْمُعَلَّقَةِ وَ إِنْ تُصْلِحُوا وَ تَتَّقُوا فَإِنَّ اللّهَ کانَ غَفُوراً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یَتَفَرَّقا یُغْنِ اللّهُ کُلاًّ مِنْ سَعَتِهِ وَ کانَ اللّهُ واسِعاً حَکِیماً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مفاد هذه الآیات أنه إما اقتران بالزوجیة وصلح بین الطرفین صلح عشرة وأداء للحقوق من الطرفین، وإما التفرق ولا یسوغ تعلیق الحالة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فالمحصل من الآیات ان هناک ثلاثة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حالة وئام وصلح وفیء من الطرفین لبعضهما وهی المرغوبة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حالة التعلیق بلا وئام ولا طلاق وهی المنهی عنها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فَتَذَرُوها کَالْمُعَلَّقَةِ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حالة الفراق والطلاق، وهذا هو معنی الحصر فی الآیتین السابقتین إما إمساک بمعروف أو تسریح بإحسان أی نبذ لحالة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العیوب، کصحیحة ابن مسکان عن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ابتلی زوجها فلا یقدر علی جماع أتفارقه؟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شاءت، وفی روایة أخری ینتظر سنة فإن أتاها وإلّا فارقته فإن أحبت أن تقیم معه فلتقم</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والمشهور أو الأشهر، وإن ذهبوا إلی تقیید حق الفسخ بالعیب قبل العقد أو بعد العقد قبل الوطی کالعنن والجب، دون العیب المتجدد بعد الوطی، إلّا أن مفاد هذه الصحیحة وما یأتی من روایات ظاهرها الإجبار علی الطلاق لمکان حق الزوجة فی الوطی، وقد ذهب إلی ذلک الشیخ المفید وجماعة وکذلک بعض المعاصرین، وهو المحکی عن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البراج</w:t>
      </w:r>
      <w:r>
        <w:rPr>
          <w:rStyle w:val="FootnoteAnchor"/>
          <w:rtl w:val="true"/>
        </w:rPr>
        <w:footnoteReference w:id="433"/>
      </w:r>
      <w:r>
        <w:rPr>
          <w:rFonts w:ascii="IRNazanin" w:hAnsi="IRNazanin" w:eastAsia="IRNazanin"/>
          <w:color w:val="111111"/>
          <w:sz w:val="28"/>
          <w:sz w:val="28"/>
          <w:szCs w:val="28"/>
          <w:rtl w:val="true"/>
          <w:lang w:bidi="fa-IR"/>
        </w:rPr>
        <w:t>والمختلف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وتوقف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 عمار بن موسی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رجل</w:t>
      </w:r>
    </w:p>
    <w:p>
      <w:pPr>
        <w:pStyle w:val="BookText"/>
        <w:rPr/>
      </w:pPr>
      <w:r>
        <w:rPr>
          <w:rFonts w:ascii="IRNazanin" w:hAnsi="IRNazanin" w:eastAsia="IRNazanin"/>
          <w:color w:val="111111"/>
          <w:sz w:val="28"/>
          <w:sz w:val="28"/>
          <w:szCs w:val="28"/>
          <w:rtl w:val="true"/>
          <w:lang w:bidi="fa-IR"/>
        </w:rPr>
        <w:t>أخذ عن امرأته فلا یقدر علی اتیانها،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یقدر علی إتیان غیرها من النساء فلا یمسکها إلّا برضاها بذلک، وإن کان یقدر علی غیرها فلا بأس بإمساکها</w:t>
      </w:r>
      <w:r>
        <w:rPr>
          <w:rFonts w:eastAsia="IRNazanin" w:cs="IRNazanin"/>
          <w:color w:val="111111"/>
          <w:sz w:val="28"/>
          <w:szCs w:val="28"/>
          <w:rtl w:val="true"/>
          <w:lang w:bidi="fa-IR"/>
        </w:rPr>
        <w:t>»</w:t>
      </w:r>
      <w:r>
        <w:rPr>
          <w:rStyle w:val="FootnoteAnchor"/>
          <w:rtl w:val="true"/>
        </w:rPr>
        <w:footnoteReference w:id="4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والتفصیل فی الروایة بلحاظ العنن وعدمه، حیث أنه فی الصورة الثانیة هو کالمرض الطارئ الذی یرجی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أبی الصباح الکنانی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ابتلی زوجها فلا یقدر علی الجماع أبداً أتفارقه؟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شاءت</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ودعوی صاحب الجواهر بأن ما دل من الروایات علی عدم حق الفسخ لها فی صورة الطرو للعنن والعیب بعد الوطی أصحّ سنداً وأکثر عدداً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تلک الروایات عامّیة وإن کانت موثّقة، ولا سیما أن الرواة لها من قضاة العامة، وهی لیست أکثر عدداً من الروایات الأولی، مع أن مفاد الروایات الأولی ظاهرة بالإجبار علی الطلاق لا الخیار المنفی فی الروایات النافیة</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أن الروایات الأولی مطابقة للسان ثالث من الروایات الواردة فی العنن الدالة بالعموم علی حق الزوجة فی مفارقة الزوج بالعنن، کصحیحة محمد بن مسلم والصحیح الثانی لأبی الصباح</w:t>
      </w:r>
      <w:r>
        <w:rPr>
          <w:rStyle w:val="FootnoteAnchor"/>
          <w:rtl w:val="true"/>
        </w:rPr>
        <w:footnoteReference w:id="436"/>
      </w:r>
      <w:r>
        <w:rPr>
          <w:rFonts w:ascii="IRNazanin" w:hAnsi="IRNazanin" w:eastAsia="IRNazanin"/>
          <w:color w:val="111111"/>
          <w:sz w:val="28"/>
          <w:sz w:val="28"/>
          <w:szCs w:val="28"/>
          <w:rtl w:val="true"/>
          <w:lang w:bidi="fa-IR"/>
        </w:rPr>
        <w:t>وکذلک روایة عبدالله بن الفضل الهاشمی وروایة غیاث بن إبراهیم</w:t>
      </w:r>
      <w:r>
        <w:rPr>
          <w:rStyle w:val="FootnoteAnchor"/>
          <w:rtl w:val="true"/>
        </w:rPr>
        <w:footnoteReference w:id="437"/>
      </w:r>
      <w:r>
        <w:rPr>
          <w:rFonts w:ascii="Amiri" w:hAnsi="Amiri" w:eastAsia="Amiri" w:cs="Amiri"/>
          <w:color w:val="111111"/>
          <w:sz w:val="28"/>
          <w:sz w:val="28"/>
          <w:szCs w:val="28"/>
          <w:rtl w:val="true"/>
          <w:lang w:bidi="ar-SA"/>
        </w:rPr>
        <w:t>، وقد تقدّمت</w:t>
      </w:r>
    </w:p>
    <w:p>
      <w:pPr>
        <w:pStyle w:val="BookText"/>
        <w:rPr/>
      </w:pPr>
      <w:r>
        <w:rPr>
          <w:rFonts w:ascii="IRNazanin" w:hAnsi="IRNazanin" w:eastAsia="IRNazanin"/>
          <w:color w:val="111111"/>
          <w:sz w:val="28"/>
          <w:sz w:val="28"/>
          <w:szCs w:val="28"/>
          <w:rtl w:val="true"/>
          <w:lang w:bidi="fa-IR"/>
        </w:rPr>
        <w:t>صحیحة أبی‌حمزة</w:t>
      </w:r>
      <w:r>
        <w:rPr>
          <w:rStyle w:val="FootnoteAnchor"/>
          <w:rtl w:val="true"/>
        </w:rPr>
        <w:footnoteReference w:id="438"/>
      </w:r>
      <w:r>
        <w:rPr>
          <w:rFonts w:ascii="IRNazanin" w:hAnsi="IRNazanin" w:eastAsia="IRNazanin"/>
          <w:color w:val="111111"/>
          <w:sz w:val="28"/>
          <w:sz w:val="28"/>
          <w:szCs w:val="28"/>
          <w:rtl w:val="true"/>
          <w:lang w:bidi="fa-IR"/>
        </w:rPr>
        <w:t>الدالة علی ذلک، حیث أن موردها فی العیب الطارئ بعد الوطی، وهی صریحة فی الإجبار علی الطلاق لا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 هذه الروایات تعم مطلق العیوب المانعة عن الوطی، سواء کان عنناً أو جبّاً أو خصاءً مانعاً عن انتشار الآلة،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هناک جملة من التفاصیل فی مسألة العیوب، من التحدید بالمدد الواردة فی کل عیب ونحو ذلک، فهی موکولة إلی بحث العیوب المبحوث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المنقطعة، فظاهر صحیحة صفوان وإن کانت شاملة بإطلاقها لها، لکن بقیة الأدلة والروایات التی مرّت غیر شاملة لها، لأن فیها الإجبار علی الطلاق، ویمکن أن یُقرّب قصور الصحیحة عن الشمول بما یظهر من جملة من الآیات والروایات</w:t>
      </w:r>
      <w:r>
        <w:rPr>
          <w:rStyle w:val="FootnoteAnchor"/>
          <w:rtl w:val="true"/>
        </w:rPr>
        <w:footnoteReference w:id="439"/>
      </w:r>
      <w:r>
        <w:rPr>
          <w:rFonts w:ascii="IRNazanin" w:hAnsi="IRNazanin" w:eastAsia="IRNazanin"/>
          <w:color w:val="111111"/>
          <w:sz w:val="28"/>
          <w:sz w:val="28"/>
          <w:szCs w:val="28"/>
          <w:rtl w:val="true"/>
          <w:lang w:bidi="fa-IR"/>
        </w:rPr>
        <w:t>حیث ورد أنها لیست من الأربع، وأنهن مثل الإماء یتزوج ما شاء، مضافاً إلی عدم ثبوت جملة من الأحکام لها کالتوارث والنفقة والقسم والعدّة</w:t>
      </w:r>
      <w:r>
        <w:rPr>
          <w:rStyle w:val="FootnoteAnchor"/>
          <w:rtl w:val="true"/>
        </w:rPr>
        <w:footnoteReference w:id="440"/>
      </w:r>
      <w:r>
        <w:rPr>
          <w:rFonts w:ascii="IRNazanin" w:hAnsi="IRNazanin" w:eastAsia="IRNazanin"/>
          <w:color w:val="111111"/>
          <w:sz w:val="28"/>
          <w:sz w:val="28"/>
          <w:szCs w:val="28"/>
          <w:rtl w:val="true"/>
          <w:lang w:bidi="fa-IR"/>
        </w:rPr>
        <w:t>، وکذا ما ورد فی الآیات بأن لا تجعل الزوجة معلّقة، بل إمّا تُسرّح وتطلّق أو تُمسک بمعروف، کما أن الظاهر أن وجوب التمکین فی المتعة من جهة أجرة العوض، فجملة ذلک موجب للانصراف، وإن کان الأحوط ذلک</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السفر، فإطلاق الأدلة دافع للتقیید بعدمه، ودعوی أن سیرة</w:t>
      </w:r>
      <w:bookmarkStart w:id="439" w:name="pg13690_120675"/>
    </w:p>
    <w:p>
      <w:pPr>
        <w:pStyle w:val="BookText"/>
        <w:rPr/>
      </w:pPr>
      <w:bookmarkEnd w:id="439"/>
      <w:r>
        <w:rPr>
          <w:rFonts w:ascii="IRNazanin" w:hAnsi="IRNazanin" w:eastAsia="IRNazanin"/>
          <w:color w:val="111111"/>
          <w:sz w:val="28"/>
          <w:sz w:val="28"/>
          <w:szCs w:val="28"/>
          <w:rtl w:val="true"/>
          <w:lang w:bidi="fa-IR"/>
        </w:rPr>
        <w:t>المتشرعة علی سقوطه بالسفر مطلقاً، کما هو الحال فی القسم، مدفوعة بأن القدر المتیقن من السیرة إنما هی فیما احتاج واضطر عرفاً إلیه، لا فی کل سفر بحیث یجعلها کالمعلّقة، والحال کذلک فی القسم کما هو مقرر فی بحث حقوق الزوجین</w:t>
      </w:r>
      <w:r>
        <w:rPr>
          <w:rFonts w:eastAsia="IRNazanin" w:cs="IRNazanin"/>
          <w:color w:val="111111"/>
          <w:sz w:val="28"/>
          <w:szCs w:val="28"/>
          <w:rtl w:val="true"/>
          <w:lang w:bidi="fa-IR"/>
        </w:rPr>
        <w:t>.</w:t>
      </w:r>
    </w:p>
    <w:p>
      <w:pPr>
        <w:pStyle w:val="Heading4"/>
        <w:numPr>
          <w:ilvl w:val="3"/>
          <w:numId w:val="1"/>
        </w:numPr>
        <w:rPr/>
      </w:pPr>
      <w:bookmarkStart w:id="440" w:name="__RefHeading___Toc907302_1468164448"/>
      <w:bookmarkStart w:id="441" w:name="_Toc170"/>
      <w:bookmarkEnd w:id="440"/>
      <w:r>
        <w:rPr>
          <w:rtl w:val="true"/>
        </w:rPr>
        <w:t>الجهة الرابع</w:t>
      </w:r>
      <w:r>
        <w:rPr>
          <w:rtl w:val="true"/>
        </w:rPr>
        <w:t xml:space="preserve">: </w:t>
      </w:r>
      <w:r>
        <w:rPr>
          <w:rtl w:val="true"/>
        </w:rPr>
        <w:t>تتمة القاعدة</w:t>
      </w:r>
      <w:r>
        <w:rPr>
          <w:rtl w:val="true"/>
        </w:rPr>
        <w:t>:</w:t>
      </w:r>
      <w:bookmarkEnd w:id="441"/>
    </w:p>
    <w:p>
      <w:pPr>
        <w:pStyle w:val="Heading5"/>
        <w:numPr>
          <w:ilvl w:val="4"/>
          <w:numId w:val="1"/>
        </w:numPr>
        <w:rPr/>
      </w:pPr>
      <w:bookmarkStart w:id="442" w:name="__RefHeading___Toc907304_1468164448"/>
      <w:bookmarkStart w:id="443" w:name="_Toc171"/>
      <w:bookmarkEnd w:id="442"/>
      <w:r>
        <w:rPr>
          <w:rtl w:val="true"/>
        </w:rPr>
        <w:t>اشارة</w:t>
      </w:r>
      <w:bookmarkEnd w:id="443"/>
    </w:p>
    <w:p>
      <w:pPr>
        <w:pStyle w:val="BookText"/>
        <w:rPr/>
      </w:pPr>
      <w:r>
        <w:rPr>
          <w:rFonts w:ascii="IRNazanin" w:hAnsi="IRNazanin" w:eastAsia="IRNazanin"/>
          <w:color w:val="111111"/>
          <w:sz w:val="28"/>
          <w:sz w:val="28"/>
          <w:szCs w:val="28"/>
          <w:rtl w:val="true"/>
          <w:lang w:bidi="fa-IR"/>
        </w:rPr>
        <w:t>أنّ اجبار الحاکم له علی الفیء أو علی الطلاق مع طلبها، وهل ذلک بنحو التخییر للحاکم أو للزوجة؟ أم انّه یتعین الاجبار علی الفیء ولو بالتعزیر أو غیره، فان لم یمکن ذلک أو لم ینفع اجبره علی الطلاق، فان لم یمکن طلقها الحاکم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أدوات الاجبار التی ذکروها ان ینفق الحاکم من مال الزوج مع امتناعه ولو ببیع عقاره أو متاعه، لان النفقة حق کالدین بعد عموم قاعدة الحاکم ولی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یقدّم ذلک علی الحبس والتعزیر أو ان ذلک یؤخر کما یظهر من جملة من الکلمات، والظاهر من بعض الروایات الواردة فی الدین أن الحبس مؤخر عند عدم القدرة علی ماله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الحصر بین الاجبار علی الفیء بمراتبه المتعددة أو الطلاق فقد دلَّت علیه الآیات والروایات السابقة، وانّه یدل علیه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فَأَمْسِکُوهُنَّ بِمَعْرُوفٍ أَوْ فارِقُوهُنَّ بِمَعْرُوفٍ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فَأَمْسِکُوهُنَّ بِمَعْرُوفٍ أَوْ سَرِّحُوهُنَّ بِمَعْرُوفٍ وَ لا تُمْسِکُوهُنَّ ضِراراً لِتَعْتَدُوا وَ مَنْ یَفْعَلْ ذلِکَ فَقَدْ</w:t>
      </w:r>
    </w:p>
    <w:p>
      <w:pPr>
        <w:pStyle w:val="BookText"/>
        <w:rPr/>
      </w:pPr>
      <w:r>
        <w:rPr>
          <w:rFonts w:ascii="Amiri" w:hAnsi="Amiri" w:eastAsia="Amiri" w:cs="Amiri"/>
          <w:color w:val="111111"/>
          <w:sz w:val="28"/>
          <w:sz w:val="28"/>
          <w:szCs w:val="28"/>
          <w:rtl w:val="true"/>
          <w:lang w:bidi="ar-SA"/>
        </w:rPr>
        <w:t xml:space="preserve">ظَلَمَ نَفْسَهُ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تَعْضُلُوهُنَّ لِتَذْهَبُوا بِبَعْضِ ما آتَیْتُمُوهُنَّ إِلاّ أَنْ یَأْتِینَ بِفاحِشَةٍ مُبَیِّنَةٍ وَ عاشِرُوهُنَّ بِالْمَعْرُوفِ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تَمِیلُوا کُلَّ الْمَیْلِ فَتَذَرُوها کَالْمُعَلَّقَةِ وَ إِنْ تُصْلِحُوا وَ تَتَّقُوا فَإِنَّ اللّهَ کانَ غَفُوراً رَحِیماً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وَ إِنْ عَزَمُوا الطَّلاقَ فَإِنَّ اللّهَ سَمِیعٌ عَلِیمٌ وَ الْمُطَلَّقاتُ یَتَرَبَّصْنَ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فِی ذلِکَ إِنْ أَرادُوا إِصْلاحاً وَ لَهُنَّ مِثْلُ الَّذِی عَلَیْهِنَّ بِالْمَعْرُوفِ وَ لِلرِّجالِ عَلَیْهِنَّ دَرَجَةٌ وَ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فَإِنْ 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جُناحَ عَلَیْهِما أَنْ یَتَراجَعا إِنْ ظَنّا أَنْ یُقِیما حُدُودَ اللّهِ وَ تِلْکَ حُدُودُ اللّهِ یُبَیِّنُها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طَلَّقْتُمُ النِّساءَ فَبَلَغْنَ أَجَلَهُنَّ فَأَمْسِکُوهُنَّ بِمَعْرُوفٍ أَوْ سَرِّحُوهُنَّ بِمَعْرُوفٍ وَ لا تُمْسِکُوهُنَّ ضِراراً لِتَعْتَدُوا وَ مَنْ یَفْعَلْ ذلِکَ فَقَدْ ظَلَمَ نَفْسَهُ وَ لا تَتَّخِذُوا آیاتِ اللّهِ هُزُواً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طَلَّقْتُمُ النِّساءَ فَبَلَغْنَ أَجَلَهُنَّ</w:t>
      </w:r>
    </w:p>
    <w:p>
      <w:pPr>
        <w:pStyle w:val="BookText"/>
        <w:rPr/>
      </w:pPr>
      <w:r>
        <w:rPr>
          <w:rFonts w:ascii="Amiri" w:hAnsi="Amiri" w:eastAsia="Amiri" w:cs="Amiri"/>
          <w:color w:val="111111"/>
          <w:sz w:val="28"/>
          <w:sz w:val="28"/>
          <w:szCs w:val="28"/>
          <w:rtl w:val="true"/>
          <w:lang w:bidi="ar-SA"/>
        </w:rPr>
        <w:t xml:space="preserve">فَلا تَعْضُلُوهُنَّ أَنْ یَنْکِحْنَ أَزْواجَهُنَّ إِذا تَراضَوْا بَیْنَهُمْ بِالْمَعْرُوفِ ذلِکَ یُوعَظُ بِهِ مَنْ کانَ مِنْکُمْ یُؤْمِنُ بِاللّهِ وَ الْیَوْمِ الْآخِرِ ذلِکُمْ أَزْکی لَکُمْ وَ أَطْهَرُ وَ اللّهُ یَعْلَمُ وَ أَنْتُمْ لا تَعْلَمُونَ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هذه الآیات ظاهرة بوضوح ان العلاقة الزوجیة مقامة علی حدود حددها الله عزّوجلّ علی کل من الزوج والزوجة، وانّ الزوجیة بقاؤها باقامة هذه الحدود من الطرفین وهوالامساک بالمعروف، ولفظ الحدود یفید ارادة کافة الحقوق لکل منهما علی الآخر کما یعضده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لَهُنَّ مِثْلُ الَّذِی عَلَیْهِنَّ بِالْمَعْرُوفِ فلایختص هذا الحصر الالزامی بأحد الشقین بخصوص الایلاء بل بلحاظ مطلق موارد الحقوق بینهما والنزاع الناشیء منها کما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فَإِنْ فاؤُ فَإِنَّ اللّهَ غَفُورٌ رَحِیمٌ وَ إِنْ عَزَمُوا الطَّلاقَ فَإِنَّ اللّهَ سَمِیعٌ عَلِیمٌ فجعل الخیار امام المؤلی إما الفیء وهو الرجوع الی اقامة حقوق الزوجیة وحدود الله، وإمّا العزم علی الطلاق، فالحصر فی شقی الآیة نفی لجعل المرأة معلقة، لایفیء الی اداء حقوقها ولایطلقها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رتبت الآیات جواز افتدائها لأجل الانفصال علی الخوف من عدم اقامتها للحدود الموظفة علی کل منهما، کما علق الردّ فی رجعة الطلاق علی ارادة إصلاح العشرة بینهما، کما نهی عن امساکهن لاجل ضرارهن والاعتداء علیهن فی مقابل الامر بالإمساک المقید بالمعروف، فمجموع هذه الآیات قد بیّن فیها انّ الامساک بالمعروف لیس فی مقابل</w:t>
      </w:r>
    </w:p>
    <w:p>
      <w:pPr>
        <w:pStyle w:val="BookText"/>
        <w:rPr/>
      </w:pPr>
      <w:r>
        <w:rPr>
          <w:rFonts w:ascii="IRNazanin" w:hAnsi="IRNazanin" w:eastAsia="IRNazanin"/>
          <w:color w:val="111111"/>
          <w:sz w:val="28"/>
          <w:sz w:val="28"/>
          <w:szCs w:val="28"/>
          <w:rtl w:val="true"/>
          <w:lang w:bidi="fa-IR"/>
        </w:rPr>
        <w:t>التعلیق الذی فی الإیلاء، فالآیات صریحة فی لزوم احد الشقین اما الصلح والعشرة بالمعروف أو التفرق والنهی عن التعلیق فی العلاقة الزوجیة عن أداء حقوق الطرفین وعن اداء کل منهما للآخر، کما ان قوله تعالی فی الشقاق وتحکیم الحکمین علق بقاء الزوجیة علی ارادة الاصلاح واداء کل طرف لحقوق الآخر، وهناک دلالات أخری فی الآیات وقرائن لاتخفی علی المتدبر دالة علی تعمیم موضوع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بحث شرطیة الکفاءة والعیوب الکلام عن هذه القاعدة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وذهب جماعة الی تسلط المرأة علی الفسخ مع جهلها بعدم تمکن الزوج من النفقة، واستدلوا کما فی کشف اللثام بقاعدة فَإِمْساکٌ بِمَعْرُوفٍ أَوْ تَسْرِیحٌ بِإِحْسانٍ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الحاکم هو الذی یفسخ، واشکل علیه فی جامع المقاصد صغرویاً بان الامساک مع الاعسار لیس بغیر معروف، وکبرویا بانّ التخییر فی الآیة لادلالة له علی التلسط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 فی الشرائع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فلوتجدد عجز الزوج عن النفقة هل تتسلط علی الفسخ فیه روایتان اشهرهما انه لیس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 ان الموضوع فی باب العیوب هو الموضوع فی باب الایلاء والظهار وان اختلف اثره بما کان بعد العقد، وقبل العقد، حیث یوجب حق الفسخ قبله، وحق الاجبار علی الطلاق بعده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ذهب الی عموم القاعدة جملة من اعلام العصر کالسید الکلبایکانی وسیدنا الاستاذ الروحانی ووافقهما غیر واحد من الاجلاء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هناک جملة من الشواهد علی عموم موضوع القاعدة فی الروایات الواردة فی الأبواب المفتی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مامرّ بیانه فی حق المواقعة من ان المدة المضروبة أربعة أشهر هی مدّة إستحقاق الزوجة للاستعداء والشکایة علی الزوج باجبار الحاکم ایاه علی أداء حقها، ومن ثمّ ورد فی صحیح حفص بن البختری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غاضب الرجل امرأته فلم یقر بها من غیر یمین أربعة أشهر استعدت علیه، فامّا أن یفیء وامّا ان یطلق فان ترکها من غیر مغاضبة أو یمین فلیس بمؤل</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تنصیص علی عموم القاعدة، وان الجبر علی الطلاق هو عند عدم فیئه لاقامة الحدود المفترضة علیه، ومن ثم فسِّر الفیء فی صحیح أبی بصیر بأن یصالح اهله</w:t>
      </w:r>
      <w:r>
        <w:rPr>
          <w:rStyle w:val="FootnoteAnchor"/>
          <w:rtl w:val="true"/>
        </w:rPr>
        <w:footnoteReference w:id="442"/>
      </w:r>
      <w:r>
        <w:rPr>
          <w:rFonts w:ascii="IRNazanin" w:hAnsi="IRNazanin" w:eastAsia="IRNazanin"/>
          <w:color w:val="111111"/>
          <w:sz w:val="28"/>
          <w:sz w:val="28"/>
          <w:szCs w:val="28"/>
          <w:rtl w:val="true"/>
          <w:lang w:bidi="fa-IR"/>
        </w:rPr>
        <w:t>، کما لایخفی ان موضوع الصحیحة وان لم یکن ایلاء لکنه مشترک مع الایلاء والظهار فی عدم اداء حق المرأة فی الوطی بل هو مشترک مع موضوع العیوب فی ذلک کما بحثناه فی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ان عنوان المصالحة فی مقابل مطلق النزاع، وکذا فی موثق سماعة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مصحح أبی مریم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المؤلی یوقف بعد الاربعة الاشهر فان شاء امساک بمعروف أو تسریح باحسان فان عزم</w:t>
      </w:r>
    </w:p>
    <w:p>
      <w:pPr>
        <w:pStyle w:val="BookText"/>
        <w:rPr/>
      </w:pPr>
      <w:r>
        <w:rPr>
          <w:rFonts w:ascii="IRNazanin" w:hAnsi="IRNazanin" w:eastAsia="IRNazanin"/>
          <w:color w:val="111111"/>
          <w:sz w:val="28"/>
          <w:sz w:val="28"/>
          <w:szCs w:val="28"/>
          <w:rtl w:val="true"/>
          <w:lang w:bidi="fa-IR"/>
        </w:rPr>
        <w:t>الطلاق فهی واحدة وهو املک برجعتها</w:t>
      </w:r>
      <w:r>
        <w:rPr>
          <w:rFonts w:eastAsia="IRNazanin" w:cs="IRNazanin"/>
          <w:color w:val="111111"/>
          <w:sz w:val="28"/>
          <w:szCs w:val="28"/>
          <w:rtl w:val="true"/>
          <w:lang w:bidi="fa-IR"/>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تصریح بتطبیق العموم علی الایلاء کمورد من موارد عموم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الظهار کصحیح أبی بصیر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من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أتاها فعلیه عتق رقبة أو صیام شهرین متتابعین أو اطعام ستین مسکیناً، والاّ ترک ثلاثة أشهر فإن فاء وإلاّ أوقف حتی یسأل هل لک فی امرأتک حاجة أو تطلقها؟ فان فاء فلیس علیه شیء وهی امرأته، وان طلق واحدة فهو املک برجعتها</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ولایخفی ان جملة من الروایات الظهار والایلاء کموثق سماعة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الایفاء ان یصالح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صحیح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فاء وهو ان یصالح أهله فان الله غفور رحیم وان لم یفء جُبر علی ان یطلق وغیرها ناصة انّ حکم الاجبار علی الطلاق أو اداء الحقوق المعبر عنه بالفیء موضوعه حق المرأة ومن ثم کان لها حق المرافعة والشکایة عند الحاکم ولیس الموضوع الحلف بما هو حلف أو بما هو ظهار، بل بما هو نزاع وتفریط فی حقوق المرأة سواء حق الوطی أو کونها معلقة ویقتضیه معنی الفیء والمصالحة مع أهله الذی هو فی قبال مقتضی الاقتران المباین للقطیعة والانقطاع بین الزوجین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ماورد فی النفقة کصحیحی ربعی بن عبدالله والفضیل بن یسار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قُدِرَ عَلَیْهِ رِزْقُهُ فَلْیُنْفِقْ مِمّا آتاهُ</w:t>
      </w:r>
    </w:p>
    <w:p>
      <w:pPr>
        <w:pStyle w:val="BookText"/>
        <w:rPr/>
      </w:pPr>
      <w:r>
        <w:rPr>
          <w:rFonts w:ascii="IRNazanin" w:hAnsi="IRNazanin" w:eastAsia="IRNazanin"/>
          <w:color w:val="111111"/>
          <w:sz w:val="28"/>
          <w:sz w:val="28"/>
          <w:szCs w:val="28"/>
          <w:rtl w:val="true"/>
          <w:lang w:bidi="fa-IR"/>
        </w:rPr>
        <w:t>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انفق علیها ما یقیم ظهرها مع کسوة وإلاّ فرق بینهما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کانت عنده امرأة فلم یکسها مایواری عورتها ویطعمها ما یقیم صلبها کان حقا علی الامام أن یفرق بینهما</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صحیح جمیل بن دراج وموثق روح بن عبدالرحیم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مرسل العیاشی عن أبی القاسم الفارسی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الله یقول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 أَوْ تَسْرِیحٌ بِإِحْسانٍ ومایعنی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الامساک بالمعروف فکف الأذی واحباء النفقة، واما التسریح باحسان فالطلاق علی مانزل به الکتاب</w:t>
      </w:r>
      <w:r>
        <w:rPr>
          <w:rStyle w:val="FootnoteAnchor"/>
          <w:rtl w:val="true"/>
        </w:rPr>
        <w:footnoteReference w:id="449"/>
      </w:r>
      <w:r>
        <w:rPr>
          <w:rFonts w:ascii="IRNazanin" w:hAnsi="IRNazanin" w:eastAsia="IRNazanin"/>
          <w:color w:val="111111"/>
          <w:sz w:val="28"/>
          <w:sz w:val="28"/>
          <w:szCs w:val="28"/>
          <w:rtl w:val="true"/>
          <w:lang w:bidi="fa-IR"/>
        </w:rPr>
        <w:t>، وفی الروایة تصریح بکون العشرة بالمعروف بغیر النفقة من اجزاء الامساک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العیوب کمصحح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تزوج الرجل المرأة وهو لایقدر علی النساء أجّل سنة حتی یعالج نفسه</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یقال أنها لیست بروایة انما هی فتوی لأبی الصباح لکن رواها فی الاستبصار</w:t>
      </w:r>
      <w:r>
        <w:rPr>
          <w:rStyle w:val="FootnoteAnchor"/>
          <w:rtl w:val="true"/>
        </w:rPr>
        <w:footnoteReference w:id="451"/>
      </w:r>
      <w:r>
        <w:rPr>
          <w:rFonts w:ascii="IRNazanin" w:hAnsi="IRNazanin" w:eastAsia="IRNazanin"/>
          <w:color w:val="111111"/>
          <w:sz w:val="28"/>
          <w:sz w:val="28"/>
          <w:szCs w:val="28"/>
          <w:rtl w:val="true"/>
          <w:lang w:bidi="fa-IR"/>
        </w:rPr>
        <w:t>عن أبی عبدالله، وکذا فی نوادر احمد بن محمد بن عیسی الأشعری، وموثق عمار الساباطی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w:t>
      </w:r>
    </w:p>
    <w:p>
      <w:pPr>
        <w:pStyle w:val="BookText"/>
        <w:rPr/>
      </w:pPr>
      <w:r>
        <w:rPr>
          <w:rFonts w:ascii="IRNazanin" w:hAnsi="IRNazanin" w:eastAsia="IRNazanin"/>
          <w:color w:val="111111"/>
          <w:sz w:val="28"/>
          <w:sz w:val="28"/>
          <w:szCs w:val="28"/>
          <w:rtl w:val="true"/>
          <w:lang w:bidi="fa-IR"/>
        </w:rPr>
        <w:t>اخذ عن امرأة فلایقدر علی اتیانها،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یقدر علی اتیان غیرها من النساء فلایمسکها الاّ برضاها بذلک، وان کان یقدر علی غیرها فلابأس بإمساکها</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امرأة ابتلی زوجها فلایقدر علی جماع اتفارقه؟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ان شاءت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مسکان وفی روایة اخری ینتظر سنة فان اتاها والا فارقته، فان احبت ان تقیم معه فلتقم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وماورد من روایات مما ظاهرها المعارضة فی سقوط حق الفسخ لو طرأ العیب والعنن بعد الوطی فقد تقدم التوفیق بینها وبین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متفرقات فصول النکاح کصحیح عبدالرحمن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اراد الرجل أن یتزوج المرأة فلیقل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اقررت بالمیثاق الذی أخذ الله امساک بمعروف أو تسریح باحسان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وظاهر هذه المصححة ان الحصر فی الشقین من الاحکام الاولیة اللازمة لطبیعة النکاح، وهو مما یقتضی عموم هذا التلازم لا فی خصوص مورد النفقة والوطی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 أن یحمل المیثاق علی الحد الشرعی لماهیة وعقد النکاح، وهو ایضاً محتمل للتعریف بالرسم</w:t>
      </w:r>
      <w:r>
        <w:rPr>
          <w:rFonts w:eastAsia="IRNazanin" w:cs="IRNazanin"/>
          <w:color w:val="111111"/>
          <w:sz w:val="28"/>
          <w:szCs w:val="28"/>
          <w:rtl w:val="true"/>
          <w:lang w:bidi="fa-IR"/>
        </w:rPr>
        <w:t>.</w:t>
      </w:r>
      <w:bookmarkStart w:id="444" w:name="pg13690_120683"/>
    </w:p>
    <w:p>
      <w:pPr>
        <w:pStyle w:val="Heading5"/>
        <w:numPr>
          <w:ilvl w:val="4"/>
          <w:numId w:val="1"/>
        </w:numPr>
        <w:rPr/>
      </w:pPr>
      <w:bookmarkStart w:id="445" w:name="__RefHeading___Toc907306_1468164448"/>
      <w:bookmarkStart w:id="446" w:name="_Toc172"/>
      <w:bookmarkEnd w:id="444"/>
      <w:bookmarkEnd w:id="445"/>
      <w:r>
        <w:rPr>
          <w:rtl w:val="true"/>
        </w:rPr>
        <w:t>فصل</w:t>
      </w:r>
      <w:r>
        <w:rPr>
          <w:rtl w:val="true"/>
        </w:rPr>
        <w:t>:</w:t>
      </w:r>
      <w:bookmarkEnd w:id="446"/>
    </w:p>
    <w:p>
      <w:pPr>
        <w:pStyle w:val="BookText"/>
        <w:rPr/>
      </w:pPr>
      <w:r>
        <w:rPr>
          <w:rFonts w:ascii="IRNazanin" w:hAnsi="IRNazanin" w:eastAsia="IRNazanin"/>
          <w:color w:val="111111"/>
          <w:sz w:val="28"/>
          <w:sz w:val="28"/>
          <w:szCs w:val="28"/>
          <w:rtl w:val="true"/>
          <w:lang w:bidi="fa-IR"/>
        </w:rPr>
        <w:t>تدریجیة مراحل الاجبار للانفاق علی الزوجة من ماله بأن تقتص من ماله فان لم یمکن فترفع أمرها الی الحاکم فیجبره علی الانفاق علیها، أو بإجباره علی الانفاق من مَالِهِ بطریقة ما، ولو ببیع عقاره أو متاعه لعموم قاعدة الحاکم ولی الممتنع، فان لم یمکن حبسه أو عزره، فان أمکن اجبره علی الطلاق فان لم یمکن طلق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فامّا تقدّم اقتصاص من مال الرجل علی الاجبار ونحوه من المراتب المذکورة، فلأنَّه مع تمکنها من الاقتصاص وجوازه شرعا کما نقح فی محله من أبواب الدیون ینتفی موضوع الاجبار لتمکنها من التوصل الی حقها من دون مانع، وقد وردت روایات</w:t>
      </w:r>
      <w:r>
        <w:rPr>
          <w:rStyle w:val="FootnoteAnchor"/>
          <w:rtl w:val="true"/>
        </w:rPr>
        <w:footnoteReference w:id="455"/>
      </w:r>
      <w:r>
        <w:rPr>
          <w:rFonts w:ascii="IRNazanin" w:hAnsi="IRNazanin" w:eastAsia="IRNazanin"/>
          <w:color w:val="111111"/>
          <w:sz w:val="28"/>
          <w:sz w:val="28"/>
          <w:szCs w:val="28"/>
          <w:rtl w:val="true"/>
          <w:lang w:bidi="fa-IR"/>
        </w:rPr>
        <w:t>مفتی بها فی عموم جواز استیفاء الدین من مال الغریم الممتنع بدون اذنه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الی ما روی بالخصوص انّ هندا اتت النبی صلی الله علیه و آله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یارسول الله ان أبا سفیان رجل شحیح ولایعطینی مایکفینی وولدی، الا ما اخذه منه سرا، فقال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ما یکفیکی وولدک بالمعروف</w:t>
      </w:r>
      <w:r>
        <w:rPr>
          <w:rStyle w:val="FootnoteAnchor"/>
          <w:rtl w:val="true"/>
        </w:rPr>
        <w:footnoteReference w:id="456"/>
      </w:r>
      <w:r>
        <w:rPr>
          <w:rFonts w:ascii="IRNazanin" w:hAnsi="IRNazanin" w:eastAsia="IRNazanin"/>
          <w:color w:val="111111"/>
          <w:sz w:val="28"/>
          <w:sz w:val="28"/>
          <w:szCs w:val="28"/>
          <w:rtl w:val="true"/>
          <w:lang w:bidi="fa-IR"/>
        </w:rPr>
        <w:t>، وقد یستشکل فی شمول دلیل المقاصة فی المقام من جهة عدم ملک الزوجة للمال قبل المدة، وهذا الاشکال مبنی علی ما اشتهر من کلمات المتأخرین من انّ نفقة الزوجة لاتکون دیناً الا بعد مضی المدة وهو لایخلو من اشکال</w:t>
      </w:r>
      <w:bookmarkStart w:id="447" w:name="pg13690_120684"/>
    </w:p>
    <w:p>
      <w:pPr>
        <w:pStyle w:val="BookText"/>
        <w:rPr/>
      </w:pPr>
      <w:bookmarkEnd w:id="447"/>
      <w:r>
        <w:rPr>
          <w:rFonts w:ascii="IRNazanin" w:hAnsi="IRNazanin" w:eastAsia="IRNazanin"/>
          <w:color w:val="111111"/>
          <w:sz w:val="28"/>
          <w:sz w:val="28"/>
          <w:szCs w:val="28"/>
          <w:rtl w:val="true"/>
          <w:lang w:bidi="fa-IR"/>
        </w:rPr>
        <w:t>ومنع، فانّ استحقاق الزوجة الحالی للنفقة لیست الا ملکیتها للنفقة فی ذمة الزوج ومقتضاها الدینیة غایة الامر ان للزوج اداءه فی الحال ولایتحقق عصیانه الا بمضی المدة والا فالدینیة هی مجرد الاستحقاق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یدعی انه لایصدق علیه انه ممتنع الاّ بعد مضی المدة، وعنوان الامتناع مأخوذ فی قاعدة المقاصة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عنوان الامتناع أیضاً هو الاخیر یمکن أن یحرز قبل مضی المدة بحسب نشوزه السابق وامتناعه، بل ویحرز بقاءه مستقبلا ولایخفی أیضاً انه اذا امکن الصلح بینهما وفیئه ولو بتنازل الزوجة عن بعض حقوقها لاصلاح ذات البین، فهو مقدم علی کل ذلک کما دلت علیه النصوص التی أشیر إلیها فی بحث القسم</w:t>
      </w:r>
      <w:r>
        <w:rPr>
          <w:rStyle w:val="FootnoteAnchor"/>
          <w:rtl w:val="true"/>
        </w:rPr>
        <w:footnoteReference w:id="457"/>
      </w:r>
      <w:r>
        <w:rPr>
          <w:rFonts w:ascii="IRNazanin" w:hAnsi="IRNazanin" w:eastAsia="IRNazanin"/>
          <w:color w:val="111111"/>
          <w:sz w:val="28"/>
          <w:sz w:val="28"/>
          <w:szCs w:val="28"/>
          <w:rtl w:val="true"/>
          <w:lang w:bidi="fa-IR"/>
        </w:rPr>
        <w:t>وهو علی مقتضی القاعدة لتقدم العلاج الموضوعی علی العلاج المحمولی</w:t>
      </w:r>
      <w:r>
        <w:rPr>
          <w:rFonts w:eastAsia="IRNazanin" w:cs="IRNazanin"/>
          <w:color w:val="111111"/>
          <w:sz w:val="28"/>
          <w:szCs w:val="28"/>
          <w:rtl w:val="true"/>
          <w:lang w:bidi="fa-IR"/>
        </w:rPr>
        <w:t>.</w:t>
      </w:r>
    </w:p>
    <w:p>
      <w:pPr>
        <w:pStyle w:val="Heading5"/>
        <w:numPr>
          <w:ilvl w:val="4"/>
          <w:numId w:val="1"/>
        </w:numPr>
        <w:rPr/>
      </w:pPr>
      <w:bookmarkStart w:id="448" w:name="__RefHeading___Toc907308_1468164448"/>
      <w:bookmarkStart w:id="449" w:name="_Toc173"/>
      <w:bookmarkEnd w:id="448"/>
      <w:r>
        <w:rPr>
          <w:rtl w:val="true"/>
        </w:rPr>
        <w:t>الأحکام الأُخری التابعة للقاعدة</w:t>
      </w:r>
      <w:r>
        <w:rPr>
          <w:rtl w:val="true"/>
        </w:rPr>
        <w:t>:</w:t>
      </w:r>
      <w:bookmarkEnd w:id="449"/>
    </w:p>
    <w:p>
      <w:pPr>
        <w:pStyle w:val="BookText"/>
        <w:rPr/>
      </w:pPr>
      <w:r>
        <w:rPr>
          <w:rFonts w:ascii="IRNazanin" w:hAnsi="IRNazanin" w:eastAsia="IRNazanin"/>
          <w:color w:val="111111"/>
          <w:sz w:val="28"/>
          <w:sz w:val="28"/>
          <w:szCs w:val="28"/>
          <w:rtl w:val="true"/>
          <w:lang w:bidi="fa-IR"/>
        </w:rPr>
        <w:t>وأما بقیة الاحکام فقد وردت فیها طوائف من روایات فی أبواب الایلاء</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انه یوقف حتی یفیء أو یطلق اذا رفعت امرها الی الحاکم کصحیح أبی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الایلاء هو ان یحلف الرجل علی امرأته ان لایجامعها فان صبرت علیه فلها ان تصبر، وان رفعته الی الامام انظره أربعة أشهر ثم یقول 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أن ترجع الی</w:t>
      </w:r>
    </w:p>
    <w:p>
      <w:pPr>
        <w:pStyle w:val="BookText"/>
        <w:rPr/>
      </w:pPr>
      <w:r>
        <w:rPr>
          <w:rFonts w:ascii="IRNazanin" w:hAnsi="IRNazanin" w:eastAsia="IRNazanin"/>
          <w:color w:val="111111"/>
          <w:sz w:val="28"/>
          <w:sz w:val="28"/>
          <w:szCs w:val="28"/>
          <w:rtl w:val="true"/>
          <w:lang w:bidi="fa-IR"/>
        </w:rPr>
        <w:t>المناکحة، وأما ان تطلق، فان أبی حبسه أبدا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بن أبی نصر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یوقف اذا قدمه الی السلطان الحدیث</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ومادلّ علی انّ الامام یفرق بینهما اذا أبی الزوج ان یفیء وان ذلک الطلاق طلاق بائن کموثق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والایفاء ان یصالح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غفور رحیم، وان لم یفء بعد اربعة أشهر حتی یصالح أهله أو یطلق جبر علی ذلک ولایقع طلاق فیما بینهما حتی یوقف، وان کان بعد الاربعة أشهر فان أبی فرق بینهما الامام</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دالة علی تقیید الطلاق الاجباری علی الزوج بقیدین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توقیفه من قبل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اجباره علی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مرّ انّ التوقیف مقید أیضاً برفع المرأة امرها الی الحاکم، کما ان رفع امرها الی الحاکم مقید بقید رابع أیضاً وهو مضی المدّة، فهذه أربعة قیود للطلاق الاجباری، وهی دالة علی المراتب، وسیأتی تقییده بقیود أخری فی الروایات اللاحقة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مصحّح منصور بن حازم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المؤلی اذا وُقِف فلم یفیء طلق تطلیقة بائنة</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bookmarkStart w:id="450" w:name="pg13690_120686"/>
    </w:p>
    <w:p>
      <w:pPr>
        <w:pStyle w:val="BookText"/>
        <w:rPr/>
      </w:pPr>
      <w:bookmarkEnd w:id="450"/>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علی الاجبار علی الطلاق بالحبس کمعتبر حماد بن عثمان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المؤل إن أبی ان یطلق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له حظیرة من قصب ویحبسه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ویمنعه من الطعام والشراب حتی یطلق</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روایة غیاث بن ابراهیم الاّ انّ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واعطاه ربع قوته</w:t>
      </w:r>
      <w:r>
        <w:rPr>
          <w:rFonts w:eastAsia="IRNazanin" w:cs="IRNazanin"/>
          <w:color w:val="111111"/>
          <w:sz w:val="28"/>
          <w:szCs w:val="28"/>
          <w:rtl w:val="true"/>
          <w:lang w:bidi="fa-IR"/>
        </w:rPr>
        <w:t>»</w:t>
      </w:r>
      <w:r>
        <w:rPr>
          <w:rStyle w:val="FootnoteAnchor"/>
          <w:rtl w:val="true"/>
        </w:rPr>
        <w:footnoteReference w:id="463"/>
      </w:r>
      <w:r>
        <w:rPr>
          <w:rFonts w:ascii="IRNazanin" w:hAnsi="IRNazanin" w:eastAsia="IRNazanin"/>
          <w:color w:val="111111"/>
          <w:sz w:val="28"/>
          <w:sz w:val="28"/>
          <w:szCs w:val="28"/>
          <w:rtl w:val="true"/>
          <w:lang w:bidi="fa-IR"/>
        </w:rPr>
        <w:t>وکذا مرسل العیاشی</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انّ الاجبار علی الفیء مقدم علی الاجبار علی الطلاق، کما انّ مفاد هذه الطائفة مقید لما مرّ من الطائفة الثانیة بان اجبار الحاکم للزوج علی الطلاق مقدم علی تطلیق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الحبس وسیلة للضغط فلایبعد التعدی عنها الی ادوات اخری التی لا تستلزم التصرف فی شؤون الزوج بأکثر من الحبس</w:t>
      </w:r>
      <w:r>
        <w:rPr>
          <w:rFonts w:eastAsia="IRNazanin" w:cs="IRNazanin"/>
          <w:color w:val="111111"/>
          <w:sz w:val="28"/>
          <w:szCs w:val="28"/>
          <w:rtl w:val="true"/>
          <w:lang w:bidi="fa-IR"/>
        </w:rPr>
        <w:t>.</w:t>
      </w:r>
    </w:p>
    <w:p>
      <w:pPr>
        <w:pStyle w:val="Heading5"/>
        <w:numPr>
          <w:ilvl w:val="4"/>
          <w:numId w:val="1"/>
        </w:numPr>
        <w:rPr/>
      </w:pPr>
      <w:bookmarkStart w:id="451" w:name="__RefHeading___Toc907310_1468164448"/>
      <w:bookmarkStart w:id="452" w:name="_Toc174"/>
      <w:bookmarkEnd w:id="451"/>
      <w:r>
        <w:rPr>
          <w:rtl w:val="true"/>
        </w:rPr>
        <w:t>من یتصدی للإجبار</w:t>
      </w:r>
      <w:r>
        <w:rPr>
          <w:rtl w:val="true"/>
        </w:rPr>
        <w:t>:</w:t>
      </w:r>
      <w:bookmarkEnd w:id="452"/>
    </w:p>
    <w:p>
      <w:pPr>
        <w:pStyle w:val="BookText"/>
        <w:rPr/>
      </w:pPr>
      <w:r>
        <w:rPr>
          <w:rFonts w:ascii="IRNazanin" w:hAnsi="IRNazanin" w:eastAsia="IRNazanin"/>
          <w:color w:val="111111"/>
          <w:sz w:val="28"/>
          <w:sz w:val="28"/>
          <w:szCs w:val="28"/>
          <w:rtl w:val="true"/>
          <w:lang w:bidi="fa-IR"/>
        </w:rPr>
        <w:t>وذکر فی الجواهر انّه إنْ لم یمکن تصدی الحاکم تصدی لذلک عدول المؤمنین، بل ان لم یکونوا فساقهم فی وجه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ولایخفی ان ما مرّ فی الروایات من الحبس أو تقلیل الطعام، وفی بعض الروایات کمرفوعة خلف بن حماد ان یهدد بالقتل</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الروایة</w:t>
      </w:r>
      <w:bookmarkStart w:id="453" w:name="pg13690_120687"/>
    </w:p>
    <w:p>
      <w:pPr>
        <w:pStyle w:val="BookText"/>
        <w:rPr/>
      </w:pPr>
      <w:bookmarkEnd w:id="4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 یفی أو یطلق فإنَّ فعل وإلّا ضربت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ألیات لتقریر للعقوبة علی ما مضی والردع عما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سیأتی فی بحث النفقات ما لو کان امتناعه عن النفقة للعجز أو المفقود المعلوم المکان ولم یکن له مال ولاولی وغیرها من موارد الامتناع من الانفاق، وانّه هل ینفق عنه علیها من بیت المال من باب الغارمین أم لا؟</w:t>
      </w:r>
    </w:p>
    <w:p>
      <w:pPr>
        <w:pStyle w:val="BookText"/>
        <w:rPr/>
      </w:pPr>
      <w:r>
        <w:rPr>
          <w:rFonts w:ascii="IRNazanin" w:hAnsi="IRNazanin" w:eastAsia="IRNazanin"/>
          <w:color w:val="111111"/>
          <w:sz w:val="28"/>
          <w:sz w:val="28"/>
          <w:szCs w:val="28"/>
          <w:rtl w:val="true"/>
          <w:lang w:bidi="fa-IR"/>
        </w:rPr>
        <w:t>نعم اخفاء نفسه یندرج فی ما سبق من الامتناع عن الانفاق بالاختیار مع القدرة کما سیأتی انّه لایبعد کون سقوط کل نفقة أو بعضها بحسب درجات التمرد والعصیان، ونقصان الطاعة سواء بنی علی ان النفقة من المعاوضة مع التمکین والطاعة، اذ انّ الطاعة والتمکین درجات، أو ان السقوط من باب التأدیب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لایخفی أیضاً ان الامتناع من اعطاء أی حق من حقوقها مندرج فی موضوع نشوزه کسوء الخلق المؤذی بعد کون العشرة بالمعروف حق لکل منهما علی الآخر، أو هجرها وتعلیقها أو غیر ذلک</w:t>
      </w:r>
      <w:r>
        <w:rPr>
          <w:rFonts w:eastAsia="IRNazanin" w:cs="IRNazanin"/>
          <w:color w:val="111111"/>
          <w:sz w:val="28"/>
          <w:szCs w:val="28"/>
          <w:rtl w:val="true"/>
          <w:lang w:bidi="fa-IR"/>
        </w:rPr>
        <w:t>.</w:t>
      </w:r>
    </w:p>
    <w:p>
      <w:pPr>
        <w:pStyle w:val="Heading4"/>
        <w:numPr>
          <w:ilvl w:val="3"/>
          <w:numId w:val="1"/>
        </w:numPr>
        <w:rPr/>
      </w:pPr>
      <w:bookmarkStart w:id="454" w:name="__RefHeading___Toc907312_1468164448"/>
      <w:bookmarkStart w:id="455" w:name="_Toc175"/>
      <w:bookmarkEnd w:id="454"/>
      <w:r>
        <w:rPr>
          <w:rtl w:val="true"/>
        </w:rPr>
        <w:t>الجهة الخامسة</w:t>
      </w:r>
      <w:r>
        <w:rPr>
          <w:rtl w:val="true"/>
        </w:rPr>
        <w:t xml:space="preserve">: </w:t>
      </w:r>
      <w:r>
        <w:rPr>
          <w:rtl w:val="true"/>
        </w:rPr>
        <w:t>قاعدة فی حقوق العشرة الزوجیة أو الطلاق</w:t>
      </w:r>
      <w:r>
        <w:rPr>
          <w:rtl w:val="true"/>
        </w:rPr>
        <w:t>:</w:t>
      </w:r>
      <w:bookmarkEnd w:id="455"/>
    </w:p>
    <w:p>
      <w:pPr>
        <w:pStyle w:val="Heading5"/>
        <w:numPr>
          <w:ilvl w:val="4"/>
          <w:numId w:val="1"/>
        </w:numPr>
        <w:rPr/>
      </w:pPr>
      <w:bookmarkStart w:id="456" w:name="__RefHeading___Toc907314_1468164448"/>
      <w:bookmarkStart w:id="457" w:name="_Toc176"/>
      <w:bookmarkEnd w:id="456"/>
      <w:r>
        <w:rPr>
          <w:rtl w:val="true"/>
        </w:rPr>
        <w:t>اشارة</w:t>
      </w:r>
      <w:bookmarkEnd w:id="457"/>
    </w:p>
    <w:p>
      <w:pPr>
        <w:pStyle w:val="BookText"/>
        <w:rPr/>
      </w:pPr>
      <w:r>
        <w:rPr>
          <w:rFonts w:ascii="IRNazanin" w:hAnsi="IRNazanin" w:eastAsia="IRNazanin"/>
          <w:color w:val="111111"/>
          <w:sz w:val="28"/>
          <w:sz w:val="28"/>
          <w:szCs w:val="28"/>
          <w:rtl w:val="true"/>
          <w:lang w:bidi="fa-IR"/>
        </w:rPr>
        <w:t xml:space="preserve">لا یخفی ان جملة الحقوق الزوجیة الثابتة لکل طرف علی الاخر مقومة للایناس والتعایش بینهما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بدوره یقوم العشرة الزوجیة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فأصل تشریع العشرة بالمعروف المدلول علیة بادلة اتیة بمثابة قاعدة تقابل الاضرار بالزوجة وجعلها کالمعلقة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مفاد القاعدة تحریم الهجران وجعلها معلقة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حرمة الهجران مع طاعة المراة تقریر لوجوب عشرتها بالمعروف بعد کون الاقتران بین الزوجین فی الاصل علقة</w:t>
      </w:r>
    </w:p>
    <w:p>
      <w:pPr>
        <w:pStyle w:val="BookText"/>
        <w:rPr/>
      </w:pPr>
      <w:r>
        <w:rPr>
          <w:rFonts w:ascii="IRNazanin" w:hAnsi="IRNazanin" w:eastAsia="IRNazanin"/>
          <w:color w:val="111111"/>
          <w:sz w:val="28"/>
          <w:sz w:val="28"/>
          <w:szCs w:val="28"/>
          <w:rtl w:val="true"/>
          <w:lang w:bidi="fa-IR"/>
        </w:rPr>
        <w:t xml:space="preserve">روجیة وجنسیة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فالایناس والتعاشر فی التعامل بین الزوجین والکینونة بینهما طبیعة واجبة لها اسباب وافراد والیات عدیدة توجب الوئام والالفة فی الحیاة الزوجیة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فیکون الأمر عاشِرُوهُنَّ بِالْمَعْرُوفِ بمثابة الاصل الفوقی الذی تنحدر منه کافة الحقوق الزوجیة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یتقرر مفاد لحقوق الزوجین من وجوب حسن العشرة بینهما لکل طرف تجاه الاخر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ان اللازم علی کل طرف وراء الحقوق المنصوصة علیه ان لا یکون منافرا للطرف الاخر ومفارقا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هذا النمط من العشرة بینهما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الواجب علی کلا الطرفین التواصل وان فرط احد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فیعاقب کلا الطرفین علی التفریط به وان کان البادی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ولیس معنی هذا اقرار الظالم علی ظلمه وتقریره فی تمادیه بل بمعنی لزوم المحافظة علی الحیاة الزوجیة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 یتقرر فی هذا الوجوب للعشرة بینهما حق الهی وحدود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فلیس هو حق مشترک لهما فقط وان کانت هذه العشرة بقوامیة الرجل علی المراة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وسیتبین ان هذا الواجب یعم اسباب العشرة العادیة غیر المنصوصة ولو بمقدار ادنی المراتب بحیث یلزم من ترکها القطیعة والتدابر والهجران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بحسب بناء العرف وآلیاته فی العشرة بالمعروف المتفاوتة شدة وضعفا وکما وکیفا بحسب الاعراف والبیئات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والکلام فی القاعدة یقع فی جملة حقوق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جملة الحقوق المتعبد بها شرعا حق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تحریر الاقوال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وقع الخلاف بین الفقهاء فی هذا الحق فمنهم من جعله حقا للمرأة، ومنهم من جعله حقاً مشترک بینهما کما سیأتی بیانه، وللأصحاب فیه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القسمة ابتداءً مطلقاً ونسب الی المشهور أی سواء کانت المرأة متحدة أو متعددة، فیلزم علیه المبادرة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سلاّر وابن ادریس أنهما نصا علی الوجوب مع اتحاد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القسمة مع التعدد فقط، کما عن ابن حمزة والمقنعة والغنیة والنهایة والمهذب والجامع واختاره بعض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تجب القسمة حتی یبتدئ بها، فاذا أتمّ الدور فلا یجب أیضاً حتی یبتدئ ومن ثم لایجب فی الواحدة، وهذا مبنی علی عدم کونه حقاً للزوجة وانما هو مراعاة للعدل فی القسمة، واختار هذا القول فی المبسوط والشرایع والجواهر وحکی عن الریاض، واختاره اکثر اعلام هذا العصر</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والمشهور استحباب صبیحة اللیلة، وعن بعضهم الوجوب وقال فی المبسوط وکذا عن جماعة انّه یجوز أن یجعل القسمة أزید من لیلة واحدة</w:t>
      </w:r>
      <w:r>
        <w:rPr>
          <w:rFonts w:eastAsia="IRNazanin" w:cs="IRNazanin"/>
          <w:color w:val="111111"/>
          <w:sz w:val="28"/>
          <w:szCs w:val="28"/>
          <w:rtl w:val="true"/>
          <w:lang w:bidi="fa-IR"/>
        </w:rPr>
        <w:t>.</w:t>
      </w:r>
      <w:bookmarkStart w:id="458" w:name="pg13690_120690"/>
    </w:p>
    <w:p>
      <w:pPr>
        <w:pStyle w:val="BookText"/>
        <w:rPr/>
      </w:pPr>
      <w:bookmarkEnd w:id="458"/>
      <w:r>
        <w:rPr>
          <w:rFonts w:ascii="IRNazanin" w:hAnsi="IRNazanin" w:eastAsia="IRNazanin"/>
          <w:color w:val="111111"/>
          <w:sz w:val="28"/>
          <w:sz w:val="28"/>
          <w:szCs w:val="28"/>
          <w:rtl w:val="true"/>
          <w:lang w:bidi="fa-IR"/>
        </w:rPr>
        <w:t>وذکر فی الکلمات ان الواجب فی القسمة المضاجعة، لا المواقعة، بحیث یعدّ معاشرا بالمعروف، واحتمل البعض انّ اللازم هو کونه معها فی البیت لان الغرض إلایناس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المشهور سقوطه فی السفر وعن بعضهم استثناء من السقوط اذا کان سفر نقل وهجرة، وکذا سفر الاقامة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 للوجوب بعدة ادلة</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907316_1468164448"/>
      <w:bookmarkStart w:id="460" w:name="_Toc177"/>
      <w:bookmarkEnd w:id="459"/>
      <w:r>
        <w:rPr>
          <w:rtl w:val="true"/>
        </w:rPr>
        <w:t>أولاً</w:t>
      </w:r>
      <w:r>
        <w:rPr>
          <w:rtl w:val="true"/>
        </w:rPr>
        <w:t xml:space="preserve">: </w:t>
      </w:r>
      <w:r>
        <w:rPr>
          <w:rtl w:val="true"/>
        </w:rPr>
        <w:t>الاستدلال بالآیات</w:t>
      </w:r>
      <w:r>
        <w:rPr>
          <w:rtl w:val="true"/>
        </w:rPr>
        <w:t>:</w:t>
      </w:r>
      <w:bookmarkEnd w:id="460"/>
    </w:p>
    <w:p>
      <w:pPr>
        <w:pStyle w:val="BookText"/>
        <w:rPr/>
      </w:pPr>
      <w:r>
        <w:rPr>
          <w:rFonts w:ascii="Amiri" w:hAnsi="Amiri" w:eastAsia="Amiri" w:cs="Amiri"/>
          <w:color w:val="111111"/>
          <w:sz w:val="28"/>
          <w:sz w:val="28"/>
          <w:szCs w:val="28"/>
          <w:rtl w:val="true"/>
          <w:lang w:bidi="ar-SA"/>
        </w:rPr>
        <w:t>الایة الاولی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الاشعار الموجود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اللاّتِی تَخافُونَ نُشُوزَهُنَّ فَعِظُوهُنَّ وَ اهْجُرُوهُنَّ فِی الْمَضاجِعِ وَ اضْرِبُوهُنَّ فَإِنْ أَطَعْنَکُمْ فَلا تَبْغُوا عَلَیْهِنَّ سَبِیلاً إِنَّ اللّهَ کانَ عَلِیًّا کَبِیراً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وتقریب الدلالة من ناحیتین حیث قد قیّد الهجر بخوف النشوز ومقتضاه نفی المشروعیة مع عدم القید، وکذا تسمیة الهجر فی المضاجع بأنّه سبیل یضرّ بهنّ فَلا تَبْغُوا عَلَیْهِنَّ سَبِیلاً، فالنهی عنه مع طاعتهن یقتضی الحرمة، فیدل فی الجملة اجمالا علی انّ المبیت معهن فی المضاجع لازم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تَعْضُلُوهُنَّ لِتَذْهَبُوا بِبَعْضِ ما آتَیْتُمُوهُنَّ إِلاّ أَنْ یَأْتِینَ بِفاحِشَةٍ مُبَیِّنَةٍ وَ عاشِرُوهُنَّ بِالْمَعْرُوفِ فَإِنْ کَرِهْتُمُوهُنَّ فَعَسی أَنْ</w:t>
      </w:r>
    </w:p>
    <w:p>
      <w:pPr>
        <w:pStyle w:val="BookText"/>
        <w:rPr/>
      </w:pPr>
      <w:r>
        <w:rPr>
          <w:rFonts w:ascii="Amiri" w:hAnsi="Amiri" w:eastAsia="Amiri" w:cs="Amiri"/>
          <w:color w:val="111111"/>
          <w:sz w:val="28"/>
          <w:sz w:val="28"/>
          <w:szCs w:val="28"/>
          <w:rtl w:val="true"/>
          <w:lang w:bidi="ar-SA"/>
        </w:rPr>
        <w:t>تَکْرَهُوا شَیْئاً وَ یَجْعَلَ اللّهُ فِیهِ خَیْراً کَثِیراً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دالة علی وجوب المعاشرة للنساء بالمعروف اجمالا، والمعروف وان لم یبیّن فی الآیة، الا انّ مجرد اعطاءها السکنی، والطعام والوطی کل أربعة اشهر مع المتارکة لها والهجران لیس من العشرة بالمعروف بل هو من المضارة المنهی عنها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تُضآرُّوهُنَّ لِتُضَیِّقُوا عَلَیْهِنَّ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تُمْسِکُوهُنَّ ضِراراً لِتَعْتَدُوا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انّه مقتضی مفاد عقد النکاح والزوجیة هو الاقتران، وهو وإن ارید به الاقتران الاعتباری إلاّ أنّه یقتضی الاقتران الخارجی إجمالاً کما یفیده قوله تعالی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والآیة تبیّن الغایة المرجوة من النکاح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المسالک الایراد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المعاشرة تتحقق بدون مضاجعة، بل بالإناس والانفاق وتحسین الخلق والاستمتاع بالنهار وباللیل مع عدم استیعاب اللیلة بالمبیت، بل مع عدم المبیت علی الوجه الذی اوجبه القائل، بل یمکن تحصیل المعاشرة بالمعروف زیادة فی الأوقات مع عدم المبیت عندهن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قد یعضد هذا الایراد بأنّ العشرة بالمعروف لاتستلزم وجوب القسمة بنحو دوری اذ العشرة ذات مراتب والقدر المتیقن منها هو بحدّ لایلزم منه الهجران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الاستدلال بالآیة انما هو لاصل الوجوب، وأمّا حدود المتعلق فانما یبیّن تفصیله بالسنّة، کما هو الحال فی جملة التشریعات القرآنیة، کوجوب الصلاة والصیام والحج، وکذلک الحال فی المقام، حیث ان وجوب النفقة والسکنی بُیِّنت بآیات اخری وروایات، کمقومات العشرة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الایة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تَسْتَطِیعُوا أَنْ تَعْدِلُوا بَیْنَ النِّساءِ وَ لَوْ حَرَصْتُمْ فَلا تَمِیلُوا کُلَّ الْمَیْلِ فَتَذَرُوها کَالْمُعَلَّقَةِ ، وَ إِنْ تُصْلِحُوا وَ تَتَّقُوا فَإِنَّ اللّهَ کانَ غَفُوراً رَحِیماً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والآیة دالة علی تحریم التعلیق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المقنعة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انّه لیس ینبغی لکم أن تمیلوا علی واحدة منهن میلا کثیراً فیقع بها جفوة منکم وإعراض فتذروها کالمعلقة، لا ذات زوج یعفّها عن الحاجة الی غیره ولا مطلقة تتمکن من التصرف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مفاد ماورد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المعلقة هی التی یذرها لا ذات زوج ولا ایّم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زبدة البیان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وهی التی لم تکن بذات بعل ولا بغیر بعل ولایمیل الیها، ولایعاشرها معاشرة الازواج ولایطلقها بل یجعلها کالمعلقة بین أمرین لا الی هذه ولا الی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وبالجملة یجب بمقتضی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فَإِمْساکٌ بِمَعْرُوفٍ أَوْ تَسْرِیحٌ بِإِحْسانٍ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باقتضاء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علی النهی من جعلها کالمعلقة وتعطیلها، ووجوب الامساک بالمعروف أو الطلاق وتحریم المیل الی احداهن کل المیل وعدم التکلیف بالتسویة واستحباب المساواة فی الامور کلها مهما امْکن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التعلیق ما قیل بان یطلق ولم یراجع ولم یخبر بالطلاق ویظهر الزوجیة حتی لاتتزوج، أو یراجع فیطلق ثم اذا قرب الخلاص یفعل مثل ذلک للاضرار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 علی الاستدلال بالآیة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لایصدق کونها معلقة مع الایناس بها والانفاق علیها وتحسین الخلق والاستمتاع بالنهار وما شاکل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تقدم من الاجابة علی الایراد فی الآیة السابقة من انّ الآیة فی أصل تشریع تحریم هجر المرأة وجعلها کالمعلقة وأما حدود ذلک فبیانه بالسنة من الروایات الواردة فی حدّ القسمة، ومن ثمَّ ذهب غیر واحد من اعلام العصر الی حرمة الهجر والتعلیق فی المرأة الواحدة والمتعددة وان لم یجب القسمة ابتداءً ولادوریاً وانما تجب اذا بدأ باحداهن</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یورد علیه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مورد الآیة فی ما اذا کانت الزوجات متعددات لا فیما کانت الزوجة متحدة، فمقدار الدلالة علی الوجوب مطابق للقول الثانی لا الاوّل، أی تقیید وجوب القسمة بما اذا تعددت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صدر الآیة وان کان مورده ذلک الا انه من الواضح ان الذیل لیس مختصاً فی الظهور العرفی بمورد الصدر بل هو من جهة کون ذلک حق للمرأة، ومن ثمّ استظهر الکثیر عموم الحرمة لمجموع المتعددات أیضاً لو جعلهن کالمطلقات کلهن، فالموضوع هو حقّ الزوجة بنحو الاطلاق وقد مرت الاشارة ان مفاد الآیة هی مفاد ما تکرر فی جملة من الآیات من الامساک بالمعروف أو التسریح باحسان، وهی شاهد عموم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 هذا التقریب للآیة ماذکروه فی ما اذا اسلم احد الزوجین، کالزوجة حیث ان الاسلام موجب لمخالفتها فی الدین فیجب انتفاء سلطنة الزوج علیها لعموم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یَجْعَلَ اللّهُ لِلْکافِرِینَ عَلَی الْمُؤْمِنِینَ سَبِیلاً وبقاء الزوجیة موجب للسلطنة مع انّ الزوجیة اذا کانت باقیة ینبغی بقاء جمیع احکامها، فعدم تمکینه من اخراجها وعدم البیتوتة عندها، وعدم وطیها، خروج عن قاعدة النکاح وبقاء احکامه ولما فیه من اضرار الزوجة، لبقائها کالمعلقة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تفسیر القمی فی ذیل الآیة ان تأتی واحدة وتذر الاخری لا ایم ولاذات بعل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یشیر الی ما فی الآیة السابقة من اسقاط المرأة الی بعض حقوقها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کان کذلک اذا اقرّت المرأة ورضیت علی ما صالحها علیه زوجها فلاجناح للزوج ولا علی المرأة، وان هی ابت طلقها أو یساوی بینهما لایسعه الی ذلک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bookmarkStart w:id="461" w:name="pg13690_120695"/>
    </w:p>
    <w:p>
      <w:pPr>
        <w:pStyle w:val="Heading5"/>
        <w:numPr>
          <w:ilvl w:val="4"/>
          <w:numId w:val="1"/>
        </w:numPr>
        <w:rPr/>
      </w:pPr>
      <w:bookmarkStart w:id="462" w:name="__RefHeading___Toc907318_1468164448"/>
      <w:bookmarkStart w:id="463" w:name="_Toc178"/>
      <w:bookmarkEnd w:id="461"/>
      <w:bookmarkEnd w:id="462"/>
      <w:r>
        <w:rPr>
          <w:rtl w:val="true"/>
        </w:rPr>
        <w:t>ثانیاً</w:t>
      </w:r>
      <w:r>
        <w:rPr>
          <w:rtl w:val="true"/>
        </w:rPr>
        <w:t xml:space="preserve">: </w:t>
      </w:r>
      <w:r>
        <w:rPr>
          <w:rtl w:val="true"/>
        </w:rPr>
        <w:t>الاستدلال بالروایات</w:t>
      </w:r>
      <w:r>
        <w:rPr>
          <w:rtl w:val="true"/>
        </w:rPr>
        <w:t>:</w:t>
      </w:r>
      <w:bookmarkEnd w:id="463"/>
    </w:p>
    <w:p>
      <w:pPr>
        <w:pStyle w:val="Heading6"/>
        <w:numPr>
          <w:ilvl w:val="5"/>
          <w:numId w:val="1"/>
        </w:numPr>
        <w:rPr/>
      </w:pPr>
      <w:bookmarkStart w:id="464" w:name="__RefHeading___Toc907320_1468164448"/>
      <w:bookmarkStart w:id="465" w:name="_Toc179"/>
      <w:bookmarkEnd w:id="464"/>
      <w:r>
        <w:rPr>
          <w:rtl w:val="true"/>
        </w:rPr>
        <w:t>اشارة</w:t>
      </w:r>
      <w:bookmarkEnd w:id="465"/>
    </w:p>
    <w:p>
      <w:pPr>
        <w:pStyle w:val="BookText"/>
        <w:rPr/>
      </w:pPr>
      <w:r>
        <w:rPr>
          <w:rFonts w:ascii="IRNazanin" w:hAnsi="IRNazanin" w:eastAsia="IRNazanin"/>
          <w:color w:val="111111"/>
          <w:sz w:val="28"/>
          <w:sz w:val="28"/>
          <w:szCs w:val="28"/>
          <w:rtl w:val="true"/>
          <w:lang w:bidi="fa-IR"/>
        </w:rPr>
        <w:t>وهی علی طوائف</w:t>
      </w:r>
      <w:r>
        <w:rPr>
          <w:rFonts w:eastAsia="IRNazanin" w:cs="IRNazanin"/>
          <w:color w:val="111111"/>
          <w:sz w:val="28"/>
          <w:szCs w:val="28"/>
          <w:rtl w:val="true"/>
          <w:lang w:bidi="fa-IR"/>
        </w:rPr>
        <w:t>:</w:t>
      </w:r>
    </w:p>
    <w:p>
      <w:pPr>
        <w:pStyle w:val="Heading6"/>
        <w:numPr>
          <w:ilvl w:val="5"/>
          <w:numId w:val="1"/>
        </w:numPr>
        <w:rPr/>
      </w:pPr>
      <w:bookmarkStart w:id="466" w:name="__RefHeading___Toc907322_1468164448"/>
      <w:bookmarkStart w:id="467" w:name="_Toc180"/>
      <w:bookmarkEnd w:id="466"/>
      <w:r>
        <w:rPr>
          <w:rtl w:val="true"/>
        </w:rPr>
        <w:t>الطائفة الأولی</w:t>
      </w:r>
      <w:r>
        <w:rPr>
          <w:rtl w:val="true"/>
        </w:rPr>
        <w:t>:</w:t>
      </w:r>
      <w:bookmarkEnd w:id="467"/>
    </w:p>
    <w:p>
      <w:pPr>
        <w:pStyle w:val="BookText"/>
        <w:rPr/>
      </w:pPr>
      <w:r>
        <w:rPr>
          <w:rFonts w:ascii="IRNazanin" w:hAnsi="IRNazanin" w:eastAsia="IRNazanin"/>
          <w:color w:val="111111"/>
          <w:sz w:val="28"/>
          <w:sz w:val="28"/>
          <w:szCs w:val="28"/>
          <w:rtl w:val="true"/>
          <w:lang w:bidi="fa-IR"/>
        </w:rPr>
        <w:t>ففی مصحح الحسن بن زیاد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الرجل تکون له المرأتان وإحداهما احب الیه من الاخری له أن یفضلها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له أن یأتیها ثلاث لیال والاخری لیلة لانّ له أن یتزوج أربع نسوة فلیلتاه یجعلهما حیث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وللرجل أن یفضل نساءه بعضهن علی بعض ما لم یکن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أو قریب منه صحیح محمد بن مسلم، وصحیح الحلبی</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 w:name="__RefHeading___Toc907324_1468164448"/>
      <w:bookmarkStart w:id="469" w:name="_Toc181"/>
      <w:bookmarkEnd w:id="468"/>
      <w:r>
        <w:rPr>
          <w:rtl w:val="true"/>
        </w:rPr>
        <w:t>الطائفة الثانیة</w:t>
      </w:r>
      <w:r>
        <w:rPr>
          <w:rtl w:val="true"/>
        </w:rPr>
        <w:t>:</w:t>
      </w:r>
      <w:bookmarkEnd w:id="469"/>
    </w:p>
    <w:p>
      <w:pPr>
        <w:pStyle w:val="BookText"/>
        <w:rPr/>
      </w:pPr>
      <w:r>
        <w:rPr>
          <w:rFonts w:ascii="IRNazanin" w:hAnsi="IRNazanin" w:eastAsia="IRNazanin"/>
          <w:color w:val="111111"/>
          <w:sz w:val="28"/>
          <w:sz w:val="28"/>
          <w:szCs w:val="28"/>
          <w:rtl w:val="true"/>
          <w:lang w:bidi="fa-IR"/>
        </w:rPr>
        <w:t>وموثق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المهاریة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علیها عند عقدة النکاح أن یأتیها متی شاء کل شهر وکل جمعة یوماً ومن النفقة کذا وکذا،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الشرط بشیء، ومن تزوج امرأة فلها ما للمرأة من النفقة والقسمة ولکنه اذا تزوج امرأة فخافت منه نشوزاً، أو خافت أن یتزوج علیها أو یطلقها فصالحته من حقها علی شیء من نفقتها أو قسمتها فإنّجائر لابأس به</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 الطائفة الاولی قد یقال ان القدر المتیقن من دلالتها علی</w:t>
      </w:r>
    </w:p>
    <w:p>
      <w:pPr>
        <w:pStyle w:val="BookText"/>
        <w:rPr/>
      </w:pPr>
      <w:r>
        <w:rPr>
          <w:rFonts w:ascii="IRNazanin" w:hAnsi="IRNazanin" w:eastAsia="IRNazanin"/>
          <w:color w:val="111111"/>
          <w:sz w:val="28"/>
          <w:sz w:val="28"/>
          <w:szCs w:val="28"/>
          <w:rtl w:val="true"/>
          <w:lang w:bidi="fa-IR"/>
        </w:rPr>
        <w:t>الوجوب فیما لو کانت نساءه متعددة لامتحدّة، بل وفیما کان قد ابتدأ الدور بهن، لا فیما لو لم یبتدئ، فالقدر المتیقن من دلالتها القول الثالث، لا الثانی فضلاً عن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الی ان مصبّ السؤال فیها عن التفضیل وکیفیة العدالة فی القسمة، ولکن مما یبعّد استظهار القول الثالث ان الوجوب فی البیت لیس فی الحقیقة لاجل ذات القسمة علی القول الثالث بل ان اللازم العدل، وعلیه تکون اصل المبیت معها لیلة مستحبة، فیشکل حینئذ ان العدالة والتسویة فیما هو مستحب کیف تکون واجبة، مع انّه قد تقدم شطر من الکلام فی‌العدالة الواجبة بین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وسیأتی تتمة للکلام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فی الواجبات التی علی الزوج لهن، وأمّا فی ما یندب له أن یأتی به للمرأة والنساء فالعدالة فیه مندوبة فکیف تکون فیه التسویة واجبة، وقد مرّ جملة کثیرة من الکلمات فی ذیل قوله تعالی فَتَذَرُوها کَالْمُعَلَّقَةِ قرروا دلالة الآیة علی حرمة هجران المرأة وجعلها کالمعلقة لا أیّم ولا ذات بعل، واعترف الکثیر ان ذلک التعلیق یتحقق بترک الایناس الحاصل من التعایش والسکنی معاً، وقد تقدم انّه مما یدلل علی وجوب اصل الایناس والتعایش وقد اعترف بوجوب ذلک أیضاً وحرمة الهجران جملة من اعلام العصر، ومن ثمَّ قد ذکرنا ان هذه الروایات بمثابة البیان لحدود متعلق ذلک الوجوب المشرّع أصله فی جملة الآیات المتقدمة وقد عرفت ان تحریم التعلیق غیر مختص بتعدد الزوجات بل حتی مع اتحاد المرأة، فالاقرب افادة هذه الطائفة الاولی للوجوب ابتداء بقرینة وجوب التسویة وحرمة التعلیق</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الطائفة الثانیة وموثق زرارة فمفادها وان اوهم معارضته لما</w:t>
      </w:r>
    </w:p>
    <w:p>
      <w:pPr>
        <w:pStyle w:val="BookText"/>
        <w:rPr/>
      </w:pPr>
      <w:r>
        <w:rPr>
          <w:rFonts w:ascii="IRNazanin" w:hAnsi="IRNazanin" w:eastAsia="IRNazanin"/>
          <w:color w:val="111111"/>
          <w:sz w:val="28"/>
          <w:sz w:val="28"/>
          <w:szCs w:val="28"/>
          <w:rtl w:val="true"/>
          <w:lang w:bidi="fa-IR"/>
        </w:rPr>
        <w:t>تقدم من الروایات فی أبواب المهور</w:t>
      </w:r>
      <w:r>
        <w:rPr>
          <w:rStyle w:val="FootnoteAnchor"/>
          <w:rtl w:val="true"/>
        </w:rPr>
        <w:footnoteReference w:id="469"/>
      </w:r>
      <w:r>
        <w:rPr>
          <w:rFonts w:ascii="IRNazanin" w:hAnsi="IRNazanin" w:eastAsia="IRNazanin"/>
          <w:color w:val="111111"/>
          <w:sz w:val="28"/>
          <w:sz w:val="28"/>
          <w:szCs w:val="28"/>
          <w:rtl w:val="true"/>
          <w:lang w:bidi="fa-IR"/>
        </w:rPr>
        <w:t>الدالة علی جواز اشتراط ان لایأتیها الاّ نهاراً ولا یأتیها لیلاً ولا یقسم لها کما فی صحیح زرارة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بالبصرة یتزوجون سراً فیشترط علیها أن لا آتیک الا نهاراً ولا آتیک باللیل ولا اقسم لک، قال زرارة وکنت اخاف أن یکون هذا تزویجاً فاسداً فسألت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 یعنی التزویج الا انّه ینبغی أن یکون هذا الشرط بعد النکاح ولو أنها قالت له بعد هذه الشروط قبل التزویج نعم ثم قالت بعد ما 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 أرضی الا ان تقسم لی وتبیت عندی فلم یفعل کان آثماً</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انّ هذه الصحیحة تفصّل وتبیّن مورد نفوذ الشرط فیما کان قد أُتی به بعد صیغة العقد مقترناً بها بخلاف فیما أُتی به قبل الصیغة فی مقاولة العقد فانّه غیر نافذ، وبالتالی یتّضح المراد من موثق زرارة من نفی صحة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یتّفق مفاد الموثق والصحیح وتدل کل منهما علی وجوب القسمة ابتداء کما أنّ للمرأة النفقة کذلک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آخر فی دلالة الصحیح والموثق التعبیر عن القسمة بأنّه حق للمرأة وهذا لاینسجم ولاینطبق مع القول الثالث لما مرّ من انّ مآل ذلک القول الی وجوب العدالة والتسویة بما هی، وإلاّ فالحق یعطی لصاحبه بغض النظر عن ملاحظة الاخرین والمقایسة معهم، کما ان التعبیر بالحق</w:t>
      </w:r>
    </w:p>
    <w:p>
      <w:pPr>
        <w:pStyle w:val="BookText"/>
        <w:rPr/>
      </w:pPr>
      <w:r>
        <w:rPr>
          <w:rFonts w:ascii="IRNazanin" w:hAnsi="IRNazanin" w:eastAsia="IRNazanin"/>
          <w:color w:val="111111"/>
          <w:sz w:val="28"/>
          <w:sz w:val="28"/>
          <w:szCs w:val="28"/>
          <w:rtl w:val="true"/>
          <w:lang w:bidi="fa-IR"/>
        </w:rPr>
        <w:t>یشهد للقول الاول دون الثانی لان ظاهر الموثق والصحیح ثبوت القسمة والمبیت للمرأة علی حذو ثبوت النفقة، وان کانت متّحدة غیر متعددة، وهناک وجه ثالث لدلالة الموثقة أیضاً وهو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خافت ان یتزوج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المصالحة علی حقها من القسمة فی تلک الصورة، أی کونها متحدّة وتخاف من التعدد، وهذا الوجه فی دلالة الموثق کالصریح فی فرض اتحاد الزوجة وثبوت حق القسمة والمبیت لها مع الاتحاد الذی هو من خواص القول الاوّل دون الثانی فضلا عن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هذا المفاد صریح تحقیقاً فی نفی القول الثالث، حیث یبین ان هذا الحق یجری التعاوض علیه ولیس هو تکلیفی محض من باب التسویة والعدالة، ومن هذه الطائفة الثانیة صحیح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له امرأتان قالت احداهما لیلتی ویومی لک یوماً أو شهراً أو ما کان أیجوز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طابت نفسها واشتری ذلک منها فلابأس</w:t>
      </w:r>
      <w:r>
        <w:rPr>
          <w:rFonts w:eastAsia="IRNazanin" w:cs="IRNazanin"/>
          <w:color w:val="111111"/>
          <w:sz w:val="28"/>
          <w:szCs w:val="28"/>
          <w:rtl w:val="true"/>
          <w:lang w:bidi="fa-IR"/>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ونظیرها صحیح الحلبی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ذیل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امْرَأَةٌ خافَتْ مِنْ بَعْلِها نُشُوزاً أَوْ إِعْراضاً وأنها تصالحه علی لیلتها</w:t>
      </w:r>
      <w:r>
        <w:rPr>
          <w:rFonts w:eastAsia="Amiri" w:cs="Amiri" w:ascii="Amiri" w:hAnsi="Amiri"/>
          <w:color w:val="111111"/>
          <w:sz w:val="28"/>
          <w:szCs w:val="28"/>
          <w:rtl w:val="true"/>
          <w:lang w:bidi="ar-SA"/>
        </w:rPr>
        <w:t>»</w:t>
      </w:r>
      <w:r>
        <w:rPr>
          <w:rStyle w:val="FootnoteAnchor"/>
          <w:rtl w:val="true"/>
        </w:rPr>
        <w:footnoteReference w:id="472"/>
      </w:r>
      <w:r>
        <w:rPr>
          <w:rFonts w:ascii="IRNazanin" w:hAnsi="IRNazanin" w:eastAsia="IRNazanin"/>
          <w:color w:val="111111"/>
          <w:sz w:val="28"/>
          <w:sz w:val="28"/>
          <w:szCs w:val="28"/>
          <w:rtl w:val="true"/>
          <w:lang w:bidi="fa-IR"/>
        </w:rPr>
        <w:t>، وکذا روایة بن أبی حمزة</w:t>
      </w:r>
      <w:r>
        <w:rPr>
          <w:rStyle w:val="FootnoteAnchor"/>
          <w:rtl w:val="true"/>
        </w:rPr>
        <w:footnoteReference w:id="473"/>
      </w:r>
      <w:r>
        <w:rPr>
          <w:rFonts w:ascii="IRNazanin" w:hAnsi="IRNazanin" w:eastAsia="IRNazanin"/>
          <w:color w:val="111111"/>
          <w:sz w:val="28"/>
          <w:sz w:val="28"/>
          <w:szCs w:val="28"/>
          <w:rtl w:val="true"/>
          <w:lang w:bidi="fa-IR"/>
        </w:rPr>
        <w:t>بل هی معتبرة لکون الراوی عنه علی بن الحکم الواردة فی الصلح عن یومها ولیلتها، ومثلها محسنة أبی بصیر عن أبی عبدالله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bookmarkStart w:id="470" w:name="pg13690_120699"/>
    </w:p>
    <w:p>
      <w:pPr>
        <w:pStyle w:val="BookText"/>
        <w:rPr/>
      </w:pPr>
      <w:bookmarkEnd w:id="470"/>
      <w:r>
        <w:rPr>
          <w:rFonts w:ascii="IRNazanin" w:hAnsi="IRNazanin" w:eastAsia="IRNazanin"/>
          <w:color w:val="111111"/>
          <w:sz w:val="28"/>
          <w:sz w:val="28"/>
          <w:szCs w:val="28"/>
          <w:rtl w:val="true"/>
          <w:lang w:bidi="fa-IR"/>
        </w:rPr>
        <w:t>وکذا معتبرة زید الشحام</w:t>
      </w:r>
      <w:r>
        <w:rPr>
          <w:rStyle w:val="FootnoteAnchor"/>
          <w:rtl w:val="true"/>
        </w:rPr>
        <w:footnoteReference w:id="475"/>
      </w:r>
      <w:r>
        <w:rPr>
          <w:rFonts w:ascii="IRNazanin" w:hAnsi="IRNazanin" w:eastAsia="IRNazanin"/>
          <w:color w:val="111111"/>
          <w:sz w:val="28"/>
          <w:sz w:val="28"/>
          <w:szCs w:val="28"/>
          <w:rtl w:val="true"/>
          <w:lang w:bidi="fa-IR"/>
        </w:rPr>
        <w:t>علی الأقوی، وکذا مرسلة العیاشی عن البزنطی</w:t>
      </w:r>
      <w:r>
        <w:rPr>
          <w:rStyle w:val="FootnoteAnchor"/>
          <w:rtl w:val="true"/>
        </w:rPr>
        <w:footnoteReference w:id="476"/>
      </w:r>
      <w:r>
        <w:rPr>
          <w:rFonts w:ascii="IRNazanin" w:hAnsi="IRNazanin" w:eastAsia="IRNazanin"/>
          <w:color w:val="111111"/>
          <w:sz w:val="28"/>
          <w:sz w:val="28"/>
          <w:szCs w:val="28"/>
          <w:rtl w:val="true"/>
          <w:lang w:bidi="fa-IR"/>
        </w:rPr>
        <w:t>فظهر ان الطائفة الثانیة مستفیضة المفاد جداً</w:t>
      </w:r>
      <w:r>
        <w:rPr>
          <w:rFonts w:eastAsia="IRNazanin" w:cs="IRNazanin"/>
          <w:color w:val="111111"/>
          <w:sz w:val="28"/>
          <w:szCs w:val="28"/>
          <w:rtl w:val="true"/>
          <w:lang w:bidi="fa-IR"/>
        </w:rPr>
        <w:t>.</w:t>
      </w:r>
    </w:p>
    <w:p>
      <w:pPr>
        <w:pStyle w:val="Heading6"/>
        <w:numPr>
          <w:ilvl w:val="5"/>
          <w:numId w:val="1"/>
        </w:numPr>
        <w:rPr/>
      </w:pPr>
      <w:bookmarkStart w:id="471" w:name="__RefHeading___Toc907326_1468164448"/>
      <w:bookmarkStart w:id="472" w:name="_Toc182"/>
      <w:bookmarkEnd w:id="471"/>
      <w:r>
        <w:rPr>
          <w:rtl w:val="true"/>
        </w:rPr>
        <w:t>الطائفة الثالثة</w:t>
      </w:r>
      <w:r>
        <w:rPr>
          <w:rtl w:val="true"/>
        </w:rPr>
        <w:t>:</w:t>
      </w:r>
      <w:bookmarkEnd w:id="472"/>
    </w:p>
    <w:p>
      <w:pPr>
        <w:pStyle w:val="BookText"/>
        <w:rPr/>
      </w:pPr>
      <w:r>
        <w:rPr>
          <w:rFonts w:ascii="IRNazanin" w:hAnsi="IRNazanin" w:eastAsia="IRNazanin"/>
          <w:color w:val="111111"/>
          <w:sz w:val="28"/>
          <w:sz w:val="28"/>
          <w:szCs w:val="28"/>
          <w:rtl w:val="true"/>
          <w:lang w:bidi="fa-IR"/>
        </w:rPr>
        <w:t>ما دلّ علی انّ من تزوج امرأة بکراً وعنده غیرها اختصت بسبع وبثلاث ان کانت ثیباً، نظیر صحیح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وعنده امرأة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بکرا فلیبت عندها سبعاً وان کانت ثیباً فثلاثا</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هشام بن سالم یقیم عندها سبعة أیام</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ولاینافیه مافی روایات اخری کما فی صحیح الحلبی من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ان یفضل البکر</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 فحق القسم کما مرّ مشترک بین الرجل والمرأة، کما سیأتی الاشارة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وکذا ماورد فی من تزوج أمة مع حرّة کصحیحة عبدالرحمان بن أبی‌عبدالله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وللحرة لیلتان وللأمة لیلة</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علی نفی القول الاوّل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حصة حق المرأة علی الزوج فی غیر القسمة، وقد مرّت الاشارة الی جملة من تلک الروایات کموثق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المرأة علی زوجها الذی اذا فعله کان محسنا،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یشبعها ویکسوها وان جهلت غفر لها</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الروایات المستفیضة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جملة من هذه الروایات لم تذکر السکنی کذلک ولم تذکر الوطی کل أربعة أشهر مرة، مما یشهد بأن الحصر اضافی، وکم له نظیر فی الابواب الفقهیة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لدعوی التأسی بالنبی صلی الله علیه و آله بعد معلومیة عدم وجوب القسم علیه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تُرْجِی مَنْ تَشاءُ مِنْهُنَّ وَ تُؤْوِی إِلَیْکَ مَنْ تَشاءُ وَ مَنِ ابْتَغَیْتَ مِمَّنْ عَزَلْتَ فَلا جُناحَ عَلَیْکَ ذلِکَ أَدْنی أَنْ تَقَرَّ أَعْیُنُهُنَّ وَ لا یَحْزَنَّ وَ یَرْضَیْنَ بِما آتَیْتَهُنَّ کُلُّهُنَّ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صحیح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أرأیت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تُرْجِی مَنْ تَشاءُ مِنْهُنَّ وَ تُؤْوِی إِلَیْکَ مَنْ تَشاءُ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آوی فقد نکح ومن ارجی فلم ینکح</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انّه لو سلِّم فذلک من مختصات النبی صلی الله علیه و آله ، کما قد یشعر به السیاق</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جمیع الطوائف المتقدمة مفادها جاری مجری الغالب فی</w:t>
      </w:r>
    </w:p>
    <w:p>
      <w:pPr>
        <w:pStyle w:val="BookText"/>
        <w:rPr/>
      </w:pPr>
      <w:r>
        <w:rPr>
          <w:rFonts w:ascii="IRNazanin" w:hAnsi="IRNazanin" w:eastAsia="IRNazanin"/>
          <w:color w:val="111111"/>
          <w:sz w:val="28"/>
          <w:sz w:val="28"/>
          <w:szCs w:val="28"/>
          <w:rtl w:val="true"/>
          <w:lang w:bidi="fa-IR"/>
        </w:rPr>
        <w:t>حال الزوج یبیت عند زوجته، فمع فرض تعددها کان علیه ملاحظة العدل فی القسمة والتفضیل علی الوجه المذکور فی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الآیات صریح فی تحریم الهجران وجعل المرأة کالمعلقة کما هو متسالم علیه فکیف یکون اصل المبیت یجری مجری الغالب، کما انّ وجوب العدل قد مرّ انّه لازم ومتسالم علیه بین الاقوال الثلاثة وهو انما یقرر فی مورد متعلق الواجب أیضاً لا ما یکون مستحباً، فاصل تشریع العِشْرة بالمعروف دلّت علیه جملة من الآیات وهو بمثابة القاعدة کما سیأتی بیانها فی مقابل الاضرار بها وجعلها کالمعلقة، وما هو الوجه المسوغ لرفع الید عن مفاد الطائفة الاولی والثانیة بل والثالثة الدالة علی ان المبیت حق أولی للمرأة، ومرّ انّ بعضها کالصریح فی اتحاد المرأة کموثق زرارة، والاستبعادات المحضة لاتسوغ رفع الید عن کل هذه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المتشرعة وطریقتهم علی جواز الاشتغال بالعبادات والاستئجار فی اللیل لبعض الاعمال وغیر ذلک، من دون استرضاء صاحبة اللیلة وغیر ذلک من اللوازم الکثیرة التی یصعب قیام الدلیل علیها، مما کان مخالفا للمعلوم من السیرة بل المقطوع من الشرع، لاسیما وانّ الاصل فی الحق لزوم القضاء مع الفوات ولو لعذر الا ما اخرجه الدلیل</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ذلک یلزم أیضاً علی القول الثالث، ودعوی الفرق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علی القول الثالث له ان لایبتدأ الدور علیهن فیستأثر بنفسه لقضاء حاجیاته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ممنوعة وذلک لانّ موارد الاشتغال فی الحاجیات العرفیة فی جملة من الامثلة مستمرة بلا انقطاع فلایرفع غائلة الاشکال عدم الدور علیهن فی بعض الاحیان لاسیما وانّه اذا بات عند واحدة منهن یلزم علیه الدور علی البقیة،</w:t>
      </w:r>
      <w:bookmarkStart w:id="473" w:name="pg13690_120702"/>
    </w:p>
    <w:p>
      <w:pPr>
        <w:pStyle w:val="BookText"/>
        <w:rPr/>
      </w:pPr>
      <w:bookmarkEnd w:id="473"/>
      <w:r>
        <w:rPr>
          <w:rFonts w:ascii="IRNazanin" w:hAnsi="IRNazanin" w:eastAsia="IRNazanin"/>
          <w:color w:val="111111"/>
          <w:sz w:val="28"/>
          <w:sz w:val="28"/>
          <w:szCs w:val="28"/>
          <w:rtl w:val="true"/>
          <w:lang w:bidi="fa-IR"/>
        </w:rPr>
        <w:t>والبیتوتة عند احداهن لا محال حاصلة فی جملة افراد العرف، فالوجه فی دفع الاشکال وغیره من اللوازم المتصورة هو التراضی الحاصل ولو بالشواهد الحالیة بحسب العشرة بین الطرفین، والاّ فانّ کل ما یشکل به من اللوازم قابل لتصویره علی القول الثالث أیضاً، کما هو الحال فی باب النفقة والسکنی من تغاضی السیرة مع الأُلفة عن الإستقضاء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فتحصّل انّ الاقوی الاوّل وینبغی التعرض الی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کون حق القسم والمبیت من الحقوق المشترکة ولیس حق مختص بالمرأة، وذلک لانّ اصل الاستمتاع بالمرأة سواء بالملامسة الجسدیة أوبصرف المضاجعة بل صرف الاستئناس بوجودها فی البیت معه من الاستمتاعات التی هی ملک للزوج بمقتضی عقد النکاح، فلو تنازلت هی عن لیلتها لضرّتها لا یلزم الزوج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انّ المقدار اللازم من القسم قد وقع الاختلاف فیه کما وکیفا، فنسب الی المشهور استحباب صبیحة اللیلة، وعن بعضهم الوجوب، وفی المبسوط عن جماعة یجوز ان یجعل القسمة ازید من لیلة لکل واحدة، وقد ذکروا ان الواجب فی المبیت المضاجعة لا المواقعة، واحتمل البعض ان الواجب هو الکون معها فی البیت للإیناس لا المضاجعة</w:t>
      </w:r>
      <w:r>
        <w:rPr>
          <w:rFonts w:eastAsia="IRNazanin" w:cs="IRNazanin"/>
          <w:color w:val="111111"/>
          <w:sz w:val="28"/>
          <w:szCs w:val="28"/>
          <w:rtl w:val="true"/>
          <w:lang w:bidi="fa-IR"/>
        </w:rPr>
        <w:t>.</w:t>
      </w:r>
    </w:p>
    <w:p>
      <w:pPr>
        <w:pStyle w:val="Heading5"/>
        <w:numPr>
          <w:ilvl w:val="4"/>
          <w:numId w:val="1"/>
        </w:numPr>
        <w:rPr/>
      </w:pPr>
      <w:bookmarkStart w:id="474" w:name="__RefHeading___Toc907328_1468164448"/>
      <w:bookmarkStart w:id="475" w:name="_Toc183"/>
      <w:bookmarkEnd w:id="474"/>
      <w:r>
        <w:rPr>
          <w:rtl w:val="true"/>
        </w:rPr>
        <w:t>امّا الروایات فهی علی لسانین</w:t>
      </w:r>
      <w:r>
        <w:rPr>
          <w:rtl w:val="true"/>
        </w:rPr>
        <w:t>:</w:t>
      </w:r>
      <w:bookmarkEnd w:id="475"/>
    </w:p>
    <w:p>
      <w:pPr>
        <w:pStyle w:val="Heading6"/>
        <w:numPr>
          <w:ilvl w:val="5"/>
          <w:numId w:val="1"/>
        </w:numPr>
        <w:rPr/>
      </w:pPr>
      <w:bookmarkStart w:id="476" w:name="__RefHeading___Toc907330_1468164448"/>
      <w:bookmarkStart w:id="477" w:name="_Toc184"/>
      <w:bookmarkEnd w:id="476"/>
      <w:r>
        <w:rPr>
          <w:rtl w:val="true"/>
        </w:rPr>
        <w:t>اللسان الأوّل</w:t>
      </w:r>
      <w:r>
        <w:rPr>
          <w:rtl w:val="true"/>
        </w:rPr>
        <w:t>:</w:t>
      </w:r>
      <w:bookmarkEnd w:id="47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من جملة منها شمول القسم للیلة وصبیحتها أو یومها کمعتبرة ابراهیم الکرخی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له أربعة نسوة فهو</w:t>
      </w:r>
      <w:bookmarkStart w:id="478" w:name="pg13690_120703"/>
    </w:p>
    <w:p>
      <w:pPr>
        <w:pStyle w:val="BookText"/>
        <w:rPr/>
      </w:pPr>
      <w:bookmarkEnd w:id="478"/>
      <w:r>
        <w:rPr>
          <w:rFonts w:ascii="IRNazanin" w:hAnsi="IRNazanin" w:eastAsia="IRNazanin"/>
          <w:color w:val="111111"/>
          <w:sz w:val="28"/>
          <w:sz w:val="28"/>
          <w:szCs w:val="28"/>
          <w:rtl w:val="true"/>
          <w:lang w:bidi="fa-IR"/>
        </w:rPr>
        <w:t>یبیت عند ثلاثة منهن فی لیالیهن فیمسهنّ فاذا بات عند الرابعة فی لیلتها لم یمسها فهل علیه فی هذا اثم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علیه ان یبیت عندها فی لیلتها ویظل عندها فی صبیحتها ولیس علیه ان یجامعها ان لم یرد ذلک</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الروایات المستفیضة الواردة فی جواز مصالحة المرأة زوجها بترک حقها من قسم ونفقه اذا خافت منه نشوزا أو اعراضا أو طلاقا، حیث ورد فیها قول المرأة احلِّلُکَ من یومی ولیلتی، کمعتبرة ابن أبی حمزة لانّ الراوی عنه علی بن الحکم ومعتبرة زید الشحّام، وروایة أبی بصیر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 ورد من جواز شراء الزوج ذلک منها کصحیحة علی بن جعفر عن أخیه موسی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امرأتان قالت 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لیلتی ویومی لک یوما أو شهرا أو ما کان، أیجوز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طابت نفسها واشتری ذلک منها فلابأس</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ماورد من‌روایات فی تخصیص الزوجة الجدیدة بسبع أو ثلاث بکرا أو ثیباً کصحیح محمد بن مسلم وهشام بن سالم وعبدالرحمان بن أبی عبدالله وغیرها من الصحاح</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9" w:name="__RefHeading___Toc907332_1468164448"/>
      <w:bookmarkStart w:id="480" w:name="_Toc185"/>
      <w:bookmarkEnd w:id="479"/>
      <w:r>
        <w:rPr>
          <w:rtl w:val="true"/>
        </w:rPr>
        <w:t>اللسان الثانی</w:t>
      </w:r>
      <w:r>
        <w:rPr>
          <w:rtl w:val="true"/>
        </w:rPr>
        <w:t>:</w:t>
      </w:r>
      <w:bookmarkEnd w:id="48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مایظهر من جملة اخری من الاقتصار علی عنوان اللیلة مثل الروایات</w:t>
      </w:r>
    </w:p>
    <w:p>
      <w:pPr>
        <w:pStyle w:val="BookText"/>
        <w:rPr/>
      </w:pPr>
      <w:r>
        <w:rPr>
          <w:rFonts w:ascii="IRNazanin" w:hAnsi="IRNazanin" w:eastAsia="IRNazanin"/>
          <w:color w:val="111111"/>
          <w:sz w:val="28"/>
          <w:sz w:val="28"/>
          <w:szCs w:val="28"/>
          <w:rtl w:val="true"/>
          <w:lang w:bidi="fa-IR"/>
        </w:rPr>
        <w:t>الواردة فی تحدید حق المرأة من القسم سواء کانت متعددة أو متحدة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ماورد فی جواز تفضیل بعض النساء فی القسم مالم تکن أربعة</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والجمع بین اللسانین قد یکون بحمل الثانی علی الاول کما هو متعارف فی التعبیر عن المقدار الزمنی کما فی صلاة المسافر بالاقامة عشر لیالی أو عشرة أیام، فتستعمل اللیلة کنایة عن مجموع الیوم، وقد یعکس بحمل اللسان الاوّل علی الثانی، ومن باب لحوق الیوم باللیل وان لم یکن واجبا مع اختلاف اللسان الأوّل تارة بعنوان الصبیحة وتارة بعنوان اللیلة، وهذا قرینة علی الندب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یؤید هذا الحمل الثانی ان اللیل کماورد فی الآیات خلق للناس سکنا ولباسا ولقضاء الوطر مضافاً للسیرة المستمرة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هذه القرائن هو اولویة اللیل لا الحصر والاقتصار فیه، وهو الوجه فی تنوع العنوان فی اللسان الاول مع الثانی، والصحیح انّ الحمل الاوّل هو الصحیح غایة الامر ان الواجب فی النهار لیس بمعنی ان یترک معاشه، وشؤون حیاته المعتادة فی النهار فی غیر المعاش، بل بمعنی ان مأواه النهاری قیلولة أو نحو ذلک لایکون عند بقیة الزوجات، فکلما اراد الایواء الی المنزل فهو من نصیب صاحبة اللیلة نعم المداقة لیست لازمة، فالمقدار والمحصل من الوجوب فی النهار بهذا المعنی، بل کذلک الحال</w:t>
      </w:r>
    </w:p>
    <w:p>
      <w:pPr>
        <w:pStyle w:val="BookText"/>
        <w:rPr/>
      </w:pPr>
      <w:r>
        <w:rPr>
          <w:rFonts w:ascii="IRNazanin" w:hAnsi="IRNazanin" w:eastAsia="IRNazanin"/>
          <w:color w:val="111111"/>
          <w:sz w:val="28"/>
          <w:sz w:val="28"/>
          <w:szCs w:val="28"/>
          <w:rtl w:val="true"/>
          <w:lang w:bidi="fa-IR"/>
        </w:rPr>
        <w:t>فی‌اللیل فانه لیس اللازم استیعابه من مبدءه الی منتهاه، بل المقدار الذی یؤوی الیه فی العادة المتعارفة الی المسکن هو اللازم، وهذا هو الموجود فی السیرة المکونة للعرف والمعروف المأمور به فی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هو الواجب من القسم، هل هو المضاجعة أو الایناس أو الکون فی البیت؟ وظاهر تعبیر الاصحاب هو انّ الواجب من البیتوتة هی المضاجعة، دون المواقعة، ویدل علی ماذکروه انّ الوارد فی الروایات المتقدمة هو التعبیر بالبیتوتة أو اتیان المرأة بمعنی المجیء الی بیتها، وهو لایدل علی اکثر من الکون عندها دون المواقعة، وهو صریح معتبرة الکرخی المتقدمة أیضاً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الی ما سیأتی من النص الدال علی تحدید المواقعة بأربعة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المضاجعة فقد تقدم فی تقریب الآیة من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اهْجُرُوهُنَّ فِی الْمَضاجِعِ وَ اضْرِبُوهُنَّ فَإِنْ أَطَعْنَکُمْ فَلا تَبْغُوا عَلَیْهِنَّ سَبِیلاً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فی الآیة دلالة علی حرمة الهجران مع طاعة المرأة، فی قبال وجوب عشرتها بالمعروف وتومیء الی کون المضاجعة بین الزوجین من مقومات العشرة بالمعروف، کیف لا والاقتران بین الزوجین فی الاصل هی علقة روحیة وجنسیة، والظاهر انّ مراد الاصحاب الاشارة الی ابرز افراد العشرة اللازم مراعاتها، والاّ فالایناس والتعاشر بالحدیث وغیره من</w:t>
      </w:r>
      <w:bookmarkStart w:id="481" w:name="pg13690_120706"/>
    </w:p>
    <w:p>
      <w:pPr>
        <w:pStyle w:val="BookText"/>
        <w:rPr/>
      </w:pPr>
      <w:bookmarkEnd w:id="481"/>
      <w:r>
        <w:rPr>
          <w:rFonts w:ascii="IRNazanin" w:hAnsi="IRNazanin" w:eastAsia="IRNazanin"/>
          <w:color w:val="111111"/>
          <w:sz w:val="28"/>
          <w:sz w:val="28"/>
          <w:szCs w:val="28"/>
          <w:rtl w:val="true"/>
          <w:lang w:bidi="fa-IR"/>
        </w:rPr>
        <w:t>التعامل بین الزوجین والکینونة عندها بالانماط المتکونة بحسب کل عرف هی أیضاً من طبیعة الواجب، وفی الحقیقة المضاجعة هی من اشدّ معالم الوئام والألفة فی الحیاة الزوجیة فکیف بما دونها</w:t>
      </w:r>
      <w:r>
        <w:rPr>
          <w:rFonts w:eastAsia="IRNazanin" w:cs="IRNazanin"/>
          <w:color w:val="111111"/>
          <w:sz w:val="28"/>
          <w:szCs w:val="28"/>
          <w:rtl w:val="true"/>
          <w:lang w:bidi="fa-IR"/>
        </w:rPr>
        <w:t>.</w:t>
      </w:r>
    </w:p>
    <w:p>
      <w:pPr>
        <w:pStyle w:val="Heading5"/>
        <w:numPr>
          <w:ilvl w:val="4"/>
          <w:numId w:val="1"/>
        </w:numPr>
        <w:rPr/>
      </w:pPr>
      <w:bookmarkStart w:id="482" w:name="__RefHeading___Toc907334_1468164448"/>
      <w:bookmarkStart w:id="483" w:name="_Toc186"/>
      <w:bookmarkEnd w:id="482"/>
      <w:r>
        <w:rPr>
          <w:rtl w:val="true"/>
        </w:rPr>
        <w:t>فروع فی حق القسمة</w:t>
      </w:r>
      <w:r>
        <w:rPr>
          <w:rtl w:val="true"/>
        </w:rPr>
        <w:t>:</w:t>
      </w:r>
      <w:bookmarkEnd w:id="483"/>
    </w:p>
    <w:p>
      <w:pPr>
        <w:pStyle w:val="BookText"/>
        <w:rPr/>
      </w:pPr>
      <w:r>
        <w:rPr>
          <w:rFonts w:ascii="IRNazanin" w:hAnsi="IRNazanin" w:eastAsia="IRNazanin"/>
          <w:color w:val="111111"/>
          <w:sz w:val="28"/>
          <w:sz w:val="28"/>
          <w:szCs w:val="28"/>
          <w:rtl w:val="true"/>
          <w:lang w:bidi="fa-IR"/>
        </w:rPr>
        <w:t>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وجوب المبیت والمضاجعة، فیما قلنا به بالدائمة، فلیس للمتمتع بها هذا الحق سواء کانت واحدة أو متعددة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ویستدل له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الْمُطَلَّقاتُ یَتَرَبَّصْنَ بِأَنْفُسِهِنَّ ثَلاثَةَ قُرُوءٍ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فِی ذلِکَ إِنْ أَرادُوا إِصْلاحاً وَ لَهُنَّ مِثْلُ الَّذِی عَلَیْهِنَّ بِالْمَعْرُوفِ وَ لِلرِّجالِ عَلَیْهِنَّ دَرَجَةٌ وَ اللّهُ عَزِیزٌ حَکِیمٌ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بتقریب انّ جعل الحق لهن فی الآیة فی الحقوق الزوجیة مثل الذی علیهن مع زیادة الحقوق للزوج، انما موضوعه فی الآیة الزوجة الدائمة وهی التی تطلق دون المنقطعة ودون ملک الیمین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اهْجُرُوهُنَّ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تَبْغُوا عَلَیْهِنَّ سَبِیلاً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خِفْتُمْ شِقاقَ بَیْنِهِما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والذی تقدم دلالته علی وجوب المضاجعة والمبیت اجمالا، ومورده کما هو واضح النکاح الدائم فقط</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علیه أیضاً ان جملة الروایات الواردة المتقدمة الاشارة الیها</w:t>
      </w:r>
    </w:p>
    <w:p>
      <w:pPr>
        <w:pStyle w:val="BookText"/>
        <w:rPr/>
      </w:pPr>
      <w:r>
        <w:rPr>
          <w:rFonts w:ascii="IRNazanin" w:hAnsi="IRNazanin" w:eastAsia="IRNazanin"/>
          <w:color w:val="111111"/>
          <w:sz w:val="28"/>
          <w:sz w:val="28"/>
          <w:szCs w:val="28"/>
          <w:rtl w:val="true"/>
          <w:lang w:bidi="fa-IR"/>
        </w:rPr>
        <w:t>الموضوع فی جمیعها الزوجة الدائمة المتقابل فیها الواحدة والمتعددة الی اربعة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الی ان المملوکة لاتقدر علی شیء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ان المتمتع بها بمنزلة الإماء</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لیلة کان للمرأة حق المبیت، یجوز لها ان ترفع الید عنه وتهبه للزوج لیصرف لیله فیما یشاء وان تهبه لضرتها فیصیر الحق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ان الحق مشترک بینهما فلها أن ترفع الید عن لیلتها کما اشارت إلیه النصوص المتقدمة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قول بعض الفقهاء کالسید ابی الحسن الاصفهانی بصیرورة الحق للضرّة مع هبتها فلابد أن یقید برضی الزوج لان الحق لیس متمحض للزوجة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تختص البکر اوّل عرسها بسبع لیال والثیب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تتفضلان بذلک علی غیرهما، ولایجب علیه ان یقضی تلک اللیالی لنساءه القدیمة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انما وقع الخلاف انّ ذلک علی وجه الاستحقاق للجدیدة وانه سبعة</w:t>
      </w:r>
    </w:p>
    <w:p>
      <w:pPr>
        <w:pStyle w:val="BookText"/>
        <w:rPr/>
      </w:pPr>
      <w:r>
        <w:rPr>
          <w:rFonts w:ascii="IRNazanin" w:hAnsi="IRNazanin" w:eastAsia="IRNazanin"/>
          <w:color w:val="111111"/>
          <w:sz w:val="28"/>
          <w:sz w:val="28"/>
          <w:szCs w:val="28"/>
          <w:rtl w:val="true"/>
          <w:lang w:bidi="fa-IR"/>
        </w:rPr>
        <w:t>للبکر أو ثلاثة، أو انّ ذلک جواز للرجل ان یفضلها ویخصها بذلک، ففی جملة من العبائر کالمحکی عن ابن ادریس وابی علی الثانی ومحکی بعض متأخری المتأخرین، حیث عبروا بَأنَّ له ان یفضلها، بینما ظاهر المنسوب الی الاکثر الاوّل، حیث عبروا بأنّ البکر تختص بسبع والثیب بثلاث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للثانی بأنّ الامر فی مقام توهم الحظر، فلایدل علی اکثر من الجواز دون الوجوب، مضافا الی ما فی عدّه من الروایات کموثق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یحل له ان یفضل واحدة علی الاخری،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یفضل المحدثة حدثان عُرسها ثلاثة أیام اذا کانت بکرا ثم یسوی بینهما بطیبة نفس احداهما علی الاخری</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ودلالتها ظاهرة بقوة ان السؤال عن التفضیل هو فی مورد توهم الحظر ومن ثمَّ عبّر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یحلّ له ان یفضل؟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 التعبیر فی جملة من روایات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له ان یفضّل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صحیح هشام بن سالم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عندها</w:t>
      </w:r>
      <w:r>
        <w:rPr>
          <w:rFonts w:eastAsia="IRNazanin" w:cs="IRNazanin"/>
          <w:color w:val="111111"/>
          <w:sz w:val="28"/>
          <w:szCs w:val="28"/>
          <w:rtl w:val="true"/>
          <w:lang w:bidi="fa-IR"/>
        </w:rPr>
        <w:t>»</w:t>
      </w:r>
      <w:r>
        <w:rPr>
          <w:rStyle w:val="FootnoteAnchor"/>
          <w:rtl w:val="true"/>
        </w:rPr>
        <w:footnoteReference w:id="493"/>
      </w:r>
      <w:r>
        <w:rPr>
          <w:rFonts w:ascii="IRNazanin" w:hAnsi="IRNazanin" w:eastAsia="IRNazanin"/>
          <w:color w:val="111111"/>
          <w:sz w:val="28"/>
          <w:sz w:val="28"/>
          <w:szCs w:val="28"/>
          <w:rtl w:val="true"/>
          <w:lang w:bidi="fa-IR"/>
        </w:rPr>
        <w:t>، وصحیح محمد بن مسلم حیث ورد فیه فلیبت عندها</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مصحح الحسن بن زیاد الصیقلی</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موثق سماعة المتقدم وقد عرفت انّه فی مورد توهم 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عبدالرحمان بن أبی عبدالله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یجعل للتی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مضافاً الی ان مادة التفضیل ظاهرة بقوة فی انّ ذلک فضل یقوم به الزوج، لا انه استحقاق لها، کما ورد نظیر هذا التعبیر بالتفضیل بین النساء فی اللیالی ما لم یکنّ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فالاظهر هو الرجحان وان کان مراعاة التخصیص احوط مع ان تعبیر المشهور بلفظ تختص البکر لیس صریح فی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روایات الباب بین تخصیص البکر بسبعة والثیّب بثلاث، وبین لسان ثانی وهو تخصیص البکر بثلاث کما فی صحیح الحلبی وموثق سماعة ومصحح حسن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عبدالرحمان بن أبی عبدالله ثلاثة أیام لمطلق وأیة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له أن یخصها بثلاث فما فوق الی سبع، والثیّب الی ثلاث، بل بناء علی الاستحباب فله ان یتخیر فی التفضیل ما شاء من اللیالی، غایة منتهاه انه فی الثیب ثلاث وفی البکر سبع، بل لو بنینا علی الاستحقاق لکان مخیرا فی البکر بین الثلاث فما زاد الی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قسمة للصغیرة ولا للمجنونة المطبقة ولا للناشزة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وتسقط القسمة وحق المضاجعة بالسفر ولیس علیه القضاء</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 عدم الخلاف فی سقوط القسمة فی الصغیرة والناشزة، واحتمل فی الجواهر العموم للصغیرة التی یستمتع بها بغیر الوطی، کما ذهب جماعة من</w:t>
      </w:r>
    </w:p>
    <w:p>
      <w:pPr>
        <w:pStyle w:val="BookText"/>
        <w:rPr/>
      </w:pPr>
      <w:r>
        <w:rPr>
          <w:rFonts w:ascii="IRNazanin" w:hAnsi="IRNazanin" w:eastAsia="IRNazanin"/>
          <w:color w:val="111111"/>
          <w:sz w:val="28"/>
          <w:sz w:val="28"/>
          <w:szCs w:val="28"/>
          <w:rtl w:val="true"/>
          <w:lang w:bidi="fa-IR"/>
        </w:rPr>
        <w:t>المتأخرین الی وجوب النفقة لها فی ذلک الفرض، وبعد دعوی کونها ملتذّة بذلک، وکما یتأتی البحث فی الصغیرة یتأتی فی وجوب تمکین ولیها ایاها للزوج ولو لاجل مایمکن من الاستمتاعات أو لأُنس وسکن الزوج إلیها، اذ الکون فی بیت الزوجیة هو احد الاغراض المهمة من الزواج، فهل یجب زفها الی الزوج، ام لایستحق المطالبة بذلک الا بعد البلوغ؟</w:t>
      </w:r>
    </w:p>
    <w:p>
      <w:pPr>
        <w:pStyle w:val="BookText"/>
        <w:rPr/>
      </w:pPr>
      <w:r>
        <w:rPr>
          <w:rFonts w:ascii="IRNazanin" w:hAnsi="IRNazanin" w:eastAsia="IRNazanin"/>
          <w:color w:val="111111"/>
          <w:sz w:val="28"/>
          <w:sz w:val="28"/>
          <w:szCs w:val="28"/>
          <w:rtl w:val="true"/>
          <w:lang w:bidi="fa-IR"/>
        </w:rPr>
        <w:t>قال الشیخ فی المبسوط فی بحث النفقة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إذا کانا صغیرین فلانفقة لها عندنا، وقال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النفقة وإذا مرضت زوجته لم تسقط نفقتها بمرضها لأنها من أهل الاستمتاع ولانه قد یألفها ویسکن إلیها، وتفارق الصغیرة بهذین المعنین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کبیراً وهی مراهقة تصلح للوطی فالحکم فیهما سواء، وانما یفترقان فی فصل واحد وانه اذا کانت کبیرة فالخطاب معها فی موضع السکنی والتمکین الکامل، وإذا کانت صغیرة قام ولیها مقامها فیه لو کانت کبیرة علی ما شرحناه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کلامه ان الصغیرة وإن لم یجب علیها التمکین للوطی ولم یجز وطیها الا أنه یستحق کینونتها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القول بعدم وجوب النفقة وعدم وجوب التمکین بغیر الوطی فسقوط القسمة واضح، لانّ التقابض فی الزوجیة مقید ومعلق علی البلوغ کالنسیئة فی اداء العوضین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فجمیع الحقوق من الطرفین معلق اداؤها علی البلوغ والتقابض حینه، وأما علی القول بوجوب النفقة فی فرض التمکین فی غیر الوطی فالاظهر عدم وجوب القسمة لانه کما مرّ انّ القسمة هی من وجوب العشرة ومع فرض عدم وجوب التمکین بالوطی فلایشملها ما</w:t>
      </w:r>
    </w:p>
    <w:p>
      <w:pPr>
        <w:pStyle w:val="BookText"/>
        <w:rPr/>
      </w:pPr>
      <w:r>
        <w:rPr>
          <w:rFonts w:ascii="IRNazanin" w:hAnsi="IRNazanin" w:eastAsia="IRNazanin"/>
          <w:color w:val="111111"/>
          <w:sz w:val="28"/>
          <w:sz w:val="28"/>
          <w:szCs w:val="28"/>
          <w:rtl w:val="true"/>
          <w:lang w:bidi="fa-IR"/>
        </w:rPr>
        <w:t>هو مقدمة له، وسیأتی تتمة الکلام فی بحث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المجنونة المطبقة فقد یتنظر فی سقوط القسمة لها فی صورة ادراکها للالتذاذ الحیوانی کما هو الغالب فی المجانین، وهو من الحقوق الراجعة للمرأة بلحاظ تلک الغریزة، هذا فضلا عن غیر المطبقة، لاسیّما مع تمکین نفسها له، نعم قد یشکل من جهة عدم استقامة العشرة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الناشزة فسقوط قسمتها کسقوط نفقتها، بل سقوط القسمة بالنشوز تدل علیه الآیة وبدلالة مستقلة عن النفقة،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اللاّتِی تَخافُونَ نُشُوزَهُنَّ فَعِظُوهُنَّ وَ اهْجُرُوهُنَّ فِی الْمَضاجِعِ وَ اضْرِبُوهُنَّ فَإِنْ أَطَعْنَکُمْ فَلا تَبْغُوا عَلَیْهِنَّ سَبِیلاً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والبحث فی الآیة وان کان یحرر مفصلا فی مبحث النشوز والنفقات الا أنّ مجمل بیان ذلک انّ الناشز تهجر فی المضجع، وقد مرّ فی اول مبحث القسم دلالة الآیة بالمفهوم علی لزوم القسمة للمرأة والبیتوتة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ودلالتها بالمنطوق علی هجرها فی الفراش والمبیت، بأن یعتزلها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مرسلا فی مجمع البیان عن 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ظهره إلیها</w:t>
      </w:r>
      <w:r>
        <w:rPr>
          <w:rFonts w:eastAsia="IRNazanin" w:cs="IRNazanin"/>
          <w:color w:val="111111"/>
          <w:sz w:val="28"/>
          <w:szCs w:val="28"/>
          <w:rtl w:val="true"/>
          <w:lang w:bidi="fa-IR"/>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فی الشرائع أنّه مروی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الشیخ وابن ادریس ان یعتزل فراشها ویبیت علی فراش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لایبایتها فی المکان الذی تبیت فیه، وقیل انّه کنایة عن ترک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انّ ذلک بحسب اختلاف الاحوال والموارد لاطلاق العنوان فی الآیة، مضافا الی فعل النبی صلی الله علیه و آله حیث اعتزل نساءه وأقام فی مشربة ام ابراهیم، حیث انّ نشوزهن وان بدأ من بعضهن فی قصة العسل وغیرها الاّ انهنّ اشترکنّ فی ذلک بعده، وهو الذی یشیر الیه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ربه إن طلقکنّ ان یبدله ازواجا خیراً منکنّ مسلمات مؤمنات قانتان تائبات</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السفر فالسقوط به محل اتفاق اجمالا، لانّه وقع الخلاف فی انّ السقوط به فیما هو سفر شرعی فیقضی مدّة الاقامة، وکذا فیما اذا کان سفره سفر انتقال، واستدل علی اصل الحکم بسیرته صلی الله علیه و آله وسیرة المتشرعة علی عدم القضاء وعدم اصطحاب الازواج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ذلک محدد الی ما لا ینافی العشرة بالمعروف من الحیاة الزوجیة، وان لاتکون الزوجة کالمعلقة، وعن المبسوط لزوم قضاء ایام الاقامة، وعن جماعة المیل إلیه استنادا الی انّ ایام الاقامة لیست من السفر شرعا، وأنّها ملحقة بالحظر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واشکل علی القضاء باندراجها عرفا فی السفر، وانّ السیرة علی عدم الفرق بین ایام السفر والاقامة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موضع من المبسوط انّه لو سافر بالقرعة، ثم نوی المقام فی</w:t>
      </w:r>
      <w:bookmarkStart w:id="484" w:name="pg13690_120713"/>
    </w:p>
    <w:p>
      <w:pPr>
        <w:pStyle w:val="BookText"/>
        <w:rPr/>
      </w:pPr>
      <w:bookmarkEnd w:id="484"/>
      <w:r>
        <w:rPr>
          <w:rFonts w:ascii="IRNazanin" w:hAnsi="IRNazanin" w:eastAsia="IRNazanin"/>
          <w:color w:val="111111"/>
          <w:sz w:val="28"/>
          <w:sz w:val="28"/>
          <w:szCs w:val="28"/>
          <w:rtl w:val="true"/>
          <w:lang w:bidi="fa-IR"/>
        </w:rPr>
        <w:t>بعض المواضع قضی للباقیات ما اقامه دون ایام الرجوع علی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الاکثر عدم القضاء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شرع فی القسمة بین نسائه، کان له ابتداء من أی منهن شاء، وان کان الاولی والاحوط الیقین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لاطلاق الادلة، مع عدم الموجب للتخصیص، واما التعیین بالقرعة فلمراعاة العدالة فیما هو واجب من حقوق 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تستحب التسویة بین الزوجات فی الانفاق والالتفات واطلاق الوجه والمواقعة وان یکون فی صبیحة کل لیلة عند صاحبتها وان یأذن لها فی حضور موت أبیها وأمها، وان کان له منعها عن ذلک، وعن عیادة أبیها وامها فضلا عن غیرهما، وعن الخروج من منزله الا لحق واجب</w:t>
      </w:r>
      <w:r>
        <w:rPr>
          <w:rFonts w:eastAsia="IRNazanin" w:cs="IRNazanin"/>
          <w:color w:val="111111"/>
          <w:sz w:val="28"/>
          <w:szCs w:val="28"/>
          <w:rtl w:val="true"/>
          <w:lang w:bidi="fa-IR"/>
        </w:rPr>
        <w:t>.</w:t>
      </w:r>
    </w:p>
    <w:p>
      <w:pPr>
        <w:pStyle w:val="Heading5"/>
        <w:numPr>
          <w:ilvl w:val="4"/>
          <w:numId w:val="1"/>
        </w:numPr>
        <w:rPr/>
      </w:pPr>
      <w:bookmarkStart w:id="485" w:name="__RefHeading___Toc907336_1468164448"/>
      <w:bookmarkStart w:id="486" w:name="_Toc187"/>
      <w:bookmarkEnd w:id="485"/>
      <w:r>
        <w:rPr>
          <w:rtl w:val="true"/>
        </w:rPr>
        <w:t>حکم العدل والتسویة بین الزوجات</w:t>
      </w:r>
      <w:r>
        <w:rPr>
          <w:rtl w:val="true"/>
        </w:rPr>
        <w:t>:</w:t>
      </w:r>
      <w:bookmarkEnd w:id="486"/>
    </w:p>
    <w:p>
      <w:pPr>
        <w:pStyle w:val="BookText"/>
        <w:rPr/>
      </w:pPr>
      <w:r>
        <w:rPr>
          <w:rFonts w:ascii="Amiri" w:hAnsi="Amiri" w:eastAsia="Amiri" w:cs="Amiri"/>
          <w:color w:val="111111"/>
          <w:sz w:val="28"/>
          <w:sz w:val="28"/>
          <w:szCs w:val="28"/>
          <w:rtl w:val="true"/>
          <w:lang w:bidi="ar-SA"/>
        </w:rPr>
        <w:t>قد ذکرنا ان التسویة الواجبة المأمور بها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تَسْتَطِیعُوا أَنْ تَعْدِلُوا بَیْنَ النِّساءِ وَ لَوْ حَرَصْتُمْ فَلا تَمِیلُوا کُلَّ الْمَیْلِ فَتَذَرُوها کَالْمُعَلَّقَةِ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خفتم ان لاتعدلوا فواحدة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المراد هو فیما هو واجب من نفقة وحقوق الزوجة بقرینة تقیید العدل المأمور به بنحو مطلق تقییده فی جانب الالزام بخصوص المیل کل</w:t>
      </w:r>
    </w:p>
    <w:p>
      <w:pPr>
        <w:pStyle w:val="BookText"/>
        <w:rPr/>
      </w:pPr>
      <w:r>
        <w:rPr>
          <w:rFonts w:ascii="IRNazanin" w:hAnsi="IRNazanin" w:eastAsia="IRNazanin"/>
          <w:color w:val="111111"/>
          <w:sz w:val="28"/>
          <w:sz w:val="28"/>
          <w:szCs w:val="28"/>
          <w:rtl w:val="true"/>
          <w:lang w:bidi="fa-IR"/>
        </w:rPr>
        <w:t>المیل، بحیث یذر الزوجة المفضولة کالمعلقة وهذا یکون فیما هو واجب من نفقة وحقوق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اطلاق الامر بالعدل علی حاله فی الرجحان من دون مخصص اذ القید انما یخصِّص فی جهة الالزام لا فی اصل الحکم، کما هو الحال فی طاعة الوالدین المأمور بها مع تقیید الالزام بصلتهما فی خصوص ترک الحقوق، وکذلک الحال فی طاعة الزوجة للزوج المأمور بها، فانها مقیدة فی جهة الالزام فی خصوص الحقوق الواجبة وهذا هو المستفاد من الروایات السابقة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معتبرة الحسن بن زیاد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کانت له امرأتان فلم یعدل بینهما فی القسم من نفسه وماله جاء یوم القیامة مغلولا مائلا شقه حتی یدخل النار</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المحمول علی الواجب لا التفضیل فی المستحب لجملة من الروایات العدیدة الصحیحة الدالة علی جواز التفضیل فی القسم الزائد علی الواجب</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الروایات الواردة فی التفضیل فی النفقة الزائدة علی الواجب کصحیح معمر بن خلاد ومعتبرة عبدالملک بن عتبة الهاشمی</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الروایات الواردة فی تفسیر العدل غیر المقدور</w:t>
      </w:r>
      <w:r>
        <w:rPr>
          <w:rStyle w:val="FootnoteAnchor"/>
          <w:rtl w:val="true"/>
        </w:rPr>
        <w:footnoteReference w:id="503"/>
      </w:r>
      <w:r>
        <w:rPr>
          <w:rFonts w:ascii="IRNazanin" w:hAnsi="IRNazanin" w:eastAsia="IRNazanin"/>
          <w:color w:val="111111"/>
          <w:sz w:val="28"/>
          <w:sz w:val="28"/>
          <w:szCs w:val="28"/>
          <w:rtl w:val="true"/>
          <w:lang w:bidi="fa-IR"/>
        </w:rPr>
        <w:t>وغیرها من</w:t>
      </w:r>
    </w:p>
    <w:p>
      <w:pPr>
        <w:pStyle w:val="BookText"/>
        <w:rPr/>
      </w:pPr>
      <w:r>
        <w:rPr>
          <w:rFonts w:ascii="IRNazanin" w:hAnsi="IRNazanin" w:eastAsia="IRNazanin"/>
          <w:color w:val="111111"/>
          <w:sz w:val="28"/>
          <w:sz w:val="28"/>
          <w:szCs w:val="28"/>
          <w:rtl w:val="true"/>
          <w:lang w:bidi="fa-IR"/>
        </w:rPr>
        <w:t>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الصادق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 آله کان یقسم بین نسائه فی مرضه، فیطاف به بینهن</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امرأتان، فکان اذا کان یوم واحدة لایتوضأ فی بیت الاخری</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تقدمت معتبرة ابراهیم الکرخی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علیه ان یبیت عندها فی لیلتها ویظل عندها فی صبیحتها ولیس علیه ان یجامعها اذا لم یرد ذلک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وان مفادها فی الصبیحة لیس محمول علی الاستحباب وانما المراد ان ایواءه فی النهار لابد ان یکون من نصیب صاحبة اللیلة فیما لو کان له ایواء فی النهار، کما هو الحال فی ایواءه فی اللیل انه لیس الواجب استغراق تمام اللیل من أوله الی آخره، انما المراد عند ایواءه المنزل والسکنی انّ اللازم علیه تخصیص زوجته بلیلة من أربعة، فالمقدار اللیلی هو المقدار المتعارف فی عرف التعاشر، لانّ الاصل الفوقی الذی ینحدر منه هذا الحق هو عاشِرُوهُنَّ بِالْمَعْرُوفِ</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الاذن لها فی حضور موت والدیها أوعیادتهما أو ارحامها، أو صدیقاتها فسیأتی الکلام فیه</w:t>
      </w:r>
      <w:r>
        <w:rPr>
          <w:rFonts w:eastAsia="IRNazanin" w:cs="IRNazanin"/>
          <w:color w:val="111111"/>
          <w:sz w:val="28"/>
          <w:szCs w:val="28"/>
          <w:rtl w:val="true"/>
          <w:lang w:bidi="fa-IR"/>
        </w:rPr>
        <w:t>.</w:t>
      </w:r>
      <w:bookmarkStart w:id="487" w:name="pg13690_120716"/>
    </w:p>
    <w:p>
      <w:pPr>
        <w:pStyle w:val="Heading5"/>
        <w:numPr>
          <w:ilvl w:val="4"/>
          <w:numId w:val="1"/>
        </w:numPr>
        <w:rPr/>
      </w:pPr>
      <w:bookmarkStart w:id="488" w:name="__RefHeading___Toc907338_1468164448"/>
      <w:bookmarkStart w:id="489" w:name="_Toc188"/>
      <w:bookmarkEnd w:id="487"/>
      <w:bookmarkEnd w:id="488"/>
      <w:r>
        <w:rPr>
          <w:rtl w:val="true"/>
        </w:rPr>
        <w:t>حکم خروج الزوجة من البیت</w:t>
      </w:r>
      <w:r>
        <w:rPr>
          <w:rtl w:val="true"/>
        </w:rPr>
        <w:t>:</w:t>
      </w:r>
      <w:bookmarkEnd w:id="489"/>
    </w:p>
    <w:p>
      <w:pPr>
        <w:pStyle w:val="BookText"/>
        <w:rPr/>
      </w:pPr>
      <w:r>
        <w:rPr>
          <w:rFonts w:ascii="IRNazanin" w:hAnsi="IRNazanin" w:eastAsia="IRNazanin"/>
          <w:color w:val="111111"/>
          <w:sz w:val="28"/>
          <w:sz w:val="28"/>
          <w:szCs w:val="28"/>
          <w:rtl w:val="true"/>
          <w:lang w:bidi="fa-IR"/>
        </w:rPr>
        <w:t>ثم انّ السید الاصفهانی قد تعرض فی بعض المسائل لجملة من حقوق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لاتخرج من بیتها الا باذنه ولو الی أهلها أو لعیادة والدها أو فی عزائه الا لحق واجب وهذا النص بعینه فی الشرائع والقواعد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وعلّل فی کشف اللثام استحقاق الزوج للمنع باستحقاقه الاستمتاع بها فی کل حین، والخروج ینافیه، ونظیره فی الجواهر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له الاستمتاع بها فی کل زمان ومکان فلیس لها فعل ما ینافیه من دون اذنه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تعبیرهما بانّ لیس لها فعل ما ینافیه ولم یعبرا بانّه لایجوز لها التصرف فیما یستحقه الزوج من دون اذنه لان الخروج من البیت لیس التصرف فی منافع البضع وانما هو فعل ینافی قدرة الزوج علی التصرف فیما یملکه ویستحقه، ومقتضی ذلک لیس عموم المنع فلو کان مسافراً، أو خارج البیت فی المقدار الذی تتیقن عدم رجوعه الی البیت لایکون خروجها منافیاً لقدرته علی الاستمتاع، وبعبارة اخری لیس خروجها مانعا لقدرته علی الاستمتاع انما خروجه هو الحائل أو المانع بینه وبین الاستمتاع بما هو یملکه، فالوجه الذی ذکراه لاعموم له فی المنع فهو اخص من المدعی، ومن ثمّ ذهب غیر واحد من اعلام العصر الی تقیید المنع بذلک، أی بما ینافی استمتاعه لا الاکثر من ذلک، لان وصف الخروج بالمنافی أی المزاحم یغایر کونه تصرفاً فی ما یستحق الزوج فعلی الاول یکون المنع مقیدا وعلی الثانی یکون المنع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یقرب وجه ثانی للمنع مطلقا، بأن یقرر ان مقتضی ماهیة وعقد الزواج لیس مجرد ملک البضع، بل کما مرّ فی صدر کتاب النکاح ان ماهیته مرکبة من معنی آخر أیضاً وهو الاقتران، والاقتران بین الزوجین هو الذی یشیر الیه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أَنْ خَلَقَ لَکُمْ مِنْ أَنْفُسِکُمْ أَزْواجاً لِتَسْکُنُوا إِلَیْها وَ جَعَلَ بَیْنَکُمْ مَوَدَّةً وَ رَحْمَةً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 المرأة فی بیت الزوج مآوی للزوج وسکینة له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لَکُمْ وَ أَنْتُمْ لِباسٌ لَهُنَّ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هذه العناوین تبین هذا المعنی الثانی وانّ مقتضی عقد الزواج بناء رابطة اجتماعیة خاصة بین الطرفین تتولد منها رابطة روحیة، فلایقتصر حق الزوج فی منافع واستمتاعات البضع، بل کون الزوجة مأوی له، وکونه مأوی لها هی ایضاً من الحقوق، ومن ذلک یظهر ان مقتضی القاعدة لا یقتصر فی حق الزوج المنافی لخروجها علی حق الاستمتاع الجنسی بل له حق العشرة والتعاشر معها، والسکنی والانس والمآنسة، ومن الواضح ان الخروج اجمالا یعدّ تصرفا فی الحق الثانی ولیس مجرد منافی له، کما هو الحال فی حق الاستمتاع، ومن ذلک یظهر انّ ما سیأتی من روایات الدالة علی المنع مطلقا لاوجه لتأویلها علی الاستحباب أو لمقدار ماینافی حق الاستمتاع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فهی علی ألسن</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اللسان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روایات مستفیضة</w:t>
      </w:r>
      <w:r>
        <w:rPr>
          <w:rStyle w:val="FootnoteAnchor"/>
          <w:rtl w:val="true"/>
        </w:rPr>
        <w:footnoteReference w:id="507"/>
      </w:r>
      <w:r>
        <w:rPr>
          <w:rFonts w:ascii="IRNazanin" w:hAnsi="IRNazanin" w:eastAsia="IRNazanin"/>
          <w:color w:val="111111"/>
          <w:sz w:val="28"/>
          <w:sz w:val="28"/>
          <w:szCs w:val="28"/>
          <w:rtl w:val="true"/>
          <w:lang w:bidi="fa-IR"/>
        </w:rPr>
        <w:t>من الأمر بحبس</w:t>
      </w:r>
    </w:p>
    <w:p>
      <w:pPr>
        <w:pStyle w:val="BookText"/>
        <w:rPr/>
      </w:pPr>
      <w:r>
        <w:rPr>
          <w:rFonts w:ascii="IRNazanin" w:hAnsi="IRNazanin" w:eastAsia="IRNazanin"/>
          <w:color w:val="111111"/>
          <w:sz w:val="28"/>
          <w:sz w:val="28"/>
          <w:szCs w:val="28"/>
          <w:rtl w:val="true"/>
          <w:lang w:bidi="fa-IR"/>
        </w:rPr>
        <w:t>النساء فی البیوت، وسترهن بذلک، وهی وان کان مفادها بلحاظ تدبیر الرجل کحکم من الآداب الا ان مقتضاه بدلالة الاقتضاء ولایته علی ذلک، وانّ امر خرُوجها بید الزوج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اللسان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مادلّ صریحا علی اشتراط خروج المرأة من بیتها باذن زوجها کصحیح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الانصار علی عهد رسول الله صلی الله علیه و آله خرج فی‌بعض حوائجه فعهد الی امرأته عهدا ان لاتخرج من بیتها حتی یقدم،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اباها قد مرض فبعثت المرأة الی رسول الله صلی الله علیه و آله تستأذنه ان تعوده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اجلسی فی بیتک واطیعی زوجک،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فثقل، فارسلت الیه ثانیاً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اجلسی فی بیتک واطیعی زوجک،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أبوها فبعثت الیه ان أبی قد مات فتأمرنی ان اصلی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اجلسی فی بیتک واطیعی زوجک،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فدفن الرجل فبعث الیها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قد غفر لک ولابیک بطاعتک لزوجک</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وصحیحة عبدالله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امرأتی وامرأة ابن مارد تخرجان فی المأتم فأنهاهما فتقول لی امرأتی ان کان حراما فانهنا عنه حتی نترکه، وان لم یکن حراما فلأی شیء تمنعناه، فاذا مات لنا میت لم یجئنا احد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الحقوق تسألنی کان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امی وام فروة تقضیان حقوق اهل المدینة</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طریق الصدوق ان امرأتی واختی وهی امرأة محمد بن مارد، ومورد السؤال وان کان عن حکم خروج المرأة فی نفسه بغض النظر عن کونها زوجة أو غیرها، سواء کان حراما أو مکروها أو راجحاً، الاّ أن المفروغ عنه عند السائل والمتشرعة آنذاک کما تفیده الصحیحة انّ امر خروج الزوجة من البیت هو بید الزوج وان لم یکن منافیا لحق استمتاعه، وفی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لهذا الارتکاز أیضاً، کما انّ ما یحکیه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کما انّه یستفاد من هذا الصحیح رجحان اذن الزوج لخروج المرأة فی الموارد الراجحة کما هو مورد الروایة من اداء حقوق الناس من مواساتهم فی العزاء علی موتاهم، فصلة الرحم أوجب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فی صحیح عبدالله بن سنان فمحمول علی خصوصیة المورد حیث لم یأذن الزوج فی خروجها ولم یمکنها الاستئذان منه، بل فی أمثلة الصحیحة لابد من حملها علی التزاحم بین صلة الرحم الواجبة، وحقوق الزوج الراجحة کطاعته والانقیاد إلیه، وإلا ففی موارد صلة الرحم بالمقدار الواجب فلا عموم لولایته وحقّه علی المرأة فی تواجدها فی بیته، اذ هذه الحقوق کما مرّ هی تندرج تحت عنوان العشرة بالمعروف وصلة الرحم بالمقدار الواجب لاریب أنها من المعروف، ومن ثمّ یحمل قوله صلی الله علیه و آله للانصاریة امّا علی ارادة تأسیسه صلی الله علیه و آله لاهمیة طاعة الزوج وتربیته للناس علیها، أو علی تشدد زوجها فی ذلک المورد، أو انّ عذرها فی غیبوبة زوجها مع تأکیده علیها بعدم الخروج یمانع صدق قطعها لرحمها ویبین اهمیة طاعة الزوج علی طاعة الابوین کما سیأتی بیانه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ویعضد تقیید ولایة الزوج علی المرأة فی شؤونها وکذا فی المکث فی</w:t>
      </w:r>
    </w:p>
    <w:p>
      <w:pPr>
        <w:pStyle w:val="BookText"/>
        <w:rPr/>
      </w:pPr>
      <w:r>
        <w:rPr>
          <w:rFonts w:ascii="IRNazanin" w:hAnsi="IRNazanin" w:eastAsia="IRNazanin"/>
          <w:color w:val="111111"/>
          <w:sz w:val="28"/>
          <w:sz w:val="28"/>
          <w:szCs w:val="28"/>
          <w:rtl w:val="true"/>
          <w:lang w:bidi="fa-IR"/>
        </w:rPr>
        <w:t>منزله، بغیر معصیة الله وبغیر الحقوق الواجبة علیها، ماورد فی صحیح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للمرأة امر مع زوجها فی عتق، ولا صدقة ولاتدبیر ولا هبة ولانذر فی مالها الا باذن زوجها، الا فی زکاة أو بر والدیها أو صلة قرابتها</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فاستثنیت هذه الموارد الثلاثة من ولایته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الی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ما حق الزوج علی المرأة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ولاتخرج من بیتها الا باذنه وان خرجت بغیر اذنه لعنتها ملائکة السماء وملائکة الارض وملائکة الغضب وملائکة الرحمة حتی ترجع الی بیتها</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ومثلها روایة العزرمی</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وحدیث المناهی الذی رواه الصدوق بسنده فی الفقیه عن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رسول الله صلی الله علیه و آله أن تخرج المرأة من بیتها بغیر اذن زوجها فان خرجت لعنها کل ملک فی السماء وکل شیء تمر علیه من الجن والانس حتی ترجع الی بیتها</w:t>
      </w:r>
      <w:r>
        <w:rPr>
          <w:rFonts w:eastAsia="IRNazanin" w:cs="IRNazanin"/>
          <w:color w:val="111111"/>
          <w:sz w:val="28"/>
          <w:szCs w:val="28"/>
          <w:rtl w:val="true"/>
          <w:lang w:bidi="fa-IR"/>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وروایة عبدالعظیم الحسنی عن محمد بن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وأمّآ المعلقة برجلیها فانها کانت تخرج من بیتها</w:t>
      </w:r>
    </w:p>
    <w:p>
      <w:pPr>
        <w:pStyle w:val="BookText"/>
        <w:rPr/>
      </w:pPr>
      <w:r>
        <w:rPr>
          <w:rFonts w:ascii="IRNazanin" w:hAnsi="IRNazanin" w:eastAsia="IRNazanin"/>
          <w:color w:val="111111"/>
          <w:sz w:val="28"/>
          <w:sz w:val="28"/>
          <w:szCs w:val="28"/>
          <w:rtl w:val="true"/>
          <w:lang w:bidi="fa-IR"/>
        </w:rPr>
        <w:t>بغیر اذن زوجها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السکونی عن جعفر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وایما امرأة خرجت من بیتها بغیر اذن زوجها فلانفقة لها حتی ترجع</w:t>
      </w:r>
      <w:r>
        <w:rPr>
          <w:rFonts w:eastAsia="IRNazanin" w:cs="IRNazanin"/>
          <w:color w:val="111111"/>
          <w:sz w:val="28"/>
          <w:szCs w:val="28"/>
          <w:rtl w:val="true"/>
          <w:lang w:bidi="fa-IR"/>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الطاعة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والمعروف لدی متأخری العصر وکذا ظاهر الحلبی فی الکافی، وکذا الشهید فی المسالک، وابن زهرة فی الغنیه والشهید فی اللمعة والمحقق فی الشرایع ان المقدار اللازم من طاعة الزوجة للزوج انماهو فی حقوقه الواجبة، کحق الاستمتاع، والتمکین، وان لاتُسیء العشرة معه والاخلاق، قال المفید فی أحکام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المرأة أن تطیع زوجها وان لا تعصیه الا فیما حذره الله تعالی</w:t>
      </w:r>
      <w:r>
        <w:rPr>
          <w:rFonts w:eastAsia="IRNazanin" w:cs="IRNazanin"/>
          <w:color w:val="111111"/>
          <w:sz w:val="28"/>
          <w:szCs w:val="28"/>
          <w:rtl w:val="true"/>
          <w:lang w:bidi="fa-IR"/>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والأظهر من الادلة ان الطاعة اللازمة أوسع عن ذلک فضلا عن المستحبة، لابمعنی ثبوت حقوق خاصة للزوج غیر المنصوص علیها بالخصوص، بل بمعنی ان زمام التدبیر معیشة الزوجین، وبیت الزوجیة والاسرة هو بید الزوج وولایته کما هو الحال فی الاب والاولاد، فانّ ولایته علیهم وان کانت اشد قبل البلوغ منها بعد البلوغ، الا انّ فی الموضوعات المعیشیة المشترکة فانّ ولایة الأب مقدّمة علی ولایة الاولاد کتزویج الحفید الصغیر، نظیر 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أْتَمِرُوا بَیْنَکُمْ بِمَعْرُوفٍ</w:t>
      </w:r>
    </w:p>
    <w:p>
      <w:pPr>
        <w:pStyle w:val="BookText"/>
        <w:rPr/>
      </w:pPr>
      <w:r>
        <w:rPr>
          <w:rFonts w:ascii="Amiri" w:hAnsi="Amiri" w:eastAsia="Amiri" w:cs="Amiri"/>
          <w:color w:val="111111"/>
          <w:sz w:val="28"/>
          <w:sz w:val="28"/>
          <w:szCs w:val="28"/>
          <w:rtl w:val="true"/>
          <w:lang w:bidi="ar-SA"/>
        </w:rPr>
        <w:t xml:space="preserve">وَ إِنْ تَعاسَرْتُمْ فَسَتُرْضِعُ لَهُ أُخْری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فی تدبیر ارضاع الطفل، وبعبارة اخری ان أی اجتماع کبیر أم صغیر شأنه کالسفینة یحتاج الی ربّان، فکذلک الاسرة وبیت الزوجیة، وربانها بمفاد الآیة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ذیله أیضاً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الذیل حافل بدلالات عدیدة داعمة لدلالة الصدر من قوامیة الرجال علی النساء، الذی هو بمعنی القیم علی شؤون المولّی علیه،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قانتات الذی هو بمعنی طائعات کما فی تفسیر القمی فی روایة أبی الجارود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مطیعات</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 القنوت فی اللغة کما فی مفردات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الطاعة مع 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وفُسِّر بکل 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المقابلة للقانتات فی الآیة مع وَ اللاّتِی تَخافُونَ نُشُوزَهُنَّ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أیضاً تولیة الزوج تأدیب المرأة فانّ ولایة التأدیب انما تسند للقیّم ولوفرض انّ متعلق التأدیب فی مورد الآیة هو نشوز المرأة وتمردها</w:t>
      </w:r>
    </w:p>
    <w:p>
      <w:pPr>
        <w:pStyle w:val="BookText"/>
        <w:rPr/>
      </w:pPr>
      <w:r>
        <w:rPr>
          <w:rFonts w:ascii="IRNazanin" w:hAnsi="IRNazanin" w:eastAsia="IRNazanin"/>
          <w:color w:val="111111"/>
          <w:sz w:val="28"/>
          <w:sz w:val="28"/>
          <w:szCs w:val="28"/>
          <w:rtl w:val="true"/>
          <w:lang w:bidi="fa-IR"/>
        </w:rPr>
        <w:t>عن الحقوق الخاصة للزوج المنصوصة، فانّ ذلک لایضر بدلالة هذه القرینة، ومن ثمّ فانّ هذه الولایة لم تعطی للمرأة عند نشوز الزوج دونها بل الذی سوِّغ لها ان ترفع امرها الی الحاکم الشرعی، اذ هو ولی الممتنع، فولایة التأدیب بنفسها دالة علی المطلوب، هذا مع انّ تقیید متعلق النشوز فی الآیة بالحقوق المنصوصة فقط أوّل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أَطَعْنَکُمْ حیث ان لفظ ومادة الطاعة وان ارید منها اداء الحق الا ان المعنی یتضمن خضوع وانقیاد ومن ثمّ لم یعبّر عن اداء الزوج لحقوق المرأة بالطاعة بل اطلق علی ذلک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 فی العدید من الآیات ولفظ الامساک بنفسها هی الاخری دالة علی ان الماسک لاُمور الزوجة هو الزوج والممسوک هی الزوجة، فاستعمل تسلط الزوج وولایته فی مقام ارادة اداءه الحق للزوجة وفی ذلک دلالة بیّنة علی ولایته اجمالا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فَالصّالِحاتُ قانِتاتٌ وهذه الجملة الاسمیة تفید تحدید وتعریف ماهیة الصلاح فی النساء بان اساسها قائم علی طاعة الازواج</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الکافی حسنة عبدالله بن میمون القداح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استفاد امرء مسلم فائدة بعد الاسلام افضل من الزوجة مسلمة تسره اذا نظر الیها، وتطیعه اذا امرأها وتحفظه اذا غاب عنها فی نفسها وماله</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الروایات فهی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انّ احق الناس بالمرأة هو زوجها أی أنّه ولی لها، وانّه اولی بها من أبیها، کمعتبرة أبی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المرأة تموت، من احق ان یصلی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الزوج احق من الاب والاخ والولد؟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5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روایة اسحاق ابن عمار</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مفاده مصرح بالامر بطاعتها له کصحیح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جاءت امرأة الی النبی صلی الله علیه و 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حق الزوج علی المرأة،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تطیعه ولا تعصیه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أعظم الناس حقاً علی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الناس حقاً علی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لی علیه من الحق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من کل مائة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بعثک بالحق نبیاً لایملک رقبتی رجل أبداً</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والذیل مناسب للطائفة الاولی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أبی الصباح الکنانی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صلّت المرأة خمساً وصامت شهراً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وحجّت بیت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واطاعت زوجها وعرفت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فلتدخل من أی أبواب الجنة شاءت</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قوماً اتوا رسول الله صلی الله علیه و 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انّارأینا اناساً یسجد بعضهم لبعض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أمرت أحداً ان یسجد لاحد لأمرت المرأة أن تسجد لزوجها</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موسی بن بکیر عن أبی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المرأة حسن التبعّل</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والتبعل فی اللغة اطاعة الزوج، والسجود فی الصحیحة السابقة رمز لشدة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والحدیث دال علی ان طاعة الزوجة للزوج اوجب من طاعة الولد للابوین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کان بلسان حرمة اسخاط المرأة زوجها کمعتبرة موسی بن بکر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لایرفع لهم عمل، عبد آبق، وامرأة زوجها علیها ساخط والمسبل ازراره خیلاء</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سعد بن عمرو الجلاّب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امرأة باتت وزوجها علیها ساخط فی حق لم یتقبل منها صلاة حتی یرضی عنها</w:t>
      </w:r>
      <w:r>
        <w:rPr>
          <w:rFonts w:eastAsia="IRNazanin" w:cs="IRNazanin"/>
          <w:color w:val="111111"/>
          <w:sz w:val="28"/>
          <w:szCs w:val="28"/>
          <w:rtl w:val="true"/>
          <w:lang w:bidi="fa-IR"/>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وموثق السکونی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w:t>
      </w:r>
    </w:p>
    <w:p>
      <w:pPr>
        <w:pStyle w:val="BookText"/>
        <w:rPr/>
      </w:pPr>
      <w:r>
        <w:rPr>
          <w:rFonts w:ascii="IRNazanin" w:hAnsi="IRNazanin" w:eastAsia="IRNazanin"/>
          <w:color w:val="111111"/>
          <w:sz w:val="28"/>
          <w:sz w:val="28"/>
          <w:szCs w:val="28"/>
          <w:rtl w:val="true"/>
          <w:lang w:bidi="fa-IR"/>
        </w:rPr>
        <w:t>المرأة لعبة من اتخذها فلایضیعها</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هذا الموثق من اللسان الاوّل حیث له دلالة اجمالیة علی ولایة الزوج علی المرأة، وموثق سماعة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فی الضعیفین یعنی بذلک الیتیم والنساء</w:t>
      </w:r>
      <w:r>
        <w:rPr>
          <w:rFonts w:eastAsia="IRNazanin" w:cs="IRNazanin"/>
          <w:color w:val="111111"/>
          <w:sz w:val="28"/>
          <w:szCs w:val="28"/>
          <w:rtl w:val="true"/>
          <w:lang w:bidi="fa-IR"/>
        </w:rPr>
        <w:t>»</w:t>
      </w:r>
      <w:r>
        <w:rPr>
          <w:rStyle w:val="FootnoteAnchor"/>
          <w:rtl w:val="true"/>
        </w:rPr>
        <w:footnoteReference w:id="528"/>
      </w:r>
      <w:r>
        <w:rPr>
          <w:rFonts w:ascii="IRNazanin" w:hAnsi="IRNazanin" w:eastAsia="IRNazanin"/>
          <w:color w:val="111111"/>
          <w:sz w:val="28"/>
          <w:sz w:val="28"/>
          <w:szCs w:val="28"/>
          <w:rtl w:val="true"/>
          <w:lang w:bidi="fa-IR"/>
        </w:rPr>
        <w:t>، ومفادها ان المرأة تحت ولایة الرجل کما ان الیتیم تحت ولایة القیّم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للمرأة امر مع زوجها فی عتق ولا صدقة ولاتدبیر ولاهبة ولانذر فی مالها الا باذن زوجها الا فی زکاة أو بر والدیها أو صلة قرابتها</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وکذا الصحیح الی جمیل بن دراج عن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تهب من مالها شیئاً بغیر اذن 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w:t>
      </w:r>
      <w:r>
        <w:rPr>
          <w:rFonts w:eastAsia="IRNazanin" w:cs="IRNazanin"/>
          <w:color w:val="111111"/>
          <w:sz w:val="28"/>
          <w:szCs w:val="28"/>
          <w:rtl w:val="true"/>
          <w:lang w:bidi="fa-IR"/>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لها زوج فأبی ان یأذن لها فی الحج ولم تحج حجة الاسلام فغاب عنها زوجها وقد نهاها ان تحج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له علیها فی حجة الاسلام ولا کرامة، لتحج ان شاءت</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ومثلها صحیح محمد بن مسلم</w:t>
      </w:r>
      <w:r>
        <w:rPr>
          <w:rStyle w:val="FootnoteAnchor"/>
          <w:rtl w:val="true"/>
        </w:rPr>
        <w:footnoteReference w:id="532"/>
      </w:r>
      <w:r>
        <w:rPr>
          <w:rFonts w:ascii="IRNazanin" w:hAnsi="IRNazanin" w:eastAsia="IRNazanin"/>
          <w:color w:val="111111"/>
          <w:sz w:val="28"/>
          <w:sz w:val="28"/>
          <w:szCs w:val="28"/>
          <w:rtl w:val="true"/>
          <w:lang w:bidi="fa-IR"/>
        </w:rPr>
        <w:t>، وقریب منه صحیح زرارة</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وصحیح عبدالرحمان بن أبی عبدالله</w:t>
      </w:r>
      <w:r>
        <w:rPr>
          <w:rStyle w:val="FootnoteAnchor"/>
          <w:rtl w:val="true"/>
        </w:rPr>
        <w:footnoteReference w:id="534"/>
      </w:r>
      <w:r>
        <w:rPr>
          <w:rFonts w:ascii="IRNazanin" w:hAnsi="IRNazanin" w:eastAsia="IRNazanin"/>
          <w:color w:val="111111"/>
          <w:sz w:val="28"/>
          <w:sz w:val="28"/>
          <w:szCs w:val="28"/>
          <w:rtl w:val="true"/>
          <w:lang w:bidi="fa-IR"/>
        </w:rPr>
        <w:t>، وصحیح معاویة بن عمار</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موثق اسحاق بن عمار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الموسرة قد حجت حجة الاسلام تقول لزوجها احجنی من مالی أله ان یمنعها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ویقول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علیک أعظم من حقک علی فی هذا</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طریق الصدوق تقول لزوجها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احجنی مرة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مقابل هذه الروایات قد یستدل بما ینافیها فی صحیح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اباه حدثه ان أمامة بنت أبی العاص بن الربیع وأمها زینب بنت رسول الله صلی الله علیه و آله فتزوجها بعد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المغیرة بن نوفل أنها وجعت وجعا شدیداً حتی اعتقل لسانها، فاتاها الحسن والحسین وهی لاتستطیع الکلام، فجعل یقولان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والمغیرة کاره لما یقولان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اعتقت فلان واهله؟ فتشیر برأسها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نعم، وکذا وکذا، فتشیر برأسها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 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فاجازا ذلک لها؟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الطائفة رغم اختلاف الاقوال بین الأصحاب فیها من أنّ مفادها هل هو شرطیة اذن الزوج فی هذه الأبواب الخمسة أو مانعیة منعه ورفضه، أو ان له خیار الفسخ، أو انّ کراهة الزوج وممانعته یوجب</w:t>
      </w:r>
    </w:p>
    <w:p>
      <w:pPr>
        <w:pStyle w:val="BookText"/>
        <w:rPr/>
      </w:pPr>
      <w:r>
        <w:rPr>
          <w:rFonts w:ascii="IRNazanin" w:hAnsi="IRNazanin" w:eastAsia="IRNazanin"/>
          <w:color w:val="111111"/>
          <w:sz w:val="28"/>
          <w:sz w:val="28"/>
          <w:szCs w:val="28"/>
          <w:rtl w:val="true"/>
          <w:lang w:bidi="fa-IR"/>
        </w:rPr>
        <w:t>مرجوحیة متعلق النذر فلاینعقد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یعتبر فیه الرجحان فی المتعلق کالصدقة والعتق والتدبیر؟ ولعله هذا الأخیر هو الاقوی ولاسیما وان لسان هذه الطائفة من الروایات وسیاقها هو سیاق طاعة الزوج من جهة الزوجیة وانّه قوام علی شؤون المرأة، ومن ثمَّ اردف هذا اللسان فی بعض الروایات مع نفی النذر للولد مع والده، والمملوک مع مولاه، ففی صحیحة منصور بن حازم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لایمین لولد مع والده ولا لمملوک مع مولاه ولا للمرأة مع زوجها ولا نذر فی معصیة ولایمین فی قطیعة</w:t>
      </w:r>
      <w:r>
        <w:rPr>
          <w:rStyle w:val="FootnoteAnchor"/>
          <w:rtl w:val="true"/>
        </w:rPr>
        <w:footnoteReference w:id="53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یحمل صحیح الحلبی من نفوذ العتق علی کون موردها امّا الوصیة فی الثلث، وفی مورده لانفوذ لطاعة الزوج أو نحو ذلک، ویعضد هذا الاستظهار انّ مشهور المتقدمین والمتأخرین من الطبقة الثالثة لم یمنعوا صحة هبة المرأة من مالها وانما اشترطوا اذن الزوج فی الیمین والنذر، ویعضده أیضاً ظاهر صحیحة منصور حیث انّ فی ذیلها قرینة علی کون النفی فی المقام لماهیة الیمین من جهة مرجوحیة المتعلق، ومن ثمَّ قدّر الجماعة لفظة النهی، أی مع نهی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علی دلالة الطوائف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عنوان احقیة الزوج من غیره علی المرأة لیس بناص علی الوجوب، بل مفاده ینسجم مع الحقوق الراجحة المستحبة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عنوان طاعة الزوجة للزوج مبهم غیر مفسَّر فلا اطلاق له</w:t>
      </w:r>
    </w:p>
    <w:p>
      <w:pPr>
        <w:pStyle w:val="BookText"/>
        <w:rPr/>
      </w:pPr>
      <w:r>
        <w:rPr>
          <w:rFonts w:ascii="IRNazanin" w:hAnsi="IRNazanin" w:eastAsia="IRNazanin"/>
          <w:color w:val="111111"/>
          <w:sz w:val="28"/>
          <w:sz w:val="28"/>
          <w:szCs w:val="28"/>
          <w:rtl w:val="true"/>
          <w:lang w:bidi="fa-IR"/>
        </w:rPr>
        <w:t>فی غیر مانص علیه بالخصوص من الحقوق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طاعة الاب کما هو محرر فی محله لیست واجبة علی اطلاقها وانما المقدار اللازم منها هو حرمة العقوق، وبعبارة اخری ان طاعة الاب علی حذو طاعة الام، وطاعة الام لیست ولایة لها، وانما هو بر وحسن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دعوی لزوم عموم الطاعة استحقاق الزوج لافعال ومنافع المرأة وصیرورتها بمنزلة الأمة، وان استثنینا الشؤون المختصّة بالمرأة وقصرناها علی الشؤون المشترکة بینهما فلاحدّ فاصل یمکن أن یعوّل علیه فی التمییز بین القسمین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ان المدعی لیس اثبات حقوق خاصة للزوج وراء الحقوق المنصوصة، وانما المراد انّ هناک بین الزوجین عشرة مشترکة وهذه العِشْرة والحیاة بین الطرفین لابدَّ فیها من تدبیر وتوزیع للاعباء والمسؤولیات بین الطرفین بمقتضی کینونة المعیشة، فتوزیع المسؤولیات بنمط عادل لابد منه لا بنحو مجحف لطرف علی الطرف الآخر، کما انّ القیمومة علی هذا التدبیر أیضاً أمر لابد منه، وإلاّ فلاتحصل عشرة بین الطرفین، وحینئذ فلامحالة تکون قوامیة بحسب الادلة للزوج کما انّ اللازم علیه هو التدبیر بالعدل بینه وبین امرأته، فاذا لم تکن الزوجة موافقة له عصیة علیه فی التدبیر متمردة علی قوامیته، فهذا هو النشوز الذی سیأتی تعریفه وبحثه، وانّ کلام المشهور فی تعریفه هو فی مقابل الطاعة ولم یقصروه علی خصوص الحقوق المنصوصة، ولیس مدار الطاعة علی کونه مالکاً لجمیع منافع افعالها کما هو الحال فی الأمة، بل هو فی خضوعها وانقیادها له بدرجة قیمومیته علی تدبیر</w:t>
      </w:r>
    </w:p>
    <w:p>
      <w:pPr>
        <w:pStyle w:val="BookText"/>
        <w:rPr/>
      </w:pPr>
      <w:r>
        <w:rPr>
          <w:rFonts w:ascii="IRNazanin" w:hAnsi="IRNazanin" w:eastAsia="IRNazanin"/>
          <w:color w:val="111111"/>
          <w:sz w:val="28"/>
          <w:sz w:val="28"/>
          <w:szCs w:val="28"/>
          <w:rtl w:val="true"/>
          <w:lang w:bidi="fa-IR"/>
        </w:rPr>
        <w:t>الامور المعیشیة فیما بینهما، کما ورد من تناصف اعمال واعباء العشرة المشترکة بین علی وفاطمة بتنصیف من النبی صلی الله علیه و آله ، فلیس کل رغبات الزوج الاقتراحیة هی اوامر واجبة الطاعة علی الزوجة، وانما فی دائرة مایرتبط بالتدبیر والتوزیع والتناصف العادل فی المسؤولیات وضروریات العشرة المشترکة، فلیس معنی قوامیة الزوج وحق طاعته هو تشدده واجحافه بالمرأة، کما انّه لیس معنی تخصیص حقوق الزوج بالتمکین والقسم ونحوهما بمعنی ان تکون المرأة مشاکسة غیر موافقة للزوج فی نظم المعیشة، بل اللازم علی الزوجة وراء الحقوق المنصوصة بالخصوص له ان لاتکون المرأة منافرة لزوجها ومفارقة له فی تدبیره وقیمومته للمعیشة المشترکة بینهما، کما انّ الزوجة لاتختص حقوقها بالحقوق المنصوصة فقط، بل اللازم علی الزوج أیضاً هو ان ینصفها ویناصفها ولایشق علیها امرها کما ورد فی النصوص العدیدة، وهذا الحق هو مفاد ما قدمناه فی صدر بحث حقوق الزوجین من وجوب حسن العشرة علی کل طرف علی الطرف الآخر، نظیر ماورد فی صلة الرحم انّ الواجب علی الطرفین المحافظة علی هذه الصلة وان قطعها الآخر، وانّ الله یعاقب الذی اسیء إلیه وظلم اذا عامل رحمه بالمثل، وقطع الصلة من طرفه، ومن ثمّ ورد فی روایة أبی بصیر المتقدمة ان المرأة اذا اسخطت زوجها فعلیها الوزر وان کان ظالماً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لیس بمعنی اقرار الظالم علی ظلمه وتغریره علی التمادی، بل</w:t>
      </w:r>
    </w:p>
    <w:p>
      <w:pPr>
        <w:pStyle w:val="BookText"/>
        <w:rPr/>
      </w:pPr>
      <w:r>
        <w:rPr>
          <w:rFonts w:ascii="IRNazanin" w:hAnsi="IRNazanin" w:eastAsia="IRNazanin"/>
          <w:color w:val="111111"/>
          <w:sz w:val="28"/>
          <w:sz w:val="28"/>
          <w:szCs w:val="28"/>
          <w:rtl w:val="true"/>
          <w:lang w:bidi="fa-IR"/>
        </w:rPr>
        <w:t xml:space="preserve">بمعنی لزوم المحافظة علی صلة الحیاة الزوجیة کما هو الحال فیما ورد فی الزوج أیضاً حیث روی الصدوق فی عقاب الاعمال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المرأة المؤذیة لزوجها لایقبل الله اعمالها ومعادها النار، وکذلک الرجل اذا کان مؤذیاً ظالماً لها وانّ من صبر علی سوء خلق امرأته واحتسبه اعطاه الله من الثواب العظیم</w:t>
      </w:r>
      <w:r>
        <w:rPr>
          <w:rFonts w:eastAsia="IRNazanin" w:cs="IRNazanin"/>
          <w:color w:val="111111"/>
          <w:sz w:val="28"/>
          <w:szCs w:val="28"/>
          <w:rtl w:val="true"/>
          <w:lang w:bidi="fa-IR"/>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ثم یتبیّن ان العشرة بین الزوجین فیها حق الهی وحدود الله تعالی کما ورد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فلاجناح علیهما أن یتراجعا ان ظنا ان یقیما حدود الله تلک حدود الله یبینها لقوم یعلمون</w:t>
      </w:r>
      <w:r>
        <w:rPr>
          <w:rStyle w:val="FootnoteAnchor"/>
          <w:rtl w:val="true"/>
        </w:rPr>
        <w:footnoteReference w:id="541"/>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فَإِمْساکٌ بِمَعْرُوفٍ أَوْ تَسْرِیحٌ بِإِحْسانٍ وَ لا یَحِلُّ لَکُمْ أَنْ تَأْخُذُوا مِمّا آتَیْتُمُوهُنَّ شَیْئاً إِلاّ أَنْ یَخافا أَلاّ یُقِیما حُدُودَ اللّهِ فَإِنْ خِفْتُمْ أَلاّ یُقِیما حُدُودَ اللّهِ فَلا جُناحَ عَلَیْهِما فِیمَا افْتَدَتْ بِهِ تِلْکَ حُدُودُ اللّهِ فَلا تَعْتَدُوها وَ مَنْ یَتَعَدَّ حُدُودَ اللّهِ فَأُولئِکَ هُمُ الظّالِمُونَ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یظهر ان العشرة بین الزوجین حق مشترک کالقسمة، وحق إلهی أیضاً، غایة الامر ان هذه العشرة المشترکة لابد أن تکون بتدبیر الزوج المنصف بین الطرفین، وهذا هو ملخص تفسیر حق الطاعة العام فی غیر الحقوق الخاصة، وبذلک یتبیّن تفسیر النشوز من طرف واحد أو من الطرفین وهو الشقاق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العشرة بالمعروف بین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وسیأتی ذکر هذا الحق مبسوطاً فی المقام الثانی من القاعدة، والذی هو فی حدّ ذاته بمثابة قاعدة فقهیة مسقلة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وسیتبین لاحقاً انّ وجوب العشرة بالمعروف فی جملة من المصادیق المنصوصة بالخصوص وإنْ کانت واجبة، کالنفقة، والمواقعة والسکنی، والقسم، وتمکین الزوجة للزوج، وأن لاتخرج من البیت الاّ باذنه، ونحوها من الموارد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تبقی الموارد الاخری العادیة غیر المنصوصة تابعة الی بناء العرف فی آلیاته، والعشرة بالمعروف وان کانت من العناوین المتفاوتة شدة وضعفا، وکیفیة وکماً، کصلة الرحم، الاّ انّ المقدار اللازم هو ادنی المراتب بحیث یلزم من ترکها القطیعة والهجران والتدابر، فما یظهر من کلمات متأخری الاعصار من حصر العشرة بالموارد المنصوصة غیر تام، ومن ثمّ جعل المشهور سوء الخلق وشکاسته من موارد النشوز، وکذلک لو تغیّرت عادة احدهما فی القول أو الفعل، وقد تقدم أیضاً ان ادارة العشرة بقیمومة الزوج علی الزوجة</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یدل علی هذه السعة من العشرة بالمعروف الاعم من الحقوق الخاصة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تُضآرُّوهُنَّ لِتُضَیِّقُوا عَلَیْهِنَّ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وهی وان فسرت عند البعض بعدم مضارتهن بالسکنی والتضییق علیهن لیلجأْنّ الی الخروج بقرینة الأمر قبل ذلک باسکانهن اسکنوهن الا انّ الظاهر هو النهی عن مطلق المضارة والمضایقة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تَعْضُلُوهُنَّ لِتَذْهَبُوا بِبَعْضِ</w:t>
      </w:r>
    </w:p>
    <w:p>
      <w:pPr>
        <w:pStyle w:val="BookText"/>
        <w:rPr/>
      </w:pPr>
      <w:r>
        <w:rPr>
          <w:rFonts w:ascii="Amiri" w:hAnsi="Amiri" w:eastAsia="Amiri" w:cs="Amiri"/>
          <w:color w:val="111111"/>
          <w:sz w:val="28"/>
          <w:sz w:val="28"/>
          <w:szCs w:val="28"/>
          <w:rtl w:val="true"/>
          <w:lang w:bidi="ar-SA"/>
        </w:rPr>
        <w:t xml:space="preserve">ما آتَیْتُمُوهُنَّ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یَأْتِینَ بِفاحِشَةٍ مُبَیِّنَةٍ وَ عاشِرُوهُنَّ بِالْمَعْرُوفِ فَإِنْ کَرِهْتُمُوهُنَّ فَعَسی أَنْ تَکْرَهُوا شَیْئاً وَ یَجْعَلَ اللّهُ فِیهِ خَیْراً کَثِیراً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الحق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التمکین والاستیلاد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ویقتضیه ماهیة عقد النکاح من تملّک الزوج منافع الاستمتاع الجنسی بالزوجة، ومن المنافع المتعارفة التی تتملک اتخاذها حرثاً للاستیلاد، وکذلک تملک تدبیر شؤون معیشة المرأة، وهذا موضع ثالث لتملک الزوج کما مرّ فی طاعة الزوجة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ویدل علی الاول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تَطَهَّرْنَ فَأْتُوهُنَّ مِنْ حَیْثُ أَمَرَکُمُ اللّهُ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والإتیان فی الآیة لیس مجرد الجواز، بل بیان لاستحقاق الزوج، وتوصیف النساء بالحرث فی الآیة الثانیة کنایة عن الاستیلاد وانبات الجنین فی ارحامهن فعن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فالحرث الزرع فی‌الفرج فی موضع الولد</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لِباسٌ لَکُمْ وَ أَنْتُمْ لِباسٌ لَهُنَّ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یستعفف کل بالآخر ویقضی وطره به فیعفّ ویکون بمثابة الساتر له عن ارتکاب</w:t>
      </w:r>
    </w:p>
    <w:p>
      <w:pPr>
        <w:pStyle w:val="BookText"/>
        <w:rPr/>
      </w:pPr>
      <w:r>
        <w:rPr>
          <w:rFonts w:ascii="IRNazanin" w:hAnsi="IRNazanin" w:eastAsia="IRNazanin"/>
          <w:color w:val="111111"/>
          <w:sz w:val="28"/>
          <w:sz w:val="28"/>
          <w:szCs w:val="28"/>
          <w:rtl w:val="true"/>
          <w:lang w:bidi="fa-IR"/>
        </w:rPr>
        <w:t>الفواحش، وبدو القبائح من حاجیات العورة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وقدتقدم شرح الآیة مفصلاً فی حق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ومفادها کآیة الحرث، وصدرها یفید تملک الاستمتاع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 علی لسان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أتأتون الذکران من العالمین وتذرون ما خلق لکم ربکم من ازواجکم بل أنتم قوم عادون</w:t>
      </w:r>
      <w:r>
        <w:rPr>
          <w:rStyle w:val="FootnoteAnchor"/>
          <w:rtl w:val="true"/>
        </w:rPr>
        <w:footnoteReference w:id="543"/>
      </w:r>
      <w:r>
        <w:rPr>
          <w:rFonts w:ascii="IRNazanin" w:hAnsi="IRNazanin" w:eastAsia="IRNazanin"/>
          <w:color w:val="111111"/>
          <w:sz w:val="28"/>
          <w:sz w:val="28"/>
          <w:szCs w:val="28"/>
          <w:rtl w:val="true"/>
          <w:lang w:bidi="fa-IR"/>
        </w:rPr>
        <w:t>ومفادها تملک الازواج الاستمتاع بالزوجات، وغیرها من الآیات الدالة علی شعب تملک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 آله الوارد فی حقوق الزوج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ولاتصوم تطوعا الا باذنه ولا تمنعه نفسها وان کانت علی ظهر قتب</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روایة العزرمی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فی حقوق الزوج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وعلیها ان تطیّب بأطیب طیبها وتلبس أحسن ثیابها وتزیّن</w:t>
      </w:r>
    </w:p>
    <w:p>
      <w:pPr>
        <w:pStyle w:val="BookText"/>
        <w:rPr/>
      </w:pPr>
      <w:r>
        <w:rPr>
          <w:rFonts w:ascii="IRNazanin" w:hAnsi="IRNazanin" w:eastAsia="IRNazanin"/>
          <w:color w:val="111111"/>
          <w:sz w:val="28"/>
          <w:sz w:val="28"/>
          <w:szCs w:val="28"/>
          <w:rtl w:val="true"/>
          <w:lang w:bidi="fa-IR"/>
        </w:rPr>
        <w:t>بأحسن زینتها وتعرض نفسها علیه غدوة وعشیة</w:t>
      </w:r>
      <w:r>
        <w:rPr>
          <w:rFonts w:eastAsia="IRNazanin" w:cs="IRNazanin"/>
          <w:color w:val="111111"/>
          <w:sz w:val="28"/>
          <w:szCs w:val="28"/>
          <w:rtl w:val="true"/>
          <w:lang w:bidi="fa-IR"/>
        </w:rPr>
        <w:t>»</w:t>
      </w:r>
      <w:r>
        <w:rPr>
          <w:rStyle w:val="FootnoteAnchor"/>
          <w:rtl w:val="true"/>
        </w:rPr>
        <w:footnoteReference w:id="545"/>
      </w:r>
      <w:r>
        <w:rPr>
          <w:rFonts w:ascii="IRNazanin" w:hAnsi="IRNazanin" w:eastAsia="IRNazanin"/>
          <w:color w:val="111111"/>
          <w:sz w:val="28"/>
          <w:sz w:val="28"/>
          <w:szCs w:val="28"/>
          <w:rtl w:val="true"/>
          <w:lang w:bidi="fa-IR"/>
        </w:rPr>
        <w:t>ومثله روایة أبی بصیر</w:t>
      </w:r>
      <w:r>
        <w:rPr>
          <w:rStyle w:val="FootnoteAnchor"/>
          <w:rtl w:val="true"/>
        </w:rPr>
        <w:footnoteReference w:id="546"/>
      </w:r>
      <w:r>
        <w:rPr>
          <w:rFonts w:ascii="IRNazanin" w:hAnsi="IRNazanin" w:eastAsia="IRNazanin"/>
          <w:color w:val="111111"/>
          <w:sz w:val="28"/>
          <w:sz w:val="28"/>
          <w:szCs w:val="28"/>
          <w:rtl w:val="true"/>
          <w:lang w:bidi="fa-IR"/>
        </w:rPr>
        <w:t>، وصحیح علی بن جعفر</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وردت جملة من الروایات ناهیة عن اسخاط المرأة زوجها کما فی صحیحة علی بن جعفر فی کتابه عن أخیه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المغاضبة زوجها هل لها صلاة أو ما حالها؟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لاتزال عاصیة حتی یرضی عنها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آنهالو قالت له مارأیت قط من وجهک خیراً فقد حبط عملها</w:t>
      </w:r>
      <w:r>
        <w:rPr>
          <w:rStyle w:val="FootnoteAnchor"/>
          <w:rtl w:val="true"/>
        </w:rPr>
        <w:footnoteReference w:id="549"/>
      </w:r>
      <w:r>
        <w:rPr>
          <w:rFonts w:ascii="IRNazanin" w:hAnsi="IRNazanin" w:eastAsia="IRNazanin"/>
          <w:color w:val="111111"/>
          <w:sz w:val="28"/>
          <w:sz w:val="28"/>
          <w:szCs w:val="28"/>
          <w:rtl w:val="true"/>
          <w:lang w:bidi="fa-IR"/>
        </w:rPr>
        <w:t>، وغیرها من الروایات</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بعضها شدة العقوبة علی ذلک</w:t>
      </w:r>
      <w:r>
        <w:rPr>
          <w:rStyle w:val="FootnoteAnchor"/>
          <w:rtl w:val="true"/>
        </w:rPr>
        <w:footnoteReference w:id="551"/>
      </w:r>
      <w:r>
        <w:rPr>
          <w:rFonts w:ascii="IRNazanin" w:hAnsi="IRNazanin" w:eastAsia="IRNazanin"/>
          <w:color w:val="111111"/>
          <w:sz w:val="28"/>
          <w:sz w:val="28"/>
          <w:szCs w:val="28"/>
          <w:rtl w:val="true"/>
          <w:lang w:bidi="fa-IR"/>
        </w:rPr>
        <w:t>، وفی جملة أخری النهی عن تأخیر الاجابة</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وان کان یستفاد منها ما مرَّ من لزوم حسن العشرة والانقیاد، الا أنها أیضاً دالة علی المقام من جهة ان سوء العشرة منافی ومنفر للتمکین</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جملة من الروایات المتضمنة للتوصیة بصفات معینة فی المرأة</w:t>
      </w:r>
    </w:p>
    <w:p>
      <w:pPr>
        <w:pStyle w:val="BookText"/>
        <w:rPr/>
      </w:pPr>
      <w:r>
        <w:rPr>
          <w:rFonts w:ascii="IRNazanin" w:hAnsi="IRNazanin" w:eastAsia="IRNazanin"/>
          <w:color w:val="111111"/>
          <w:sz w:val="28"/>
          <w:sz w:val="28"/>
          <w:szCs w:val="28"/>
          <w:rtl w:val="true"/>
          <w:lang w:bidi="fa-IR"/>
        </w:rPr>
        <w:t>التی تتخذ أمّا لولده، أی یستولدها</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الروایات متضمنة للدلالة علی الحقوق السابقة کحق الطاعة للزوج والتمکین والاستیلاد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الحق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المواقعة للزوجة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ویظهر من کلمات الاصحاب فی باب الظهار والایلاء انّ هذا الحق للمرأة محدد بأربعة أشهر، وقد مال عدة من المعاصرین إلی ان مقتضی حسن العشرة من الزوج تلبیة حاجة المرأة من المواقعة بحسب غلمتها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وَ إِنْ عَزَمُوا الطَّلاقَ فَإِنَّ اللّهَ سَمِیعٌ عَلِیمٌ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انّ الایلاء عبارة عن الحلف علی ترک وطی الزوجة الدائمة زیادة علی الاربعة أشهر للاضرار بها، ومقتضاه استحقاق المرأة للوطی کل أربعة أشهر لانّ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جماع الرجل ووطیه للمرأة، وحصر الآیة للرجل بالشقین الفیء أو الطلاق، نظیر الحصر فی فَإِمْساکٌ بِمَعْرُوفٍ أَوْ تَسْرِیحٌ بِإِحْسانٍ ، کما هو مطرد هذا الحصر فی حقوق المرأة کما حرَّر بیانه</w:t>
      </w:r>
      <w:r>
        <w:rPr>
          <w:rStyle w:val="FootnoteAnchor"/>
          <w:rtl w:val="true"/>
        </w:rPr>
        <w:footnoteReference w:id="554"/>
      </w:r>
      <w:r>
        <w:rPr>
          <w:rFonts w:ascii="IRNazanin" w:hAnsi="IRNazanin" w:eastAsia="IRNazanin"/>
          <w:color w:val="111111"/>
          <w:sz w:val="28"/>
          <w:sz w:val="28"/>
          <w:szCs w:val="28"/>
          <w:rtl w:val="true"/>
          <w:lang w:bidi="fa-IR"/>
        </w:rPr>
        <w:t>ویحررتکملته فی النشوز والشقاق</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الروایات فیدل علیها صحیحة صفوان بن یحیی 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عن الرجل تکون عنده المرأة الشابة فیمسک عنها الأشهر والسنة لایقربها لیس‌یریدالاضرار بها،یکون لهم مصیبة، یکون فی‌ذلک آثما؟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ترکها أربعة أشهر کان آثما بعد ذلک</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طریق آخر للشیخ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باذنها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وتوصیف المرأة بالشابة مشعر بحاجتها للغلمة اذ الشبب اشتعال النمو والشهوة، کما انّ التعبیر بالاضرار هو الآخر یفید انّ ذلک بحسب حاجتها الملحة، وهذا کما یفید انّ ذلک استحقاق لها یفید أیضاً ان الحدّ غیر مقدّر بالاربعة اشهر وانما ذلک سقف اعلی، وببیان آخر ان تحدیده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أشهر انما هو فی مورد عدم ارادة الاضرار بالمرأة، وان الرجل مبتلی بمانع، وهو کالعذر، والا فمقتضی امساکه لها بالمعروف لا بالاضرار هو ان یأتیها عند شدة حاجتها وان کان دون الأربعة اشهر، وبعبارة ثالثة انّ المرتکز لدی الراوی بنحو مقدر فی کلامه ان ترک مواقعة المرأة اذا اوجب اضرارها محرم، ویستفاد من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ذلک الارتکاز فلو افترض ان امرأة لم تکن مغتلمة ولم تلح علیها الحاجة والشهوة فانها تستحق أیضاً المواقعة کل أربعة أشهر وان لم یضرّ بها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یهجر امرأته من غیر طلاق ولایمین سنة فلایأتی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 أهله،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أیما رجل آلی من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والایلاء أن یقول والله لا اجامعک کذا وکذا، والله</w:t>
      </w:r>
    </w:p>
    <w:p>
      <w:pPr>
        <w:pStyle w:val="BookText"/>
        <w:rPr/>
      </w:pPr>
      <w:r>
        <w:rPr>
          <w:rFonts w:ascii="IRNazanin" w:hAnsi="IRNazanin" w:eastAsia="IRNazanin"/>
          <w:color w:val="111111"/>
          <w:sz w:val="28"/>
          <w:sz w:val="28"/>
          <w:szCs w:val="28"/>
          <w:rtl w:val="true"/>
          <w:lang w:bidi="fa-IR"/>
        </w:rPr>
        <w:t xml:space="preserve">لاغیظنّک ثم یغاضبها، فانّه یتربّص به أربعة أشهر ثم یأخذ بعد الأربعة أشهر فیوقف فان 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والایفاء ان یصالح أهله</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الحدیث، وغیرها من الروایات المستفیضة فی باب الایلاء المحدِّدة لمدة الامهال للمُؤلی بذلک، وانّه بعد تلک المدّة لها الحق ان تستعدی علیه کما فی صحیح البختری</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برید بن معاویة عن أبی جعفر وأبی عبدالله انهما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آلی الرجل ان لایقرب امرأته فلیس لها قول ولا حق فی الأربعة أشهر ولا اثم علیه فی کفه عنها فی الأربعة أشهر فإنْ مضت الأربعة أشهر قبل أن یمسها فسکتت ورضیت فهو فی حلٍّ وسعة، فان رفعت امرها قیل له اما ان تفیء فتمسها واما ان تطلق</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 الصحیح صریح فی مطابقة قول المشهور من ان حقها فی المواقعة هو فی کل أربعة أشهر وانّ الفیء بمعنی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ابن أبی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تطلق وأما أن تمسک</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العیاشی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والامساک المسیس</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ویحتمل قریباً ان التحدید بالأربعة أشهر لیس لنفس حق المواقعة وانما هو لحق استعداء الزوجة علی الزوج، واستحقاق الزوجة لإجبار</w:t>
      </w:r>
    </w:p>
    <w:p>
      <w:pPr>
        <w:pStyle w:val="BookText"/>
        <w:rPr/>
      </w:pPr>
      <w:r>
        <w:rPr>
          <w:rFonts w:ascii="IRNazanin" w:hAnsi="IRNazanin" w:eastAsia="IRNazanin"/>
          <w:color w:val="111111"/>
          <w:sz w:val="28"/>
          <w:sz w:val="28"/>
          <w:szCs w:val="28"/>
          <w:rtl w:val="true"/>
          <w:lang w:bidi="fa-IR"/>
        </w:rPr>
        <w:t>الحاکم الزوج علی اداء حقِّها، وانّ حق المواقعة یدور مدار عدم الاضرار بها وذلک لجملة من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موارد امساک الزوج لها بغیر المعروف، کعدم الانفاق علیها أو مضارتها وایذائها، فانّه لاتستحق الزوجة اجباره والاستعداء علیه عند الحاکم بمجرد صدور ذلک منه مرة أو مرات، ما لم یکن ذلک فعلاً مستمراً منه وعادة متصلة، مع انّ اصل حق الانفاق والعشرة بالمعروف غیر محددة بالاستمرار بمدة العادة والاعتیاد، فروایات الایلاء لا تصلح مستنداً للمشهور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صفوان بن یحیی فقد مرّ الوجه فی مفادها بل مرّ انّ فی دلالته شواهد علی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یعضد هذا الاحتمال انّ التربص فی الایلاء اربعة أشهر قد بنی عند کثیرین مبدأه من حین رفع المرأة امرها الی الحاکم مع انّ آخر وطیه لها قد یکون متقدما بمدّة فاصلة قبل الایلاء فضلا عن وقت رفعها الامر الی الحاکم، فیعلم من ذلک انّ المدّة المضروبة أربعة أشهر لاصلة لها بحق مدّة المواقعة وانما هی مدّة حق الاستعداء واجبار الزوج، وهذا التقریب بعینه یتأتی علی القول الآخر من ان مبدأ الأربعة أشهر من حین الایلاء، فانه علی هذا القول أیضاً قد یفرض وقوع الفاصل فی المدّة بین آخر وطی لها مع الایلاء</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 العیوب انّ صاحب العنّة یؤجل سنة اذا رفعت امرها الی الحاکم، مما یدل علی ان السنة المضروبة لیست مدّة لحق المواقعة، وانما هی مدّة للاستعداء والاستقضاء علی زوجها، واجباره علی اداء 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 والسادسة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ماذکروه فی باب الظهار من ان المظاهرة اذا رفعت أمرها الی الحاکم اجلّه ثلاثة اشهر من حین المرافعة کما فی صحیح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ظاهر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أتاها فعلیه عتق رقبة أو صیام شهرین متتابعین أو اطعام ستین مسکیناً وإلاّ ترک ثلاثة أشهر، فان فاء وإلاّ أوقف حتی یسأل هل لک فی امرأتک حاجة أو تطلقها؟ فان فاء فلیس علیه شیء، وهی امرأته، وان طلق واحدة فهو املک برجعتها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وذیلها بضمیمة صدر الجواب ظاهر فی کون الفیء بمعنی الوطی، کما أنّ مسألة الزوج بعد ثلاثة أشهر بحاجته لامرأته أو یطلّقها، کنیت فی لفظ الروایة بالحاجة عن الرغبة والعشرة، والتحدید بثلاثة أشهر یغایر الاربعة فی الایلاء کما یغایر السنة فی العنن، کما انّ التعبیر بالفیء بعد الثلاثة أشهر والذی هو بمعنی الرجوع مقتضاه ان الوضع الطبیعی فی النکاح المقاربة والمواقعة کماورد هذا التعبیر أیضاً فی الایلاء کما مرّ، وفی الکافی للحلبی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فاء الی أمر الله تعالی والا ضیق علیه فی المطعم والمشرب حتی یفیء الی امر الله سبحانه من طلاق أو رجوع الیها وتکفیر</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فقد حکی عن المسالک الاشکال فی التحدید بثلاثة أشهر فیما اذا رافعته عقیب الظهار بغیر فصل، بحیث لایفوت الواجب لها من الوطی بعد مضی المدّة المضروبة، فانّ الواجب وطؤها فی کل أربعة أشهر مرّة وغیره من الحقوق لایفوت بالظهار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تکلّف کشف اللثام فی حلّ الاشکال بأنّ المراد من الفئة الندم وإلتزام الکفارة ثم الوطی، لا الوطی نفسه کی لا یرد الاشکال المزبور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والاشکال انما یرد علی قول المشهور بأنّ مدة حق المواقعة 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ویظهر هذا الاحتمال من کلام السیوری فی کنز العرفان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بالفیئة هو الجماع ان کان قادراً علیه، ولا مانع منه شرعاً ولا عرفاً، فلو عجز أو حصل المانع الشرعی أو العرفی، ففیئه اظهار العزم علی ذلک، وتعقیب ذلک بالغفران والرحمة، لما فی ذلک من الاثم بقصد اضرار الزوجة</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منه تقریب کون حق المرأة فی المواقعة هو دون الاربعة أشهر وانما حقها یدور مدار اضرارها وتضررها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حاجتها الملحة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لکن فی الخلاف انّ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فاؤُ فَإِنَّ اللّهَ 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فوصف نفسه بالغفران اذا هو فاء، وهو وان لم یکن مأثوماً بالفیئة فهو فی صورة من یفتقر الی غفران لانه حنث، وهتک حرمة الاسم فلما کان فی صورة من یغفر له وصف الله نفسه بالغفران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یشکل علی تلک القرائن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 صریح صحیح برید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لها قول ولاحق فی أربعة أشهر ولا اثم علیه فی کفّه عنها فی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فنفی الاثم ونفی الحق صریح فی</w:t>
      </w:r>
    </w:p>
    <w:p>
      <w:pPr>
        <w:pStyle w:val="BookText"/>
        <w:rPr/>
      </w:pPr>
      <w:r>
        <w:rPr>
          <w:rFonts w:ascii="IRNazanin" w:hAnsi="IRNazanin" w:eastAsia="IRNazanin"/>
          <w:color w:val="111111"/>
          <w:sz w:val="28"/>
          <w:sz w:val="28"/>
          <w:szCs w:val="28"/>
          <w:rtl w:val="true"/>
          <w:lang w:bidi="fa-IR"/>
        </w:rPr>
        <w:t>تحدید المشهور، ومثله صحیح حفص بن البختری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غاضب الرجل امرأته فلم یقربها من غیر یمین أربعة أشهر استعدت علیه فإما ان یفیء وإما ان یطلق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ترکها من غیر مغاضبة أو یمین فلیس بمؤل</w:t>
      </w:r>
      <w:r>
        <w:rPr>
          <w:rFonts w:eastAsia="IRNazanin" w:cs="IRNazanin"/>
          <w:color w:val="111111"/>
          <w:sz w:val="28"/>
          <w:szCs w:val="28"/>
          <w:rtl w:val="true"/>
          <w:lang w:bidi="fa-IR"/>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فی مصحّح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آلی أن لایقرب امرأته ثلاثة أشهر،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إیلاء حتی یحلف علی اکثر من أربعة 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انّه لو آلی دون الأربعة اشهر لم یکن لها حق تطالب به، وانّ الحلف عندهم نافذ وان لم تترتب علیه آثار الایلاء، ولذلک علّل نفی کونه ایلاء فیما لو حلف دون الاربعة بعدم تحقق قصد المضارة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فی روایة محمد بن سلیمان عن أبی جعفر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الله عزّوجلّ شرط للنساء شرطا وشرط علیهن شرطا، فلم یحابِهن فیما شرط لهن ولم یجر فیما شرط علیهنّ، فامّا ما شرط لهن فی الایلاء أربعة أشهر انّ الله عزّوجلّ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فلم یجز لأحد اکثر من أربعة أشهر فی الایلاء لعلمه تبارک وتعالی انّه غایة صبر المرأة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ان غایة صبر المرأة الأربعة أشهر فی ترک الجماع ومن ثمّ أوجبه لها وعلیها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نفی القول والحق لها فی الأربعة أشهر محمول علی حق الاستعداء کما صرّح به فی صحیح البختری وغیره، وإلزامه بالفیء أو الطلاق، وأمّا نفی الاثم علیه فی کفّه عنها فی الأربعة أشهر، فقد مرّ فی القرینة السابعة وهو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لِلَّذِینَ یُؤْلُونَ مِنْ نِسائِهِمْ تَرَبُّصُ أَرْبَعَةِ أَشْهُرٍ فَإِنْ فاؤُ فَإِنَّ اللّهَ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انّ الظاهر ان الغفران هو بالفیء، فهو سبب الغفران وهو توبة وأوبة، ویناسبه عنوان 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احتمال الشیخ فی الخلاف بانّ الغفران هو لحنثه للیمین فظاهره فی التبیان العدول عن ذلک، وانّ غفرانه تعالی لما ارتکبه المؤلی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یشهد لکون ذلک هو متعلق الغفران اجبار الزوج بعد الاربعة أشهر وردعه عما هو علیه من جعل المرأة کالمعلقة ومن ثمّ عبّر عن مصالحته لأهله بالفیء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یشهد أیضاً ما فی 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 یحلف الرجل علی امرأته ان لایجامعها فان صبرت علیه فلها أن تصبر وان رفعته الی الامام انظره أربعة أشهر ثم یقول له بعد ذلک اما ان ترجع الی المناکحة وأما ان تطلق فان ابی حبسه ابداً</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صبرت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 علی ان لایجامعها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ذلک هضم لحقّها والاّ شکته ورفعت امرها الی الامام، ومن ثمّ فانّ الانظار أربعة أشهر انما هو لما مرّ من استحقاقها لإجباره ومراعاة للقسم وللحلف الذی 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ومفاد هذاالصحیح ان الأربعة مبدأها من حین المرافعة، لامن حین ترکه لوطیها، وهذا من القرائن التی مرت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یشهد للمطلوب انّ المرأة تستحق الشکایة علی الزوج المولی منذ اوّل إیلاءه وان لم تمض اربعة أشهر، ولو کان المواقعة مقیدة بالمدة المزبورة فکیف تستحق المرافعة والشکایة علی الزوج قبل مجیء أوَانْ الحق، ومن ثمّ مرّ فی صحیح البختری انّ لها حق رفع امرها اذا غاضبها فلم یقربها من غیر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فالأربعة أشهر بعد الانظار انما هی مدّة لاجباره علی الطلاق أو الفیء، أی بهذه المدّة تستحق اجباره علی الطلاق لا انّ هذه المدة هی مدّة لحق المواقعة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یشهد أیضاً انّ الحلف علی ترک وطی الزوجة لاینعقد لانه حلف علی امر مرجوح، وان بنی علی قول المشهور من ان حق المواقعة مرّة فی الأربعة أشهر، فان وطیه لها صدقة واحسان کما فی الروایات، ومن ثمّ فانّه یسوغ له فی الایلاء ان یکفر ویطأ وان لم تمض مدّة، والکفّارة انما یلزم بها فی الایلاء حرمة للاسم الالهی ولکونه طلاقاً فی الجاهلیة، وإلا فالکفارة مستحبة تحلّةً للیمین المرجوحة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 ان تقول ان ماذکره فی الجواهر انّ الایلاء کان طلاقا فی</w:t>
      </w:r>
    </w:p>
    <w:p>
      <w:pPr>
        <w:pStyle w:val="BookText"/>
        <w:rPr/>
      </w:pPr>
      <w:r>
        <w:rPr>
          <w:rFonts w:ascii="IRNazanin" w:hAnsi="IRNazanin" w:eastAsia="IRNazanin"/>
          <w:color w:val="111111"/>
          <w:sz w:val="28"/>
          <w:sz w:val="28"/>
          <w:szCs w:val="28"/>
          <w:rtl w:val="true"/>
          <w:lang w:bidi="fa-IR"/>
        </w:rPr>
        <w:t>الجاهلیة کالظهار فغیر الشارع حکمه وجعل له احکاما خاصة ان جمع شرائطه، وإلاّ فهو یمین یعتبر فیه ما یعتبر فی الیمین، وحینئذ فکل موضع لاینعقد ایلاء مع اجتماع شرائط الیمین یکون یمیناً کما ذکره غیر واحد، بل ارسلوه ارسال المسلمات</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ذکروه فی الفرق بینه وبین الیمین مع اشتراکه فی اصل الحلف والکفارة الخاصة جواز مخالفته فی الایلاء، بل وجوبها علی وجه ولو تخییراً مع الکفارة دون الیمین المطلقة وعدم اشتراط انعقاده مع تعلقه بالمباح لأولویته دیناً أو دنیا أوتساوی الطرفین، بخلاف مطلق الیمین</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مدة الأربعة أشهر بمثابة العدّة، لکنها تقرب من عدّة الوفاة، بخلاف الظهار فهو وإن کان طلاقاً جاهلیاً قد غیّر الشارع من احکامه الاّ انّ المدّة فیه جعلها ثلاثة أشهر، فکأنّ الشارع لم یلغ هذین الطلاقین من رأس، ولم یمضهما، وانما جعل لهما مدّة تربص شبیهة بمدة العدّة فی الطلاق، وکما فی نهایة مدة عدّة الطلاق یخیر الرجل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بَلَغْنَ أَجَلَهُنَّ فَأَمْسِکُوهُنَّ بِمَعْرُوفٍ أَوْ فارِقُوهُنَّ بِمَعْرُوفٍ</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الامر انّ فی نهایة مدّة کل من الظهار والایلاء یخیر بین اجراء الطلاق الشرعی أو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یتضح الجواب عن الاستدلال للمشهور بروایة محمد بن سلیمان، حیث انّ المدّة هی بمثابة عدة الطلاق لا التقدیر لأصل حق المواقعة مضافاً الی انّ التعبیر فی الروایة انّ ذلک غایة صبر المرأة ونهایته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ما قبله من مدة اقل هو أیضاً مما تجترعه المرأة بالصبر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مصحح زرارة فظهر جواب الاستدلال به أیضاً من انّ التحدید بمدة مایزید علی الأربعة أشهر فی الایلاء أو اطلاق المدة فی الظهار، أوالمدة الطویلة فیه، فانما هی قیود فی ترتیب الشارع الآثار علی الایلاء والظهار بمثابة طلاقین لا انّ هذه القیود لأصل حق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أبی العباس الکوفی عن محمد بن جعفر عن بعض رجاله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جمع من النساء مالاینکح فزنا منهن شیء فالاثم علیه</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وطریق الروایة وان کان صورته مشوشة فی الکافی والوسائل کما یعلم ذلک من الطبقات، الاّ أنها تصلح للتأیید، وتقریب الدلالة انّ کتابة الاثم علی الرجل لایتقرر الاّ مع مسؤولیته عن تلبیة حاجتهن فی النکاح، وفی طریق الدعائم زیادة فی الذیل وقد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خِفْتُمْ أَلاّ تَعْدِلُوا فَواحِدَةً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ومقتضی تطبیق الآیة علی الجماع انّه حق للمرأة بحسب حاجتها الملحة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ولایخفی انّه مما ذکرناه فی القرینة العاشرة یظهر انّ ارتکاز المشهور هو موافق للمختار، الاّ انّ ماصرحوا به لاینطبق مع ارتکازهم، فالحاصل انّ المدار فی حق المواقعة هو علی الحاجة الملحة للمرأة، وإن لم تکن الحاجة ملحة فالمدار علی الأربعة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من النهی عن مضارة الوالدة بولدها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لاتضار والدة بولدها ولا مولود له بولده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فسرت فی صحیح أبی الصباح الکنانی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تُضَارَّ والِدَةٌ بِوَلَدِها وَ لا مَوْلُودٌ لَهُ بِوَلَدِهِ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المراضع مما تدفع احداهن الرجل اذا أراد الجماع،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ادعک انی اخاف ان احبل فاقتل ولدی هذا الذی ارضعه، وکان الرجل تدعوه المرأة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اخاف ان اجامعک فاقتل ولدی فیدفعها فلایجامعها فنهی الله عزّوجلّ عن ذلک ان یضار الرجل المرأة، والمرأة الرجل</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وتقریب الدلالة انّ الصحیحة ساوت بین ارادة الرجل للجماع وارادة المرأة للجماع، وأنّ منع أحدهما الآخر مضارة به منهی عنه وحرام، وهناک موضع آخر فی الدلالة وهو التعبیر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تدعوه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متعلق وموضوع لحرمة المضارة، فان عنوان دعوتها له ظاهر بقوة فی غیر التحدید بأربعة أشهر، بل کلما احتاجت 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ومثله صحیح الحلبی</w:t>
      </w:r>
      <w:r>
        <w:rPr>
          <w:rStyle w:val="FootnoteAnchor"/>
          <w:rtl w:val="true"/>
        </w:rPr>
        <w:footnoteReference w:id="571"/>
      </w:r>
      <w:r>
        <w:rPr>
          <w:rFonts w:ascii="IRNazanin" w:hAnsi="IRNazanin" w:eastAsia="IRNazanin"/>
          <w:color w:val="111111"/>
          <w:sz w:val="28"/>
          <w:sz w:val="28"/>
          <w:szCs w:val="28"/>
          <w:rtl w:val="true"/>
          <w:lang w:bidi="fa-IR"/>
        </w:rPr>
        <w:t>، وفی طریق القمی الصحیح فی تفسیره عن أبی الصباح الکنانی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للرجل أن یمتنع من جماع المرأة فیضار بها اذا کان لها ولد مرضع، ویقول لها لا اقربک، انی اخاف علیک الحبل فتغیلی</w:t>
      </w:r>
      <w:r>
        <w:rPr>
          <w:rStyle w:val="FootnoteAnchor"/>
          <w:rtl w:val="true"/>
        </w:rPr>
        <w:footnoteReference w:id="572"/>
      </w:r>
      <w:r>
        <w:rPr>
          <w:rFonts w:ascii="IRNazanin" w:hAnsi="IRNazanin" w:eastAsia="IRNazanin"/>
          <w:color w:val="111111"/>
          <w:sz w:val="28"/>
          <w:sz w:val="28"/>
          <w:szCs w:val="28"/>
          <w:rtl w:val="true"/>
          <w:lang w:bidi="fa-IR"/>
        </w:rPr>
        <w:t>ولدی، وکذلک المرأة لایحل لها أن تمتنع علی الرجل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اخاف أن احبل فاغیل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وهذه المضارة فی الجماع علی الرجل والمرأة</w:t>
      </w:r>
      <w:r>
        <w:rPr>
          <w:rFonts w:eastAsia="IRNazanin" w:cs="IRNazanin"/>
          <w:color w:val="111111"/>
          <w:sz w:val="28"/>
          <w:szCs w:val="28"/>
          <w:rtl w:val="true"/>
          <w:lang w:bidi="fa-IR"/>
        </w:rPr>
        <w:t>»</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الروایات المتعددة بهذا المضمون أوردها العیاشی فی تفسیره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خدمة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جملة من المتقدمین کالحلبی فی الکافی، وابن زهرة فی الغنیة، واللمعة، والمسالک، وجلّ متأخری الاعصار انّ الحقوق منحصرة فی التمکین وملازمة البیت، حیث حصروا الطاعة فی ذلک، بینما ظاهر اکثر المتقدمین تعمیم لزوم الطاعة، وکذا بعض المتأخرین، کما مرّ فی حق الطاعة ویذکر فی الأقوال فی النشوز موضوعا، وحکی فی کنز العرفان عن أبی حنیفة ان الزوج یتملک کل منافع الزوجة ومن ثمّ أوجب علیها الارضاع مجاناً بخلاف الشافعی</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فی التذکرة حکی موافقة الشافعی لأبی حنیفة واصحاب الرأی وانّه مروی عن ابن حنبل، واستدلوا علی ذلک بانّه استحق حبسها</w:t>
      </w:r>
    </w:p>
    <w:p>
      <w:pPr>
        <w:pStyle w:val="BookText"/>
        <w:rPr/>
      </w:pPr>
      <w:r>
        <w:rPr>
          <w:rFonts w:ascii="IRNazanin" w:hAnsi="IRNazanin" w:eastAsia="IRNazanin"/>
          <w:color w:val="111111"/>
          <w:sz w:val="28"/>
          <w:sz w:val="28"/>
          <w:szCs w:val="28"/>
          <w:rtl w:val="true"/>
          <w:lang w:bidi="fa-IR"/>
        </w:rPr>
        <w:t>لانها اخذت منه عوضا فی مقابل الاستمتاع، وعوضا فی مقابل التمکین والحبس فلایلزمه عوض آخر، ولایمتنع أن یصح مع غیره، ولایصح معه، کما یجوز ان یزوّج أمته من غیره فلایتزوجها مع ملکها، ونقض علیه فی التذکرة باستئجارها لسائر الاعمال، وکما لو استأجرها للطبخ والکنس ونحوهما، وحکی عن أبی حنیفة انه لایجوز استئجارها للطبخ وما اشبه، لانه مستحق علیها فی‌العادة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ورده فی التذکرة بأنّه باطل عندنا وانّ استحقاقها عوض للحبس، والاستمتاع یغایر الحضانة واستحقاق منفعة من جهة لایمنع استحقاق منفعة سواها بعوض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ومقتضی القول بتعمیم الطاعة هو لزوم العشرة بالمعروف بینهما، مع جعل التدبیر للامور بید الزوج، کما انّ مقتضی الزوجیة والاقتران هو التعاشر بینهما والمشارکة فی المعیشة، ومسؤولیاتها واعبائها فی کل ترابط اجتماعی، ولابد له من توزیع وتشاطر المسؤولیات، وعبء الخدمات، وامّا تخلی کل طرف عن المساهمة والمشاطرة فی تحمل المسؤولیات فإن ذلک یوجب انفصام الحیاة، وعدم اجتماع الزوجین فی المعیشة، ویشیر الیه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أی فی العشرة وتدبیر الامور کما مرّ فی جملة من الدلالات للآیات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یشیر الی ضرورة توزیع الخدمات والمسؤولیات بین الطرفین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أْتَمِرُوا بَیْنَکُمْ بِمَعْرُوفٍ وَ إِنْ تَعاسَرْتُمْ فَسَتُرْضِعُ لَهُ أُخْری الوارد فی استرضاع الرضیع، وهو شأن مشترک بینهما، وکذا الحال فی الامور المشترکة الاخری، فالائتمار بینهما فی مقابل التعاسر هی عبارة عن تنظیم امور المعیشة بینهما ومطالبة کل من الآخر القیام بدوره ومسؤولیته</w:t>
      </w:r>
    </w:p>
    <w:p>
      <w:pPr>
        <w:pStyle w:val="BookText"/>
        <w:rPr/>
      </w:pPr>
      <w:r>
        <w:rPr>
          <w:rFonts w:ascii="IRNazanin" w:hAnsi="IRNazanin" w:eastAsia="IRNazanin"/>
          <w:color w:val="111111"/>
          <w:sz w:val="28"/>
          <w:sz w:val="28"/>
          <w:szCs w:val="28"/>
          <w:rtl w:val="true"/>
          <w:lang w:bidi="fa-IR"/>
        </w:rPr>
        <w:t>بعد التوزیع بینهما، والاّ فسیکون حال اعسار کل منهما علی الآخر، فالعشرة ضروریة بینهما کی لاتکون الزوجیة معلقة، وهی تتوقف علی التدبیر المشترک بینهما، ولو بمقدار وحدّ تتأدی به الضرورة اللازمة، وامّا تفصیل ذلک فهو راجع الی التدبیر بالمعروف المتعارف بحسب الاعراف کی لایکون بینهما نشوز احدهما علی الآخر، أو سوء العشرة، فالمقدار اللازم هی هذه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التفاصیل فاتخاذها بحسب مایعتاد تعارفه بحسب الاعراف التی تکون عرفا معروفا، فلیست الخدمة واجبة بعنوانها الأوّلی، وانما هی باقتضاء مجریات العادات فی الاعراف فی بناء العشرة، ومن ثمّ لایختص ذلک بخدمة الزوجة داخل البیت، بل یشمل خدمة الزوج خارج البیت، کما ورد ذلک فی تقسیم النبی صلی الله علیه و آله الاعمال بین الصدّیقة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وبالتالی فلایکون ترک هذه الأفعال نشوزاً بذاته وانما بحسب ما یؤدی الی التعاسر فی العشرة بالمعروف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محاولة تخریج لزوم خدمة کل منهما الآخر فیما یتعارف بانّه من باب الشرط الارتکازی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الشروط المتبانی علیها الضمنیة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فقریب وجهه مما ذکرناه، فانّ دعوی وجود هذا الارتکاز عبارة اخری عن بناء المألوف فی کیفیة العشرة عند العرف، وهو المحقق الی هیئة وشاکلة العشرة بالمعروف ووجود هذا الارتکاز مبین لکیفیة التعاشر عند العرف</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الجعفریات باسناده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یجبر الرجل علی النفقة علی امرأته، فان لم یفعل حبس وتجبر المرأة علی ان ترضع ولدها وتجبر علی ان</w:t>
      </w:r>
    </w:p>
    <w:p>
      <w:pPr>
        <w:pStyle w:val="BookText"/>
        <w:rPr/>
      </w:pPr>
      <w:r>
        <w:rPr>
          <w:rFonts w:ascii="IRNazanin" w:hAnsi="IRNazanin" w:eastAsia="IRNazanin"/>
          <w:color w:val="111111"/>
          <w:sz w:val="28"/>
          <w:sz w:val="28"/>
          <w:szCs w:val="28"/>
          <w:rtl w:val="true"/>
          <w:lang w:bidi="fa-IR"/>
        </w:rPr>
        <w:t>تخبز له، وتخدمه داخل بیتها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یستشکل فی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ان الرضاع لیس واجباً مجاناً فلاینافی وجوبه استحقاقها للاجرة، فعلی القول بوجوب الخدمة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لابعنوانه الاولی، بل بعنوان العشرة وتقسیم المسؤولیة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القول باستحقاقها الاجرة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اجبارها علی الرضاع 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الوجوب لاینافی استحقاق الاجرة ولایستلزم مجانیتها، الاّ انّ ما یقوم به الزوج هو الآخر من افعال لیست واجبة بعنوانها الأوّلی، وانّما بمقتضی العشرة ولیست من النفقة حتی تکون بمثابة العوض عرفا عما تقوم به المرأة، هذا بحسب ما هو جاری من ارتکاز العرف لکنّ لها ان تشارط الزوج علی غیر ذلک بنحو لاینجر الی التعاسر کما اشارت الیه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ارضعن لکم فآتوهن اجورهن وأتمروا بینکم بمعروف وان تعاسرتم فسترضع له اخری</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نفی وجوب الارضاع عن الزوجة بما هی ام فی الادلة وکلمات الاصحاب لا بما هی زوجة یعنیها تدبیر المعیشة المشترکة بینها وبین الزوج، کما یشیر الی ذلک فی قوله تعالی فی آیة الرضاع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أْتَمِرُوا بَیْنَکُمْ بِمَعْرُوفٍ والذی فسِّر بمعنی تشاوروا بینکم، والتشاور بین الزوج والزوجة فی</w:t>
      </w:r>
    </w:p>
    <w:p>
      <w:pPr>
        <w:pStyle w:val="BookText"/>
        <w:rPr/>
      </w:pPr>
      <w:r>
        <w:rPr>
          <w:rFonts w:ascii="IRNazanin" w:hAnsi="IRNazanin" w:eastAsia="IRNazanin"/>
          <w:color w:val="111111"/>
          <w:sz w:val="28"/>
          <w:sz w:val="28"/>
          <w:szCs w:val="28"/>
          <w:rtl w:val="true"/>
          <w:lang w:bidi="fa-IR"/>
        </w:rPr>
        <w:t>الرضاع انما هو لاجل انّه امرٌ یتصل بشأن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عبّر أیضاً فی الآیة إِنْ تَعاسَرْتُمْ فَسَتُرْضِعُ لَهُ أُخْری أی إن لم یحصل التراضی بینهما فیما هو من شأنهما، فاللازم علیهما تدبیر ذلک ولو باستئجار اخری لترضع له، مع انهم التزموا بوجوب الارضاع علی الام من حیث هی ام فی أربع 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اللباء وهو بدایة الارضاع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لم یکن للولد ولی أب ولا 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کان معسراً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لم تحصل مرضعة اخری، أو اذا لم یستجب لها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 لم یکن الوجوب فی هذه الموارد مجانیاً</w:t>
      </w:r>
      <w:r>
        <w:rPr>
          <w:rFonts w:eastAsia="IRNazanin" w:cs="IRNazanin"/>
          <w:color w:val="111111"/>
          <w:sz w:val="28"/>
          <w:szCs w:val="28"/>
          <w:rtl w:val="true"/>
          <w:lang w:bidi="fa-IR"/>
        </w:rPr>
        <w:t>.</w:t>
      </w:r>
      <w:bookmarkStart w:id="490" w:name="pg13690_120754"/>
    </w:p>
    <w:p>
      <w:pPr>
        <w:pStyle w:val="Heading2"/>
        <w:numPr>
          <w:ilvl w:val="1"/>
          <w:numId w:val="1"/>
        </w:numPr>
        <w:rPr/>
      </w:pPr>
      <w:bookmarkStart w:id="491" w:name="__RefHeading___Toc907340_1468164448"/>
      <w:bookmarkStart w:id="492" w:name="_Toc189"/>
      <w:bookmarkEnd w:id="490"/>
      <w:bookmarkEnd w:id="491"/>
      <w:r>
        <w:rPr>
          <w:rtl w:val="true"/>
        </w:rPr>
        <w:t>قاعدة</w:t>
      </w:r>
      <w:r>
        <w:rPr>
          <w:rtl w:val="true"/>
        </w:rPr>
        <w:t>:</w:t>
      </w:r>
      <w:r>
        <w:rPr>
          <w:rtl w:val="true"/>
        </w:rPr>
        <w:t>شرطیة الإسلام فی الولایة</w:t>
      </w:r>
      <w:bookmarkEnd w:id="49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3" w:name="__RefHeading___Toc907342_1468164448"/>
      <w:bookmarkStart w:id="494" w:name="_Toc190"/>
      <w:bookmarkEnd w:id="493"/>
      <w:r>
        <w:rPr>
          <w:rtl w:val="true"/>
        </w:rPr>
        <w:t>اشارة</w:t>
      </w:r>
      <w:bookmarkStart w:id="495" w:name="pg13690_120756"/>
      <w:bookmarkEnd w:id="494"/>
    </w:p>
    <w:p>
      <w:pPr>
        <w:pStyle w:val="Heading3"/>
        <w:numPr>
          <w:ilvl w:val="2"/>
          <w:numId w:val="1"/>
        </w:numPr>
        <w:rPr/>
      </w:pPr>
      <w:bookmarkStart w:id="496" w:name="__RefHeading___Toc907344_1468164448"/>
      <w:bookmarkStart w:id="497" w:name="_Toc191"/>
      <w:bookmarkEnd w:id="495"/>
      <w:bookmarkEnd w:id="496"/>
      <w:r>
        <w:rPr>
          <w:rtl w:val="true"/>
        </w:rPr>
        <w:t>من القواعد العامة</w:t>
      </w:r>
      <w:r>
        <w:rPr>
          <w:rtl w:val="true"/>
        </w:rPr>
        <w:t>:</w:t>
      </w:r>
      <w:r>
        <w:rPr>
          <w:rtl w:val="true"/>
        </w:rPr>
        <w:t>شرطیة الإسلام فی الولایة</w:t>
      </w:r>
      <w:bookmarkEnd w:id="497"/>
    </w:p>
    <w:p>
      <w:pPr>
        <w:pStyle w:val="Heading4"/>
        <w:numPr>
          <w:ilvl w:val="3"/>
          <w:numId w:val="1"/>
        </w:numPr>
        <w:rPr/>
      </w:pPr>
      <w:bookmarkStart w:id="498" w:name="__RefHeading___Toc907346_1468164448"/>
      <w:bookmarkStart w:id="499" w:name="_Toc192"/>
      <w:bookmarkEnd w:id="498"/>
      <w:r>
        <w:rPr>
          <w:rtl w:val="true"/>
        </w:rPr>
        <w:t>اشارة</w:t>
      </w:r>
      <w:bookmarkEnd w:id="499"/>
    </w:p>
    <w:p>
      <w:pPr>
        <w:pStyle w:val="BookText"/>
        <w:rPr/>
      </w:pPr>
      <w:r>
        <w:rPr>
          <w:rFonts w:ascii="IRNazanin" w:hAnsi="IRNazanin" w:eastAsia="IRNazanin"/>
          <w:color w:val="111111"/>
          <w:sz w:val="28"/>
          <w:sz w:val="28"/>
          <w:szCs w:val="28"/>
          <w:rtl w:val="true"/>
          <w:lang w:bidi="fa-IR"/>
        </w:rPr>
        <w:t>وهی قاعدة متولدة من قاعدة فی نفی السبیل المعروفة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وکلامنا فی القاعدة یقع فی نقطتین</w:t>
      </w:r>
      <w:r>
        <w:rPr>
          <w:rFonts w:eastAsia="IRNazanin" w:cs="IRNazanin"/>
          <w:color w:val="111111"/>
          <w:sz w:val="28"/>
          <w:szCs w:val="28"/>
          <w:rtl w:val="true"/>
          <w:lang w:bidi="fa-IR"/>
        </w:rPr>
        <w:t>:</w:t>
      </w:r>
    </w:p>
    <w:p>
      <w:pPr>
        <w:pStyle w:val="Heading4"/>
        <w:numPr>
          <w:ilvl w:val="3"/>
          <w:numId w:val="1"/>
        </w:numPr>
        <w:rPr/>
      </w:pPr>
      <w:bookmarkStart w:id="500" w:name="__RefHeading___Toc907348_1468164448"/>
      <w:bookmarkStart w:id="501" w:name="_Toc193"/>
      <w:bookmarkEnd w:id="500"/>
      <w:r>
        <w:rPr>
          <w:rtl w:val="true"/>
        </w:rPr>
        <w:t>مفاد القاعدة</w:t>
      </w:r>
      <w:r>
        <w:rPr>
          <w:rtl w:val="true"/>
        </w:rPr>
        <w:t>:</w:t>
      </w:r>
      <w:bookmarkEnd w:id="501"/>
    </w:p>
    <w:p>
      <w:pPr>
        <w:pStyle w:val="BookText"/>
        <w:rPr/>
      </w:pPr>
      <w:r>
        <w:rPr>
          <w:rFonts w:ascii="IRNazanin" w:hAnsi="IRNazanin" w:eastAsia="IRNazanin"/>
          <w:color w:val="111111"/>
          <w:sz w:val="28"/>
          <w:sz w:val="28"/>
          <w:szCs w:val="28"/>
          <w:rtl w:val="true"/>
          <w:lang w:bidi="fa-IR"/>
        </w:rPr>
        <w:t>مفاد القاعدة شرطیة الاسلام فی الولی إذا کان المولی علیه مسلماً ، فاذا کان الولی کافرا فلا ولایة له علی المسلم والمسلمة</w:t>
      </w:r>
      <w:r>
        <w:rPr>
          <w:rFonts w:eastAsia="IRNazanin" w:cs="IRNazanin"/>
          <w:color w:val="111111"/>
          <w:sz w:val="28"/>
          <w:szCs w:val="28"/>
          <w:rtl w:val="true"/>
          <w:lang w:bidi="fa-IR"/>
        </w:rPr>
        <w:t>.</w:t>
      </w:r>
    </w:p>
    <w:p>
      <w:pPr>
        <w:pStyle w:val="Heading4"/>
        <w:numPr>
          <w:ilvl w:val="3"/>
          <w:numId w:val="1"/>
        </w:numPr>
        <w:rPr/>
      </w:pPr>
      <w:bookmarkStart w:id="502" w:name="__RefHeading___Toc907350_1468164448"/>
      <w:bookmarkStart w:id="503" w:name="_Toc194"/>
      <w:bookmarkEnd w:id="502"/>
      <w:r>
        <w:rPr>
          <w:rtl w:val="true"/>
        </w:rPr>
        <w:t>أدلة القاعدة</w:t>
      </w:r>
      <w:r>
        <w:rPr>
          <w:rtl w:val="true"/>
        </w:rPr>
        <w:t>:</w:t>
      </w:r>
      <w:bookmarkEnd w:id="503"/>
    </w:p>
    <w:p>
      <w:pPr>
        <w:pStyle w:val="Heading5"/>
        <w:numPr>
          <w:ilvl w:val="4"/>
          <w:numId w:val="1"/>
        </w:numPr>
        <w:rPr/>
      </w:pPr>
      <w:bookmarkStart w:id="504" w:name="__RefHeading___Toc907352_1468164448"/>
      <w:bookmarkStart w:id="505" w:name="_Toc195"/>
      <w:bookmarkEnd w:id="504"/>
      <w:r>
        <w:rPr>
          <w:rtl w:val="true"/>
        </w:rPr>
        <w:t>الدلیل الاول</w:t>
      </w:r>
      <w:r>
        <w:rPr>
          <w:rtl w:val="true"/>
        </w:rPr>
        <w:t xml:space="preserve">: </w:t>
      </w:r>
      <w:r>
        <w:rPr>
          <w:rtl w:val="true"/>
        </w:rPr>
        <w:t>الایات الکریمة</w:t>
      </w:r>
      <w:r>
        <w:rPr>
          <w:rtl w:val="true"/>
        </w:rPr>
        <w:t>:</w:t>
      </w:r>
      <w:bookmarkEnd w:id="505"/>
    </w:p>
    <w:p>
      <w:pPr>
        <w:pStyle w:val="BookText"/>
        <w:rPr/>
      </w:pPr>
      <w:r>
        <w:rPr>
          <w:rFonts w:ascii="IRNazanin" w:hAnsi="IRNazanin" w:eastAsia="IRNazanin"/>
          <w:color w:val="111111"/>
          <w:sz w:val="28"/>
          <w:sz w:val="28"/>
          <w:szCs w:val="28"/>
          <w:rtl w:val="true"/>
          <w:lang w:bidi="fa-IR"/>
        </w:rPr>
        <w:t>استدل للقاعدة بعدة ایات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وَ الْمُؤْمِناتُ بَعْضُهُمْ أَوْلِیاءُ بَعْضٍ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bookmarkStart w:id="506" w:name="pg13690_120757"/>
    </w:p>
    <w:p>
      <w:pPr>
        <w:pStyle w:val="BookText"/>
        <w:rPr/>
      </w:pPr>
      <w:bookmarkEnd w:id="506"/>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بَعْضُهُمْ أَوْلِیاءُ بَعْضٍ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907354_1468164448"/>
      <w:bookmarkStart w:id="508" w:name="_Toc196"/>
      <w:bookmarkEnd w:id="507"/>
      <w:r>
        <w:rPr>
          <w:rtl w:val="true"/>
        </w:rPr>
        <w:t>الدلیل الثانی الروایات</w:t>
      </w:r>
      <w:r>
        <w:rPr>
          <w:rtl w:val="true"/>
        </w:rPr>
        <w:t>:</w:t>
      </w:r>
      <w:bookmarkEnd w:id="508"/>
    </w:p>
    <w:p>
      <w:pPr>
        <w:pStyle w:val="BookText"/>
        <w:rPr/>
      </w:pPr>
      <w:r>
        <w:rPr>
          <w:rFonts w:ascii="IRNazanin" w:hAnsi="IRNazanin" w:eastAsia="IRNazanin"/>
          <w:color w:val="111111"/>
          <w:sz w:val="28"/>
          <w:sz w:val="28"/>
          <w:szCs w:val="28"/>
          <w:rtl w:val="true"/>
          <w:lang w:bidi="fa-IR"/>
        </w:rPr>
        <w:t>منها مرسل الصدوق عن النبی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 یعلو ولا یُعلی علیه</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تمسک بها الصدوق لإرث المسلم من الکافر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هشام التعلیل لذلک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الإسلام لم یزده فی حقه إلّا شدة</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وفی معتبرة عبد الرحمن بن أعین التعلیل بذلک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عز وجل لم یزدنا بالإسلام إلّا عزّاً</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أبی الأسود الدؤلی تعلیل ذلک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الإسلام یزید ولا ینقص</w:t>
      </w:r>
      <w:r>
        <w:rPr>
          <w:rFonts w:eastAsia="IRNazanin" w:cs="IRNazanin"/>
          <w:color w:val="111111"/>
          <w:sz w:val="28"/>
          <w:szCs w:val="28"/>
          <w:rtl w:val="true"/>
          <w:lang w:bidi="fa-IR"/>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فیظهر من جملة هذه الروایات أن علو الإسلام وعزته أصل تشریعی یشرع منه جملة من التشریعات الأخری فی الأبواب، فالمسلم یرث الکافر ویتولی علیه دون العکس، لا سیما وأن الإرث هو صغری من عموم آیة أولی الأرحام بعضهم أولی ببعض؛ فإن نفیه بهذا التعلیل یفید نفی عموم ذوی الأرحام من جهة الکافر مع المسلم لا العکس، ونظیر ذلک ورد فی</w:t>
      </w:r>
    </w:p>
    <w:p>
      <w:pPr>
        <w:pStyle w:val="BookText"/>
        <w:rPr/>
      </w:pPr>
      <w:r>
        <w:rPr>
          <w:rFonts w:ascii="IRNazanin" w:hAnsi="IRNazanin" w:eastAsia="IRNazanin"/>
          <w:color w:val="111111"/>
          <w:sz w:val="28"/>
          <w:sz w:val="28"/>
          <w:szCs w:val="28"/>
          <w:rtl w:val="true"/>
          <w:lang w:bidi="fa-IR"/>
        </w:rPr>
        <w:t>نفی تجهیز المسلم للکافر، مع أن ذلک من حقوق الرحم المیت علی رحمه، وإن هذا التشریع انشعاب لذلک الأصل التشریعی وتنزیل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تمامیة آیة نفی السبیل، وإن کان سیاق الآیة فی مقام الاحتجاج والاحتکام یوم القیامة؛ فإن ذلک من قبیل المورد الذی لا یخصص الوارد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نقض الشیخ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 یستأجر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غیر وارد؛ لافتراق مورد النقض عن المقام، ومثله ما قیل من أن الولایة فی نفع المولی علیه فلا تکون سبیلًا منفیاً، حیث إن ولایة الولی تتضمّن معنی الاستعلاء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یخدش فی الاستدلال بالآیة الثانیة أنها فی مقام ولایة التوادد والتناصر لا فی الولایة الواقعیة المبحوثة فی المقام، نظیر قوله تعالی لا یَتَّخِذِ الْمُؤْمِنُونَ الْکافِرِینَ أَوْلِیاءَ مِنْ دُونِ الْمُؤْمِنِینَ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الظّالِمِینَ بَعْضُهُمْ أَوْلِیاءُ بَعْضٍ وَ اللّهُ وَلِیُّ الْمُتَّقِینَ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تَتَّخِذُوا عَدُوِّی وَ عَدُوَّکُمْ أَوْلِیاءَ تُلْقُونَ إِلَیْهِمْ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الولایة معنی عام شامل لهذه المعانی وهی متلازمة</w:t>
      </w:r>
    </w:p>
    <w:p>
      <w:pPr>
        <w:pStyle w:val="BookText"/>
        <w:rPr/>
      </w:pPr>
      <w:r>
        <w:rPr>
          <w:rFonts w:ascii="IRNazanin" w:hAnsi="IRNazanin" w:eastAsia="IRNazanin"/>
          <w:color w:val="111111"/>
          <w:sz w:val="28"/>
          <w:sz w:val="28"/>
          <w:szCs w:val="28"/>
          <w:rtl w:val="true"/>
          <w:lang w:bidi="fa-IR"/>
        </w:rPr>
        <w:t>متقاربة، فنفی العنوان هو نفی لها بقول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اختلفت الإجارة للکافر من المسلم عن ملکیة الکافر للعبد المسلم؛ مع أنه فی کلیهما ملک المنفعة إلّا أن فی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امتدت الملکیة بمقدار یساوق الولایة والاستعلاء بخلاف الإجارة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حیث کان السبیل المنفی تشکیکیاً ونفیه بقول مطلق یستلزم نفی حتی مثل ملکیة المنفعة لإجارة الکافر للمسلم، بل المداینة وتسلّط الکافر علی ذمّة المسلم فی العقود والعهود، إلّا أن المتبع فی العناوین التشکیکیة، أن القدر المتیقن منها عزیمة وإلزامی، وباقی الدرجات تکون اقتضائیة غیر إلزامیة، نظیر الأمر بطاعة الوالدین، فإن القدر المتیقن الملزم منه ما یستلزم العقوبة، والباقی راجح، وکما هو الحال فی صلة الأرحام المأمور بها فإنها ذات درجات والقدر المتیقن منها ما یوجب قطع الرحم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وغیرها من الموارد التی یکون فیها متعلق الحکم عنواناً ذو مراتب تشکیکیة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بانصراف أدلة ولایة الأب والجد ونحوهما من الأولیاء عن الکافر علی المولی علیه المسلم، صغیراً کان أو مجنوناً أو رحماً، وقد یفصّل بتمامیته فیما ورد بعنوان الاستئذان بخلاف ما ورد بعنوان ولایة الأب والجد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والصحیح أن الانصراف لا بدّ له من شاهد، وهو تام ومنشؤه الأدلة المشار إلیها فی ارتکاز المتشرعة من کون ولایة الأب والجد رعایة وصول وصلة الرحم، وأما التفصیل بین ما اشتمل علی الاستئذان وما لم یشتمل فهو اعتراف بأن الولایة نوع استعلاء واستیمار وهی منفیة للکافر علی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أیضاً بقاعدة الإلزام بتقریب عدم الولایة عندهم للأب والجد علی الصغیر أو المجنون والأبکار، إلّا أن الشأن فی ثبوت الصغری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r>
        <w:rPr>
          <w:rFonts w:eastAsia="IRNazanin" w:cs="IRNazanin"/>
          <w:color w:val="111111"/>
          <w:sz w:val="28"/>
          <w:szCs w:val="28"/>
          <w:rtl w:val="true"/>
          <w:lang w:bidi="fa-IR"/>
        </w:rPr>
        <w:t>.</w:t>
      </w:r>
      <w:bookmarkStart w:id="509" w:name="pg13690_120762"/>
    </w:p>
    <w:p>
      <w:pPr>
        <w:pStyle w:val="Heading2"/>
        <w:numPr>
          <w:ilvl w:val="1"/>
          <w:numId w:val="1"/>
        </w:numPr>
        <w:rPr/>
      </w:pPr>
      <w:bookmarkStart w:id="510" w:name="__RefHeading___Toc907356_1468164448"/>
      <w:bookmarkStart w:id="511" w:name="_Toc197"/>
      <w:bookmarkEnd w:id="509"/>
      <w:bookmarkEnd w:id="510"/>
      <w:r>
        <w:rPr>
          <w:rtl w:val="true"/>
        </w:rPr>
        <w:t>قاعدة</w:t>
      </w:r>
      <w:r>
        <w:rPr>
          <w:rtl w:val="true"/>
        </w:rPr>
        <w:t>:</w:t>
      </w:r>
      <w:r>
        <w:rPr>
          <w:rtl w:val="true"/>
        </w:rPr>
        <w:t>فی عموم قاعدة ولایة الأرحام</w:t>
      </w:r>
      <w:bookmarkEnd w:id="51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2" w:name="__RefHeading___Toc907358_1468164448"/>
      <w:bookmarkStart w:id="513" w:name="_Toc198"/>
      <w:bookmarkEnd w:id="512"/>
      <w:r>
        <w:rPr>
          <w:rtl w:val="true"/>
        </w:rPr>
        <w:t>اشارة</w:t>
      </w:r>
      <w:bookmarkStart w:id="514" w:name="pg13690_120764"/>
      <w:bookmarkEnd w:id="513"/>
    </w:p>
    <w:p>
      <w:pPr>
        <w:pStyle w:val="Heading3"/>
        <w:numPr>
          <w:ilvl w:val="2"/>
          <w:numId w:val="1"/>
        </w:numPr>
        <w:rPr/>
      </w:pPr>
      <w:bookmarkStart w:id="515" w:name="__RefHeading___Toc907360_1468164448"/>
      <w:bookmarkStart w:id="516" w:name="_Toc199"/>
      <w:bookmarkEnd w:id="514"/>
      <w:bookmarkEnd w:id="515"/>
      <w:r>
        <w:rPr>
          <w:rtl w:val="true"/>
        </w:rPr>
        <w:t>من قواعد باب النکاح</w:t>
      </w:r>
      <w:r>
        <w:rPr>
          <w:rtl w:val="true"/>
        </w:rPr>
        <w:t>:</w:t>
      </w:r>
      <w:r>
        <w:rPr>
          <w:rtl w:val="true"/>
        </w:rPr>
        <w:t>فی عموم قاعدة ولایة الأرحام</w:t>
      </w:r>
      <w:bookmarkEnd w:id="516"/>
    </w:p>
    <w:p>
      <w:pPr>
        <w:pStyle w:val="Heading4"/>
        <w:numPr>
          <w:ilvl w:val="3"/>
          <w:numId w:val="1"/>
        </w:numPr>
        <w:rPr/>
      </w:pPr>
      <w:bookmarkStart w:id="517" w:name="__RefHeading___Toc907362_1468164448"/>
      <w:bookmarkStart w:id="518" w:name="_Toc200"/>
      <w:bookmarkEnd w:id="517"/>
      <w:r>
        <w:rPr>
          <w:rtl w:val="true"/>
        </w:rPr>
        <w:t>اشارة</w:t>
      </w:r>
      <w:bookmarkEnd w:id="518"/>
    </w:p>
    <w:p>
      <w:pPr>
        <w:pStyle w:val="BookText"/>
        <w:rPr/>
      </w:pPr>
      <w:r>
        <w:rPr>
          <w:rFonts w:ascii="IRNazanin" w:hAnsi="IRNazanin" w:eastAsia="IRNazanin"/>
          <w:color w:val="111111"/>
          <w:sz w:val="28"/>
          <w:sz w:val="28"/>
          <w:szCs w:val="28"/>
          <w:rtl w:val="true"/>
          <w:lang w:bidi="fa-IR"/>
        </w:rPr>
        <w:t>وفی القاعدة عدة مباحث</w:t>
      </w:r>
      <w:r>
        <w:rPr>
          <w:rFonts w:eastAsia="IRNazanin" w:cs="IRNazanin"/>
          <w:color w:val="111111"/>
          <w:sz w:val="28"/>
          <w:szCs w:val="28"/>
          <w:rtl w:val="true"/>
          <w:lang w:bidi="fa-IR"/>
        </w:rPr>
        <w:t>:</w:t>
      </w:r>
    </w:p>
    <w:p>
      <w:pPr>
        <w:pStyle w:val="Heading4"/>
        <w:numPr>
          <w:ilvl w:val="3"/>
          <w:numId w:val="1"/>
        </w:numPr>
        <w:rPr/>
      </w:pPr>
      <w:bookmarkStart w:id="519" w:name="__RefHeading___Toc907364_1468164448"/>
      <w:bookmarkStart w:id="520" w:name="_Toc201"/>
      <w:bookmarkEnd w:id="519"/>
      <w:r>
        <w:rPr>
          <w:rtl w:val="true"/>
        </w:rPr>
        <w:t>المبحث الأوَّل</w:t>
      </w:r>
      <w:r>
        <w:rPr>
          <w:rtl w:val="true"/>
        </w:rPr>
        <w:t xml:space="preserve">: </w:t>
      </w:r>
      <w:r>
        <w:rPr>
          <w:rtl w:val="true"/>
        </w:rPr>
        <w:t>الأقوال فی القاعدة</w:t>
      </w:r>
      <w:r>
        <w:rPr>
          <w:rtl w:val="true"/>
        </w:rPr>
        <w:t>:</w:t>
      </w:r>
      <w:bookmarkEnd w:id="520"/>
    </w:p>
    <w:p>
      <w:p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موت أحد الابوین تنتقل الحضانة للآخر، حکی علی ذلک الاتفاق ولو مع وجود الجد وباقی أقاربه، وعن الأکثر أنّه مع فقد الأبوین تصل النوبة الی أب الأب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بقیة الأقارب لکونه ولیاً مع الاب مقدم علی الأقارب، واذا فقدا ترتبوا بحسب طبقات الارث، وقیل بتقدیم وصی الأب والجد علی الأقارب لکونهما یقومان مقامهما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بعد الأبوین للجد من الأب، وإلاّ فتکون علی الناس کفایة کما هو الحکم فی الانفاق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للأجداد مطلقا من الأب أو الام دون غیرهم من الأرحام، وإلاّ فللارحام علی الترتیب، حکی ذلک عن المفید والارشاد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قرابة الأم أحق من قرابة الأب وهو المحکی عن أبی علی وفی المختلف حکی عن ابن الجنید انّ قرابة الأم أحق بالانثی من قرابة</w:t>
      </w:r>
    </w:p>
    <w:p>
      <w:pPr>
        <w:pStyle w:val="BookText"/>
        <w:rPr/>
      </w:pPr>
      <w:r>
        <w:rPr>
          <w:rFonts w:ascii="IRNazanin" w:hAnsi="IRNazanin" w:eastAsia="IRNazanin"/>
          <w:color w:val="111111"/>
          <w:sz w:val="28"/>
          <w:sz w:val="28"/>
          <w:szCs w:val="28"/>
          <w:rtl w:val="true"/>
          <w:lang w:bidi="fa-IR"/>
        </w:rPr>
        <w:t>الأب، وفی السرائر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ولاحضانة عندنا الاّ للام نفسها وللاب فامّا غیرهما فلیس لأحد ولایة علیه سوی الجدّ من قبل الأب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دار الأمر بین أخت الأب واخت الام فعن الشیخ تقدیم أخت الأب لکثرة نصیبها فی الارث واستشکل فی ذلک صاحب الشرائع، بل استشکل فی أصل الاستحقاق أیضاً، وعن المبسوط انّه یقرع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ان الورثة فی الطبقة الواحدة لهم الحضانة بحسب نصیبهم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التذکرة ان الولی أولی من الوالی عند علمائنا وهو قول الشافعی فی الجدید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علی الجنازة أولی الناس بها</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ولأنها ولایة یعتبر فیها ترتیب العصبات فیقدم فیها الولی علی الوالی کولایة النکاح</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ویستفاد من کلام الشیخ السابق وکلام العلامة ان قاعدة ولایة اولی الأرحام ساریة فی جملة الابواب کما هو الحال فی تقدم ولایة الولی علی الوالی فی النکاح، وأنّ من کان فی الطبقة‌الواحد فی الارث من الارحام وکان له نصیب اکثر فهو مقدم ولایة</w:t>
      </w:r>
      <w:r>
        <w:rPr>
          <w:rFonts w:eastAsia="IRNazanin" w:cs="IRNazanin"/>
          <w:color w:val="111111"/>
          <w:sz w:val="28"/>
          <w:szCs w:val="28"/>
          <w:rtl w:val="true"/>
          <w:lang w:bidi="fa-IR"/>
        </w:rPr>
        <w:t>.</w:t>
      </w:r>
      <w:bookmarkStart w:id="521" w:name="pg13690_120766"/>
    </w:p>
    <w:p>
      <w:pPr>
        <w:pStyle w:val="Heading4"/>
        <w:numPr>
          <w:ilvl w:val="3"/>
          <w:numId w:val="1"/>
        </w:numPr>
        <w:rPr/>
      </w:pPr>
      <w:bookmarkStart w:id="522" w:name="__RefHeading___Toc907366_1468164448"/>
      <w:bookmarkStart w:id="523" w:name="_Toc202"/>
      <w:bookmarkEnd w:id="521"/>
      <w:bookmarkEnd w:id="522"/>
      <w:r>
        <w:rPr>
          <w:rtl w:val="true"/>
        </w:rPr>
        <w:t>المبحث الثانی</w:t>
      </w:r>
      <w:r>
        <w:rPr>
          <w:rtl w:val="true"/>
        </w:rPr>
        <w:t xml:space="preserve">: </w:t>
      </w:r>
      <w:r>
        <w:rPr>
          <w:rtl w:val="true"/>
        </w:rPr>
        <w:t>الأدلة</w:t>
      </w:r>
      <w:r>
        <w:rPr>
          <w:rtl w:val="true"/>
        </w:rPr>
        <w:t>:</w:t>
      </w:r>
      <w:bookmarkEnd w:id="523"/>
    </w:p>
    <w:p>
      <w:pPr>
        <w:pStyle w:val="BookText"/>
        <w:rPr/>
      </w:pPr>
      <w:r>
        <w:rPr>
          <w:rFonts w:ascii="Amiri" w:hAnsi="Amiri" w:eastAsia="Amiri" w:cs="Amiri"/>
          <w:color w:val="111111"/>
          <w:sz w:val="28"/>
          <w:sz w:val="28"/>
          <w:szCs w:val="28"/>
          <w:rtl w:val="true"/>
          <w:lang w:bidi="ar-SA"/>
        </w:rPr>
        <w:t>ویشهد للعموم فی الأبواب،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أَوْلی بِبَعْضٍ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وهی غیر خاصة بالإرث فی المال، بل ولا بالارث بعد الموت، بل تشمل کل مورد یقصر فیه ذو الرحم عن التصرفات لجنون أو اغماء أو نحوها ومن ثم استدل بعموم الآیة لولایة الارحام فی شؤون تجهیز المیت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بتقریب ان ظاهر الآیة لبیان الوراثة من بعضهم لبعض والتولی فیما بینهم بسبب علقة الولادة والرحم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فبمقتضی عموم القاعدة بمفاد الآیة الاولی وضمیمة الثانیة واعتضادها بها یتقرر انّ للرحم أولویة برحمه فی کل مورد یقصر فیها الرحم ویضطر فیه الی ولی یرعاه ویدبر شؤونه، الا ما اخرجه الدلیل واستثناه، وعلی ذلک ما قرر عند المتأخرین من ان البالغ الرشید الذی انقطعت ولایة الاب والام علیه اذا طرأ علیه قصور من جنون أو اغماء فان الحاکم الشرعی هو ولیه لایخلو من اشکال، ومما یعضد عموم القاعدة ادراجهم للولایة علی المیّت وشؤونه تحت عموم هذه القاعدة، کما ان تقرر الارث فی الاموال کذلک، وهذا یفید انّ ذا الرحم قبل بلوغه ابتداء وحتی موته انتهاء هو تحت رعایة الارحام فی موارد قصوره تمسکا بعموم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تقرر من ثبوت دیة الخطأ علی العصبة فیتقرر لها الولایة فی الجملة من باب من علیه الغرم له الغنم، کما ان من یجب علیه النفقة کالأب وله نحو عیلولة فله نحو ولایة ورعایة علی المنفق علیه، اذ العیلولة نحو رعایة ومسؤولیة وولایة، کما یستفاد ذلک أیضاً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 الباء یفید السببیة والتقابل، ویعضد ذلک ان جماعة ذهبوا الی انّ العاقلة الاقرب فیها یتحمل الدیّة، دون الأبعد، أی بحسب طبقات ولایة الارحام، أی بمقتضی عموم قاعدة أُولُوا الْأَرْحامِ بَعْضُهُمْ أَوْلی بِبَعْضٍ وهو مفاد موثقة أبی بصیر</w:t>
      </w:r>
      <w:r>
        <w:rPr>
          <w:rStyle w:val="FootnoteAnchor"/>
          <w:rtl w:val="true"/>
        </w:rPr>
        <w:footnoteReference w:id="583"/>
      </w:r>
      <w:r>
        <w:rPr>
          <w:rFonts w:ascii="IRNazanin" w:hAnsi="IRNazanin" w:eastAsia="IRNazanin"/>
          <w:color w:val="111111"/>
          <w:sz w:val="28"/>
          <w:sz w:val="28"/>
          <w:szCs w:val="28"/>
          <w:rtl w:val="true"/>
          <w:lang w:bidi="fa-IR"/>
        </w:rPr>
        <w:t>، وصحیح ابن أبی نصر</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الروایات فیستدل بجملة وردت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وترک امرأة ومعها منه ولد فالقته علی خادم لها فارضعته ثم جاءت تطلب رضاع الغلام من الوصی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اجر مثلها ولیس للوصی ان یخرجه من حجرها حتی یدرک ویدفع إلیه 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 هذه الروایة دال علی ولایة الام علی الغلام عند موت الاب، ویدل علی هذا المفاد أیضاً ما تقدم من الروایات</w:t>
      </w:r>
      <w:r>
        <w:rPr>
          <w:rStyle w:val="FootnoteAnchor"/>
          <w:rtl w:val="true"/>
        </w:rPr>
        <w:footnoteReference w:id="585"/>
      </w:r>
      <w:r>
        <w:rPr>
          <w:rFonts w:ascii="IRNazanin" w:hAnsi="IRNazanin" w:eastAsia="IRNazanin"/>
          <w:color w:val="111111"/>
          <w:sz w:val="28"/>
          <w:sz w:val="28"/>
          <w:szCs w:val="28"/>
          <w:rtl w:val="true"/>
          <w:lang w:bidi="fa-IR"/>
        </w:rPr>
        <w:t>الواردة فی مورد رقّیة</w:t>
      </w:r>
    </w:p>
    <w:p>
      <w:pPr>
        <w:pStyle w:val="BookText"/>
        <w:rPr/>
      </w:pPr>
      <w:r>
        <w:rPr>
          <w:rFonts w:ascii="IRNazanin" w:hAnsi="IRNazanin" w:eastAsia="IRNazanin"/>
          <w:color w:val="111111"/>
          <w:sz w:val="28"/>
          <w:sz w:val="28"/>
          <w:szCs w:val="28"/>
          <w:rtl w:val="true"/>
          <w:lang w:bidi="fa-IR"/>
        </w:rPr>
        <w:t>أحد الابوین وان الحضانة وولایة الطفل تکون للآخر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الروایات</w:t>
      </w:r>
      <w:r>
        <w:rPr>
          <w:rStyle w:val="FootnoteAnchor"/>
          <w:rtl w:val="true"/>
        </w:rPr>
        <w:footnoteReference w:id="586"/>
      </w:r>
      <w:r>
        <w:rPr>
          <w:rFonts w:ascii="IRNazanin" w:hAnsi="IRNazanin" w:eastAsia="IRNazanin"/>
          <w:color w:val="111111"/>
          <w:sz w:val="28"/>
          <w:sz w:val="28"/>
          <w:szCs w:val="28"/>
          <w:rtl w:val="true"/>
          <w:lang w:bidi="fa-IR"/>
        </w:rPr>
        <w:t xml:space="preserve">التی وردت فی تحدید المدّة فی أحقیّة الام بالحضانة ومن بعدها احقیة الاب، فانها أیضاً دالة علی انّ الولد بین الأبوین، وان تقدم حق أحدهما عند التزاحم والتدافع علی الآخر بتفصیل المدّة المزبورة، فمع عدم احدهما أو فقده للشرائط یتعین الحق للآخر وهو مطابق لمفاد عموم آیة أُولُوا الْأَرْحامِ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دال علی ان حق الحضانة لایکون من نصیب وصی الاب بل من نصیب الام وهو شاهد علی المختار من ان حق الحضانة والکفالة فی حجرها لاینتفی عن الام الی بلوغ الطفل، وانما یقدّم حق الاب فی القیمومة علی حق الام بعد السنتین أو السبع، لدلالة الصحیحة علی ان وصی الاب انما یتصرف فی أموال الصبی ویرعی القیمومة علی الصبی دون الحضانة والحجر، مع ان الوصی صلاحیاته امتداد وبقاء لصلاحیات الموصی وهو الاب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عبیدالله بن علی عن الرضا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 الله علیه وآله قضی بأبنة حمزة لخالتها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الخالة والدة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 بمفاد هذه الروایة علی ما نسب الی أبی علی ان قرابة الأم احق من قرابة الاب مع فقد الوالدین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یستدل لذلک أیضاً بما فی موثق ابن الحصین المتقدم من قوله</w:t>
      </w:r>
      <w:bookmarkStart w:id="524" w:name="pg13690_120769"/>
    </w:p>
    <w:p>
      <w:pPr>
        <w:pStyle w:val="BookText"/>
        <w:rPr/>
      </w:pPr>
      <w:bookmarkEnd w:id="524"/>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مات الاب فالام احق به من العصبة</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أبی خدیجة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قول النبی صلی الله علیه و آله لذلک الرجل ألک امٌ 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خالة حیّة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فابررها فانها بمنزلة الام یکفّر عنک ما صنعت</w:t>
      </w:r>
      <w:r>
        <w:rPr>
          <w:rStyle w:val="FootnoteAnchor"/>
          <w:rtl w:val="true"/>
        </w:rPr>
        <w:footnoteReference w:id="588"/>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ویخدش فی الاستدلال بالروایات ان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مفادها ان الاصلح للبنت خالتها من بنی اعمامها وعماتها وهذا هو المقدار المستفاد من معتبرة أبی خدیجة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موثقة داود فغایة دلالتها هو ان الام احق بالولد مع فقد الاب ومقدمة علی الطبقات اللاحقة للارث من العصبة وغیرها، لا انّ قرابة الام مقدمون علی قرابة الاب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ان الحضانة عند الدوران بین الورّاث فی کل طبقة یرجح فیما بینهم بما هو اصلح للولد، اذ الحضانة حق للولد أیضاً</w:t>
      </w:r>
      <w:r>
        <w:rPr>
          <w:rFonts w:eastAsia="IRNazanin" w:cs="IRNazanin"/>
          <w:color w:val="111111"/>
          <w:sz w:val="28"/>
          <w:szCs w:val="28"/>
          <w:rtl w:val="true"/>
          <w:lang w:bidi="fa-IR"/>
        </w:rPr>
        <w:t>.</w:t>
      </w:r>
    </w:p>
    <w:p>
      <w:pPr>
        <w:pStyle w:val="Heading4"/>
        <w:numPr>
          <w:ilvl w:val="3"/>
          <w:numId w:val="1"/>
        </w:numPr>
        <w:rPr/>
      </w:pPr>
      <w:bookmarkStart w:id="525" w:name="__RefHeading___Toc907368_1468164448"/>
      <w:bookmarkStart w:id="526" w:name="_Toc203"/>
      <w:bookmarkEnd w:id="525"/>
      <w:r>
        <w:rPr>
          <w:rtl w:val="true"/>
        </w:rPr>
        <w:t>المبحث الثالث</w:t>
      </w:r>
      <w:r>
        <w:rPr>
          <w:rtl w:val="true"/>
        </w:rPr>
        <w:t xml:space="preserve">: </w:t>
      </w:r>
      <w:r>
        <w:rPr>
          <w:rtl w:val="true"/>
        </w:rPr>
        <w:t>تنبیهات</w:t>
      </w:r>
      <w:r>
        <w:rPr>
          <w:rtl w:val="true"/>
        </w:rPr>
        <w:t>:</w:t>
      </w:r>
      <w:bookmarkEnd w:id="526"/>
    </w:p>
    <w:p>
      <w:pPr>
        <w:pStyle w:val="Heading5"/>
        <w:numPr>
          <w:ilvl w:val="4"/>
          <w:numId w:val="1"/>
        </w:numPr>
        <w:rPr/>
      </w:pPr>
      <w:bookmarkStart w:id="527" w:name="__RefHeading___Toc907370_1468164448"/>
      <w:bookmarkStart w:id="528" w:name="_Toc204"/>
      <w:bookmarkEnd w:id="527"/>
      <w:r>
        <w:rPr>
          <w:rtl w:val="true"/>
        </w:rPr>
        <w:t>اشارة</w:t>
      </w:r>
      <w:bookmarkEnd w:id="528"/>
    </w:p>
    <w:p>
      <w:pPr>
        <w:pStyle w:val="BookText"/>
        <w:rPr/>
      </w:pPr>
      <w:r>
        <w:rPr>
          <w:rFonts w:ascii="IRNazanin" w:hAnsi="IRNazanin" w:eastAsia="IRNazanin"/>
          <w:color w:val="111111"/>
          <w:sz w:val="28"/>
          <w:sz w:val="28"/>
          <w:szCs w:val="28"/>
          <w:rtl w:val="true"/>
          <w:lang w:bidi="fa-IR"/>
        </w:rPr>
        <w:t>وینبغی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القیمومة فی الأموال والتأدیب واستیفاء الحقوق وولایة الجد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الجد کما هو المشهور بل ادعی علیه الاجماع بل ضرورة الفقه له ولایة علی قیمومة الولد کالاب فی امواله وغیره، ویدل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عنوان الوالد والاب وکذا عنوان الرجل المضاف الیه عنوان الولد شامل لکل من الاب المباشر والجد الوارد فی الروایات</w:t>
      </w:r>
      <w:r>
        <w:rPr>
          <w:rStyle w:val="FootnoteAnchor"/>
          <w:rtl w:val="true"/>
        </w:rPr>
        <w:footnoteReference w:id="589"/>
      </w:r>
      <w:r>
        <w:rPr>
          <w:rFonts w:ascii="IRNazanin" w:hAnsi="IRNazanin" w:eastAsia="IRNazanin"/>
          <w:color w:val="111111"/>
          <w:sz w:val="28"/>
          <w:sz w:val="28"/>
          <w:szCs w:val="28"/>
          <w:rtl w:val="true"/>
          <w:lang w:bidi="fa-IR"/>
        </w:rPr>
        <w:t>، سواء الروایات الواردة فی ولایة المال أو الروایات الواردة فی التأدیب والتربیة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ونظیر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أبی حمزة بل فی معتبرة محمد بن سنان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موهوب للوالد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یهب لمن یشاء اناثاً ویهب لمن یشاء الذکور اشارة الی ان هذا الجعل اصله جعل الهی تکوینی، وقوله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نَذَرْتُ لَکَ ما فِی بَطْنِی مُحَرَّراً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ولایة الابوین علی المولود فی مثل ذلک فی الشرائع السابقة، وکذا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إِنِّی أَری فِی الْمَنامِ أَنِّی أَذْبَحُکَ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تفید ولایة الاب علی مثل ذلک وان کان الفعل خاصاً نظیر نذر عبدالمطلب، حیث ان ذلک من تقدیم الولد کقربان وصدقة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ونظیر هذا المفاد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الْمَوْلُودِ 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فَسَتُرْضِعُ لَهُ أُخْری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وجه ثان فی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النکاح</w:t>
      </w:r>
      <w:r>
        <w:rPr>
          <w:rStyle w:val="FootnoteAnchor"/>
          <w:rtl w:val="true"/>
        </w:rPr>
        <w:footnoteReference w:id="590"/>
      </w:r>
      <w:r>
        <w:rPr>
          <w:rFonts w:ascii="IRNazanin" w:hAnsi="IRNazanin" w:eastAsia="IRNazanin"/>
          <w:color w:val="111111"/>
          <w:sz w:val="28"/>
          <w:sz w:val="28"/>
          <w:szCs w:val="28"/>
          <w:rtl w:val="true"/>
          <w:lang w:bidi="fa-IR"/>
        </w:rPr>
        <w:t>من تقدیم ولایة الجد علی ولایة الاب عند عقدهما علی البنت وان الجدّ اولی بنکاحها، بل فی مصحح عبید بن زرارة تعلیل تقدیم ولایة الجد علی الاب بخطاب النبی صلی الله علیه و آله انت ومالک لابیک</w:t>
      </w:r>
      <w:r>
        <w:rPr>
          <w:rStyle w:val="FootnoteAnchor"/>
          <w:rtl w:val="true"/>
        </w:rPr>
        <w:footnoteReference w:id="5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مصحح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واباها للجدّ</w:t>
      </w:r>
      <w:r>
        <w:rPr>
          <w:rFonts w:eastAsia="IRNazanin" w:cs="IRNazanin"/>
          <w:color w:val="111111"/>
          <w:sz w:val="28"/>
          <w:szCs w:val="28"/>
          <w:rtl w:val="true"/>
          <w:lang w:bidi="fa-IR"/>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المفاد دال علی انّ منشأ جعل ولایة الجد فی باب النکاح وتقدیمها علی ولایة الأب هو الجعل التکوینی الالهی من کون الولد موهوب للاب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فی متفرقات الأبواب کصحیح سعید بن یسار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الجدّ هو الذی أعطاه وهو الذی أخذه</w:t>
      </w:r>
      <w:r>
        <w:rPr>
          <w:rStyle w:val="FootnoteAnchor"/>
          <w:rtl w:val="true"/>
        </w:rPr>
        <w:footnoteReference w:id="593"/>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فی ولاء العتق ان ولاء الولد لمن اعتق الاب الشامل للجد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ضوء ذلک یتبین ان الجدّ وان کان من طبقة متأخرة علی الاب الا انه یستوی مع الاب فی ولایة القیمومة علی الولد، ولایبعد أن یکون عنوان الاب الوارد فی روایات الحضانة شامل للجدّ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تفسیر حق الحضانة للاب بغیر القیمومة بل بالمعنی الثابت للام وهو الکفالة والحجر فتکون رتبة الجد بعد فقد الابوین کما صرح به فی الشرائع وابن ادریس والفاضل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مات الاب قامت الام مقامه فی کفالة الولد، فان لم تکن له‌ام وکان له اب الأب قام مقامه فی ذلک، فان لم یکن له اب ولا ام کانت الام التی هی الجدة أحق به من البعداء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التذکرة فی باب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بالولایة انما تصح من الأب والجد للاب وان علا ولا ولایة لغیرهم من اخ أو عم أو خال أو جد لأم لان هؤلاء لایکون امر الاطفال إلیهم فکیف تَثبت لهم ولایة، فان الوصی نائب عن الموصی، فاذا کان الموصی لا ولایة له فالموصی إلیه اولی بذلک، وأمّا الام فلا ولایة لها عندنا أیضاً لانّه لامدخل لها فی ولایة النکاح فلا تلی المال کالعبد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ولایجوز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وصی علی ولده الصغیر أو المجنون مع الجد للاب، بل الولایة للجد، وفی بطلانها مطلقا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 عبارة التذکرة ما فی الشرائع فی باب الوصیة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انکر ابن ادریس ثبوت الحضانة لغیر الابوین والجد للاب وهو قوی للاصل وخلو النصوص عندنا عن غیر الابوین واما الجد للاب فله الولایة بالاصالة، وشدّد علیه النکیر فی المختلف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الحاجة ماسة الی تربیته وحضانته فلو لم یکن القریب اولی بکفالته لزم تضییعه وولایة الجد للاب فی المال لایستلزم اولویته فی الحضانة فانّه لو</w:t>
      </w:r>
    </w:p>
    <w:p>
      <w:pPr>
        <w:pStyle w:val="BookText"/>
        <w:rPr/>
      </w:pPr>
      <w:r>
        <w:rPr>
          <w:rFonts w:ascii="IRNazanin" w:hAnsi="IRNazanin" w:eastAsia="IRNazanin"/>
          <w:color w:val="111111"/>
          <w:sz w:val="28"/>
          <w:sz w:val="28"/>
          <w:szCs w:val="28"/>
          <w:rtl w:val="true"/>
          <w:lang w:bidi="fa-IR"/>
        </w:rPr>
        <w:t>اعتبر ولایة المال کان الأب احق من الام، والجد مع عدم الاب اولی منها، ولیس کذلک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اشکله فی المختلف متدافع مع ما قاله فی التذکرة والقواعد، وحمل الحضانة علی الکفالة والحجر بخلاف عبارة التذکرة والقواعد غیر رافع للتدافع بعد کون الفرض فی الوصیة للقیمومة فی الأموال والکفالة والرعایة أیضاً، وظاهر کلماتهم فی باب الوصیة علی الاولاد القصّر من قبل الاب والجد هو کون الوصی قیّم وکافل لهم من دون تخصیص ذلک بالاموال، فما ذکره ابن ادریس متین لاسیما علی المختار من ان ولایة الاب هی الرعایة من حیث القیمومة وأمَّا الکفالة والحجر هی للأم، والمدّة المضروبة انما هی للفصل عند تدافع الحقین فی التقدیم والترجیح، ومن ثمّ کانت نفقة الولد علی الجد مقدما علی الام، وکذلک الحال فی اجرة الرضاع للام علی الجد مع فقد الاب، ومن ثم لو طالبت الام بأجرة زائدة کان للجد ان یسترضع غیرها بعد شمول الروایات السابقة له بعنوان الاب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فی معتبرة داود بن الحصین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الولد فی الرضاع فهو بین الابوین بالسویة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وتفسیر استوائهما فی مدة الرضاع بتخالف متعلق حق وولایة کل منهما،وهذا المعنی شامل للجدّ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صاحب المدارک فی شرح النافع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وانما قلنا بثبوت الولایة للجد من قبل الاب لان له ولایة المال والنکاح فیکون له ولایة التربیة بطریق</w:t>
      </w:r>
    </w:p>
    <w:p>
      <w:pPr>
        <w:pStyle w:val="BookText"/>
        <w:rPr/>
      </w:pPr>
      <w:r>
        <w:rPr>
          <w:rFonts w:ascii="IRNazanin" w:hAnsi="IRNazanin" w:eastAsia="IRNazanin"/>
          <w:color w:val="111111"/>
          <w:sz w:val="28"/>
          <w:sz w:val="28"/>
          <w:szCs w:val="28"/>
          <w:rtl w:val="true"/>
          <w:lang w:bidi="fa-IR"/>
        </w:rPr>
        <w:t>اولی، وانما کانت الام اولی منه بالنص فمع عدمها وعدم من هو اولی منه تثبت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 یردّ اشکال المختلف علی ابن ادریس من ان لازم الاستدلال بولایة الجد لحضانته تقدیمه علی حضانة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فقد الابوان فقیل ان الحضانة لابی الأب لانّه اب فی الجملة فیکون اولی من غیره من الاقارب، ولانّه اولی بالمال، فیکون اولی بالحضانة، وبهذا جزم فی القواعد، ثم اشکل بما مرّ فی المختلف وقد عرفت اندفاعه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فی صدر البحث نقل جملة من الأقوال الدالة علی عموم ولایة اولوا الأرحام فی مطلق شؤون الرحم القاصر فی الأبواب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ولاسیما وان ولایة التأدیب خاصة بالاب والجد دون الام کما مرّ وسیأتی، أی لیست داخلة فی الحضانة وکفالة الحَجر، فما مرّ من کلام المختلف وغیره من تخصیص ولایة الجد بالمال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تقرر فی مسائل أحکام الأولاد ولایة الاب علی تأدیب وتربیة الولد، ومما مرّ هنا انّ عنوان الاب شامل للجدّ، وأنّ ولایة الجد لیست منحصرة بولایة المال، بل هی شاملة للولایة علی النفس وشؤونها کالتربیة والتأدیب والحفظ والتعلیم واستیفاء الحقوق والنکاح، وان ذلک باطلاق عنوان الاب الوارد فی الروایات من دون الحاجة الی التمسک بالأولویة، ومن ثم یندفع الاشکال فی کلام المختلف وغیره من انّ ولایة الجد علی المال لاتستلزم الولایة علی بقیه شؤون الصبی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ویتحصل من ذلک ان ولایة الجد قرینة ولایة الاب علی الصبی</w:t>
      </w:r>
    </w:p>
    <w:p>
      <w:pPr>
        <w:pStyle w:val="BookText"/>
        <w:rPr/>
      </w:pPr>
      <w:r>
        <w:rPr>
          <w:rFonts w:ascii="IRNazanin" w:hAnsi="IRNazanin" w:eastAsia="IRNazanin"/>
          <w:color w:val="111111"/>
          <w:sz w:val="28"/>
          <w:sz w:val="28"/>
          <w:szCs w:val="28"/>
          <w:rtl w:val="true"/>
          <w:lang w:bidi="fa-IR"/>
        </w:rPr>
        <w:t>وحالها حال ولایة الأب بالنسبة الی ولایة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محمد بن مروان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امراک أن تخرج من أهلک ومالک فافعل فانّ ذلک من الایمان</w:t>
      </w:r>
      <w:r>
        <w:rPr>
          <w:rFonts w:eastAsia="IRNazanin" w:cs="IRNazanin"/>
          <w:color w:val="111111"/>
          <w:sz w:val="28"/>
          <w:szCs w:val="28"/>
          <w:rtl w:val="true"/>
          <w:lang w:bidi="fa-IR"/>
        </w:rPr>
        <w:t>»</w:t>
      </w:r>
      <w:r>
        <w:rPr>
          <w:rStyle w:val="FootnoteAnchor"/>
          <w:rtl w:val="true"/>
        </w:rPr>
        <w:footnoteReference w:id="59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ولفظ الاهل شامل للاولاد وان ارید به الزوجة هنا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للام قیمومة علی الاطفال بعد فقد الاب والجد، فعن ابن الجنید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الاب الرشید اولی بأمر ولده الاطفال من کل احد، وکذا الام الرشیدة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وکلامه ظاهر فی انّ لها الولایة کالاب اذا کانت رشیدة، ورده الاصحاب بالضعف والشذوذ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فی القواعد فی کتاب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وولی الصبی أبوه أو جده لابیه وان علا ویشترکان فی الولایة فان فقدا فالوصی فان فقد فالحاکم ولا ولایة للام ولا لغیرها من الاخوة والاعمام وغیرهم عدا ماذکرناهم، ونظیر هذه العبارة فی الشرائع والتحریر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التذکرة فی کتاب الحجر الولایة فی مال المجنون والطفل للاب والجد له وان علا ولا ولایة للام اجماعاً إلاّ من بعض الشافعیة بل اذا فقد الاب والجد وان علا کانت الولایة لوصی أحدهما فان لم یوجد کانت الولایة للحاکم ولا ولایة لغیر الاب والجد من الانساب وقد روی ان للأم ولایة الارحام بالصبی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 فی موضع آخر فی کتاب النکاح لعدم ولایة الام باصالة</w:t>
      </w:r>
    </w:p>
    <w:p>
      <w:pPr>
        <w:pStyle w:val="BookText"/>
        <w:rPr/>
      </w:pPr>
      <w:r>
        <w:rPr>
          <w:rFonts w:ascii="IRNazanin" w:hAnsi="IRNazanin" w:eastAsia="IRNazanin"/>
          <w:color w:val="111111"/>
          <w:sz w:val="28"/>
          <w:sz w:val="28"/>
          <w:szCs w:val="28"/>
          <w:rtl w:val="true"/>
          <w:lang w:bidi="fa-IR"/>
        </w:rPr>
        <w:t>عدم الولایة ولان المرأة عند أکثر الفقهاء لاتلی تزویج نفسها فأولی أن لاتلی نکاح غیرها، وروایة محمد بن مسلم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سأله عن رجل زوّجته أمه وهو غائب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 جائز، ان شاء المتزوج قبل وان شاء ترک فان ترک المتزوج تزویجه فالمهر لازم لأمه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استدلاله باصالة عدم الولایة فیندفع بعموم ولایة أُولُوا الْأَرْحامِ واما عدم ولایة الام علی تزویج الصغار فللنصوص الواردة نظیر أیضاً صحیح محمد بن مسلم</w:t>
      </w:r>
      <w:r>
        <w:rPr>
          <w:rStyle w:val="FootnoteAnchor"/>
          <w:rtl w:val="true"/>
        </w:rPr>
        <w:footnoteReference w:id="598"/>
      </w:r>
      <w:r>
        <w:rPr>
          <w:rFonts w:ascii="IRNazanin" w:hAnsi="IRNazanin" w:eastAsia="IRNazanin"/>
          <w:color w:val="111111"/>
          <w:sz w:val="28"/>
          <w:sz w:val="28"/>
          <w:szCs w:val="28"/>
          <w:rtl w:val="true"/>
          <w:lang w:bidi="fa-IR"/>
        </w:rPr>
        <w:t>فغایة مفاد ذلک تخصیص عموم ولایة أُولُوا الْأَرْحامِ ومن ثمّ استندوا الی عموم الآیة فی عدّة من الأبواب کتجهیز المیّت، وقد مرّت عبارة التذکرة فی ذلک فی صدر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تکرر تعبیر الاصحاب فی باب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ولایة للام علی الاطفال فلو نصبت علیهم ولیّاً 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وان کان المترائی الاولی منها عدم ولایة الام من رأس، ولکن یمکن ان یستظهر منها ارادتهم نفی ولایتها علی المال لا علی کفالة وحضانة الاطفال، کیف وقد صرحوا باستحقاقها للحضانة بعد فقد الاب الی بلوغ الاطفال مقدماً علی الجدّ، وکفالتها ورعایتها لهم نحو ولایة فی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الاستدلال لولایة الام مع فقد الاب والجد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أُولُوا الْأَرْحامِ وهی مقدمة فی الرتبة علی بقیة الارحام، اذ هی الاقرب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الروایات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 داود بن الحصین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الْوالِداتُ یُرْضِعْنَ أَوْلادَهُنَّ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الولد فی الرضاع فهو بین الابوین بالسویة، فاذا فطم فالاب احق به من الام، فاذا مات الاب فالام احق به من العصبة</w:t>
      </w:r>
      <w:r>
        <w:rPr>
          <w:rFonts w:eastAsia="IRNazanin" w:cs="IRNazanin"/>
          <w:color w:val="111111"/>
          <w:sz w:val="28"/>
          <w:szCs w:val="28"/>
          <w:rtl w:val="true"/>
          <w:lang w:bidi="fa-IR"/>
        </w:rPr>
        <w:t>)</w:t>
      </w:r>
      <w:r>
        <w:rPr>
          <w:rStyle w:val="FootnoteAnchor"/>
          <w:rtl w:val="true"/>
        </w:rPr>
        <w:footnoteReference w:id="599"/>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المعتبرة الی سلیمان بن داود المنقری عن من ذکر أو عن حفص بن غیاث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یطلق امرأته وبینهما ولد أیهما أحق بالولد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احق بالولد ما لم تتزوج</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وترک امرأةً ومعها منه ولد فالقته علی خادم لها فارضعته ثم جاءت تطلب رضاع الغلام من الوصی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مثلها ولیس للوصی ان یخرجه من حجرها حتی یدرک ویدفع إلیه ماله</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یخدش فی الاستدلال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 بتقریب استفادة سلب ولایة القوامة علی النساء، ولعل هذا الذی اراده العلامة فی استدلاله السابق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 لاتلی تزویج نفسها فاولی ان لاتلی نکاح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معتضدا بماورد فی صحیح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للمرأة مع زوجها أمر فی عتق ولاصدقة ولاتدبیر ولا هبة ولا نذر فی مالها إلا باذن زوجها الا فی حج أو زکاة أو بر والدیها أو</w:t>
      </w:r>
    </w:p>
    <w:p>
      <w:pPr>
        <w:pStyle w:val="BookText"/>
        <w:rPr/>
      </w:pPr>
      <w:r>
        <w:rPr>
          <w:rFonts w:ascii="Amiri" w:hAnsi="Amiri" w:eastAsia="Amiri" w:cs="Amiri"/>
          <w:color w:val="111111"/>
          <w:sz w:val="28"/>
          <w:sz w:val="28"/>
          <w:szCs w:val="28"/>
          <w:rtl w:val="true"/>
          <w:lang w:bidi="ar-SA"/>
        </w:rPr>
        <w:t>صلة رحمها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ماورد ان المرأة ریحانة ولیست بقهرمانة</w:t>
      </w:r>
      <w:r>
        <w:rPr>
          <w:rStyle w:val="FootnoteAnchor"/>
          <w:rtl w:val="true"/>
        </w:rPr>
        <w:footnoteReference w:id="603"/>
      </w:r>
      <w:r>
        <w:rPr>
          <w:rFonts w:ascii="IRNazanin" w:hAnsi="IRNazanin" w:eastAsia="IRNazanin"/>
          <w:color w:val="111111"/>
          <w:sz w:val="28"/>
          <w:sz w:val="28"/>
          <w:szCs w:val="28"/>
          <w:rtl w:val="true"/>
          <w:lang w:bidi="fa-IR"/>
        </w:rPr>
        <w:t>، وأنها لاتستشار</w:t>
      </w:r>
      <w:r>
        <w:rPr>
          <w:rStyle w:val="FootnoteAnchor"/>
          <w:rtl w:val="true"/>
        </w:rPr>
        <w:footnoteReference w:id="604"/>
      </w:r>
      <w:r>
        <w:rPr>
          <w:rFonts w:ascii="IRNazanin" w:hAnsi="IRNazanin" w:eastAsia="IRNazanin"/>
          <w:color w:val="111111"/>
          <w:sz w:val="28"/>
          <w:sz w:val="28"/>
          <w:szCs w:val="28"/>
          <w:rtl w:val="true"/>
          <w:lang w:bidi="fa-IR"/>
        </w:rPr>
        <w:t>وأنها لا تملک من الامر ما یتجاوز نفسها</w:t>
      </w:r>
      <w:r>
        <w:rPr>
          <w:rStyle w:val="FootnoteAnchor"/>
          <w:rtl w:val="true"/>
        </w:rPr>
        <w:footnoteReference w:id="605"/>
      </w:r>
      <w:r>
        <w:rPr>
          <w:rFonts w:ascii="IRNazanin" w:hAnsi="IRNazanin" w:eastAsia="IRNazanin"/>
          <w:color w:val="111111"/>
          <w:sz w:val="28"/>
          <w:sz w:val="28"/>
          <w:szCs w:val="28"/>
          <w:rtl w:val="true"/>
          <w:lang w:bidi="fa-IR"/>
        </w:rPr>
        <w:t>، وأنها کالیتیم فی الضعف</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وغیرها من الادلة الواردة فی عدم ولایة المرأة، ومن ثمّ ذهب الاصحاب فی تجهیز المیت إلی تقدیم ولایة الرجال من الارحام علی النساء، ولایخفی انّ هذه الادلة لیست حاجبة للام عن الولایة فقط، بل هی تحجب عموم الاناث من ذوی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تقدم من الادلة فی صدر التنبیه وفی المسائل المشار إلیها من أحکام الأولاد یفید ان کفالة الولد هی فی حجر أمه مع عدم الاب الی بلوغه، کما انه تقدم انّ الحجر والکفالة للارحام ثابتة کما فی الخالة وغیرها مع عدم الطبقة الاولی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الاب والجد مع الام، والمعروف لدیهم تقدم الوصی من قبل الاب والجد علی الام، لکن قد تقدم مفصلاً بیان مفاد صحیحة عبدالله بن سنان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مات وترک امرأة ومعها منه ولد، فألقته علی خادم لها فارضعته ثم جاءت تطلب رضاع الغلام من الوصی،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اجر مثلها ولیس للوصی ان یخرجه من</w:t>
      </w:r>
    </w:p>
    <w:p>
      <w:pPr>
        <w:pStyle w:val="BookText"/>
        <w:rPr/>
      </w:pPr>
      <w:r>
        <w:rPr>
          <w:rFonts w:ascii="IRNazanin" w:hAnsi="IRNazanin" w:eastAsia="IRNazanin"/>
          <w:color w:val="111111"/>
          <w:sz w:val="28"/>
          <w:sz w:val="28"/>
          <w:szCs w:val="28"/>
          <w:rtl w:val="true"/>
          <w:lang w:bidi="fa-IR"/>
        </w:rPr>
        <w:t>حجرها حتی یدرک ویدفع إلیه ماله</w:t>
      </w:r>
      <w:r>
        <w:rPr>
          <w:rStyle w:val="FootnoteAnchor"/>
          <w:rtl w:val="true"/>
        </w:rPr>
        <w:footnoteReference w:id="607"/>
      </w:r>
      <w:r>
        <w:rPr>
          <w:rFonts w:ascii="IRNazanin" w:hAnsi="IRNazanin" w:eastAsia="IRNazanin"/>
          <w:color w:val="111111"/>
          <w:sz w:val="28"/>
          <w:sz w:val="28"/>
          <w:szCs w:val="28"/>
          <w:rtl w:val="true"/>
          <w:lang w:bidi="fa-IR"/>
        </w:rPr>
        <w:t>، وانه دال علی ما مرّ اختیاره من ان ولایة الاب هی فی القیمومة والتأدیب والاموال دون الکفالة والحجر، بل هما متعلق حق الام حتی بلوغ الصبی، غایة الامر انه عند التدافع کما فی بعض موارد الطلاق یقدم حق الاب بعد السنتین أو السبع، فمن ثمّ یکون الوصی له ما للأب فی مجال القیمومة والأموال دون الکفالة والحجر کما هو مفاد هذا الصحیح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أیضاً ان مفاد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الْمَوْلُودِ لَهُ رِزْقُهُنَّ وَ کِسْوَتُهُنَّ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الْوارِثِ مِثْلُ ذلِکَ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ما تقدم من ان ولایة الاب فی القیمومة وکذا الوارث له، واما الکفالة والحجر فهی من نصیب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نفوذ الوصیة فیما للاب والجد من ولایة ماورد من روایات مستفیضة فی أبواب الوصایا</w:t>
      </w:r>
      <w:r>
        <w:rPr>
          <w:rStyle w:val="FootnoteAnchor"/>
          <w:rtl w:val="true"/>
        </w:rPr>
        <w:footnoteReference w:id="608"/>
      </w:r>
      <w:r>
        <w:rPr>
          <w:rFonts w:ascii="IRNazanin" w:hAnsi="IRNazanin" w:eastAsia="IRNazanin"/>
          <w:color w:val="111111"/>
          <w:sz w:val="28"/>
          <w:sz w:val="28"/>
          <w:szCs w:val="28"/>
          <w:rtl w:val="true"/>
          <w:lang w:bidi="fa-IR"/>
        </w:rPr>
        <w:t>والحجر</w:t>
      </w:r>
      <w:r>
        <w:rPr>
          <w:rStyle w:val="FootnoteAnchor"/>
          <w:rtl w:val="true"/>
        </w:rPr>
        <w:footnoteReference w:id="609"/>
      </w:r>
      <w:r>
        <w:rPr>
          <w:rFonts w:ascii="IRNazanin" w:hAnsi="IRNazanin" w:eastAsia="IRNazanin"/>
          <w:color w:val="111111"/>
          <w:sz w:val="28"/>
          <w:sz w:val="28"/>
          <w:szCs w:val="28"/>
          <w:rtl w:val="true"/>
          <w:lang w:bidi="fa-IR"/>
        </w:rPr>
        <w:t>وغیرها من الأبواب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طبقات ذوی الأرحام علی مطلق شؤون الولد مع فقد الأبوین والجد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واتباعه صحة عقد الاخ الاکبر لو زوج رجلا من اخته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المرتضی فی الناصریات فی مسألة لایجوز نکاح الصغار</w:t>
      </w:r>
    </w:p>
    <w:p>
      <w:pPr>
        <w:pStyle w:val="BookText"/>
        <w:rPr/>
      </w:pPr>
      <w:r>
        <w:rPr>
          <w:rFonts w:ascii="IRNazanin" w:hAnsi="IRNazanin" w:eastAsia="IRNazanin"/>
          <w:color w:val="111111"/>
          <w:sz w:val="28"/>
          <w:sz w:val="28"/>
          <w:szCs w:val="28"/>
          <w:rtl w:val="true"/>
          <w:lang w:bidi="fa-IR"/>
        </w:rPr>
        <w:t>إلا بالأباء عندنا انه یجوز ان ینکح الصغار الاباء والاجداد من قبل الاباء فان عقد علیهن غیر من ذکرناه کان العقد موقوفا علی رضاهن بعد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والجد یملکان الاجبار علی النکاح ومن عداهما من الاقارب 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للاخ وابن الاخ والعم وابن العم ان یزوجوا الصغار ورووا عنه ان کل من ورث بالتعصیب ملک الاجبار وفی روایة اخری عنه ان کل من ورث عنه ملک الاجبار عصبة کان أو غیر عصبة وقال ابن أبی لیلی واحمد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یجبر دون الجد، وقال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یجبر البکر الکبیرة والصغیرة والجدّ یجبرُ الصغیرة دون الکبیرة، دلیلنا علی صحة ما ذهبنا الیه بعد الاجماع المتقدم ثم ذکر روایات عامیة رووها فی عدم اجبار العم الصغیرة علی الزواج</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المراسم ذهب الی ولایة الاب والجد فی العقد علی الصغار وان لا خیار لهن بعد البلوغ، ولو عقد علیهن غیرهما کان موقوفا علی رضاهن عند البلوغ</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الخلاف استدل فی جملة من المسائل علی ثبوت الحضانة للارحام بعد فقد الابوین والجد بحسب طبقاتهم من الارث وتقدیم الاولی بالمیراث استنادا الی عموم وَ أُولُوا الْأَرْحامِ بَعْضُهُمْ أَوْلی بِبَعْضٍ وفی رهن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یلی أمر الصبی والمجنون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 والجدّ، ووصی الاب والجد والامام ومن یأمره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موضع آخر</w:t>
      </w:r>
      <w:r>
        <w:rPr>
          <w:rStyle w:val="FootnoteAnchor"/>
          <w:rtl w:val="true"/>
        </w:rPr>
        <w:footnoteReference w:id="611"/>
      </w:r>
      <w:r>
        <w:rPr>
          <w:rFonts w:ascii="IRNazanin" w:hAnsi="IRNazanin" w:eastAsia="IRNazanin"/>
          <w:color w:val="111111"/>
          <w:sz w:val="28"/>
          <w:sz w:val="28"/>
          <w:szCs w:val="28"/>
          <w:rtl w:val="true"/>
          <w:lang w:bidi="fa-IR"/>
        </w:rPr>
        <w:t>من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الاجبار علی النکاح الاب والجدّ مع وجود الاب وإن علا ولیس لغیرهما ذلک من سائر العصوبات الذین یرثون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النهایة</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عقد علی صبیة لم تبلغ غیر الاب أو الجد مع وجود الاب کان لها الخیار، اذا بلغت سواء کان ذلک العاقد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الاخ أو العم أو الام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الحدائق عن الدروس عن ابن الجنید ان للأم الرشیدة الولایة بعد الأب، ثم ردّه بأنه شاذ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ویستدل لولایة ذوی الأرحام بعموم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لکن قد عرفت فی التنبیه الثانی ان المرأة من اولی الأرحام محجوبة عن الولایة بما دلّ علی حجب عموم المرأة عن الولایة، فتخصص تلک الادلة عموم ولایة أُولُوا الْأَرْحامِ ، وأماالروایات فهی علی طائفتین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الطائفة المثبتة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یستدل لثبوت ولایة ذوی الأرحام بجملة من الروایات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محمد بن قیس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انکحها اخوها رجلا، ثم انکحتها أمها بعد ذلک رجلا وخالها أو اخ لها صغیر، فدخل بها، فحبلت فاحتکما فیها، فأقام الأول الشهود فالحقها بالاول وجعل لها الصداقین جمیعاً، ومنع زوجها</w:t>
      </w:r>
    </w:p>
    <w:p>
      <w:pPr>
        <w:pStyle w:val="BookText"/>
        <w:rPr/>
      </w:pPr>
      <w:r>
        <w:rPr>
          <w:rFonts w:ascii="IRNazanin" w:hAnsi="IRNazanin" w:eastAsia="IRNazanin"/>
          <w:color w:val="111111"/>
          <w:sz w:val="28"/>
          <w:sz w:val="28"/>
          <w:szCs w:val="28"/>
          <w:rtl w:val="true"/>
          <w:lang w:bidi="fa-IR"/>
        </w:rPr>
        <w:t>الذی حقّت له أن یدخل بها حتی تضع حملها ثم الحق الولد بأبیه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الشیخ حملها علی کون عقد علیها برضاها، لاسیما بعد کون مورد الروایة فی المرأة لا فی الجاریة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والصحیح الی ابن مسکان عن ولید بیاع الاسفاط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عنده عن جاریة کان لها اخوان زوّجها الاکبر بالکوفة، وزوّجها الاصغر بأرض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بها أولی إلا أن یکون الآخر قد دخل بها فهی امرأته ونکاحه جائز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الشیخ حملها علی جعل الجاریة أمرها الی أخویها معاً فالأوّل اولی بالعقد مالم یدخل الذی عقد علیه الاخ الصغیر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صحیحة أبی بصیر ومحمد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الذی بیده عقدة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الاب والاخ والموصی إلیه والذی یجوز امره فی مال المرأة من قرابتها فیبیع لها ویشتری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هولاء عفی فعفوه جائز فی المهر اذا عفا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ونظیرهما معتبرة أبی بصیر</w:t>
      </w:r>
      <w:r>
        <w:rPr>
          <w:rStyle w:val="FootnoteAnchor"/>
          <w:rtl w:val="true"/>
        </w:rPr>
        <w:footnoteReference w:id="614"/>
      </w:r>
      <w:r>
        <w:rPr>
          <w:rFonts w:ascii="IRNazanin" w:hAnsi="IRNazanin" w:eastAsia="IRNazanin"/>
          <w:color w:val="111111"/>
          <w:sz w:val="28"/>
          <w:sz w:val="28"/>
          <w:szCs w:val="28"/>
          <w:rtl w:val="true"/>
          <w:lang w:bidi="fa-IR"/>
        </w:rPr>
        <w:t>وعن المسالک اتفق الاصحاب ان الذی بیده عقدة النکاح له ان یعفو عن المهر فی الجملة واختلفوا فیه من هو، فذهب أصحابنا وجماعة من العامة الی انه ولی المرأة کالأب والجدّ له،</w:t>
      </w:r>
    </w:p>
    <w:p>
      <w:pPr>
        <w:pStyle w:val="BookText"/>
        <w:rPr/>
      </w:pPr>
      <w:r>
        <w:rPr>
          <w:rFonts w:ascii="IRNazanin" w:hAnsi="IRNazanin" w:eastAsia="IRNazanin"/>
          <w:color w:val="111111"/>
          <w:sz w:val="28"/>
          <w:sz w:val="28"/>
          <w:szCs w:val="28"/>
          <w:rtl w:val="true"/>
          <w:lang w:bidi="fa-IR"/>
        </w:rPr>
        <w:t>وذهب آخرون الی انه الزوج، والاول اصح، والمشهور انّه الاب والجد، وقیل یشمل من تولیه المرأة عقدها، ذهب الیه الشیخ فی النهایة وتلمیذه القاضی ابن البراج، ویدل علیه صحیحة محمد بن مسلم وأبی بصیر، وادخال الاخ فی الروایة محمول علی کونه وکیلاً کما حمله الشیخ أو وصیا، والاقتصار فی العفو المخالف للاصل علی الأب والجد 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روایة الحسن بن علی عن بعض أصحابنا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الأکبر بمنزلة الأب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وحمله الشیخ علی استحباب توکیلها ایاه أو علی التقیة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موثق أبی بصیر وسماعة جمیعاً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طَلَّقْتُمُوهُنَّ مِنْ قَبْلِ أَنْ تَمَسُّوهُنَّ وَ قَدْ فَرَضْتُمْ لَهُنَّ فَرِیضَةً فَنِصْفُ ما فَرَضْتُمْ إِلاّ أَنْ یَعْفُونَ أَوْ یَعْفُوَا الَّذِی بِیَدِهِ عُقْدَةُ النِّکاحِ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الاب أو الاخ أو الرجل یوصی إلیه والذی یجوز أمره فی مال المرأة فیبتاع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ویتجر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فتجیز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عفی فقد جاز</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صحیحة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طلق امرأته قبل أن یدخل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نصف المهر ان کان فرض لها شیئاً، وان لم یکن فرض لها فلیمتعها علی نحو ما یمتع مثلها فی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قول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یَعْفُوَا الَّذِی بِیَدِهِ عُقْدَةُ النِّکاحِ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الأب والأخ والرجل یوصی إلیه والرجل یجوز امره فی مال المرأة، فیبیع لها ویشتری لها فاذا عفی</w:t>
      </w:r>
    </w:p>
    <w:p>
      <w:pPr>
        <w:pStyle w:val="BookText"/>
        <w:rPr/>
      </w:pPr>
      <w:r>
        <w:rPr>
          <w:rFonts w:ascii="IRNazanin" w:hAnsi="IRNazanin" w:eastAsia="IRNazanin"/>
          <w:color w:val="111111"/>
          <w:sz w:val="28"/>
          <w:sz w:val="28"/>
          <w:szCs w:val="28"/>
          <w:rtl w:val="true"/>
          <w:lang w:bidi="fa-IR"/>
        </w:rPr>
        <w:t>فقد جاز</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مرّ حکایة المسالک عن الأکثر أنَّهم حملوا الاخ علی کونه وکیلا أو وصیا وهو یعطی ان هناک جماعة فی مقابل الأکثر قد ذهبوا الی ولایة الأخ وان لم یکن وصیا ولاوکیلا، والحمل المزبور خلاف الظاهر لان الوکیل المفوض قد ذکر فی القسم الرابع، والوصی قد ذکر کقسم ثالث، والظاهر من الأخ کقسم رابع المقابلة معهما، لا من عطف العام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یستظهر من عنوان الاخ ارادة الرحم القیّم کما ان فی عنوان الاب یراد منه اب الاب أیضاً، وکما یظهر من موضوع الروایة ان المرأة المأخوذة فی الروایة اعم من کونها صغیرة أو بالغة رشیدة، والظاهر من الاقسام الثلاثة الاولی وهو الاب والاخ والوصی هو فی الصغیرة والقسم الرابع وهو الوکیل المفوض هو فی الکبیرة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یظهر ضعف حمل الشیخ لعنوان الاخ علی ما لو کان موکلا، ویظهر من هذه الروایات أیضاً، ان الوصی اذا شملت وصیته للنکاح فینفذ تزویجه للصغیر مع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الطوائف النافیة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مایستدل لمنع ثبوت ولایة ذوی الأرحام بجملة من الروایات أیضاً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مصححة محمد بن الحسن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بعض بنی عمی</w:t>
      </w:r>
    </w:p>
    <w:p>
      <w:pPr>
        <w:pStyle w:val="BookText"/>
        <w:rPr/>
      </w:pPr>
      <w:r>
        <w:rPr>
          <w:rFonts w:ascii="IRNazanin" w:hAnsi="IRNazanin" w:eastAsia="IRNazanin"/>
          <w:color w:val="111111"/>
          <w:sz w:val="28"/>
          <w:sz w:val="28"/>
          <w:szCs w:val="28"/>
          <w:rtl w:val="true"/>
          <w:lang w:bidi="fa-IR"/>
        </w:rPr>
        <w:t>الی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صبیة زوّجها عمها، فلما کبرت أبت التزویج، فکتب لی لاتکره علی ذلک والأمر أمرها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دلالتها علی تخییر الصبیة بعد البلوغ، نظیر ما لو زوجها أبوها وجدها فانّ لها الخیار اذا کبرت، فلادلالة للروایة علی نفی ولایة العم عند فقد الأب والجد، بل لعلّ دلالتها علی ثبوت الولایة أظهر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 من حصر ولایة زواج الصغیرین بالأب وکذلک الحال فی البکر، منها صحیح محمد بن مسلم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یتزوج الصبیة یتوارثان؟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أبواهما اللذان زوجاهما فَنَعم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لاینقض النکاح الاّ الأب</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ومثلها موثقة محمد بن مسلم</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صحیح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لاتستأمر الجاریة اذا کانت بین أبویها، لیس لها مع الأب أمر،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یستأمرها کل احد ما عدا الأب</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صحیحة الحلبی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الجاریة یزوجها أبوها</w:t>
      </w:r>
    </w:p>
    <w:p>
      <w:pPr>
        <w:pStyle w:val="BookText"/>
        <w:rPr/>
      </w:pPr>
      <w:r>
        <w:rPr>
          <w:rFonts w:ascii="IRNazanin" w:hAnsi="IRNazanin" w:eastAsia="IRNazanin"/>
          <w:color w:val="111111"/>
          <w:sz w:val="28"/>
          <w:sz w:val="28"/>
          <w:szCs w:val="28"/>
          <w:rtl w:val="true"/>
          <w:lang w:bidi="fa-IR"/>
        </w:rPr>
        <w:t>بغیر رضا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مع أبیها امرٌ اذا أنکحها جاز نکاحه وان کانت کارهة،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وسئل عن رجل یرید أن یزوج اخته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یؤامرها فان سکتت فهو اقرارها وان أبت لم یزوجها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وغایة دلالة هذه الروایات انما هو حصر الولایة استبداداً أو استقلالاً بعقد النکاح بالاب فی الباکر والصغیرة لانفی اصل ولایة ذوی الأرحام فی النکاح معیة، فضلا عن نفی ولایتهم فی سائر الأبواب لاسیما وان الشأن فی النکاح شدید دون بقیة شؤون الشخص القاصر فیقتصر علی حدود دلالة الروایات من دون التعدی الی غیرها، ولکن قد یلوح من کلام غیر واحد من الأصحاب الاستدلال بها علی نفی ولایة الارحام علی شؤون القاصر مطلقا ما عدا الأب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ماورد فی ولایة الحاکم مع فقد الأب والجد ووصیهما وهی وإن ترائی منها ابتداء ولایة الحاکم فی الجملة الا أنّه بالالتفات الی تقییدها بعدم الاب والجد یستفاد منها نفی ولایة الارحام فی الاموال فیما لو فقد الاب والجدّ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 صحیحة ابن بزیع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رجل من أصحابنا ولم یوص فرفع امره الی قاضی الکوفة فصیّر عبدالحمید القیّم بماله وکان الرجل خلّف ورثة صغارا ومتاعا وجواری فباع عبدالحمید المتاع، فلما اراد بیع الجواری ضعف قلبه عن بیعهن، اذ لم یکن المیّت صیّر الیه وصیته، وکان قیامه بهذا بأمر القاضی، لانهن فروج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لأبی جعفر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یموت</w:t>
      </w:r>
    </w:p>
    <w:p>
      <w:pPr>
        <w:pStyle w:val="BookText"/>
        <w:rPr/>
      </w:pPr>
      <w:r>
        <w:rPr>
          <w:rFonts w:ascii="IRNazanin" w:hAnsi="IRNazanin" w:eastAsia="IRNazanin"/>
          <w:color w:val="111111"/>
          <w:sz w:val="28"/>
          <w:sz w:val="28"/>
          <w:szCs w:val="28"/>
          <w:rtl w:val="true"/>
          <w:lang w:bidi="fa-IR"/>
        </w:rPr>
        <w:t>الرجل من أصحابنا ولا یوصی لاحد ویخلف الجواری فیقیم القاضی رجلا منّا فیبیعهن قال یقوم بذلک رجلا منا فیضعف قلبه لانهن فروج فما تری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القیّم به مثلک أو مثل عبدالحمید فلابأس</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وتقریب الدلالة انه لم یقید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عدول المؤمنین فی الروایة بعد عدم بسط ید الحاکم الشرعی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بانتفاء وجود الرحم، مع ان الغالب وجود فرد من طبقات الرحم المتعددة، نعم قول الراوی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یقوم بذلک رجل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یظهر منها انتفاء الرحم لانه لایقوم بأمر الصغار رجل أجنبی الا بعد انتفاء الرحم فی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اسماعیل بن سعد عن الرجل یموت بغیر وصیة وله ورثة صغار وکبار أیحل شراء خدمه ومتاعه من غیر ان یتولی القاضی بیع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تولاه قاضی قد تراضوا به ولم یستعمله الخلیفة أیطیب الشراء منه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الاکابر من ولده فی البیع فلابأس به اذا رضی الورثة بالبیع وقام عدل فی ذلک</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بتقریب انّه لم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البیع اسناد البیع الی مجرد الاکابر من ورثته بل اشترط وجود العدل أیضاً، فلو کانت الولایة للارحام لأکتفی باسناد البیع الی مجرد الاکابر من ورثته بل لمّا صحّ اسناده الی غیره من العدل، بل 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عدل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القیّم هو العدل وانما اشترط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مشارکة الأکابر لانّهم یملکون من الترکة فلابد من</w:t>
      </w:r>
    </w:p>
    <w:p>
      <w:pPr>
        <w:pStyle w:val="BookText"/>
        <w:rPr/>
      </w:pPr>
      <w:r>
        <w:rPr>
          <w:rFonts w:ascii="IRNazanin" w:hAnsi="IRNazanin" w:eastAsia="IRNazanin"/>
          <w:color w:val="111111"/>
          <w:sz w:val="28"/>
          <w:sz w:val="28"/>
          <w:szCs w:val="28"/>
          <w:rtl w:val="true"/>
          <w:lang w:bidi="fa-IR"/>
        </w:rPr>
        <w:t>رضاهم فیما یباع من المال المشترک بینهم وبین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مات وله بنون وبنات صغار وکبار من غیر وصیة وله خدم وممالیک وعُقَد، کیف یصنع الورثة بقسمة ذلک المیراث؟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قام رجل ثقة قاسمهم ذلک کله فلابأس</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الدلالة ان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لتقسیم الترکة وتعیین حصص الصغار بوجود رجل ثقة مع عدم الاکتفاء بالاخوة الکبار دال علی عدم استقلالهم بالولایة علی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وصحیحة ابن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بینی وبینه قرابة مات وترک اولاداً صغاراً وترک ممالیک غلمانا وجواری ولم یوص فما تری فی من یشتری منهم الجاریة فیتخذها ام ولد؟ وما تری فی بیعهم؟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لهم ولی یقوم بامرهم باع علیهم ونظر لهم کان مأجوراً فیهم،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فی من یشتری منهم الجاریة فیتخذها أم ولد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 اذا باع علیهم القیّم لهم الناظر فیما یصلحهم فلیس لهم ان یرجعوا فیما صنع القیم لهم والناظر لهم فیما یصلحهم</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الدلالة ان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الولی علی الصغار ب</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 لهم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من التعبیر بالقریب وذو الرحم مع ان الراوی قد ذکر القرابة بینه وبین الصغار یومیء بقوة ان الولی علی الصغار بعد الاب والجد هو</w:t>
      </w:r>
    </w:p>
    <w:p>
      <w:pPr>
        <w:pStyle w:val="BookText"/>
        <w:rPr/>
      </w:pPr>
      <w:r>
        <w:rPr>
          <w:rFonts w:ascii="IRNazanin" w:hAnsi="IRNazanin" w:eastAsia="IRNazanin"/>
          <w:color w:val="111111"/>
          <w:sz w:val="28"/>
          <w:sz w:val="28"/>
          <w:szCs w:val="28"/>
          <w:rtl w:val="true"/>
          <w:lang w:bidi="fa-IR"/>
        </w:rPr>
        <w:t>الناظر المنصوب من قبل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ما فی صحیحة اسماعیل بن سعد المتقدمة أیضاً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 الرجل یصحب الرجل فی سفر فیحدث به حدث الموت ولایدرک الوصیة کیف یصنع بمتاعه وله أولاد صغار وکبار، أیجوز ان یدفع متاعه ودوابه الی ولده الأکابر أو الی القاضی؟ وإن کان فی بلدة لیس فیها قاضی کیف یصنع؟ وإن کان دفع المتاع الی الأکابر ولم یعلم فذهب فلایقدر علی ردّه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ادرک الصغار وطلبوا لم یجد بدا من اخراجه الا أن یکون بأمر السلطان</w:t>
      </w:r>
      <w:r>
        <w:rPr>
          <w:rStyle w:val="FootnoteAnchor"/>
          <w:rtl w:val="true"/>
        </w:rPr>
        <w:footnoteReference w:id="626"/>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الروایة کالصریح فی عدم ولایة الاخوة الکبار علی اموال الصغار، وانه لابد من نظارة الحاکم أو عدول المؤمنین کما یدل علی ذلک ذیل الصحیحة فی الفقرة التی تقدم نقلها أولاً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یقال بان غایة ما نقلناه من طوائف الروایات انما هو عدم ولایة الارحام فی النکاح والأموال فیبقی الباقی من شؤون القاصر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لصغر أو لجنون أو اغماء وغیرها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مندرجاً فی عموم ولایة أُولُوا الْأَرْحامِ بَعْضُهُمْ أَوْلی بِبَعْضٍ ، ویعضد ذلک ما مرّ فی التنبیهات السابقة من انّ حضانة الصغیر للام مع عدم الاب والجد الی أن یبلغ، مع ان الام لا ولایة لها فی الاموال ولا فی النکاح، ویعضد ذلک عموم ما حررناه فی ولایة التأدیب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أَنْفُسَکُمْ وَ أَهْلِیکُمْ مضافا الی انه مقتضی ضمان العاقلة لدیّة الخطأ، فان غرامتهم للدیّة وان کانت فی مقابل غنم</w:t>
      </w:r>
    </w:p>
    <w:p>
      <w:pPr>
        <w:pStyle w:val="BookText"/>
        <w:rPr/>
      </w:pPr>
      <w:r>
        <w:rPr>
          <w:rFonts w:ascii="IRNazanin" w:hAnsi="IRNazanin" w:eastAsia="IRNazanin"/>
          <w:color w:val="111111"/>
          <w:sz w:val="28"/>
          <w:sz w:val="28"/>
          <w:szCs w:val="28"/>
          <w:rtl w:val="true"/>
          <w:lang w:bidi="fa-IR"/>
        </w:rPr>
        <w:t>الارث لکنها نحو من المسؤولیة علی الارحام تجاه رحمهم، فالاوفق فی غیر الأموال والنکاح بین الوجوه هو مراعاة مباشرة الأرحام ونظارة الحاکم أو عدول المؤمنین، وقد تقدم ان الحضانة من حق الارحام بحسب الطبقات کما ذهب الیه المشهور أو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مما یشیر الی ان المستثنی من ولایة الارحام بعضهم ببعض هی فی أموال الصغیر والقاصر ونکاحه، ویعضد ذلک أیضاً ذهاب المشهور فی تجهیز المیت الی ولایة طبقات ذوی الأوحام لرعایة شؤونه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یدل علی عدم استقلال الأرحام فی الولایة علی القاصرین من الأرحام ما ورد فی قسمة المیراث بین الکبار والصغار، أنه مع عدم الحاکم الشرعی یقوم الثقة العادل مقامه، کما فی موثق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مات وله بنون وبنات صغار وکبار من غیر وصیة وله خدم وممالیک وعُقَد</w:t>
      </w:r>
      <w:r>
        <w:rPr>
          <w:rStyle w:val="FootnoteAnchor"/>
          <w:rtl w:val="true"/>
        </w:rPr>
        <w:footnoteReference w:id="627"/>
      </w:r>
      <w:r>
        <w:rPr>
          <w:rFonts w:ascii="IRNazanin" w:hAnsi="IRNazanin" w:eastAsia="IRNazanin"/>
          <w:color w:val="111111"/>
          <w:sz w:val="28"/>
          <w:sz w:val="28"/>
          <w:szCs w:val="28"/>
          <w:rtl w:val="true"/>
          <w:lang w:bidi="fa-IR"/>
        </w:rPr>
        <w:t>کیف یصنع الورثة بقسمة ذلک المیراث؟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قام رجل ثقة قاسمهم ذلک کله فلا</w:t>
      </w:r>
      <w:r>
        <w:rPr>
          <w:rStyle w:val="FootnoteAnchor"/>
          <w:rtl w:val="true"/>
        </w:rPr>
        <w:footnoteReference w:id="628"/>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صحیح علی بن رئاب وغیره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فی صحیح محمد بن مسلم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لابنه مال فیحتاج الأب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منه، فأما الام فلاتأکل منه الا</w:t>
      </w:r>
      <w:bookmarkStart w:id="529" w:name="pg13690_120791"/>
    </w:p>
    <w:p>
      <w:pPr>
        <w:pStyle w:val="BookText"/>
        <w:rPr/>
      </w:pPr>
      <w:bookmarkEnd w:id="529"/>
      <w:r>
        <w:rPr>
          <w:rFonts w:ascii="IRNazanin" w:hAnsi="IRNazanin" w:eastAsia="IRNazanin"/>
          <w:color w:val="111111"/>
          <w:sz w:val="28"/>
          <w:sz w:val="28"/>
          <w:szCs w:val="28"/>
          <w:rtl w:val="true"/>
          <w:lang w:bidi="fa-IR"/>
        </w:rPr>
        <w:t>قرضا علی نفسها</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ومثلها روایة ابن أبی یعفور</w:t>
      </w:r>
      <w:r>
        <w:rPr>
          <w:rStyle w:val="FootnoteAnchor"/>
          <w:rtl w:val="true"/>
        </w:rPr>
        <w:footnoteReference w:id="631"/>
      </w:r>
      <w:r>
        <w:rPr>
          <w:rFonts w:ascii="IRNazanin" w:hAnsi="IRNazanin" w:eastAsia="IRNazanin"/>
          <w:color w:val="111111"/>
          <w:sz w:val="28"/>
          <w:sz w:val="28"/>
          <w:szCs w:val="28"/>
          <w:rtl w:val="true"/>
          <w:lang w:bidi="fa-IR"/>
        </w:rPr>
        <w:t>قد یستظهر منها ولایة الأم فی التصرف فی مال الابن ولکن الأظهر دلالة الروایة علی الفرق بین الأب والأم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معتبرة محمد بن سنان أن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فی ما کتب من جواب مسائله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وعلة تحلیل مال الولد لوالده بغیر 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ومالک لأبیک، ولیس للوالدة مثل ذلک، لاتأخذ من ماله شیئاً الا باذنه أو باذن الأب، ولأن الوالد مأخوذ بنفقة الولدة ولا تؤخذ المرأة بنفقة ولدها</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أبی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الأحمق الذاهب العقل یجوز طلاق ولیه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لایطلق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لایؤمن ان طلق هو أن یقول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أطلق أو لایحسن ان یطلق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ولیّه الا بمنزلة السلطان</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ومثله معتبر شهاب بن عبد ربه</w:t>
      </w:r>
      <w:r>
        <w:rPr>
          <w:rFonts w:eastAsia="IRNazanin" w:cs="IRNazanin"/>
          <w:color w:val="111111"/>
          <w:sz w:val="28"/>
          <w:szCs w:val="28"/>
          <w:rtl w:val="true"/>
          <w:lang w:bidi="fa-IR"/>
        </w:rPr>
        <w:t>.</w:t>
      </w:r>
    </w:p>
    <w:p>
      <w:pPr>
        <w:pStyle w:val="Heading5"/>
        <w:numPr>
          <w:ilvl w:val="4"/>
          <w:numId w:val="1"/>
        </w:numPr>
        <w:rPr/>
      </w:pPr>
      <w:bookmarkStart w:id="530" w:name="__RefHeading___Toc907372_1468164448"/>
      <w:bookmarkStart w:id="531" w:name="_Toc205"/>
      <w:bookmarkEnd w:id="530"/>
      <w:r>
        <w:rPr>
          <w:rtl w:val="true"/>
        </w:rPr>
        <w:t>فرع</w:t>
      </w:r>
      <w:r>
        <w:rPr>
          <w:rtl w:val="true"/>
        </w:rPr>
        <w:t>:</w:t>
      </w:r>
      <w:bookmarkEnd w:id="53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بعض الاساطین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تنتهی الحضانة ببلوغ الولد رشیدا فاذا بلغ الرشد لیس لاحد حق الحضانة علیه، حتی الابوین فضلا عن غیرهما، بل هو مالک لنفسه وکان له الخیار فی الانضمام الی من شاء</w:t>
      </w:r>
    </w:p>
    <w:p>
      <w:pPr>
        <w:pStyle w:val="BookText"/>
        <w:rPr/>
      </w:pPr>
      <w:r>
        <w:rPr>
          <w:rFonts w:ascii="IRNazanin" w:hAnsi="IRNazanin" w:eastAsia="IRNazanin"/>
          <w:color w:val="111111"/>
          <w:sz w:val="28"/>
          <w:sz w:val="28"/>
          <w:szCs w:val="28"/>
          <w:rtl w:val="true"/>
          <w:lang w:bidi="fa-IR"/>
        </w:rPr>
        <w:t>منهما، أو من غیرهما ذکراً کان أو 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الولد بالغاً رشیداً فلاحق لاحد الوالدین فیه، والخیار الیه فی المقام عند من شاء منهما، والانتقال عنهما ذکراً کان أو انثی، غیر انّه یکره للبنت ان تفارق امها حتی تتزوج،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لها ان تفارق امها حتی تتزوج ویدخل بها الزوج</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ونظیر ذلک فی الشرائع والقواعد والمسالک وکذا عن ابن حمزة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ان تحدیدهم أمد الحضانة بالرشد دون مجرد البلوغ الوجه فیه عدم استقلال غیر الرشید فی التصرفات المالیة فلایمکنه رعایة نفسه، وتعبیر المبسوط والشرایع بولایة الابوین دون خصوص الحضانة اشمل لمطلق الرعایة لاسیما بعد ما مرّ من أن لکل من الأبوین نمط من الولایة یختلف عن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فللاب ولایة القیمومة والتأدیب وللام ولایة الحضانة والاکتناف، فکما تستمر حاجة البالغ غیر الرشید الی ولایة الاب فی تدبیر المال، فکذلک تستمر حاجته فی الکفالة والایواء، بل انّ جعل ولایة الاب علی الباکر البالغة الرشیدة فی الزواج بیان لاستمرار الحاجة فی الرعایة لقلّة التجربة وضعف الباکر حیاء عن الجرأة فی خوض ذلک المجال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یدل علی استمرار ولایة الأبوین الی الرشد بعد البلوغ مادلّ علی الحجر علی الصبی وعدم استقلاله بالولایة حتی یبلغ ویرشد، وکذا عدم مجازاته بالحدود قبل البلوغ کما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ابْتَلُوا الْیَتامی حَتّی إِذا</w:t>
      </w:r>
    </w:p>
    <w:p>
      <w:pPr>
        <w:pStyle w:val="BookText"/>
        <w:rPr/>
      </w:pPr>
      <w:r>
        <w:rPr>
          <w:rFonts w:ascii="Amiri" w:hAnsi="Amiri" w:eastAsia="Amiri" w:cs="Amiri"/>
          <w:color w:val="111111"/>
          <w:sz w:val="28"/>
          <w:sz w:val="28"/>
          <w:szCs w:val="28"/>
          <w:rtl w:val="true"/>
          <w:lang w:bidi="ar-SA"/>
        </w:rPr>
        <w:t xml:space="preserve">بَلَغُوا النِّکاحَ فَإِنْ آنَسْتُمْ مِنْهُمْ رُشْداً فَادْفَعُوا إِلَیْهِمْ أَمْوالَهُمْ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الروایات المستفیضة</w:t>
      </w:r>
      <w:r>
        <w:rPr>
          <w:rStyle w:val="FootnoteAnchor"/>
          <w:rtl w:val="true"/>
        </w:rPr>
        <w:footnoteReference w:id="635"/>
      </w:r>
      <w:r>
        <w:rPr>
          <w:rFonts w:ascii="IRNazanin" w:hAnsi="IRNazanin" w:eastAsia="IRNazanin"/>
          <w:color w:val="111111"/>
          <w:sz w:val="28"/>
          <w:sz w:val="28"/>
          <w:szCs w:val="28"/>
          <w:rtl w:val="true"/>
          <w:lang w:bidi="fa-IR"/>
        </w:rPr>
        <w:t>الواردة فی انقطاع الیتم بحیض الجاریة أو بلوغها التسعة وباحتلام الصبی أو بلوغه خمسة عشرة سنة وانّه حین ذاک تکتب علیه السیئات وتقام علیه الحدود، کما فصِّل الحال فی مسألة أحکام الصبی فی المعاملات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الظاهر انّ رعایة ومسؤولیة الصدّ عن المنکر والأمر بالمعروف والتی هی نمط من التأدیب تکون ألصق واوجب ما تکون علی الاب لعموم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 أَنْفُسَکُمْ وَ أَهْلِیکُمْ کما ان استحقاق الاب للتصرف فی أموال الولد البالغ الرشید عند حاجة الاب وحرمة عقوق الولد لأبیه هی جملة من الأحکام التی تبقی صلة للرحم فی نطاق ونمط ولایة اولی الأرحام بعضهم لبعض، فهی وان لم تکن ولایة قیمومة الا أنها ولایة تکافل وتناصر وتآزر بین اولی الأرحام ومن هذا الباب وجوب النفقة علی العمودین کما هو مقرر فی بحث النفاقات</w:t>
      </w:r>
      <w:r>
        <w:rPr>
          <w:rFonts w:eastAsia="IRNazanin" w:cs="IRNazanin"/>
          <w:color w:val="111111"/>
          <w:sz w:val="28"/>
          <w:szCs w:val="28"/>
          <w:rtl w:val="true"/>
          <w:lang w:bidi="fa-IR"/>
        </w:rPr>
        <w:t>.</w:t>
      </w:r>
      <w:bookmarkStart w:id="532" w:name="pg13690_120794"/>
    </w:p>
    <w:p>
      <w:pPr>
        <w:pStyle w:val="Heading2"/>
        <w:numPr>
          <w:ilvl w:val="1"/>
          <w:numId w:val="1"/>
        </w:numPr>
        <w:rPr/>
      </w:pPr>
      <w:bookmarkStart w:id="533" w:name="__RefHeading___Toc907374_1468164448"/>
      <w:bookmarkStart w:id="534" w:name="_Toc206"/>
      <w:bookmarkEnd w:id="532"/>
      <w:bookmarkEnd w:id="533"/>
      <w:r>
        <w:rPr>
          <w:rtl w:val="true"/>
        </w:rPr>
        <w:t>قاعدة</w:t>
      </w:r>
      <w:r>
        <w:rPr>
          <w:rtl w:val="true"/>
        </w:rPr>
        <w:t>:</w:t>
      </w:r>
      <w:r>
        <w:rPr>
          <w:rtl w:val="true"/>
        </w:rPr>
        <w:t>فی حرمة وقوع الفتنة الشهویة</w:t>
      </w:r>
      <w:bookmarkEnd w:id="53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5" w:name="__RefHeading___Toc907376_1468164448"/>
      <w:bookmarkStart w:id="536" w:name="_Toc207"/>
      <w:bookmarkEnd w:id="535"/>
      <w:r>
        <w:rPr>
          <w:rtl w:val="true"/>
        </w:rPr>
        <w:t>اشارة</w:t>
      </w:r>
      <w:bookmarkStart w:id="537" w:name="pg13690_120796"/>
      <w:bookmarkEnd w:id="536"/>
    </w:p>
    <w:p>
      <w:pPr>
        <w:pStyle w:val="Heading3"/>
        <w:numPr>
          <w:ilvl w:val="2"/>
          <w:numId w:val="1"/>
        </w:numPr>
        <w:rPr/>
      </w:pPr>
      <w:bookmarkStart w:id="538" w:name="__RefHeading___Toc907378_1468164448"/>
      <w:bookmarkStart w:id="539" w:name="_Toc208"/>
      <w:bookmarkEnd w:id="537"/>
      <w:bookmarkEnd w:id="538"/>
      <w:r>
        <w:rPr>
          <w:rtl w:val="true"/>
        </w:rPr>
        <w:t>من قواعد باب النکاح</w:t>
      </w:r>
      <w:r>
        <w:rPr>
          <w:rtl w:val="true"/>
        </w:rPr>
        <w:t>:</w:t>
      </w:r>
      <w:r>
        <w:rPr>
          <w:rtl w:val="true"/>
        </w:rPr>
        <w:t>فی حرمة وقوع الفتنة الشهویة</w:t>
      </w:r>
      <w:bookmarkEnd w:id="539"/>
    </w:p>
    <w:p>
      <w:pPr>
        <w:pStyle w:val="Heading4"/>
        <w:numPr>
          <w:ilvl w:val="3"/>
          <w:numId w:val="1"/>
        </w:numPr>
        <w:rPr/>
      </w:pPr>
      <w:bookmarkStart w:id="540" w:name="__RefHeading___Toc907380_1468164448"/>
      <w:bookmarkStart w:id="541" w:name="_Toc209"/>
      <w:bookmarkEnd w:id="540"/>
      <w:r>
        <w:rPr>
          <w:rtl w:val="true"/>
        </w:rPr>
        <w:t>اشارة</w:t>
      </w:r>
      <w:bookmarkEnd w:id="541"/>
    </w:p>
    <w:p>
      <w:pPr>
        <w:pStyle w:val="BookText"/>
        <w:rPr/>
      </w:pPr>
      <w:r>
        <w:rPr>
          <w:rFonts w:ascii="IRNazanin" w:hAnsi="IRNazanin" w:eastAsia="IRNazanin"/>
          <w:color w:val="111111"/>
          <w:sz w:val="28"/>
          <w:sz w:val="28"/>
          <w:szCs w:val="28"/>
          <w:rtl w:val="true"/>
          <w:lang w:bidi="fa-IR"/>
        </w:rPr>
        <w:t>و موردها إما النظر أو اللمس أو السمع أو الشم ومطلق الخلطة والمباشرة ولو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عرض ادلة القاعدة نبین معنی الریبة</w:t>
      </w:r>
      <w:r>
        <w:rPr>
          <w:rFonts w:eastAsia="IRNazanin" w:cs="IRNazanin"/>
          <w:color w:val="111111"/>
          <w:sz w:val="28"/>
          <w:szCs w:val="28"/>
          <w:rtl w:val="true"/>
          <w:lang w:bidi="fa-IR"/>
        </w:rPr>
        <w:t>.</w:t>
      </w:r>
    </w:p>
    <w:p>
      <w:pPr>
        <w:pStyle w:val="Heading4"/>
        <w:numPr>
          <w:ilvl w:val="3"/>
          <w:numId w:val="1"/>
        </w:numPr>
        <w:rPr/>
      </w:pPr>
      <w:bookmarkStart w:id="542" w:name="__RefHeading___Toc907382_1468164448"/>
      <w:bookmarkStart w:id="543" w:name="_Toc210"/>
      <w:bookmarkEnd w:id="542"/>
      <w:r>
        <w:rPr>
          <w:rtl w:val="true"/>
        </w:rPr>
        <w:t>معنی الریبة</w:t>
      </w:r>
      <w:r>
        <w:rPr>
          <w:rtl w:val="true"/>
        </w:rPr>
        <w:t>:</w:t>
      </w:r>
      <w:bookmarkEnd w:id="543"/>
    </w:p>
    <w:p>
      <w:pPr>
        <w:pStyle w:val="Heading5"/>
        <w:numPr>
          <w:ilvl w:val="4"/>
          <w:numId w:val="1"/>
        </w:numPr>
        <w:rPr/>
      </w:pPr>
      <w:bookmarkStart w:id="544" w:name="__RefHeading___Toc907384_1468164448"/>
      <w:bookmarkStart w:id="545" w:name="_Toc211"/>
      <w:bookmarkEnd w:id="544"/>
      <w:r>
        <w:rPr>
          <w:rtl w:val="true"/>
        </w:rPr>
        <w:t>کلمات اهل اللغة</w:t>
      </w:r>
      <w:r>
        <w:rPr>
          <w:rtl w:val="true"/>
        </w:rPr>
        <w:t>:</w:t>
      </w:r>
      <w:bookmarkEnd w:id="545"/>
    </w:p>
    <w:p>
      <w:pPr>
        <w:pStyle w:val="BookText"/>
        <w:rPr/>
      </w:pPr>
      <w:r>
        <w:rPr>
          <w:rFonts w:ascii="IRNazanin" w:hAnsi="IRNazanin" w:eastAsia="IRNazanin"/>
          <w:color w:val="111111"/>
          <w:sz w:val="28"/>
          <w:sz w:val="28"/>
          <w:szCs w:val="28"/>
          <w:rtl w:val="true"/>
          <w:lang w:bidi="fa-IR"/>
        </w:rPr>
        <w:t>قال فی مجمع البحرین فی مادة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الریبة قلق النفس واضطرابها</w:t>
      </w:r>
      <w:r>
        <w:rPr>
          <w:rStyle w:val="FootnoteAnchor"/>
          <w:rtl w:val="true"/>
        </w:rPr>
        <w:footnoteReference w:id="636"/>
      </w:r>
      <w:r>
        <w:rPr>
          <w:rFonts w:ascii="IRNazanin" w:hAnsi="IRNazanin" w:eastAsia="IRNazanin"/>
          <w:color w:val="111111"/>
          <w:sz w:val="28"/>
          <w:sz w:val="28"/>
          <w:szCs w:val="28"/>
          <w:rtl w:val="true"/>
          <w:lang w:bidi="fa-IR"/>
        </w:rPr>
        <w:t>، وقال 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أهل الحجاز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فتنته المرأة إذا ولّهته وأحبها، وفتن إلی النساء فتوناً وفتن إلیهن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الفجور بهن، والفتنة إعجابک بالشیء، فتن الرجل یفتن فتوناً إذا أراد الفجور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فتنت فلانة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أمالته عن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والفتنة الفضیحة، وجاء فی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ترکت فتنة أضر علی الرجال من النساء،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یعجبوا بهن، فیشتغلوا عن الآخرة والعمل لها</w:t>
      </w:r>
      <w:r>
        <w:rPr>
          <w:rStyle w:val="FootnoteAnchor"/>
          <w:rtl w:val="true"/>
        </w:rPr>
        <w:footnoteReference w:id="637"/>
      </w:r>
      <w:r>
        <w:rPr>
          <w:rFonts w:ascii="IRNazanin" w:hAnsi="IRNazanin" w:eastAsia="IRNazanin"/>
          <w:color w:val="111111"/>
          <w:sz w:val="28"/>
          <w:sz w:val="28"/>
          <w:szCs w:val="28"/>
          <w:rtl w:val="true"/>
          <w:lang w:bidi="fa-IR"/>
        </w:rPr>
        <w:t>کلمات الفقهاء</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کشف 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الریبة ما یخطر بالبال من النظر دون التلذذ به ، أو</w:t>
      </w:r>
    </w:p>
    <w:p>
      <w:pPr>
        <w:pStyle w:val="BookText"/>
        <w:rPr/>
      </w:pPr>
      <w:r>
        <w:rPr>
          <w:rFonts w:ascii="IRNazanin" w:hAnsi="IRNazanin" w:eastAsia="IRNazanin"/>
          <w:color w:val="111111"/>
          <w:sz w:val="28"/>
          <w:sz w:val="28"/>
          <w:szCs w:val="28"/>
          <w:rtl w:val="true"/>
          <w:lang w:bidi="fa-IR"/>
        </w:rPr>
        <w:t xml:space="preserve">خوف افتتان، ویمکن تعمیم الریبة للافتتان، لأنها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 الاضطراب</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الریبة خوف الوقوع معها فی محرم، ولعله هو المعبر عنه بخوف الفتنة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 فیه جواز النظر فقد قیده الأکثر بعدم التلذذ والریبة، المفسّر تارة بما یخطر بالبال من المفاسد، وأخری بخوف الوقوع فی المحرم، وثالثة بخوف الفتنة والفساد والوقوع فی موضع التهمة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دلائل الإمامة للطبری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فبقی یلح النظر إلیها،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هل لک فیها من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الأوصیاء لسنا ننظر نظر ریبة ولکنا ننظر تعجباً، أن المولود الکریم علی الله یکون منها</w:t>
      </w:r>
      <w:r>
        <w:rPr>
          <w:rFonts w:eastAsia="IRNazanin" w:cs="IRNazanin"/>
          <w:color w:val="111111"/>
          <w:sz w:val="28"/>
          <w:szCs w:val="28"/>
          <w:rtl w:val="true"/>
          <w:lang w:bidi="fa-IR"/>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صاحب الجواهر والمستند علی حرمة النظر بریبة بالإجماع، وتسالم الأصحاب وبأنه القدر المتیقن من إشعار الروایات الواردة فی النظر، بل صریح بعضها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ورد فی نظر المملوک إلی سیّدته،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ینظر إلی شعرها إذا کان مأموناً</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546" w:name="pg13690_120798"/>
    </w:p>
    <w:p>
      <w:pPr>
        <w:pStyle w:val="BookText"/>
        <w:rPr/>
      </w:pPr>
      <w:bookmarkEnd w:id="546"/>
      <w:r>
        <w:rPr>
          <w:rFonts w:ascii="IRNazanin" w:hAnsi="IRNazanin" w:eastAsia="IRNazanin"/>
          <w:color w:val="111111"/>
          <w:sz w:val="28"/>
          <w:sz w:val="28"/>
          <w:szCs w:val="28"/>
          <w:rtl w:val="true"/>
          <w:lang w:bidi="fa-IR"/>
        </w:rPr>
        <w:t>وفی حسنة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یکره أن یسلم علی الشابة من النساء،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أتخوف أن یعجبنی صوتها، فیدخل من الإثم علی أکثر مما طلبت من الأجر</w:t>
      </w:r>
      <w:r>
        <w:rPr>
          <w:rFonts w:eastAsia="IRNazanin" w:cs="IRNazanin"/>
          <w:color w:val="111111"/>
          <w:sz w:val="28"/>
          <w:szCs w:val="28"/>
          <w:rtl w:val="true"/>
          <w:lang w:bidi="fa-IR"/>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صحیحة ابنی عمار ویعقوب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للمرأة أن ینظر عبدها إلی شیء من جسدها، إلّا إلی شعرها غیر متعمّد لذلک</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من الروایات الواردة فی الریبة وممنوعیتها روایة الفضل عن أبیه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الروایات أیضاً، أن النظرة من سهام إبلیس، وأن النظرة بعد النظرة تزرع فی القلب الشهوة وکفی بصاحبها فتنة</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المحصل من الکلمات المتقدّمة فی تعریف الریبة ثلاثة تعاریف</w:t>
      </w:r>
      <w:r>
        <w:rPr>
          <w:rFonts w:eastAsia="IRNazanin" w:cs="IRNazanin"/>
          <w:color w:val="111111"/>
          <w:sz w:val="28"/>
          <w:szCs w:val="28"/>
          <w:rtl w:val="true"/>
          <w:lang w:bidi="fa-IR"/>
        </w:rPr>
        <w:t>:</w:t>
      </w:r>
    </w:p>
    <w:p>
      <w:pPr>
        <w:pStyle w:val="Heading5"/>
        <w:numPr>
          <w:ilvl w:val="4"/>
          <w:numId w:val="1"/>
        </w:numPr>
        <w:rPr/>
      </w:pPr>
      <w:bookmarkStart w:id="547" w:name="__RefHeading___Toc907386_1468164448"/>
      <w:bookmarkStart w:id="548" w:name="_Toc212"/>
      <w:bookmarkEnd w:id="547"/>
      <w:r>
        <w:rPr>
          <w:rtl w:val="true"/>
        </w:rPr>
        <w:t>المعنی الأوّل</w:t>
      </w:r>
      <w:r>
        <w:rPr>
          <w:rtl w:val="true"/>
        </w:rPr>
        <w:t xml:space="preserve">: </w:t>
      </w:r>
      <w:r>
        <w:rPr>
          <w:rtl w:val="true"/>
        </w:rPr>
        <w:t>خوف الوقوع فی الحرام</w:t>
      </w:r>
      <w:r>
        <w:rPr>
          <w:rtl w:val="true"/>
        </w:rPr>
        <w:t>:</w:t>
      </w:r>
      <w:bookmarkEnd w:id="54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التعریف یشمل بإطلاقه ما لو کان الحرام هو النظر بتلذذ، فابتداء النظر وإن لم یکن بتلذذ إلّا أن خوف الوقوع فی التلذذ بقاءً یشمله التعریف، وإن کان یستظهر من هذا التعریف خصوص الأفعال الأخری من التقبیل واللمس والزنا، لکن إطلاق عنوان الحرام شامل لذلک، وعلی ضوء ذلک، فیکون غالب النظر ولو ابتداءً تتحقق فیه الریبة، فیوافق قول المشهور فی حرمة النظر مطلقاً، عدا ما کان ابتداءً عفویاً</w:t>
      </w:r>
      <w:r>
        <w:rPr>
          <w:rFonts w:eastAsia="IRNazanin" w:cs="IRNazanin"/>
          <w:color w:val="111111"/>
          <w:sz w:val="28"/>
          <w:szCs w:val="28"/>
          <w:rtl w:val="true"/>
          <w:lang w:bidi="fa-IR"/>
        </w:rPr>
        <w:t>.</w:t>
      </w:r>
      <w:bookmarkStart w:id="549" w:name="pg13690_120799"/>
    </w:p>
    <w:p>
      <w:pPr>
        <w:pStyle w:val="Heading5"/>
        <w:numPr>
          <w:ilvl w:val="4"/>
          <w:numId w:val="1"/>
        </w:numPr>
        <w:rPr/>
      </w:pPr>
      <w:bookmarkStart w:id="550" w:name="__RefHeading___Toc907388_1468164448"/>
      <w:bookmarkStart w:id="551" w:name="_Toc213"/>
      <w:bookmarkEnd w:id="549"/>
      <w:bookmarkEnd w:id="550"/>
      <w:r>
        <w:rPr>
          <w:rtl w:val="true"/>
        </w:rPr>
        <w:t>المعنی الثانی</w:t>
      </w:r>
      <w:r>
        <w:rPr>
          <w:rtl w:val="true"/>
        </w:rPr>
        <w:t xml:space="preserve">: </w:t>
      </w:r>
      <w:r>
        <w:rPr>
          <w:rtl w:val="true"/>
        </w:rPr>
        <w:t>ما یخطر بالبال من النظر دون التلذذ به</w:t>
      </w:r>
      <w:r>
        <w:rPr>
          <w:rtl w:val="true"/>
        </w:rPr>
        <w:t>:</w:t>
      </w:r>
      <w:bookmarkEnd w:id="551"/>
    </w:p>
    <w:p>
      <w:pPr>
        <w:pStyle w:val="BookText"/>
        <w:rPr/>
      </w:pPr>
      <w:r>
        <w:rPr>
          <w:rFonts w:ascii="IRNazanin" w:hAnsi="IRNazanin" w:eastAsia="IRNazanin"/>
          <w:color w:val="111111"/>
          <w:sz w:val="28"/>
          <w:sz w:val="28"/>
          <w:szCs w:val="28"/>
          <w:rtl w:val="true"/>
          <w:lang w:bidi="fa-IR"/>
        </w:rPr>
        <w:t>وقد یعبّر عنه ما یخطر فی البال عند النظر من المیل إلی الوقوع فی الحرام مع المنظور إلیه من تقبیل ونحوه، فالأخذ بإطلاقه أیضاً یقرب من المحصل من التعریف الأوّل، حیث إن مطلق المیل یقارب ویساور ویصدق علی بدایات الشوق للالتذاذ بالنظر وإن لم یقع الالتذاذ، وإذا جعلنا محور التعریف ما یخطر بالبال بسبب النظر من الخواطر الباعثة للتلذذ، فدائرة الریبة تقرب أیضاً مما تقدّم، لا سیما مع إطلاق عنوان الحرام فی التعبیر الآخر علی القول الثانی الشامل للتلذذ</w:t>
      </w:r>
      <w:r>
        <w:rPr>
          <w:rFonts w:eastAsia="IRNazanin" w:cs="IRNazanin"/>
          <w:color w:val="111111"/>
          <w:sz w:val="28"/>
          <w:szCs w:val="28"/>
          <w:rtl w:val="true"/>
          <w:lang w:bidi="fa-IR"/>
        </w:rPr>
        <w:t>.</w:t>
      </w:r>
    </w:p>
    <w:p>
      <w:pPr>
        <w:pStyle w:val="Heading5"/>
        <w:numPr>
          <w:ilvl w:val="4"/>
          <w:numId w:val="1"/>
        </w:numPr>
        <w:rPr/>
      </w:pPr>
      <w:bookmarkStart w:id="552" w:name="__RefHeading___Toc907390_1468164448"/>
      <w:bookmarkStart w:id="553" w:name="_Toc214"/>
      <w:bookmarkEnd w:id="552"/>
      <w:r>
        <w:rPr>
          <w:rtl w:val="true"/>
        </w:rPr>
        <w:t>المعنی الثالث</w:t>
      </w:r>
      <w:r>
        <w:rPr>
          <w:rtl w:val="true"/>
        </w:rPr>
        <w:t xml:space="preserve">: </w:t>
      </w:r>
      <w:r>
        <w:rPr>
          <w:rtl w:val="true"/>
        </w:rPr>
        <w:t>خوف الافتتان</w:t>
      </w:r>
      <w:r>
        <w:rPr>
          <w:rtl w:val="true"/>
        </w:rPr>
        <w:t>:</w:t>
      </w:r>
      <w:bookmarkEnd w:id="553"/>
    </w:p>
    <w:p>
      <w:pPr>
        <w:pStyle w:val="BookText"/>
        <w:rPr/>
      </w:pPr>
      <w:r>
        <w:rPr>
          <w:rFonts w:ascii="IRNazanin" w:hAnsi="IRNazanin" w:eastAsia="IRNazanin"/>
          <w:color w:val="111111"/>
          <w:sz w:val="28"/>
          <w:sz w:val="28"/>
          <w:szCs w:val="28"/>
          <w:rtl w:val="true"/>
          <w:lang w:bidi="fa-IR"/>
        </w:rPr>
        <w:t>وهو خوف الافتتان، فقد مرّ فی تعریف اللغویین أنه تارة بمعنی الوله وشوق النفس الشدید، وأخری بمعنی الإعجاب، وثالثة بمعنی الإمالة، ورابعة ما یخاف أن لو اطلع علیه غیره یقبحه ویذمه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ذکر بعض أعلام العصر أن النظر بریبة هو المیل النفسانی للوقوع بمحرم مع المنظور إلیه، وإن لم یصل إلی درجة الخوف من الوقوع فیه، وأن التلذذ أن یحس فی قلبه بوجود لذة محرمة، سواء من النظر أو السماع أو الشم أو غیرها، فهو یتشهّاها ویطلب المزید منها، وهی مختلفة المراتب بخلاف اللذة المحللة</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للتقیید بالریبة بالإضافة إلی ما تقدّم بروایة الفقه الرضوی</w:t>
      </w:r>
      <w:r>
        <w:rPr>
          <w:rStyle w:val="FootnoteAnchor"/>
          <w:rtl w:val="true"/>
        </w:rPr>
        <w:footnoteReference w:id="647"/>
      </w:r>
      <w:bookmarkStart w:id="554" w:name="pg13690_120800"/>
    </w:p>
    <w:p>
      <w:pPr>
        <w:pStyle w:val="BookText"/>
        <w:rPr/>
      </w:pPr>
      <w:bookmarkEnd w:id="554"/>
      <w:r>
        <w:rPr>
          <w:rFonts w:ascii="IRNazanin" w:hAnsi="IRNazanin" w:eastAsia="IRNazanin"/>
          <w:color w:val="111111"/>
          <w:sz w:val="28"/>
          <w:sz w:val="28"/>
          <w:szCs w:val="28"/>
          <w:rtl w:val="true"/>
          <w:lang w:bidi="fa-IR"/>
        </w:rPr>
        <w:t xml:space="preserve">المرویة عند العامة أیضاً، حیث جعل الرسول صلی الله علیه و آله یده علی وجه الفضل بن عباس یستره من النظر إلی أخت الأعرابی، وعلل ذلک فی طرق العامة للروایة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أخاف أن یدخل الشیطان بینهما</w:t>
      </w:r>
      <w:r>
        <w:rPr>
          <w:rFonts w:eastAsia="IRNazanin" w:cs="IRNazanin"/>
          <w:color w:val="111111"/>
          <w:sz w:val="28"/>
          <w:szCs w:val="28"/>
          <w:rtl w:val="true"/>
          <w:lang w:bidi="fa-IR"/>
        </w:rPr>
        <w:t>».</w:t>
      </w:r>
    </w:p>
    <w:p>
      <w:pPr>
        <w:pStyle w:val="Heading4"/>
        <w:numPr>
          <w:ilvl w:val="3"/>
          <w:numId w:val="1"/>
        </w:numPr>
        <w:rPr/>
      </w:pPr>
      <w:bookmarkStart w:id="555" w:name="__RefHeading___Toc907392_1468164448"/>
      <w:bookmarkStart w:id="556" w:name="_Toc215"/>
      <w:bookmarkEnd w:id="555"/>
      <w:r>
        <w:rPr>
          <w:rtl w:val="true"/>
        </w:rPr>
        <w:t xml:space="preserve">أدلة القاعدة </w:t>
      </w:r>
      <w:r>
        <w:rPr>
          <w:rtl w:val="true"/>
        </w:rPr>
        <w:t>:</w:t>
      </w:r>
      <w:bookmarkEnd w:id="556"/>
    </w:p>
    <w:p>
      <w:pPr>
        <w:pStyle w:val="Heading5"/>
        <w:numPr>
          <w:ilvl w:val="4"/>
          <w:numId w:val="1"/>
        </w:numPr>
        <w:rPr/>
      </w:pPr>
      <w:bookmarkStart w:id="557" w:name="__RefHeading___Toc907394_1468164448"/>
      <w:bookmarkStart w:id="558" w:name="_Toc216"/>
      <w:bookmarkEnd w:id="557"/>
      <w:r>
        <w:rPr>
          <w:rtl w:val="true"/>
        </w:rPr>
        <w:t xml:space="preserve">اولا </w:t>
      </w:r>
      <w:r>
        <w:rPr>
          <w:rtl w:val="true"/>
        </w:rPr>
        <w:t xml:space="preserve">: </w:t>
      </w:r>
      <w:r>
        <w:rPr>
          <w:rtl w:val="true"/>
        </w:rPr>
        <w:t>الآیات الکریمة</w:t>
      </w:r>
      <w:r>
        <w:rPr>
          <w:rtl w:val="true"/>
        </w:rPr>
        <w:t>:</w:t>
      </w:r>
      <w:bookmarkEnd w:id="558"/>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هُمْ لِفُرُوجِهِمْ حافِظُونَ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وبهذه الدرجة من الافتتان یکون مندرجاً فی الالتذاذ، وبالتالی فالفتنة الجنسیة تندرج فی عموم تحریم الآیة، وبالتالی فقاعدة حرمة الفتنة فی الشهوة تندرج فی عموم حرمة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واستدل أیضاً بطائفة من الآیات الواردة فی الأحکام،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تَخْضَعْنَ بِالْقَوْلِ فَیَطْمَعَ الَّذِی فِی قَلْبِهِ مَرَضٌ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والآیة تتعرض إلی ما یثیر الفتنة من جهة کیفیة الصوت أو من جهة مادة الکلام ومضمونه، نظیر ما قیل فی الغناء أنه لا ینحصر بالکیفیة، بل یعم المضمون أیضاً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یَضْرِبْنَ بِأَرْجُلِهِنَّ لِیُعْلَمَ ما یُخْفِینَ مِنْ زِینَتِهِنَّ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59" w:name="pg13690_120801"/>
    </w:p>
    <w:p>
      <w:pPr>
        <w:pStyle w:val="BookText"/>
        <w:rPr/>
      </w:pPr>
      <w:bookmarkEnd w:id="559"/>
      <w:r>
        <w:rPr>
          <w:rFonts w:ascii="Amiri" w:hAnsi="Amiri" w:eastAsia="Amiri" w:cs="Amiri"/>
          <w:color w:val="111111"/>
          <w:sz w:val="28"/>
          <w:sz w:val="28"/>
          <w:szCs w:val="28"/>
          <w:rtl w:val="true"/>
          <w:lang w:bidi="ar-SA"/>
        </w:rPr>
        <w:t>وکذا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لا تُواعِدُوهُنَّ سِرًّا إِلاّ أَنْ تَقُولُوا قَوْلاً مَعْرُوفاً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907396_1468164448"/>
      <w:bookmarkStart w:id="561" w:name="_Toc217"/>
      <w:bookmarkEnd w:id="560"/>
      <w:r>
        <w:rPr>
          <w:rtl w:val="true"/>
        </w:rPr>
        <w:t xml:space="preserve">ثانیا </w:t>
      </w:r>
      <w:r>
        <w:rPr>
          <w:rtl w:val="true"/>
        </w:rPr>
        <w:t xml:space="preserve">: </w:t>
      </w:r>
      <w:r>
        <w:rPr>
          <w:rtl w:val="true"/>
        </w:rPr>
        <w:t xml:space="preserve">الروایات </w:t>
      </w:r>
      <w:r>
        <w:rPr>
          <w:rtl w:val="true"/>
        </w:rPr>
        <w:t>.</w:t>
      </w:r>
      <w:bookmarkEnd w:id="561"/>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الکاهلی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النظرة بعد النظرة تزرع فی القلب الشهوة وکفی بها لصاحبها فتنة</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والفتنة تکون تعلیل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فیثبت أن النظرة الثانیة حرام، وهذه الروایات بصدد بیان موضوع الحرمة، ولو بقرائن خارجیة، وبیان النظرة المحرمة والتعلیل لشیء محرم، فیظهر من الصحیح التعلیل لمورد التحریم فی النظر بأنه فی معرض تولید الشهوة الذی هو مصداق الفتنة، فهذا التعلیل نص بإطار عنوان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ونظیر ذلک ما فی روایة الأربعمائة المشهورة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أول نظرة إلی المرأة فلا تتبعوها نظرة أخری واحذروا الفتنة</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المستدرک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ذهاب النظر خیر من النظر إلی ما یوجب الفتنة</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وفیه أیضاً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اللحظ رائد الفتن</w:t>
      </w:r>
      <w:r>
        <w:rPr>
          <w:rFonts w:eastAsia="IRNazanin" w:cs="IRNazanin"/>
          <w:color w:val="111111"/>
          <w:sz w:val="28"/>
          <w:szCs w:val="28"/>
          <w:rtl w:val="true"/>
          <w:lang w:bidi="fa-IR"/>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وفسّرت الریبة والفتنة فی باب التشبیب الذی ذکروه فی المکاسب المحرمة بما یوجب ولو بعیداً تهییج القوی الشهویة من غیر الحلیل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واستدلوا علی تلک القاعدة أیضاً مضافاً إلی ما تقدّم فی باب التشبیب بموثّقة السکونی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یحجم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یحسن یصف فلا</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وکذا بصحیح حفص بن البختری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للمرأة أن تنکشف بین یدی الیهودیة والنصرانیة، فإنهن یصفن لأزواجهن</w:t>
      </w:r>
      <w:r>
        <w:rPr>
          <w:rFonts w:eastAsia="IRNazanin" w:cs="IRNazanin"/>
          <w:color w:val="111111"/>
          <w:sz w:val="28"/>
          <w:szCs w:val="28"/>
          <w:rtl w:val="true"/>
          <w:lang w:bidi="fa-IR"/>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وبما ورد من التعلیل فی المنع عن الخلوة بالأجنبیة، حیث جاء فی بعضها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تحول منه فإن الرجل والمرأة إذا خلیا فی بیت کان ثالثهما الشیطان</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روایات أخری فی أبواب مقدمات النکاح، کصحیح أو معتبرة مسمع بن أبی سیار</w:t>
      </w:r>
      <w:r>
        <w:rPr>
          <w:rStyle w:val="FootnoteAnchor"/>
          <w:rtl w:val="true"/>
        </w:rPr>
        <w:footnoteReference w:id="655"/>
      </w:r>
      <w:r>
        <w:rPr>
          <w:rFonts w:ascii="IRNazanin" w:hAnsi="IRNazanin" w:eastAsia="IRNazanin"/>
          <w:color w:val="111111"/>
          <w:sz w:val="28"/>
          <w:sz w:val="28"/>
          <w:szCs w:val="28"/>
          <w:rtl w:val="true"/>
          <w:lang w:bidi="fa-IR"/>
        </w:rPr>
        <w:t>وهکذا أبواب الأمر بالمعروف</w:t>
      </w:r>
      <w:r>
        <w:rPr>
          <w:rStyle w:val="FootnoteAnchor"/>
          <w:rtl w:val="true"/>
        </w:rPr>
        <w:footnoteReference w:id="656"/>
      </w:r>
      <w:r>
        <w:rPr>
          <w:rFonts w:ascii="IRNazanin" w:hAnsi="IRNazanin" w:eastAsia="IRNazanin"/>
          <w:color w:val="111111"/>
          <w:sz w:val="28"/>
          <w:sz w:val="28"/>
          <w:szCs w:val="28"/>
          <w:rtl w:val="true"/>
          <w:lang w:bidi="fa-IR"/>
        </w:rPr>
        <w:t>، بل قد ورد من الأحکام ما یشیر إلی بیان العزلة بین الطرفین ولو من بعد، کما فی کراهة جلوس الرجل فی مکان المرأة حتی یبرد المکان کما فی موثّقة السکونی</w:t>
      </w:r>
      <w:r>
        <w:rPr>
          <w:rStyle w:val="FootnoteAnchor"/>
          <w:rtl w:val="true"/>
        </w:rPr>
        <w:footnoteReference w:id="6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صحیحة ابن أبی یعفور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تعرف عدالة الرجل بین المسلمین حتی تقبل شهادته لهم وعلیهم،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تعرفوه بالستر والعفاف وکف البطن والفرج والید واللسان</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 فغیر العفیف یخل بالعدالة، وما یخل بالعدالة وجوبی، فما یؤخذ فی حد العدالة لا بدّ أن یکون حکماً إلزامیاً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أفتی الأصحاب بأن خضوع المرأة فی الصوت بتغنج یحرم، وکذلک مفاکهة الرجل للمرأة، وما قد یعبّر عنه بالرفث فی الکلام بین الأجنبی والأجنبیة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ومجمل هذه الأحکام أعزاها الأصحاب إلی أنها منحدرة من أصل تشریعی فوقی، وهو ما دل علی حرمة الفحشاء ولزوم العفاف بین المؤمنین،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 بِالْعَدْلِ وَ الْإِحْسانِ وَ إِیتاءِ ذِی الْقُرْبی وَ یَنْهی عَنِ الْفَحْشاءِ وَ الْمُنْکَرِ وَ الْبَغْیِ یَعِظُکُمْ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 الْآخِرَةِ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الفتنة، وهی من أدلة حرمة النظر المبحوثة فی محلها من کتاب النکاح</w:t>
      </w:r>
      <w:r>
        <w:rPr>
          <w:rFonts w:eastAsia="IRNazanin" w:cs="IRNazanin"/>
          <w:color w:val="111111"/>
          <w:sz w:val="28"/>
          <w:szCs w:val="28"/>
          <w:rtl w:val="true"/>
          <w:lang w:bidi="fa-IR"/>
        </w:rPr>
        <w:t>.</w:t>
      </w:r>
      <w:bookmarkStart w:id="562" w:name="pg13690_120804"/>
    </w:p>
    <w:p>
      <w:pPr>
        <w:pStyle w:val="Heading2"/>
        <w:numPr>
          <w:ilvl w:val="1"/>
          <w:numId w:val="1"/>
        </w:numPr>
        <w:rPr/>
      </w:pPr>
      <w:bookmarkStart w:id="563" w:name="__RefHeading___Toc907398_1468164448"/>
      <w:bookmarkStart w:id="564" w:name="_Toc218"/>
      <w:bookmarkEnd w:id="562"/>
      <w:bookmarkEnd w:id="563"/>
      <w:r>
        <w:rPr>
          <w:rtl w:val="true"/>
        </w:rPr>
        <w:t>قاعدة</w:t>
      </w:r>
      <w:r>
        <w:rPr>
          <w:rtl w:val="true"/>
        </w:rPr>
        <w:t>:</w:t>
      </w:r>
      <w:r>
        <w:rPr>
          <w:rtl w:val="true"/>
        </w:rPr>
        <w:t>عدم بطلان الإحرام ببطلان النسک</w:t>
      </w:r>
      <w:bookmarkEnd w:id="564"/>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5" w:name="__RefHeading___Toc907400_1468164448"/>
      <w:bookmarkStart w:id="566" w:name="_Toc219"/>
      <w:bookmarkEnd w:id="565"/>
      <w:r>
        <w:rPr>
          <w:rtl w:val="true"/>
        </w:rPr>
        <w:t>اشارة</w:t>
      </w:r>
      <w:bookmarkStart w:id="567" w:name="pg13690_120806"/>
      <w:bookmarkEnd w:id="566"/>
    </w:p>
    <w:p>
      <w:pPr>
        <w:pStyle w:val="Heading3"/>
        <w:numPr>
          <w:ilvl w:val="2"/>
          <w:numId w:val="1"/>
        </w:numPr>
        <w:rPr/>
      </w:pPr>
      <w:bookmarkStart w:id="568" w:name="__RefHeading___Toc907402_1468164448"/>
      <w:bookmarkStart w:id="569" w:name="_Toc220"/>
      <w:bookmarkEnd w:id="567"/>
      <w:bookmarkEnd w:id="568"/>
      <w:r>
        <w:rPr>
          <w:rtl w:val="true"/>
        </w:rPr>
        <w:t>من قواعد باب الحج</w:t>
      </w:r>
      <w:r>
        <w:rPr>
          <w:rtl w:val="true"/>
        </w:rPr>
        <w:t>:</w:t>
      </w:r>
      <w:r>
        <w:rPr>
          <w:rtl w:val="true"/>
        </w:rPr>
        <w:t>عدم بطلان الاحرام ببطلان النسک</w:t>
      </w:r>
      <w:bookmarkEnd w:id="569"/>
    </w:p>
    <w:p>
      <w:pPr>
        <w:pStyle w:val="Heading4"/>
        <w:numPr>
          <w:ilvl w:val="3"/>
          <w:numId w:val="1"/>
        </w:numPr>
        <w:rPr/>
      </w:pPr>
      <w:bookmarkStart w:id="570" w:name="__RefHeading___Toc907404_1468164448"/>
      <w:bookmarkStart w:id="571" w:name="_Toc221"/>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 xml:space="preserve">الکلام فی القاعدة یقع فی مقامین </w:t>
      </w:r>
      <w:r>
        <w:rPr>
          <w:rFonts w:eastAsia="IRNazanin" w:cs="IRNazanin"/>
          <w:color w:val="111111"/>
          <w:sz w:val="28"/>
          <w:szCs w:val="28"/>
          <w:rtl w:val="true"/>
          <w:lang w:bidi="fa-IR"/>
        </w:rPr>
        <w:t>:</w:t>
      </w:r>
    </w:p>
    <w:p>
      <w:pPr>
        <w:pStyle w:val="Heading4"/>
        <w:numPr>
          <w:ilvl w:val="3"/>
          <w:numId w:val="1"/>
        </w:numPr>
        <w:rPr/>
      </w:pPr>
      <w:bookmarkStart w:id="572" w:name="__RefHeading___Toc907406_1468164448"/>
      <w:bookmarkStart w:id="573" w:name="_Toc222"/>
      <w:bookmarkEnd w:id="572"/>
      <w:r>
        <w:rPr>
          <w:rtl w:val="true"/>
        </w:rPr>
        <w:t>المقام الأول</w:t>
      </w:r>
      <w:r>
        <w:rPr>
          <w:rtl w:val="true"/>
        </w:rPr>
        <w:t xml:space="preserve">: </w:t>
      </w:r>
      <w:r>
        <w:rPr>
          <w:rtl w:val="true"/>
        </w:rPr>
        <w:t>مقتضی القاعدة</w:t>
      </w:r>
      <w:r>
        <w:rPr>
          <w:rtl w:val="true"/>
        </w:rPr>
        <w:t>:</w:t>
      </w:r>
      <w:bookmarkEnd w:id="573"/>
    </w:p>
    <w:p>
      <w:pPr>
        <w:pStyle w:val="BookText"/>
        <w:rPr/>
      </w:pPr>
      <w:r>
        <w:rPr>
          <w:rFonts w:ascii="IRNazanin" w:hAnsi="IRNazanin" w:eastAsia="IRNazanin"/>
          <w:color w:val="111111"/>
          <w:sz w:val="28"/>
          <w:sz w:val="28"/>
          <w:szCs w:val="28"/>
          <w:rtl w:val="true"/>
          <w:lang w:bidi="fa-IR"/>
        </w:rPr>
        <w:t>مقتضی القاعدة فی المقام یحرّر تارة علی القول بشرطیة الاحرام فی النسک، وأخری بناءً علی جزئیته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لا یفسد الاحرام بفساد النسک، لأن ذات الشرط عبادة مستقلة فی نفسه وصالح أن ینضم إلی أی نوع من أنواع 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المبسوط والوسیلة والمهذب والتذکرة فی مسألة تعین النسک فی النیّة للاحرام انّه یجوّز انشاء الاحرام من دون تعیین، ثمّ صرفه إلی نسک معین لأنه شرط، ووافقهم علی ذلک فی کشف اللثام</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ما سنذکره من وجه لصحّة الاحرام علی القول بالجزئیة أیضاً ومن ثمّ ورد فی موارد عدیدة التحلل بالعمرة من فساد الحج وبعضه منصوص، والآخر التزم به المشهور من دون نص ولعلّه لبنائهم علی ما ذکرنا بل انّ النصوص فی الموارد المزبورة صالحة لأن تخرج وجهاً ثالثاً لعدم فساد الاحرام بفساد النسک، وقد ذکرنا فی بحث الحج انّ الأصح کون</w:t>
      </w:r>
      <w:bookmarkStart w:id="574" w:name="pg13690_120807"/>
    </w:p>
    <w:p>
      <w:pPr>
        <w:pStyle w:val="BookText"/>
        <w:rPr/>
      </w:pPr>
      <w:bookmarkEnd w:id="574"/>
      <w:r>
        <w:rPr>
          <w:rFonts w:ascii="IRNazanin" w:hAnsi="IRNazanin" w:eastAsia="IRNazanin"/>
          <w:color w:val="111111"/>
          <w:sz w:val="28"/>
          <w:sz w:val="28"/>
          <w:szCs w:val="28"/>
          <w:rtl w:val="true"/>
          <w:lang w:bidi="fa-IR"/>
        </w:rPr>
        <w:t>الاحرام شرطاً</w:t>
      </w:r>
      <w:r>
        <w:rPr>
          <w:rStyle w:val="FootnoteAnchor"/>
          <w:rtl w:val="true"/>
        </w:rPr>
        <w:footnoteReference w:id="659"/>
      </w:r>
      <w:r>
        <w:rPr>
          <w:rFonts w:ascii="IRNazanin" w:hAnsi="IRNazanin" w:eastAsia="IRNazanin"/>
          <w:color w:val="111111"/>
          <w:sz w:val="28"/>
          <w:sz w:val="28"/>
          <w:szCs w:val="28"/>
          <w:rtl w:val="true"/>
          <w:lang w:bidi="fa-IR"/>
        </w:rPr>
        <w:t>، والبحث فی المقام جار فی موارد الخلل المبطل للنسک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بالجزئیة فمقتضی القاعدة الفساد لفساد الجزء الارتباطی لعدم تعقبه ببقیة الاجزاء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قد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قصد النسک ان کان بنحو الداعی فلا یبطل الاحرام لکون قصده متعلقاً بالأمر الواقعی، فیکون من باب الاشتباه فی التطبیق، بخلاف ما إذا نوی بنحو التقیید إلا انّه قلیل الوقوع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قصد النسک وان کان متصور بکل من القسمین، إلا انّ فرض ذلک من الملتفت إلی تباین أنواع النسک ممتنع، مضافاً إلی انّ الأمر الواقعی قد یکون مردداً بین أنواع متعددة من النسک نعم فی خصوص فرض المقام وموارد الخلل الکثیرة هو متعین فی العمرة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انّ هذا الوجه تام فی الجملة فی الموارد المتوفرة علی القیود التی أشرنا الیها</w:t>
      </w:r>
      <w:r>
        <w:rPr>
          <w:rFonts w:eastAsia="IRNazanin" w:cs="IRNazanin"/>
          <w:color w:val="111111"/>
          <w:sz w:val="28"/>
          <w:szCs w:val="28"/>
          <w:rtl w:val="true"/>
          <w:lang w:bidi="fa-IR"/>
        </w:rPr>
        <w:t>.</w:t>
      </w:r>
    </w:p>
    <w:p>
      <w:pPr>
        <w:pStyle w:val="Heading4"/>
        <w:numPr>
          <w:ilvl w:val="3"/>
          <w:numId w:val="1"/>
        </w:numPr>
        <w:rPr/>
      </w:pPr>
      <w:bookmarkStart w:id="575" w:name="__RefHeading___Toc907408_1468164448"/>
      <w:bookmarkStart w:id="576" w:name="_Toc223"/>
      <w:bookmarkEnd w:id="575"/>
      <w:r>
        <w:rPr>
          <w:rtl w:val="true"/>
        </w:rPr>
        <w:t>المقام الثانی</w:t>
      </w:r>
      <w:r>
        <w:rPr>
          <w:rtl w:val="true"/>
        </w:rPr>
        <w:t xml:space="preserve">: </w:t>
      </w:r>
      <w:r>
        <w:rPr>
          <w:rtl w:val="true"/>
        </w:rPr>
        <w:t>مقتضی الروایات</w:t>
      </w:r>
      <w:r>
        <w:rPr>
          <w:rtl w:val="true"/>
        </w:rPr>
        <w:t>:</w:t>
      </w:r>
      <w:bookmarkEnd w:id="576"/>
    </w:p>
    <w:p>
      <w:pPr>
        <w:pStyle w:val="BookText"/>
        <w:rPr/>
      </w:pPr>
      <w:r>
        <w:rPr>
          <w:rFonts w:ascii="IRNazanin" w:hAnsi="IRNazanin" w:eastAsia="IRNazanin"/>
          <w:color w:val="111111"/>
          <w:sz w:val="28"/>
          <w:sz w:val="28"/>
          <w:szCs w:val="28"/>
          <w:rtl w:val="true"/>
          <w:lang w:bidi="fa-IR"/>
        </w:rPr>
        <w:t>أمّا بحسب الروایات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استدل بمعتبرة أبی جعفر الأحول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w:t>
      </w:r>
    </w:p>
    <w:p>
      <w:pPr>
        <w:pStyle w:val="BookText"/>
        <w:rPr/>
      </w:pPr>
      <w:r>
        <w:rPr>
          <w:rFonts w:ascii="IRNazanin" w:hAnsi="IRNazanin" w:eastAsia="IRNazanin"/>
          <w:color w:val="111111"/>
          <w:sz w:val="28"/>
          <w:sz w:val="28"/>
          <w:szCs w:val="28"/>
          <w:rtl w:val="true"/>
          <w:lang w:bidi="fa-IR"/>
        </w:rPr>
        <w:t>فرض الحج فی غیر أشهر الحج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 عمرة</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یخدش فیها تارة بالسند بأن طریق الصدوق مشتمل علی محمد بن علی بن ماجیلویه وهو لم یوثق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مشایخ الصدوق وقد ترضّی عنه واعتمده فی المشیخة فی العدید من الطرق إلی الکتب، وقد صحح العلّامة بعضها مضافاً إلی کونه من القمیین ولهم مصاهرة مع بیت البرقی ولم یرو فیه طعن منهم کل ذلک مما یدل علی صلاح الحال ولا أقل من حسن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بالدلالة بأن الروایة لیست صریحة فی انشائه للاحرام اذ 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فرض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لإرادة نیة الحج التی اطلق علیها فی الروایات لفظة فرض الحج، ومن ثمّ یکون معنی جعلها عمرة یعنی انشاء الاحرام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واشکل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بأن موردها انشاء الحج لا انشاء عمرة التمتع فلا یتعدی منه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ماضی ظاهر فی التحقق وانشاء الحج نظیر قوله تعالی الْحَجُّ أَشْهُرٌ مَعْلُوماتٌ فَمَنْ فَرَضَ فِیهِنَّ الْحَجَّ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الفرض فی الروایات بمعنی التلبیة بالاشعار والتقلید ففی صحیح معاویة</w:t>
      </w:r>
    </w:p>
    <w:p>
      <w:pPr>
        <w:pStyle w:val="BookText"/>
        <w:rPr/>
      </w:pPr>
      <w:r>
        <w:rPr>
          <w:rFonts w:ascii="IRNazanin" w:hAnsi="IRNazanin" w:eastAsia="IRNazanin"/>
          <w:color w:val="111111"/>
          <w:sz w:val="28"/>
          <w:sz w:val="28"/>
          <w:szCs w:val="28"/>
          <w:rtl w:val="true"/>
          <w:lang w:bidi="fa-IR"/>
        </w:rPr>
        <w:t>بن عمّار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 ذلک فعل فقد فرض الحج ولا یفرض الحج إلا فی هذه الشهور</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اختصاص موردها بالحج فالعنوان مطلق لم یقید بحج الافراد أو القران فهو شامل للتمتع، مضافاً إلی فهم عدم الخصوصیة لو سلّمنا اختصاص موردها لأنه من‌جهة فساد النسک لعدم صلاح الظرف له وهو مشترک بین انواع الحج مع الارتهان بالاحرام، فجعلها عمرة لأجل التحلل لا لکونها بدل أو عقوبة أو کفارة عن النسک الفاسد، ولأجل ذلک یستفاد من الروایات الواردة فی التحلل بالعمرة فی موارد الخلل المبطل للحج عدم بطلان الاحرام ببطلان النسک وان الأمر بالعمرة لأجل التحلل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لا یخفی انّ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تبدیل ما قد فرضه وهو قرینة ثانیة لکون مورد سؤال الراوی هو عن الحکم بعد انشاء الاحرام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واستدلّ بمعتبرة سعید الأعرج قال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تمتع فی أشهر الحج ثمّ أقام بمکّة حتی یحضر الحج من قابل فعلیه شاة، ومن تمتع فی غیر أشهر الحج ثمّ جاور حتی یحضر الحج فلیس علیه دم انّما هی حجّة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الاضحی علی أهل الأمصار</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واشکل علی سنده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باشتماله علی محمد بن سنان والحال فیه معروف فلا یضر باعتبار السند</w:t>
      </w:r>
      <w:r>
        <w:rPr>
          <w:rFonts w:eastAsia="IRNazanin" w:cs="IRNazanin"/>
          <w:color w:val="111111"/>
          <w:sz w:val="28"/>
          <w:szCs w:val="28"/>
          <w:rtl w:val="true"/>
          <w:lang w:bidi="fa-IR"/>
        </w:rPr>
        <w:t>.</w:t>
      </w:r>
      <w:bookmarkStart w:id="577" w:name="pg13690_120810"/>
    </w:p>
    <w:p>
      <w:pPr>
        <w:pStyle w:val="BookText"/>
        <w:rPr/>
      </w:pPr>
      <w:bookmarkEnd w:id="577"/>
      <w:r>
        <w:rPr>
          <w:rFonts w:ascii="IRNazanin" w:hAnsi="IRNazanin" w:eastAsia="IRNazanin"/>
          <w:color w:val="111111"/>
          <w:sz w:val="28"/>
          <w:sz w:val="28"/>
          <w:szCs w:val="28"/>
          <w:rtl w:val="true"/>
          <w:lang w:bidi="fa-IR"/>
        </w:rPr>
        <w:t>وأشکل علی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غیر متعرضة لصحّة العمرة، وانّها فی المجاور ولا یتعدی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وإن لم تصرح بحکم العمرة التی أقامها بعنوان التمتع فی غیر أشهر الحج، إلا انّ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بنفی الهدی وإن حجته مفردة دال علی أن ما أوقعه من العمرة غیر مرتبط بالحج أی مفردة قد استحل بها دخول مکة، ومن ثمّ فرض فیها الجوار والمراد من الجوار هنا کما فی روایات أخری أیضاً هو مطلق من أقام بمکة قبل أشهر الحج ولو بشهر أو أیّام ثمّ تدخل علیه أشهر الحج فالروایة لا تخلو من دلالة فوق حدّ الاشعار</w:t>
      </w:r>
      <w:r>
        <w:rPr>
          <w:rFonts w:eastAsia="IRNazanin" w:cs="IRNazanin"/>
          <w:color w:val="111111"/>
          <w:sz w:val="28"/>
          <w:szCs w:val="28"/>
          <w:rtl w:val="true"/>
          <w:lang w:bidi="fa-IR"/>
        </w:rPr>
        <w:t>.</w:t>
      </w:r>
    </w:p>
    <w:p>
      <w:pPr>
        <w:pStyle w:val="Heading4"/>
        <w:numPr>
          <w:ilvl w:val="3"/>
          <w:numId w:val="1"/>
        </w:numPr>
        <w:rPr/>
      </w:pPr>
      <w:bookmarkStart w:id="578" w:name="__RefHeading___Toc907410_1468164448"/>
      <w:bookmarkStart w:id="579" w:name="_Toc224"/>
      <w:bookmarkEnd w:id="578"/>
      <w:r>
        <w:rPr>
          <w:rtl w:val="true"/>
        </w:rPr>
        <w:t xml:space="preserve">فائدة </w:t>
      </w:r>
      <w:r>
        <w:rPr>
          <w:rtl w:val="true"/>
        </w:rPr>
        <w:t>:</w:t>
      </w:r>
      <w:bookmarkEnd w:id="579"/>
    </w:p>
    <w:p>
      <w:pPr>
        <w:pStyle w:val="BookText"/>
        <w:rPr/>
      </w:pPr>
      <w:r>
        <w:rPr>
          <w:rFonts w:ascii="IRNazanin" w:hAnsi="IRNazanin" w:eastAsia="IRNazanin"/>
          <w:color w:val="111111"/>
          <w:sz w:val="28"/>
          <w:sz w:val="28"/>
          <w:szCs w:val="28"/>
          <w:rtl w:val="true"/>
          <w:lang w:bidi="fa-IR"/>
        </w:rPr>
        <w:t>ان المدار فی شهر العمرة علی المجموع</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ظاهر الروایتین فی هذه المسألة وکذا الروایات التی ذکرناها فی سند العروة کتاب الحج الدالّة علی لزوم ظرفیة الحج فی الأشهر الثلاثة کون انشاء الاحرام لعمرة التمتع أوالحج الافراد لا بد من وقوعه فی شوال وما بعد ومقتضاه انّ احتساب شهر العمرة بایقاع مجموع العمرة فیه لا مجرّد الاحلال ولا مجرّد الاحرام ولا بمعظم العمل بل قول رابع وهو بمجموعه وإلا لصحّ أن ینشأ احرام عمرة التمتع فی آخر شهر رمضان ویأتی بأعمال العمرة فی شوال مع أن الروایات المزبورة قاضیة بالبطلان</w:t>
      </w:r>
      <w:r>
        <w:rPr>
          <w:rFonts w:eastAsia="IRNazanin" w:cs="IRNazanin"/>
          <w:color w:val="111111"/>
          <w:sz w:val="28"/>
          <w:szCs w:val="28"/>
          <w:rtl w:val="true"/>
          <w:lang w:bidi="fa-IR"/>
        </w:rPr>
        <w:t>.</w:t>
      </w:r>
      <w:bookmarkStart w:id="580" w:name="pg13690_120812"/>
    </w:p>
    <w:p>
      <w:pPr>
        <w:pStyle w:val="Heading2"/>
        <w:numPr>
          <w:ilvl w:val="1"/>
          <w:numId w:val="1"/>
        </w:numPr>
        <w:rPr/>
      </w:pPr>
      <w:bookmarkStart w:id="581" w:name="__RefHeading___Toc907412_1468164448"/>
      <w:bookmarkStart w:id="582" w:name="_Toc225"/>
      <w:bookmarkEnd w:id="580"/>
      <w:bookmarkEnd w:id="581"/>
      <w:r>
        <w:rPr>
          <w:rtl w:val="true"/>
        </w:rPr>
        <w:t>قاعدة</w:t>
      </w:r>
      <w:r>
        <w:rPr>
          <w:rtl w:val="true"/>
        </w:rPr>
        <w:t>:</w:t>
      </w:r>
      <w:r>
        <w:rPr>
          <w:rtl w:val="true"/>
        </w:rPr>
        <w:t>فی تقوّم مشروعیة التمتع بالإحرام من بُعْد</w:t>
      </w:r>
      <w:bookmarkEnd w:id="58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83" w:name="__RefHeading___Toc907414_1468164448"/>
      <w:bookmarkStart w:id="584" w:name="_Toc226"/>
      <w:bookmarkEnd w:id="583"/>
      <w:r>
        <w:rPr>
          <w:rtl w:val="true"/>
        </w:rPr>
        <w:t>اشارة</w:t>
      </w:r>
      <w:bookmarkStart w:id="585" w:name="pg13690_120814"/>
      <w:bookmarkEnd w:id="584"/>
    </w:p>
    <w:p>
      <w:pPr>
        <w:pStyle w:val="Heading3"/>
        <w:numPr>
          <w:ilvl w:val="2"/>
          <w:numId w:val="1"/>
        </w:numPr>
        <w:rPr/>
      </w:pPr>
      <w:bookmarkStart w:id="586" w:name="__RefHeading___Toc907416_1468164448"/>
      <w:bookmarkStart w:id="587" w:name="_Toc227"/>
      <w:bookmarkEnd w:id="585"/>
      <w:bookmarkEnd w:id="586"/>
      <w:r>
        <w:rPr>
          <w:rtl w:val="true"/>
        </w:rPr>
        <w:t>من قواعد باب الحج</w:t>
      </w:r>
      <w:r>
        <w:rPr>
          <w:rtl w:val="true"/>
        </w:rPr>
        <w:t>:</w:t>
      </w:r>
      <w:r>
        <w:rPr>
          <w:rtl w:val="true"/>
        </w:rPr>
        <w:t>فی تقوّم مشروعیة التمتع بالإحرام من بعد</w:t>
      </w:r>
      <w:bookmarkEnd w:id="587"/>
    </w:p>
    <w:p>
      <w:pPr>
        <w:pStyle w:val="Heading4"/>
        <w:numPr>
          <w:ilvl w:val="3"/>
          <w:numId w:val="1"/>
        </w:numPr>
        <w:rPr/>
      </w:pPr>
      <w:bookmarkStart w:id="588" w:name="__RefHeading___Toc907418_1468164448"/>
      <w:bookmarkStart w:id="589" w:name="_Toc228"/>
      <w:bookmarkEnd w:id="588"/>
      <w:r>
        <w:rPr>
          <w:rtl w:val="true"/>
        </w:rPr>
        <w:t>اشارة</w:t>
      </w:r>
      <w:bookmarkEnd w:id="589"/>
    </w:p>
    <w:p>
      <w:pPr>
        <w:pStyle w:val="BookText"/>
        <w:rPr/>
      </w:pPr>
      <w:r>
        <w:rPr>
          <w:rFonts w:ascii="IRNazanin" w:hAnsi="IRNazanin" w:eastAsia="IRNazanin"/>
          <w:color w:val="111111"/>
          <w:sz w:val="28"/>
          <w:sz w:val="28"/>
          <w:szCs w:val="28"/>
          <w:rtl w:val="true"/>
          <w:lang w:bidi="fa-IR"/>
        </w:rPr>
        <w:t xml:space="preserve">و یتم الکلام فی تحریرها مضافاً إلی الاحاطة بما ذکرنا فی سند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اقسام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وتنقیح الکلام فیها یقع مستهلاً بما ذکره السید الفقیه الیزدی فی العروة الوثقی کتاب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فی مسالة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اقسام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المقیم فی مکة إذا وجب علیه التمتع کما إذا کانت استطاعته فی بلده أو استطاع قبل انقلاب فرضه فالواجب علیه الخروج إلی المیقات لاحرام عمرة التمتع، واختلفوا فی تعیین میقاته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مهلّ أرضه، ذهب إلیه جماعة، بل ربما یسند إلی المشهور کما فی الحدائق، لخبر سماعة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المجاور أله أن یتمتع بالعمرة إلی الحج؟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یخرج إلی سهل أرضه فلیلبّ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المعتضد بجملة من الأخبار الواردة فی الجاهل والناسی الدالّة علی ذلک بدعوی عدم خصوصیة للجهل والنسیان، وانّ ذلک لکونه مقتضی حکم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وبالأخبار الواردة فی توقیت المواقیت، وتخصیص کلّ قطر بواحد منها أو من مرّ علیها، بعد دعوی أنّ الرجوع إلی المیقات غیر المرور علیه</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أحد المواقیت المخصوصة مخیراً بینها، وإلیه ذهب جماعة</w:t>
      </w:r>
      <w:bookmarkStart w:id="590" w:name="pg13690_120815"/>
    </w:p>
    <w:p>
      <w:pPr>
        <w:pStyle w:val="BookText"/>
        <w:rPr/>
      </w:pPr>
      <w:bookmarkEnd w:id="590"/>
      <w:r>
        <w:rPr>
          <w:rFonts w:ascii="IRNazanin" w:hAnsi="IRNazanin" w:eastAsia="IRNazanin"/>
          <w:color w:val="111111"/>
          <w:sz w:val="28"/>
          <w:sz w:val="28"/>
          <w:szCs w:val="28"/>
          <w:rtl w:val="true"/>
          <w:lang w:bidi="fa-IR"/>
        </w:rPr>
        <w:t>اخری، لجملة اخری من الأخبار مؤیّدة بأخبار المواقیت، بدعوی عدم استفادة خصوصیة کلّ بقطر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أدنی الحلّ، نقل عن الحلبی، وتبعه بعض متأخری المتاخرین لجملة ثالثة من الأخبار، والأحوط الأول وان کان الأقوی الثانی، لعدم فهم الخصوصیة من خبر سماعة، وأخبار الجاهل والناسی، وانّ ذکر المهلّ من باب أحد الافراد، ومنع خصوصیة للمرور فی الأخبار العامّة الدالّة علی المواقیت وأما أخبار القول الثالث‌فمع ندرة العامل بها مقیّدة بأخبار المواقیت، أو محمولة علی صورة التعذّر، ثمّ الظاهر انّ ما ذکرنا حکم کلّ من کان فی مکّة واراد الاتیان بالتمتع ولو مستحبّاً هذا کله مع امکان الرجوع إلی المواقیت، وأما إذا تعذّر فیکفی الرجوع إلی أدنی الحلّ، بل الاحوط الرجوع إلی ما یتمکّن من خارج الحرم ممّا هو دون المیقات وان لم یتمکّن من الخروج إلی أدنی الحلّ أحرم من موضعه، والأحوط الخروج إلی ما یتمکّن</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انتهی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Heading4"/>
        <w:numPr>
          <w:ilvl w:val="3"/>
          <w:numId w:val="1"/>
        </w:numPr>
        <w:rPr/>
      </w:pPr>
      <w:bookmarkStart w:id="591" w:name="__RefHeading___Toc907420_1468164448"/>
      <w:bookmarkStart w:id="592" w:name="_Toc229"/>
      <w:bookmarkEnd w:id="591"/>
      <w:r>
        <w:rPr>
          <w:rtl w:val="true"/>
        </w:rPr>
        <w:t>الأقوال فی القاعدة</w:t>
      </w:r>
      <w:r>
        <w:rPr>
          <w:rtl w:val="true"/>
        </w:rPr>
        <w:t>:</w:t>
      </w:r>
      <w:bookmarkEnd w:id="59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 القول الأول الشیخ وأبو صلاح ویحیی بن سعید والمحقق فی النافع والفاضل فی جملة کتبه، وذهب إلی القول الثانی المحقق فی ظاهر الشرائع والنهایة والمقنع والمبسوط والارشاد والقواعد بمقتضی ظاهر اطلاقهم، وعن الدروس التصریح بذلک وکذا المسالک والروضة</w:t>
      </w:r>
      <w:r>
        <w:rPr>
          <w:rFonts w:eastAsia="IRNazanin" w:cs="IRNazanin"/>
          <w:color w:val="111111"/>
          <w:sz w:val="28"/>
          <w:szCs w:val="28"/>
          <w:rtl w:val="true"/>
          <w:lang w:bidi="fa-IR"/>
        </w:rPr>
        <w:t>.</w:t>
      </w:r>
      <w:bookmarkStart w:id="593" w:name="pg13690_120816"/>
    </w:p>
    <w:p>
      <w:pPr>
        <w:pStyle w:val="BookText"/>
        <w:rPr/>
      </w:pPr>
      <w:bookmarkEnd w:id="593"/>
      <w:r>
        <w:rPr>
          <w:rFonts w:ascii="IRNazanin" w:hAnsi="IRNazanin" w:eastAsia="IRNazanin"/>
          <w:color w:val="111111"/>
          <w:sz w:val="28"/>
          <w:sz w:val="28"/>
          <w:szCs w:val="28"/>
          <w:rtl w:val="true"/>
          <w:lang w:bidi="fa-IR"/>
        </w:rPr>
        <w:t>وذهب للقول الثالث الحلبی 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ومیقات المجاور میقات بلده ویجوز له أن یحرم من جعرانة وإن ضاق علیه الوقت فمن خارج الحرم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ونسب أیضاً إلی المقدس الأردبیلی، وقوّاه فی المدارک، واستحسنه فی الکفایة</w:t>
      </w:r>
      <w:r>
        <w:rPr>
          <w:rFonts w:eastAsia="IRNazanin" w:cs="IRNazanin"/>
          <w:color w:val="111111"/>
          <w:sz w:val="28"/>
          <w:szCs w:val="28"/>
          <w:rtl w:val="true"/>
          <w:lang w:bidi="fa-IR"/>
        </w:rPr>
        <w:t>.</w:t>
      </w:r>
    </w:p>
    <w:p>
      <w:pPr>
        <w:pStyle w:val="Heading4"/>
        <w:numPr>
          <w:ilvl w:val="3"/>
          <w:numId w:val="1"/>
        </w:numPr>
        <w:rPr/>
      </w:pPr>
      <w:bookmarkStart w:id="594" w:name="__RefHeading___Toc907422_1468164448"/>
      <w:bookmarkStart w:id="595" w:name="_Toc230"/>
      <w:bookmarkEnd w:id="594"/>
      <w:r>
        <w:rPr>
          <w:rtl w:val="true"/>
        </w:rPr>
        <w:t>أدلة الأقوال</w:t>
      </w:r>
      <w:r>
        <w:rPr>
          <w:rtl w:val="true"/>
        </w:rPr>
        <w:t>:</w:t>
      </w:r>
      <w:bookmarkEnd w:id="595"/>
    </w:p>
    <w:p>
      <w:pPr>
        <w:pStyle w:val="Heading5"/>
        <w:numPr>
          <w:ilvl w:val="4"/>
          <w:numId w:val="1"/>
        </w:numPr>
        <w:rPr/>
      </w:pPr>
      <w:bookmarkStart w:id="596" w:name="__RefHeading___Toc907424_1468164448"/>
      <w:bookmarkStart w:id="597" w:name="_Toc231"/>
      <w:bookmarkEnd w:id="596"/>
      <w:r>
        <w:rPr>
          <w:rtl w:val="true"/>
        </w:rPr>
        <w:t>اشارة</w:t>
      </w:r>
      <w:bookmarkEnd w:id="597"/>
    </w:p>
    <w:p>
      <w:pPr>
        <w:pStyle w:val="BookText"/>
        <w:rPr/>
      </w:pPr>
      <w:r>
        <w:rPr>
          <w:rFonts w:ascii="IRNazanin" w:hAnsi="IRNazanin" w:eastAsia="IRNazanin"/>
          <w:color w:val="111111"/>
          <w:sz w:val="28"/>
          <w:sz w:val="28"/>
          <w:szCs w:val="28"/>
          <w:rtl w:val="true"/>
          <w:lang w:bidi="fa-IR"/>
        </w:rPr>
        <w:t>و استدلّ للقول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بالروایات الواردة فی المواقیت الدالّة علی انّ لکل قطر میقات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تلک الروایات فی الخارج عن محدودة المواقیت لا فی المقیم فی مکة وإن کان من أهالی ذلک القطر والبلد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غایة ما یمکن أن یدّعی مشروعیة میقات أهل بلده لو ذهب إلیه لا انّه ملزم بالذهاب إلیه بمفاد تلک الروایات والکلام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مقتضی أصالة الاحتیاط عند الدوران بین التعیین والتخییر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تصل النوبة إلیه بعد عدم دلالة الأخبار علی غیره، مع اننا ذکرنا فی بحث المواقیت من سند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مقتضی الأصل التعیین عند الدوران مطلقاً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موثق سماعة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المجاور أله أن یتمتع بالعمرة إلی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یخرج إلی مهل أرضه فیلبی، إن شاء</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أشکل علی طریقها بضعف معلّی بن محمد بتضعیف النجاشی له، ولکنه صاحب کتاب وقد روی الأصحاب عنه کثیراً وطعن النجاشی لا ینافی الوثاقة، واشکل علی الدلالة تارة بوجود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من التعلیق علی المشیئة فیکون مورده من الحج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ظاهر بین شرائط الماهیة للواجب والمستحب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لخروجه للمیقات فلا یدل علی تعین میقات مهل أرضه، وهذا وإن کان محتملًا إلا انّ الأظهر رجوعه لأصل الحج لأنه محور سؤال السائل وجواب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أیضاً بالروایات الواردة فی الناسی والجاهل</w:t>
      </w:r>
      <w:r>
        <w:rPr>
          <w:rStyle w:val="FootnoteAnchor"/>
          <w:rtl w:val="true"/>
        </w:rPr>
        <w:footnoteReference w:id="666"/>
      </w:r>
      <w:r>
        <w:rPr>
          <w:rFonts w:ascii="IRNazanin" w:hAnsi="IRNazanin" w:eastAsia="IRNazanin"/>
          <w:color w:val="111111"/>
          <w:sz w:val="28"/>
          <w:sz w:val="28"/>
          <w:szCs w:val="28"/>
          <w:rtl w:val="true"/>
          <w:lang w:bidi="fa-IR"/>
        </w:rPr>
        <w:t>بدعوی أنها تشیر إلی مقتضی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حرر فی المواقیت من سند الحج انّ مقتضی القاعدة هو الاحرام من أی میقات وأنّ المدار علی المرور، وانّما ورد فی الجاهل والناسی فیحتمل بل ظاهر فی خصوصیة حصول المرور علی المیقات، هذا مع انّ المجاور لیس المفترض فیه المرور علی المواقیت من غیر احرام بل فیمن دخل باحرام ونسک ثمّ أقام</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استدلّ للقول الثانی</w:t>
      </w:r>
      <w:r>
        <w:rPr>
          <w:rFonts w:eastAsia="IRNazanin" w:cs="IRNazanin"/>
          <w:color w:val="111111"/>
          <w:sz w:val="28"/>
          <w:szCs w:val="28"/>
          <w:rtl w:val="true"/>
          <w:lang w:bidi="fa-IR"/>
        </w:rPr>
        <w:t>:</w:t>
      </w:r>
      <w:bookmarkStart w:id="598" w:name="pg13690_120818"/>
    </w:p>
    <w:p>
      <w:pPr>
        <w:pStyle w:val="Heading5"/>
        <w:numPr>
          <w:ilvl w:val="4"/>
          <w:numId w:val="1"/>
        </w:numPr>
        <w:rPr/>
      </w:pPr>
      <w:bookmarkStart w:id="599" w:name="__RefHeading___Toc907426_1468164448"/>
      <w:bookmarkStart w:id="600" w:name="_Toc232"/>
      <w:bookmarkEnd w:id="598"/>
      <w:bookmarkEnd w:id="599"/>
      <w:r>
        <w:rPr>
          <w:rtl w:val="true"/>
        </w:rPr>
        <w:t>أولا</w:t>
      </w:r>
      <w:r>
        <w:rPr>
          <w:rtl w:val="true"/>
        </w:rPr>
        <w:t xml:space="preserve">: </w:t>
      </w:r>
      <w:r>
        <w:rPr>
          <w:rtl w:val="true"/>
        </w:rPr>
        <w:t>بالروایات الخاصة</w:t>
      </w:r>
      <w:r>
        <w:rPr>
          <w:rtl w:val="true"/>
        </w:rPr>
        <w:t>:</w:t>
      </w:r>
      <w:bookmarkEnd w:id="600"/>
    </w:p>
    <w:p>
      <w:pPr>
        <w:pStyle w:val="BookText"/>
        <w:rPr/>
      </w:pPr>
      <w:r>
        <w:rPr>
          <w:rFonts w:ascii="IRNazanin" w:hAnsi="IRNazanin" w:eastAsia="IRNazanin"/>
          <w:color w:val="111111"/>
          <w:sz w:val="28"/>
          <w:sz w:val="28"/>
          <w:szCs w:val="28"/>
          <w:rtl w:val="true"/>
          <w:lang w:bidi="fa-IR"/>
        </w:rPr>
        <w:t>بموثق سماعة بن مهران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اعتمر فی شهررمضان أو قبله وأقام إلی الحج فلیس بتمتع وأنما هو مجاور أفرد العمرة، فإن هو أحب أن یتمتع فی أشهر الحج بالعمرة إلی الحج فلیخرج منها حتی یجاور ذات عرق أو یجاوز عسفان فیدخل متمتعاً بالعمرة إلی الحج، فإن هو أحب أن یفرد الحج فلیخرج إلی الجعرانة فیلبی منها</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 إلی حریز عمّن أخبره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 مکة بحجّة عن غیره ثمّ أقام سنة فهو مکی فإذا أراد أن یحج عن نفسه أو أراد أن یعتمر بعد ما انصرف من عرفة فلیس له أن یحرم من مکة ولکن یخرج إلی الوقت، وکل ما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 الوقت</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خبر إسحاق بن عبد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یجرّد الحج أو یتمتع مرة أخری،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 أحبّ إلیّ ولیکن إحرامه من مسیرة لیلة أو لیلتین</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اشکل علی دلالة الأولی باشتمالها علی عسفان التی هی لیست من المواقیت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الثانیة بضعف السند، وعلی الثالثة بضعف السند واضطراب الدلالة حیث انّ أقرب المواقیت لا تطوی بلیلة مع انّ المناسب بالتردید</w:t>
      </w:r>
      <w:bookmarkStart w:id="601" w:name="pg13690_120819"/>
    </w:p>
    <w:p>
      <w:pPr>
        <w:pStyle w:val="BookText"/>
        <w:rPr/>
      </w:pPr>
      <w:bookmarkEnd w:id="601"/>
      <w:r>
        <w:rPr>
          <w:rFonts w:ascii="IRNazanin" w:hAnsi="IRNazanin" w:eastAsia="IRNazanin"/>
          <w:color w:val="111111"/>
          <w:sz w:val="28"/>
          <w:sz w:val="28"/>
          <w:szCs w:val="28"/>
          <w:rtl w:val="true"/>
          <w:lang w:bidi="fa-IR"/>
        </w:rPr>
        <w:t>ذکر ما یزید علی اللیلتین للمواقیت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عسفان علی بعد مرحلتین من مکة أی بقدر أقرب المواقیت لمکة کذات عرق وقرن المنازل ویلملم، وانّ من لم یمر علی میقات یسوغ له الاحرام بمحاذاة أحدها وإن لم تکن محاذاة یمین أو یسار بل محاذاة بمعنی تساوی البعد فیحرم بقدر بعد أقرب میقات إلی مکة لأنه معنی المحاذاة عندنا کما حررناه فی محله ، ومن ثمّ یسوغ لمن یذهب إلی مکة عن طریق جدة أن یحرم منها لأنها بقدر ذلک کما حرر فی بحث المواقیت مفصلاً، وفی مرسل الصدوق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رسول الله صلی الله علیه و آله اعتمر ثلاث عمر متفرقات کلّها فی ذی القعدة عمرة أهلّ فیها من عسفان وهی عمرة الحدیبیة </w:t>
      </w:r>
      <w:r>
        <w:rPr>
          <w:rFonts w:eastAsia="IRNazanin" w:cs="IRNazanin"/>
          <w:color w:val="111111"/>
          <w:sz w:val="28"/>
          <w:szCs w:val="28"/>
          <w:rtl w:val="true"/>
          <w:lang w:bidi="fa-IR"/>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ویشهد لذلک أیضاً تحدید النائی بکل من ذات عرق وعسفان فیشرع لمن دویرته منها وما وراءها التمتع والاحرام منها، وأمّا الروایة الثانیة فلیس الارسال فیها بذلک الضعف لا سیّما وانّ ظاهر الارسال لیس من حریز وانّما نسیان من روی عن حریز بقیة السند، لا سیّما وانّ حریز بتلک المنزلة وأکثر روایاته عن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الروایة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فتصلح معاضدة، وأما دلالتها فتامّة اذ اللیلة تکون کنایة عن المسیر مقدار لیل ونهار وهی فی سیر القوافل یطوی بها مرحلتان کما فی صلاة المسافر فضلًا عمّا کان علی دابّة سریعة، ومن ثمّ تکون اللیلتان کنایة عن الجحفة التی هی علی أربع مراحل</w:t>
      </w:r>
      <w:r>
        <w:rPr>
          <w:rFonts w:eastAsia="IRNazanin" w:cs="IRNazanin"/>
          <w:color w:val="111111"/>
          <w:sz w:val="28"/>
          <w:szCs w:val="28"/>
          <w:rtl w:val="true"/>
          <w:lang w:bidi="fa-IR"/>
        </w:rPr>
        <w:t>.</w:t>
      </w:r>
    </w:p>
    <w:p>
      <w:pPr>
        <w:pStyle w:val="Heading5"/>
        <w:numPr>
          <w:ilvl w:val="4"/>
          <w:numId w:val="1"/>
        </w:numPr>
        <w:rPr/>
      </w:pPr>
      <w:bookmarkStart w:id="602" w:name="__RefHeading___Toc907428_1468164448"/>
      <w:bookmarkStart w:id="603" w:name="_Toc233"/>
      <w:bookmarkEnd w:id="602"/>
      <w:r>
        <w:rPr>
          <w:rtl w:val="true"/>
        </w:rPr>
        <w:t>وثانیاً</w:t>
      </w:r>
      <w:r>
        <w:rPr>
          <w:rtl w:val="true"/>
        </w:rPr>
        <w:t xml:space="preserve">: </w:t>
      </w:r>
      <w:r>
        <w:rPr>
          <w:rtl w:val="true"/>
        </w:rPr>
        <w:t>بمقتضی القاعدة</w:t>
      </w:r>
      <w:bookmarkEnd w:id="603"/>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للروایات الدالّة علی توقیت رسول</w:t>
      </w:r>
    </w:p>
    <w:p>
      <w:pPr>
        <w:pStyle w:val="BookText"/>
        <w:rPr/>
      </w:pPr>
      <w:r>
        <w:rPr>
          <w:rFonts w:ascii="IRNazanin" w:hAnsi="IRNazanin" w:eastAsia="IRNazanin"/>
          <w:color w:val="111111"/>
          <w:sz w:val="28"/>
          <w:sz w:val="28"/>
          <w:szCs w:val="28"/>
          <w:rtl w:val="true"/>
          <w:lang w:bidi="fa-IR"/>
        </w:rPr>
        <w:t>الله صلی الله علیه و آله لأهل کل قطر ومن یلیهم میقات وظاهرها تعیین ذلک المیقات، وغایة الأمر یرفع الید عن لزوم خصوص ذلک المیقات بالتخییر بینه وبین المواقیت البعیدة بالروایات الواردة علی انّ من مرّ علی أحد تلک المواقیت جاز له الاحرام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تلک الروایات فی الخارج عن محدودة المواقیت، وأجیب بصدق المرور علیها لمن یقصد الحج من مکة، وهو ضعیف اذ لیس الکلام فی مشروعیة الاحرام منها أو وجوبه بعد الخروج الیها، انّما الکلام فی الالزام بالخروج الیها وتعینها علی المقیم قبل خروجه، فالأولی تقریر مقتضی القاعدة بالآیة الکریمة المشرّعة لمتعة النائی دون الحاضر، وذلک بعد تفسیر النائی بالذی یبعد عن مکة بمرحلتین أی بمقدار بعد أقرب المواقیت البعیدة، وإن کان مکیاً کما ذکرنا فی المسألة الثانیة من فصل المواقیت ، والحاضر بمن دون تلک المسافة وإن کان آفاقیاً بعد السنتین کما ذکرنا فی المسألة الثالثة من فصل المواقیت أی انّ مقتضی الروایات المفصلة فی المجاور قبل السنتین وبعدها ادراج المجاور قبلها فی النائی، والنائی بحسب کبری الآیة هو الذی یشرع له التمتع، وقد ذکرنا فی المسألة الثالثة الانفة الذکر تفسیر انّ نفی مشروعیة المتعة لأهل مکة هو نفی مشروعیتها من قرب أی من أدنی الحلّ أو من مکة وانّها مشروعة لهم إذا ابتعدوا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ویستدل للقول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بالروایات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کصحیحة أبی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سالم الحنّاط بقرینة روایة صفوان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مجاوراً بمکة فسألت أبا عبدالله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أحرم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أحرم رسول الله صلی الله علیه و آله من الجعرانة أتاه فی ذلک المکان فتوح، فتح الطائف وفتح خیبر والفتح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صرورة</w:t>
      </w:r>
    </w:p>
    <w:p>
      <w:pPr>
        <w:pStyle w:val="BookText"/>
        <w:rPr/>
      </w:pPr>
      <w:r>
        <w:rPr>
          <w:rFonts w:ascii="IRNazanin" w:hAnsi="IRNazanin" w:eastAsia="IRNazanin"/>
          <w:color w:val="111111"/>
          <w:sz w:val="28"/>
          <w:sz w:val="28"/>
          <w:szCs w:val="28"/>
          <w:rtl w:val="true"/>
          <w:lang w:bidi="fa-IR"/>
        </w:rPr>
        <w:t>فاذا مضی من ذی الحجة یوم، فإذا کنت قد حججت قبل ذلک فاذا مضی من الشهر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کالمعتبرة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مکة، أ یتمتعون؟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لهم متعة،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فالقاطن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 بها سنة أو سنتین صنع صنع أهل مکة،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مکث الشهر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یتمتع،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یهلّ بالحج؟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نحواً مما یقول الناس</w:t>
      </w:r>
      <w:r>
        <w:rPr>
          <w:rFonts w:eastAsia="IRNazanin" w:cs="IRNazanin"/>
          <w:color w:val="111111"/>
          <w:sz w:val="28"/>
          <w:szCs w:val="28"/>
          <w:rtl w:val="true"/>
          <w:lang w:bidi="fa-IR"/>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لأهل مکة أن یتمتعوا؟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لیس لأهل مکة أن یتمتعوا،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فالقاطنین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أقاموا سنة أو سنتین، صنعوا کما یصنع أهل مکة، فاذا أقاموا شهراً فإن لهم ان یتمتعوا قلت من أین قال یخرجون من الحرم،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یهلّون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مکة نحواً مما یقول الناس</w:t>
      </w:r>
      <w:r>
        <w:rPr>
          <w:rFonts w:eastAsia="IRNazanin" w:cs="IRNazanin"/>
          <w:color w:val="111111"/>
          <w:sz w:val="28"/>
          <w:szCs w:val="28"/>
          <w:rtl w:val="true"/>
          <w:lang w:bidi="fa-IR"/>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موثق سماعة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المجاور بمکة إذا دخلها بعمرة فی غیر أشهر الحج فی رجب أو شعبان أو شهر رمضان أو غیر ذلک من الشهور الا أشهر الحج فانّ أشهر الحج شوال وذی القعدة وذی الحجة، من دخلها بعمرة فی غیر أشهر الحج، ثمّ أراد أن یحرم فلیخرج إلی الجعرانة فیحرم منها، ثمّ یأتی مکة ولا یقطع التلبیة حتی ینظر إلی البیت ثمّ یطوف بالبیت ویصلّی رکعتین عند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إلی الصفا</w:t>
      </w:r>
    </w:p>
    <w:p>
      <w:pPr>
        <w:pStyle w:val="BookText"/>
        <w:rPr/>
      </w:pPr>
      <w:r>
        <w:rPr>
          <w:rFonts w:ascii="IRNazanin" w:hAnsi="IRNazanin" w:eastAsia="IRNazanin"/>
          <w:color w:val="111111"/>
          <w:sz w:val="28"/>
          <w:sz w:val="28"/>
          <w:szCs w:val="28"/>
          <w:rtl w:val="true"/>
          <w:lang w:bidi="fa-IR"/>
        </w:rPr>
        <w:t>والمروة فیطوف بینهما، ثمّ یقصر ویحلّ ثمّ یعقد التلبیة یوم الترویة</w:t>
      </w:r>
      <w:r>
        <w:rPr>
          <w:rFonts w:eastAsia="IRNazanin" w:cs="IRNazanin"/>
          <w:color w:val="111111"/>
          <w:sz w:val="28"/>
          <w:szCs w:val="28"/>
          <w:rtl w:val="true"/>
          <w:lang w:bidi="fa-IR"/>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روایة حمّاد فیشکل علی دلالتها بأن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فیقید بما سبق بخروجه إلی الوقت فی قبال ذیل الروایة حیث جعل الاهلال بالحج من مکة وکذلک الحال فی صحیحة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موثق سماعة فهو مطلق من حیث الاضطرار وعدمه فیمکن تقیده بالاضطرار لأن الروایات المتقدمة الدالّة علی الوقت مخصصة بغیر الاضطرار لما ورد بأن المضطر</w:t>
      </w:r>
      <w:r>
        <w:rPr>
          <w:rStyle w:val="FootnoteAnchor"/>
          <w:rtl w:val="true"/>
        </w:rPr>
        <w:footnoteReference w:id="674"/>
      </w:r>
      <w:r>
        <w:rPr>
          <w:rFonts w:ascii="IRNazanin" w:hAnsi="IRNazanin" w:eastAsia="IRNazanin"/>
          <w:color w:val="111111"/>
          <w:sz w:val="28"/>
          <w:sz w:val="28"/>
          <w:szCs w:val="28"/>
          <w:rtl w:val="true"/>
          <w:lang w:bidi="fa-IR"/>
        </w:rPr>
        <w:t>یحرم من حیث أمکنه فتنقلب نسبتها معها</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 قبیل انقلاب النسبة بتوسط روایات الاضطرار، وحمل الروایات المطلقة علی الاضطرار غیر عزیز لا سیّما فی باب الحج نظیر الروایات المطلقة الواردة فی تأخیر الاحرام إلی الجحفة المحمولة علیه، وکذلک الروایات المطلقة بتقدیم المتمتع طوافه وسعیه علی الوقوف، مضافاً لاعتضاد الروایات المتقدمة بمفاد الآیة المبین لاشتراط التمتع بالبعد، کما ذکرنا فی صدر فصل المواقیت من أنها فی صدد تحدید مشروعیة التمتع بالاحرام من الموضع النائی والحاضر لیس له إلا الافراد أعم من المندوب والواجب، ویساعده التعبیر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کالتعلیق علی ارادته ومطلق المشروعیة أعم منها، ویشهد لذلک أیضاً نفی مشروعیة التمتع مطلقاً لأهل مکة أی من قرب سواء الواجب أو المندوب، ویشهد</w:t>
      </w:r>
    </w:p>
    <w:p>
      <w:pPr>
        <w:pStyle w:val="BookText"/>
        <w:rPr/>
      </w:pPr>
      <w:r>
        <w:rPr>
          <w:rFonts w:ascii="IRNazanin" w:hAnsi="IRNazanin" w:eastAsia="IRNazanin"/>
          <w:color w:val="111111"/>
          <w:sz w:val="28"/>
          <w:sz w:val="28"/>
          <w:szCs w:val="28"/>
          <w:rtl w:val="true"/>
          <w:lang w:bidi="fa-IR"/>
        </w:rPr>
        <w:t xml:space="preserve">له أیضاً مشروعیة التمتع لأهل مکة عند خروجهم إلی الموضع النائی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المواقیت</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سواء اختصت روایاتها بالمندوب أو الواجب والاعم، ویشهد له أیضاً ما ورد فی تحدید النائی والحاضر تفسیر الآیة بالثمانیة والاربعین وهی حد أدنی المواقیت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ولکن قد یجاب عن هذا الحمل بأن ما ورد فی المسألة الثالثة من المواقیت من التفصیل فی المجاور بین تمام السنتین وقبلها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حکمه بعد السنتین حکم أهل مکة وقبل السنتین تجوز له المتعة فإن الجواز المزبور إن کان من علی بعد فلم یفترق حال المجاور قبل السنتین وبعدها، لأن أهل مکة أیضاً یجوز لهم التمتع من بعد کما ذکرنا فی المسألة الثانیة فی هذا المواقیت، فالتفصیل لا محالة یکون بلحاظ جواز ایقاع التمتع من قرب قبل المدة بخلافه بعدها، ولعل ذلک تخفیف من الشارع علی المجاور اذ قد یکون آت بنسک سابق من المواقیت البعیدة من زمن قریب، أو یکون للتفصیل بلحاظ وجوب التمتع قبل السنتین من المواقیت البعیدة وجوباً تعینیاً علیه أما بعد السنتین فیتعین علیه الافراد ما دام حاضراً لدی المسجد الحرام، نعم، إذا ابتعد ونأی یتبدل لدیه الموضوع فیکون المکی مخیراً کما فی المسألة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والجواب الثانی هو العمدة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السید الیزدی ذکر انّ هذا حکم من کان فی مکة وأراد الاتیان بالتمتع ولو مستحباً وما أفاده واضح بحسب الروایات المتقدمة حیث انّ عدّة من الروایات التی وردت لم تاخذ عنوان المجاور والمقیم فی الموضوع</w:t>
      </w:r>
    </w:p>
    <w:p>
      <w:pPr>
        <w:pStyle w:val="BookText"/>
        <w:rPr/>
      </w:pPr>
      <w:r>
        <w:rPr>
          <w:rFonts w:ascii="IRNazanin" w:hAnsi="IRNazanin" w:eastAsia="IRNazanin"/>
          <w:color w:val="111111"/>
          <w:sz w:val="28"/>
          <w:sz w:val="28"/>
          <w:szCs w:val="28"/>
          <w:rtl w:val="true"/>
          <w:lang w:bidi="fa-IR"/>
        </w:rPr>
        <w:t>بل عنوان من دخل بنسک ثمّ أراد أن یتمتع مضافاً إلی ما عرفت انّ ذلک مقتضی القاعدة فی ماهیة التمتع فانّها متقوّمة بالاحرام من أحد المواقیت البعیدة ولا أقل من أقربها وهو حدّ النائی کما هو مقتضی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أهل مکة إذا أرادوا التمتع استحباباً فکذلک لما عرفت من أن مفاد الآیة فی تحدید ماهیة التمتع للاحرام من بعد، مضافاً إلی ضمیمة ما ذکرنا من الروایات فی المسألة الثانیة فی المکی إذا خرج إلی بعض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وإن کان احرام أهل مکة من أدنی الحلّ کما سیأتی کما فی صحیح أبی الفضل</w:t>
      </w:r>
      <w:r>
        <w:rPr>
          <w:rStyle w:val="FootnoteAnchor"/>
          <w:rtl w:val="true"/>
        </w:rPr>
        <w:footnoteReference w:id="676"/>
      </w:r>
      <w:r>
        <w:rPr>
          <w:rFonts w:ascii="IRNazanin" w:hAnsi="IRNazanin" w:eastAsia="IRNazanin"/>
          <w:color w:val="111111"/>
          <w:sz w:val="28"/>
          <w:sz w:val="28"/>
          <w:szCs w:val="28"/>
          <w:rtl w:val="true"/>
          <w:lang w:bidi="fa-IR"/>
        </w:rPr>
        <w:t>وصحیح عبد الرحمن بن الحجاج</w:t>
      </w:r>
      <w:r>
        <w:rPr>
          <w:rStyle w:val="FootnoteAnchor"/>
          <w:rtl w:val="true"/>
        </w:rPr>
        <w:footnoteReference w:id="677"/>
      </w:r>
      <w:r>
        <w:rPr>
          <w:rFonts w:ascii="IRNazanin" w:hAnsi="IRNazanin" w:eastAsia="IRNazanin"/>
          <w:color w:val="111111"/>
          <w:sz w:val="28"/>
          <w:sz w:val="28"/>
          <w:szCs w:val="28"/>
          <w:rtl w:val="true"/>
          <w:lang w:bidi="fa-IR"/>
        </w:rPr>
        <w:t>وغیرهما من الروایات، إلا انّها اما خاصّة فی حج الافراد أو عامّة تعمّ العمرة المفردة فلا اطلاق فیها للتمتع وهکذا صحیح عمر بن یزید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یخرج من مکة لیعتمر، أحرم من الجعرانة أو الحدیبیة أو ما أشبهها</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سلم اطلاقها لعمرة التمتع فقد عرفت انّ الروایات الواردة فی المسألة الثانیة فی المکی إذا خرج انّها شاملة للحج الندبی وان فیها تقریر لارتکاز السائل بعدم المشروعیة من قرب، مضافاً لما عرفت من عموم مفاد الآیة فی تحدید ماهیة التمتع بالاحرام من بعد ونسبتها من وجه مع الروایات الدالّة لأدنی الحلّ لو سلم اطلاقها لحج التمتع</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کلّه مع امکان الرجوع للمواقیت البعیدة أما مع التعذر</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فیکفی الرجوع لأدنی الحلّ لما عرفت من روایات القول الثالث المحمولة علی الاضطرار ولما حرر فی المواقیت من انّه مقتضی القاعدة عند التعذر، کذا فی حکم الابتعاد عن أدنی الحلّ بقدر ما یمکنه وإن لم یتمکن فمن موضعه وان هذا هل یعم التمتع الندبی کما هو الصحیح أم یخص الواجب</w:t>
      </w:r>
      <w:r>
        <w:rPr>
          <w:rFonts w:eastAsia="IRNazanin" w:cs="IRNazanin"/>
          <w:color w:val="111111"/>
          <w:sz w:val="28"/>
          <w:szCs w:val="28"/>
          <w:rtl w:val="true"/>
          <w:lang w:bidi="fa-IR"/>
        </w:rPr>
        <w:t>.</w:t>
      </w:r>
      <w:bookmarkStart w:id="604" w:name="pg13690_120826"/>
    </w:p>
    <w:p>
      <w:pPr>
        <w:pStyle w:val="Heading2"/>
        <w:numPr>
          <w:ilvl w:val="1"/>
          <w:numId w:val="1"/>
        </w:numPr>
        <w:rPr/>
      </w:pPr>
      <w:bookmarkStart w:id="605" w:name="__RefHeading___Toc907430_1468164448"/>
      <w:bookmarkStart w:id="606" w:name="_Toc234"/>
      <w:bookmarkEnd w:id="604"/>
      <w:bookmarkEnd w:id="605"/>
      <w:r>
        <w:rPr>
          <w:rtl w:val="true"/>
        </w:rPr>
        <w:t>قاعدة</w:t>
      </w:r>
      <w:r>
        <w:rPr>
          <w:rtl w:val="true"/>
        </w:rPr>
        <w:t>:</w:t>
      </w:r>
      <w:r>
        <w:rPr>
          <w:rtl w:val="true"/>
        </w:rPr>
        <w:t>فی صحة النسک مع الخلل غیر العمدی فی الطواف والسعی</w:t>
      </w:r>
      <w:bookmarkEnd w:id="606"/>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7" w:name="__RefHeading___Toc907432_1468164448"/>
      <w:bookmarkStart w:id="608" w:name="_Toc235"/>
      <w:bookmarkEnd w:id="607"/>
      <w:r>
        <w:rPr>
          <w:rtl w:val="true"/>
        </w:rPr>
        <w:t>اشارة</w:t>
      </w:r>
      <w:bookmarkStart w:id="609" w:name="pg13690_120828"/>
      <w:bookmarkEnd w:id="608"/>
    </w:p>
    <w:p>
      <w:pPr>
        <w:pStyle w:val="Heading3"/>
        <w:numPr>
          <w:ilvl w:val="2"/>
          <w:numId w:val="1"/>
        </w:numPr>
        <w:rPr/>
      </w:pPr>
      <w:bookmarkStart w:id="610" w:name="__RefHeading___Toc907434_1468164448"/>
      <w:bookmarkStart w:id="611" w:name="_Toc236"/>
      <w:bookmarkEnd w:id="609"/>
      <w:bookmarkEnd w:id="610"/>
      <w:r>
        <w:rPr>
          <w:rtl w:val="true"/>
        </w:rPr>
        <w:t>من قواعد باب الحج</w:t>
      </w:r>
      <w:r>
        <w:rPr>
          <w:rtl w:val="true"/>
        </w:rPr>
        <w:t>:</w:t>
      </w:r>
      <w:r>
        <w:rPr>
          <w:rtl w:val="true"/>
        </w:rPr>
        <w:t>فی صحة النسک مع الخلل غیر العمدی فی الطواف والسعی</w:t>
      </w:r>
      <w:bookmarkEnd w:id="611"/>
    </w:p>
    <w:p>
      <w:pPr>
        <w:pStyle w:val="Heading4"/>
        <w:numPr>
          <w:ilvl w:val="3"/>
          <w:numId w:val="1"/>
        </w:numPr>
        <w:rPr/>
      </w:pPr>
      <w:bookmarkStart w:id="612" w:name="__RefHeading___Toc907436_1468164448"/>
      <w:bookmarkStart w:id="613" w:name="_Toc237"/>
      <w:bookmarkEnd w:id="612"/>
      <w:r>
        <w:rPr>
          <w:rtl w:val="true"/>
        </w:rPr>
        <w:t>الأقوال</w:t>
      </w:r>
      <w:r>
        <w:rPr>
          <w:rtl w:val="true"/>
        </w:rPr>
        <w:t>:</w:t>
      </w:r>
      <w:bookmarkEnd w:id="613"/>
    </w:p>
    <w:p>
      <w:pPr>
        <w:pStyle w:val="BookText"/>
        <w:rPr/>
      </w:pPr>
      <w:r>
        <w:rPr>
          <w:rFonts w:ascii="IRNazanin" w:hAnsi="IRNazanin" w:eastAsia="IRNazanin"/>
          <w:color w:val="111111"/>
          <w:sz w:val="28"/>
          <w:sz w:val="28"/>
          <w:szCs w:val="28"/>
          <w:rtl w:val="true"/>
          <w:lang w:bidi="fa-IR"/>
        </w:rPr>
        <w:t>حکی الاجماع علی البطلان مع الترک عمداً وإن کان عن جهالة واستدل له بالروایتین الآتیتین إلّا أنه أشکل دلالتهما المحقق الاردبیلی وحمل الاعادة علی اعادة الطواف لا الحج ومال فی الحدائق إلی حمل الروایة علی إعادة الطواف وأن عمدة الدلیل فی العامد فی إعادة الحج هو الاجماع فلم یلتزم بإعادة الحج فی غیر العامد وتمسک بنفی البدنة والاعادة بدلیل الرفع</w:t>
      </w:r>
      <w:r>
        <w:rPr>
          <w:rFonts w:eastAsia="IRNazanin" w:cs="IRNazanin"/>
          <w:color w:val="111111"/>
          <w:sz w:val="28"/>
          <w:szCs w:val="28"/>
          <w:rtl w:val="true"/>
          <w:lang w:bidi="fa-IR"/>
        </w:rPr>
        <w:t>.</w:t>
      </w:r>
    </w:p>
    <w:p>
      <w:pPr>
        <w:pStyle w:val="Heading4"/>
        <w:numPr>
          <w:ilvl w:val="3"/>
          <w:numId w:val="1"/>
        </w:numPr>
        <w:rPr/>
      </w:pPr>
      <w:bookmarkStart w:id="614" w:name="__RefHeading___Toc907438_1468164448"/>
      <w:bookmarkStart w:id="615" w:name="_Toc238"/>
      <w:bookmarkEnd w:id="614"/>
      <w:r>
        <w:rPr>
          <w:rtl w:val="true"/>
        </w:rPr>
        <w:t>الأدلة</w:t>
      </w:r>
      <w:r>
        <w:rPr>
          <w:rtl w:val="true"/>
        </w:rPr>
        <w:t>:</w:t>
      </w:r>
      <w:bookmarkEnd w:id="615"/>
    </w:p>
    <w:p>
      <w:pPr>
        <w:pStyle w:val="BookText"/>
        <w:rPr/>
      </w:pPr>
      <w:r>
        <w:rPr>
          <w:rFonts w:ascii="IRNazanin" w:hAnsi="IRNazanin" w:eastAsia="IRNazanin"/>
          <w:color w:val="111111"/>
          <w:sz w:val="28"/>
          <w:sz w:val="28"/>
          <w:szCs w:val="28"/>
          <w:rtl w:val="true"/>
          <w:lang w:bidi="fa-IR"/>
        </w:rPr>
        <w:t>اما الروایتان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فصحیحة علی بن یقطین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 الحسن عن رجل جهل أن یطوف بالبیت طواف الفریضة،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علی وجه جهالة فی الحج أعاد وعلیه بدنه</w:t>
      </w:r>
      <w:r>
        <w:rPr>
          <w:rFonts w:eastAsia="IRNazanin" w:cs="IRNazanin"/>
          <w:color w:val="111111"/>
          <w:sz w:val="28"/>
          <w:szCs w:val="28"/>
          <w:rtl w:val="true"/>
          <w:lang w:bidi="fa-IR"/>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وروایة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جهل ان یطوف</w:t>
      </w:r>
    </w:p>
    <w:p>
      <w:pPr>
        <w:pStyle w:val="BookText"/>
        <w:rPr/>
      </w:pPr>
      <w:r>
        <w:rPr>
          <w:rFonts w:ascii="IRNazanin" w:hAnsi="IRNazanin" w:eastAsia="IRNazanin"/>
          <w:color w:val="111111"/>
          <w:sz w:val="28"/>
          <w:sz w:val="28"/>
          <w:szCs w:val="28"/>
          <w:rtl w:val="true"/>
          <w:lang w:bidi="fa-IR"/>
        </w:rPr>
        <w:t>بالبیت حتی رجع إلی أهله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علی وجه جهالة أعاد الحج وعلیه بدنة</w:t>
      </w:r>
      <w:r>
        <w:rPr>
          <w:rFonts w:eastAsia="IRNazanin" w:cs="IRNazanin"/>
          <w:color w:val="111111"/>
          <w:sz w:val="28"/>
          <w:szCs w:val="28"/>
          <w:rtl w:val="true"/>
          <w:lang w:bidi="fa-IR"/>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أن فی طریق الصدوق 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 أن یطوف</w:t>
      </w:r>
      <w:r>
        <w:rPr>
          <w:rFonts w:eastAsia="IRNazanin" w:cs="IRNazanin"/>
          <w:color w:val="111111"/>
          <w:sz w:val="28"/>
          <w:szCs w:val="28"/>
          <w:rtl w:val="true"/>
          <w:lang w:bidi="fa-IR"/>
        </w:rPr>
        <w:t>)</w:t>
      </w:r>
      <w:r>
        <w:rPr>
          <w:rStyle w:val="FootnoteAnchor"/>
          <w:rtl w:val="true"/>
        </w:rPr>
        <w:footnoteReference w:id="681"/>
      </w:r>
      <w:r>
        <w:rPr>
          <w:rFonts w:ascii="IRNazanin" w:hAnsi="IRNazanin" w:eastAsia="IRNazanin"/>
          <w:color w:val="111111"/>
          <w:sz w:val="28"/>
          <w:sz w:val="28"/>
          <w:szCs w:val="28"/>
          <w:rtl w:val="true"/>
          <w:lang w:bidi="fa-IR"/>
        </w:rPr>
        <w:t>فالروایة علی الصورة الثانیة محمولة علی الاستحباب لما دل علی صحة الحج مع السهو والنسیان ولا کفارة علیه إلّا أن یواقع أهله لما دل علی لزوم بعث الهدی فی الناسی للطواف إذا واقع أهله ومفهومها عدم الکفارة مع عدم الجماع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موثقة اسحاق بن عمار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المرأة تطوف وهی حائض وتقضی النسک ثمّ واقعها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سوق بدنه والحج من قابل</w:t>
      </w:r>
      <w:r>
        <w:rPr>
          <w:rFonts w:eastAsia="IRNazanin" w:cs="IRNazanin"/>
          <w:color w:val="111111"/>
          <w:sz w:val="28"/>
          <w:szCs w:val="28"/>
          <w:rtl w:val="true"/>
          <w:lang w:bidi="fa-IR"/>
        </w:rPr>
        <w:t>»</w:t>
      </w:r>
      <w:r>
        <w:rPr>
          <w:rStyle w:val="FootnoteAnchor"/>
          <w:rtl w:val="true"/>
        </w:rPr>
        <w:footnoteReference w:id="682"/>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فی تعمد ترک الطواف، وعلی أی تقدیر فصحیحة علی بن یقطین فی الجهل بالحکم مع تعمد ترک الموضوع ولیست فی الجهل فی الموضوع وکذلک روایة علی ابن أبی حمزة فی طریق الشیخ مع أن دلالة روایة علی بن یقطین بدرجة الظهور لا الصراحة لأن الاعادة تستعمل فی الخلل فی العبادات بقضاء الجزء المتروک بلحاظ أن محله قد فات الذی ینبغی أن یؤتی به فیه وأما روایة علی بن أبی حمزة فصورتها مختلفة کما عرفت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اطلاقات ادلة جزئیة الطواف وان اقتضت الرکنیة إلّا أن المقابلة بین ما ورد فی الروایتین فی الناسی للطواف من صحة حجه ولزوم قضاء الطواف علیه خاصة لا یبعد الاستفادة منه عموم صحة الحج</w:t>
      </w:r>
    </w:p>
    <w:p>
      <w:pPr>
        <w:pStyle w:val="BookText"/>
        <w:rPr/>
      </w:pPr>
      <w:r>
        <w:rPr>
          <w:rFonts w:ascii="IRNazanin" w:hAnsi="IRNazanin" w:eastAsia="IRNazanin"/>
          <w:color w:val="111111"/>
          <w:sz w:val="28"/>
          <w:sz w:val="28"/>
          <w:szCs w:val="28"/>
          <w:rtl w:val="true"/>
          <w:lang w:bidi="fa-IR"/>
        </w:rPr>
        <w:t>لتارک الطواف عن غیر عمد للنسیان أو للغفلة أو الجهل بالموضوع أو الجهل بتحقق الشرائط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ان هذا البحث مطرد فی کل شرائط الطواف بل السعی أیضاً من أن الخلل تارة من جهة الجهل بالحکم وأخری من جهة الجهل بالموضوع وانه هل یطرد ما ورد فی صحة النسک مع نسیانها فی مطلق الخلل من جهة الموضوع أی غیر العمد أو لا؟</w:t>
      </w:r>
    </w:p>
    <w:p>
      <w:pPr>
        <w:pStyle w:val="BookText"/>
        <w:rPr/>
      </w:pPr>
      <w:r>
        <w:rPr>
          <w:rFonts w:ascii="IRNazanin" w:hAnsi="IRNazanin" w:eastAsia="IRNazanin"/>
          <w:color w:val="111111"/>
          <w:sz w:val="28"/>
          <w:sz w:val="28"/>
          <w:szCs w:val="28"/>
          <w:rtl w:val="true"/>
          <w:lang w:bidi="fa-IR"/>
        </w:rPr>
        <w:t>وظاهر کلمات المشهور هی علی اعادة الحج فی خصوص العامد حتی انه قد استظهر من تقییدهم بالعامد خصوص العالم واحتیج فی تعدیته إلی الجاهل إلی الاستدلال بالروایة المتقدمة أو تصریح بعضهم کالشیخ، فلا یظهر من کلماتهم فی المقام بطلان النسک بالترک غیر العمدی وان کان بسبب الجهل بالموضوع کجهله بوجود الحاجب علی اعضاء الوضوء فطاف بغیر 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فی الخلاف لو طاف علی غیر وضوء وعاد إلی بلده رجع وأعاد الطواف مع الامکان فإن لم یمکنه استناب من یطوف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اجماع الفرقة واخبارهم وطریقة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المحقق الاردبیلی فی مسألة الطواف فی الحجر انه بمنزلة ترکه وان البطلان مخصوص بالعامد دون غیره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العلامة فی التذکرة فی ذیل مسألة الشک فی الطواف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 ولو تحلل من إحرام العمرة ثمّ أحرم بالحج وطاف وسعی له ثمّ ذکر انه طاف محدثاً أحد الطوافین ولم یعلم انه طواف عمرة التمتع أو طواف الحج قیل یطوف للحج ویسعی له ثمّ یعتمر بعد ذلک عمرة مفردة، ویصیر حجة مفردة، لاحتمال أن یکون فی طواف العمرة فیبطل وقد فات وقتها،</w:t>
      </w:r>
    </w:p>
    <w:p>
      <w:pPr>
        <w:pStyle w:val="BookText"/>
        <w:rPr/>
      </w:pPr>
      <w:r>
        <w:rPr>
          <w:rFonts w:ascii="IRNazanin" w:hAnsi="IRNazanin" w:eastAsia="IRNazanin"/>
          <w:color w:val="111111"/>
          <w:sz w:val="28"/>
          <w:sz w:val="28"/>
          <w:szCs w:val="28"/>
          <w:rtl w:val="true"/>
          <w:lang w:bidi="fa-IR"/>
        </w:rPr>
        <w:t>وأن یکون للحج، فیعیده فلهذا اوجبنا علیه إعادة طواف الحج وسعیه والاتیان بعمرة بعد الحج، لبطلان متعته، قال بعض العامة والوجه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یعید الطوافین، ولان العمرة لا تبطل بفوات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المحقق الاردبیلی أیضاً فی مسألة الشاک فی الطواف حیث یبطل طوافه ولا یستأنف للجهل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انه علی تقدیر وجوب الاعادة فالظاهر من الادلة أن ذلک مع الامکان وعدم الخروج من مکة والمشقة فی العود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وقع لشخص وخرج ولم یلتفت لا یمکن الحکم ببطلان طوافه ثمّ الحکم ببطلان حجه لأنه جاهل، والجاهل کالعامد فیکون حجه باطلًا لترک الطواف الموجب لذلک فیکون باقیاً علی احرامه ویجب علیه اجتناب محرمات الاحرام والذهاب لإعادة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بمجرد ما رأی فی بعض المواضع أن الجاهل کالعامد وأن من شک یجب اعادة طوافه خصوصاً إذا بنی علی الأقل وأکمل لما مرّ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ذهب إلی ذلک فی مسألة الشک فی الطواف صاحب المدارک والمجلسی فی البحار وصاحب الحدائق، والمسألة کما تری خلل فی الطواف حکمی، أی من ناحیة الجهل بالحکم فضلًا عن الخلل فی الموضوع الذی ارسل فی کلام العلامة فی التذکرة ارسال المسلمات أنه لا یوجب البطلان</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ذکرنا فی مسألة الشک من سند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الدالة علی ذلک وانها طائفة ثانیة دالة علی صحة النسک مع الخلل فی صحة الطواف والسعی سواء کان حکمیاً أو موضوعیاً إذا لم یکن ترک الطواف والسعی عمدیاً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الشهید فی الدروس فی أحکام الطواف،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طواف واجب رکن إلّا طواف النساء فلو ترکه عمداً تبطل نسکه وإن کان جاهلًا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ترکه ناسیاً عاد له فإن تعذر استناب فیه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ویظهر من عبارته أن مقابل النسیان والعمد، أی أن ما یقابل النسیان مطلق الخلل العمدی</w:t>
      </w:r>
      <w:r>
        <w:rPr>
          <w:rFonts w:eastAsia="IRNazanin" w:cs="IRNazanin"/>
          <w:color w:val="111111"/>
          <w:sz w:val="28"/>
          <w:szCs w:val="28"/>
          <w:rtl w:val="true"/>
          <w:lang w:bidi="fa-IR"/>
        </w:rPr>
        <w:t>.</w:t>
      </w:r>
      <w:bookmarkStart w:id="616" w:name="pg13690_120834"/>
    </w:p>
    <w:p>
      <w:pPr>
        <w:pStyle w:val="Heading2"/>
        <w:numPr>
          <w:ilvl w:val="1"/>
          <w:numId w:val="1"/>
        </w:numPr>
        <w:rPr/>
      </w:pPr>
      <w:bookmarkStart w:id="617" w:name="__RefHeading___Toc907440_1468164448"/>
      <w:bookmarkStart w:id="618" w:name="_Toc239"/>
      <w:bookmarkEnd w:id="616"/>
      <w:bookmarkEnd w:id="617"/>
      <w:r>
        <w:rPr>
          <w:rtl w:val="true"/>
        </w:rPr>
        <w:t>قاعدة</w:t>
      </w:r>
      <w:r>
        <w:rPr>
          <w:rtl w:val="true"/>
        </w:rPr>
        <w:t>:</w:t>
      </w:r>
      <w:r>
        <w:rPr>
          <w:rtl w:val="true"/>
        </w:rPr>
        <w:t>بطلان إدخال نسک فی نسک</w:t>
      </w:r>
      <w:bookmarkEnd w:id="618"/>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9" w:name="__RefHeading___Toc907442_1468164448"/>
      <w:bookmarkStart w:id="620" w:name="_Toc240"/>
      <w:bookmarkEnd w:id="619"/>
      <w:r>
        <w:rPr>
          <w:rtl w:val="true"/>
        </w:rPr>
        <w:t>اشارة</w:t>
      </w:r>
      <w:bookmarkStart w:id="621" w:name="pg13690_120836"/>
      <w:bookmarkEnd w:id="620"/>
    </w:p>
    <w:p>
      <w:pPr>
        <w:pStyle w:val="Heading3"/>
        <w:numPr>
          <w:ilvl w:val="2"/>
          <w:numId w:val="1"/>
        </w:numPr>
        <w:rPr/>
      </w:pPr>
      <w:bookmarkStart w:id="622" w:name="__RefHeading___Toc907444_1468164448"/>
      <w:bookmarkStart w:id="623" w:name="_Toc241"/>
      <w:bookmarkEnd w:id="621"/>
      <w:bookmarkEnd w:id="622"/>
      <w:r>
        <w:rPr>
          <w:rtl w:val="true"/>
        </w:rPr>
        <w:t>من قواعد باب الحج</w:t>
      </w:r>
      <w:r>
        <w:rPr>
          <w:rtl w:val="true"/>
        </w:rPr>
        <w:t>:</w:t>
      </w:r>
      <w:r>
        <w:rPr>
          <w:rtl w:val="true"/>
        </w:rPr>
        <w:t>بطلان إدخال نسک فی نسک</w:t>
      </w:r>
      <w:bookmarkEnd w:id="623"/>
    </w:p>
    <w:p>
      <w:pPr>
        <w:pStyle w:val="Heading4"/>
        <w:numPr>
          <w:ilvl w:val="3"/>
          <w:numId w:val="1"/>
        </w:numPr>
        <w:rPr/>
      </w:pPr>
      <w:bookmarkStart w:id="624" w:name="__RefHeading___Toc907446_1468164448"/>
      <w:bookmarkStart w:id="625" w:name="_Toc242"/>
      <w:bookmarkEnd w:id="624"/>
      <w:r>
        <w:rPr>
          <w:rtl w:val="true"/>
        </w:rPr>
        <w:t>اشارة</w:t>
      </w:r>
      <w:bookmarkEnd w:id="625"/>
    </w:p>
    <w:p>
      <w:pPr>
        <w:pStyle w:val="BookText"/>
        <w:rPr/>
      </w:pPr>
      <w:r>
        <w:rPr>
          <w:rFonts w:ascii="IRNazanin" w:hAnsi="IRNazanin" w:eastAsia="IRNazanin"/>
          <w:color w:val="111111"/>
          <w:sz w:val="28"/>
          <w:sz w:val="28"/>
          <w:szCs w:val="28"/>
          <w:rtl w:val="true"/>
          <w:lang w:bidi="fa-IR"/>
        </w:rPr>
        <w:t xml:space="preserve">و قد یعبر عنه بإقحام نسک فی نسک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یتصور فی بحث الاقتران بین النسکین، و نظیر هذا البحث قد عنون فی باب الصلاة فی ادخال صلاة فی صلاة و إن ورد فیها استثناء بعض الموارد کإدخال صلاة الآیات فی الفریضة عند ضیق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فیقع البحث فی مقامین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القاعدة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الحکم و المحمول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البحث فی الموضوع فإنه یتصور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ادخال و إقحام و أخری اقتران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ریب أن الکلام إنما هو فی العملین المتجانسین المتشابهین و لو فی بعض الاجزاء فإن التشابه و التجانس هو الذی یوجب ارتباط المماثل بالمماثل کما ورد فی النهی عن قراءة العزائم فی الصلاة حیث انه یوجب السجدة الواجبة و بالتالی فیأتی بعمل مشابه لبعض اجزاء الصلاة و قد علل النهی بأنّه زیادة فی المکتوبة مع أن الآتی بسجدة العزیمة لا یقصد بها التضمین فی الصلاة و الإدخال و نظیر ما لو قرأ فی الصلاة القرآن أو ذکر</w:t>
      </w:r>
    </w:p>
    <w:p>
      <w:pPr>
        <w:pStyle w:val="BookText"/>
        <w:rPr/>
      </w:pPr>
      <w:r>
        <w:rPr>
          <w:rFonts w:ascii="IRNazanin" w:hAnsi="IRNazanin" w:eastAsia="IRNazanin"/>
          <w:color w:val="111111"/>
          <w:sz w:val="28"/>
          <w:sz w:val="28"/>
          <w:szCs w:val="28"/>
          <w:rtl w:val="true"/>
          <w:lang w:bidi="fa-IR"/>
        </w:rPr>
        <w:t>ذکراً عبادیا و ان لم یقصد الجزئیة و التضمین فإنه یحسب جزأ مستحباً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 ذلک ما ورد فی النهی عن الطواف المستحب قبل الطواف للنسک الواجب و موارد أخری کثیرة یجدها المتتبع فی ماهیات العبادات الدال علی هذا الأصل السیال فیها، و من ثمّ یتأمل فی تصور الشق الثانی فی موضوع البحث من أن الاقتران لا محال یکون إدخال و اقحام و لو حصل بجزء واحد کما لو کبر للظهر ثمّ کبر للعصر ثمّ أتی بأربع رکعات للظهر و سلم ثمّ أتی بأربع رکعات للعصر و سلم فإن الاقتران بین التکبیرات و إن لم یکن باقتحام بقیة الرکعات فی الصلاة الأولی الا أن تکبیرة العصر قد ادخلت فی الظهر للتجانس بین التکبیرتین و کذا الحال فی إهلالی النسکین و الاحرامین فالاقتران یستلزم الاقتحام فی الجملة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بحسب موضوع القاعدة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محمول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فیستدل علی البطلان بعده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بعضها مشترک مع ما حرر فی باب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اقحام النسک فی النسک أو العمل العبادی فی الآخر یوجب محو الصورة المعهودة المقررة فی الادلة الشرعیة وهذا الوجه اجمالًا فی الجملة تام مع ما سیأتی فی الوجه الثانی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اشار إلیه صاحب الجواهر من أن ظاهر الادلة هو الاهلال بالحج بعد التقصیر المحلل لإحرام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ونظیره ایضا فی الادلة اتیان العمرة المفردة بعد التحلل من حج وکذلک ما فی ادلة العمرة المفردة من</w:t>
      </w:r>
    </w:p>
    <w:p>
      <w:pPr>
        <w:pStyle w:val="BookText"/>
        <w:rPr/>
      </w:pPr>
      <w:r>
        <w:rPr>
          <w:rFonts w:ascii="IRNazanin" w:hAnsi="IRNazanin" w:eastAsia="IRNazanin"/>
          <w:color w:val="111111"/>
          <w:sz w:val="28"/>
          <w:sz w:val="28"/>
          <w:szCs w:val="28"/>
          <w:rtl w:val="true"/>
          <w:lang w:bidi="fa-IR"/>
        </w:rPr>
        <w:t>بیان الفصل بین افرادها اما بشهر أو عشرة ایام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هذه الأدلة مباینة ایقاع النسک عن بعضها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اشار إلیه صاحب الجواهر من الأمر باتمام الحج أو العمرة حیث مقتضاه عدم قطعها بنسک آخر بل مواصلة اجزائهما بما لهما من هیئة اتصالیة مجموعیة ولا یخفی أن هذا الوجه یرجع إلیه ما ذکر فی الوجه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النصوص کصحیحة زرارة قال جاء رجل إلی أبی جعفر وهو خلف المقام قال إنی قرنت بین حجة وعمرة فقال له هل طفت بالبیت فقال نعم، قال هل سقت الهدی فقال لا فأخذ أبو جعفر بشعره وقال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 والله</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وهی نص فی المطلوب حیث ذهب العامة إلی أن الاقتران</w:t>
      </w:r>
      <w:r>
        <w:rPr>
          <w:rStyle w:val="FootnoteAnchor"/>
          <w:rtl w:val="true"/>
        </w:rPr>
        <w:footnoteReference w:id="684"/>
      </w:r>
      <w:r>
        <w:rPr>
          <w:rFonts w:ascii="IRNazanin" w:hAnsi="IRNazanin" w:eastAsia="IRNazanin"/>
          <w:color w:val="111111"/>
          <w:sz w:val="28"/>
          <w:sz w:val="28"/>
          <w:szCs w:val="28"/>
          <w:rtl w:val="true"/>
          <w:lang w:bidi="fa-IR"/>
        </w:rPr>
        <w:t>بمعنی قرن العمرة والحج فی اهلال واحد وهو نمط من ادخال نسک فی 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أحللت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إنما اتی به یقع متعة مع أن السائل لم ینشأ خصوص المتعة فوجهه ما تقدم من أن الاهلال یمکن أن یتعلق بالطبیعی ویتعین بما یأتی به المحرم لاحقاً کما مر فی جواز العدول من الافراد إلی التمتع، وما مر من انقلاب المتعة افراداً لو لبی قبل التقصیر، ومثلها صحیحة یعقوب بن شعیب قال قلت لأبی عبدالله الرجل یحرم لحجة وعمرة وینشئ العمرة، أ یتمتع؟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بتقریب أن یحرم أی ینوی وإن انشأ قولاً خصوص العمرة والمدار</w:t>
      </w:r>
    </w:p>
    <w:p>
      <w:pPr>
        <w:pStyle w:val="BookText"/>
        <w:rPr/>
      </w:pPr>
      <w:r>
        <w:rPr>
          <w:rFonts w:ascii="IRNazanin" w:hAnsi="IRNazanin" w:eastAsia="IRNazanin"/>
          <w:color w:val="111111"/>
          <w:sz w:val="28"/>
          <w:sz w:val="28"/>
          <w:szCs w:val="28"/>
          <w:rtl w:val="true"/>
          <w:lang w:bidi="fa-IR"/>
        </w:rPr>
        <w:t>وإن کان علی النیة إلا أنه حیث لا یصح القرن بین النسکین فیقع ما انشاءه عمرة التمتع خاصة وإن احتمل ان السؤال وقع عن العدول من الافراد إلی التمتع وفی موثق اسحاق بن عمار قال قلت لأبی عبد الله رجل یفرد الحج فیطوف بالبیت وسعی بین الصفا والمروة ثمّ یبدو له أن یجعلها عمرة قال إن کان لبی بعد ما سعی قبل أن یقصر فلا متعة له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وتقریب الدلالة فیها ان نفیه لا مکان المتعة له باطلاقه شامل لما لو أراد إقحام عمرة التمتع فیما بیده من نسک ولیس النفی خاص بقلب ما بیده إلی التمتع، وبهذا التقریب یظهر جهة الاستدلال بالنصوص المتقدمة الدالة علی أن من لبی متعمداً فی عمرة قبل التقصیر ینقلب نسکه إلی الافراد وتبطل متعته کمصحح العلاء بن فضیل وموثق اسحاق بن عمار الأخر</w:t>
      </w:r>
      <w:r>
        <w:rPr>
          <w:rStyle w:val="FootnoteAnchor"/>
          <w:rtl w:val="true"/>
        </w:rPr>
        <w:footnoteReference w:id="687"/>
      </w:r>
      <w:r>
        <w:rPr>
          <w:rFonts w:ascii="IRNazanin" w:hAnsi="IRNazanin" w:eastAsia="IRNazanin"/>
          <w:color w:val="111111"/>
          <w:sz w:val="28"/>
          <w:sz w:val="28"/>
          <w:szCs w:val="28"/>
          <w:rtl w:val="true"/>
          <w:lang w:bidi="fa-IR"/>
        </w:rPr>
        <w:t xml:space="preserve">وغیرهما مما ذکرناه فی المسألة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تقریرات بحث الحج</w:t>
      </w:r>
      <w:r>
        <w:rPr>
          <w:rStyle w:val="FootnoteAnchor"/>
          <w:rtl w:val="true"/>
        </w:rPr>
        <w:footnoteReference w:id="688"/>
      </w:r>
      <w:r>
        <w:rPr>
          <w:rFonts w:ascii="IRNazanin" w:hAnsi="IRNazanin" w:eastAsia="IRNazanin"/>
          <w:color w:val="111111"/>
          <w:sz w:val="28"/>
          <w:sz w:val="28"/>
          <w:szCs w:val="28"/>
          <w:rtl w:val="true"/>
          <w:lang w:bidi="fa-IR"/>
        </w:rPr>
        <w:t>فإن بطلان المتعة وامتناع المجیء بها یقتضی امتناع إدخال النسک فی النسک وإلّا فما کان للامتناع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صحیحة حماد بن عیسی عن أبی عبد الله قال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مکة متمتعاً فی أشهر الحج لم یکن له أن یخرج حتی یقضی الحج، فإن عرضت له حاجة إلی عسفان أو إلی الطائف أو إلی ذات عرق خرج محرماً ودخل ملبیاً بالحج فلا یزال علی إحرامه فإن رجع إلی مکة رجع محرماً ولم یقرب البیت حتی یخرج مع الناس إلی منی علی إحرامه، وإن شاء وجهه ذلک إلی منی،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جهل فخرج إلی المدینة أو إلی نحوها بغیر إحرام ثمّ رجع فی ابان</w:t>
      </w:r>
    </w:p>
    <w:p>
      <w:pPr>
        <w:pStyle w:val="BookText"/>
        <w:rPr/>
      </w:pPr>
      <w:r>
        <w:rPr>
          <w:rFonts w:ascii="IRNazanin" w:hAnsi="IRNazanin" w:eastAsia="IRNazanin"/>
          <w:color w:val="111111"/>
          <w:sz w:val="28"/>
          <w:sz w:val="28"/>
          <w:szCs w:val="28"/>
          <w:rtl w:val="true"/>
          <w:lang w:bidi="fa-IR"/>
        </w:rPr>
        <w:t>الحج فی أشهر الحج یرید الحج فیدخلها محرماً أو بغیر إحرام؟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رجع فی شهره دخل بغیر إحرام وإن دخل فی غیر الشهر دخل محرماً،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الاحرامین والمتعتین متعته الأولی أو الأخیرة؟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نص فی عدم جواز اقحام نسک فی نسک حیث علل عدم کون العمرة الأولی هی المتعة بأنها غیر موصولة بالحج، مما یقضی بأن إقحام نسک آخر بینها وبین الحج یقطعها عنه مع أن عمرة التمتع والحج لیسا فی إحرام واحد وإنما هما مشروطان ببعضهما فهذا مما یقضی بأن معنی اتمام النسک هو عدم قطعه بنسک آخر وان الاتمام بمعنی الهیئة الاتصالیة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یؤید المنع المزبور ما ورد فی صحیح عبد الرحمن بن الحجاج وصحیح معاویة بن عمار، قال فی الثانی عن أبی عبد الله قال سألته عن المفرد للحج هل یطوف بالبیت بعد طواف الفریضة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ما شاء، ویجدد التلبیة بعد الرکعتین، والقارن بتلک المنزلة یعقدان ما أحلا من الطواف بالتلبیة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دلالتها أن الطواف المندوب مع أنه لم یأت به بقصد الجزئیة إلا أنه مسانخ لبعض أجزاء النسک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مما یوجب التحامه به تلقائیاً، وان لم یقصده الناسک وبالتالی فاحتاج إلی عقد احرامه تأکیداً بالتلبیة الأخری، کل ذلک بسبب التجانس الموجود بین الافعال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کله بحسب القاعدة الأولیة والنصوص الواردة وکذلک هناک جملة من الروایات الأمرة بالتلبیة بعد الطواف المستحب أو الناهیة عنه فی العمرة ذکرناها اجمالا فی مسألة </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سند العروة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bookmarkStart w:id="626" w:name="pg13690_120841"/>
    </w:p>
    <w:p>
      <w:pPr>
        <w:pStyle w:val="Heading4"/>
        <w:numPr>
          <w:ilvl w:val="3"/>
          <w:numId w:val="1"/>
        </w:numPr>
        <w:rPr/>
      </w:pPr>
      <w:bookmarkStart w:id="627" w:name="__RefHeading___Toc907448_1468164448"/>
      <w:bookmarkStart w:id="628" w:name="_Toc243"/>
      <w:bookmarkEnd w:id="626"/>
      <w:bookmarkEnd w:id="627"/>
      <w:r>
        <w:rPr>
          <w:rtl w:val="true"/>
        </w:rPr>
        <w:t>تتمتان للقاعدة</w:t>
      </w:r>
      <w:r>
        <w:rPr>
          <w:rtl w:val="true"/>
        </w:rPr>
        <w:t>:</w:t>
      </w:r>
      <w:bookmarkEnd w:id="628"/>
    </w:p>
    <w:p>
      <w:pPr>
        <w:pStyle w:val="Heading5"/>
        <w:numPr>
          <w:ilvl w:val="4"/>
          <w:numId w:val="1"/>
        </w:numPr>
        <w:rPr/>
      </w:pPr>
      <w:bookmarkStart w:id="629" w:name="__RefHeading___Toc907450_1468164448"/>
      <w:bookmarkStart w:id="630" w:name="_Toc244"/>
      <w:bookmarkEnd w:id="629"/>
      <w:r>
        <w:rPr>
          <w:rtl w:val="true"/>
        </w:rPr>
        <w:t xml:space="preserve">التتمة الاولی </w:t>
      </w:r>
      <w:r>
        <w:rPr>
          <w:rtl w:val="true"/>
        </w:rPr>
        <w:t>: (</w:t>
      </w:r>
      <w:r>
        <w:rPr>
          <w:rtl w:val="true"/>
        </w:rPr>
        <w:t>عموم القاعدة</w:t>
      </w:r>
      <w:r>
        <w:rPr>
          <w:rtl w:val="true"/>
        </w:rPr>
        <w:t>):</w:t>
      </w:r>
      <w:bookmarkEnd w:id="630"/>
    </w:p>
    <w:p>
      <w:pPr>
        <w:pStyle w:val="Heading6"/>
        <w:numPr>
          <w:ilvl w:val="5"/>
          <w:numId w:val="1"/>
        </w:numPr>
        <w:rPr/>
      </w:pPr>
      <w:bookmarkStart w:id="631" w:name="__RefHeading___Toc907452_1468164448"/>
      <w:bookmarkStart w:id="632" w:name="_Toc245"/>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فهل تشمل العامد وغیره، وهل تشمل ما لو بقی بعض أجزاء النسک السابق کما لو نسی الطواف والسعی أو بقی علیه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أمور</w:t>
      </w:r>
      <w:r>
        <w:rPr>
          <w:rFonts w:eastAsia="IRNazanin" w:cs="IRNazanin"/>
          <w:color w:val="111111"/>
          <w:sz w:val="28"/>
          <w:szCs w:val="28"/>
          <w:rtl w:val="true"/>
          <w:lang w:bidi="fa-IR"/>
        </w:rPr>
        <w:t>:</w:t>
      </w:r>
    </w:p>
    <w:p>
      <w:pPr>
        <w:pStyle w:val="Heading6"/>
        <w:numPr>
          <w:ilvl w:val="5"/>
          <w:numId w:val="1"/>
        </w:numPr>
        <w:rPr/>
      </w:pPr>
      <w:bookmarkStart w:id="633" w:name="__RefHeading___Toc907454_1468164448"/>
      <w:bookmarkStart w:id="634" w:name="_Toc246"/>
      <w:bookmarkEnd w:id="633"/>
      <w:r>
        <w:rPr>
          <w:rtl w:val="true"/>
        </w:rPr>
        <w:t>الأول</w:t>
      </w:r>
      <w:r>
        <w:rPr>
          <w:rtl w:val="true"/>
        </w:rPr>
        <w:t xml:space="preserve">: </w:t>
      </w:r>
      <w:r>
        <w:rPr>
          <w:rtl w:val="true"/>
        </w:rPr>
        <w:t>فی شمول القاعدة لغیر العامد</w:t>
      </w:r>
      <w:r>
        <w:rPr>
          <w:rtl w:val="true"/>
        </w:rPr>
        <w:t>:</w:t>
      </w:r>
      <w:bookmarkEnd w:id="634"/>
    </w:p>
    <w:p>
      <w:pPr>
        <w:pStyle w:val="BookText"/>
        <w:rPr/>
      </w:pPr>
      <w:r>
        <w:rPr>
          <w:rFonts w:ascii="IRNazanin" w:hAnsi="IRNazanin" w:eastAsia="IRNazanin"/>
          <w:color w:val="111111"/>
          <w:sz w:val="28"/>
          <w:sz w:val="28"/>
          <w:szCs w:val="28"/>
          <w:rtl w:val="true"/>
          <w:lang w:bidi="fa-IR"/>
        </w:rPr>
        <w:t>و الظاهر عمومها له بمقتضی الأدلة السابقة فیما لو کان الاقتحام من البدء أو فی الأثناء قبل إتمام بقیة الأجزاء لعموم الوجوه المتقدّمة، وأما لو بقی علیه بعض الأجزاء بسبب الخلل غیر العمدی فالظاهر عدم شمول القاعدة لما یأتی من الإشارة فی الأمور اللاحقة، بل کذلک الحال فی خصوص طواف النساء ولو عمداً</w:t>
      </w:r>
      <w:r>
        <w:rPr>
          <w:rFonts w:eastAsia="IRNazanin" w:cs="IRNazanin"/>
          <w:color w:val="111111"/>
          <w:sz w:val="28"/>
          <w:szCs w:val="28"/>
          <w:rtl w:val="true"/>
          <w:lang w:bidi="fa-IR"/>
        </w:rPr>
        <w:t>.</w:t>
      </w:r>
    </w:p>
    <w:p>
      <w:pPr>
        <w:pStyle w:val="Heading6"/>
        <w:numPr>
          <w:ilvl w:val="5"/>
          <w:numId w:val="1"/>
        </w:numPr>
        <w:rPr/>
      </w:pPr>
      <w:bookmarkStart w:id="635" w:name="__RefHeading___Toc907456_1468164448"/>
      <w:bookmarkStart w:id="636" w:name="_Toc247"/>
      <w:bookmarkEnd w:id="635"/>
      <w:r>
        <w:rPr>
          <w:rtl w:val="true"/>
        </w:rPr>
        <w:t>الثانی</w:t>
      </w:r>
      <w:r>
        <w:rPr>
          <w:rtl w:val="true"/>
        </w:rPr>
        <w:t xml:space="preserve">: </w:t>
      </w:r>
      <w:r>
        <w:rPr>
          <w:rtl w:val="true"/>
        </w:rPr>
        <w:t>الظاهر عدم عموم القاعدة</w:t>
      </w:r>
      <w:bookmarkEnd w:id="636"/>
    </w:p>
    <w:p>
      <w:pPr>
        <w:pStyle w:val="BookText"/>
        <w:rPr/>
      </w:pPr>
      <w:r>
        <w:rPr>
          <w:rFonts w:ascii="IRNazanin" w:hAnsi="IRNazanin" w:eastAsia="IRNazanin"/>
          <w:color w:val="111111"/>
          <w:sz w:val="28"/>
          <w:sz w:val="28"/>
          <w:szCs w:val="28"/>
          <w:rtl w:val="true"/>
          <w:lang w:bidi="fa-IR"/>
        </w:rPr>
        <w:t>لموارد بقاء بعض الأجزاء بسبب الخلل غیر العمدی؛ لما ورد من النصوص فی الخلل فی الطوافین غیر العمدی أنه یقضیهما ولو دخل فی نسک آخر، کما لو نسیهما فی عمرة التمتع ثمّ أهل بحج التمتع فإنه یقضیها قبل أن یأتی بطوافی الحج، مع أنه لا زال باقیاً علی إحرام العمرة ما بقی وجوب قضاء الطوافین لها فی ذمته، وهذا مما یدلل علی أن إدخال النسک فی النسک بهذا المقدار غیر ضار کما ورد فی باب الصلاة من إقحام صلاة الفریضة فی صلاة الآیات عند ضیق الوقت</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الکلام مطّرد أیضاً فیما لو فرض الخلل فی طوافی العمرة وقد دخل فی عمرة أخری، ومن ذلک یتضح الحال فی طواف النساء لو نسیه</w:t>
      </w:r>
      <w:bookmarkStart w:id="637" w:name="pg13690_120842"/>
    </w:p>
    <w:p>
      <w:pPr>
        <w:pStyle w:val="BookText"/>
        <w:rPr/>
      </w:pPr>
      <w:bookmarkEnd w:id="637"/>
      <w:r>
        <w:rPr>
          <w:rFonts w:ascii="IRNazanin" w:hAnsi="IRNazanin" w:eastAsia="IRNazanin"/>
          <w:color w:val="111111"/>
          <w:sz w:val="28"/>
          <w:sz w:val="28"/>
          <w:szCs w:val="28"/>
          <w:rtl w:val="true"/>
          <w:lang w:bidi="fa-IR"/>
        </w:rPr>
        <w:t>وأتی بعمرات متکررة فإنها تصح منه ویلزم علیه قضاء طواف النساء بعددها، وإن بنی علی أن طواف النساء جزء من النسک</w:t>
      </w:r>
      <w:r>
        <w:rPr>
          <w:rFonts w:eastAsia="IRNazanin" w:cs="IRNazanin"/>
          <w:color w:val="111111"/>
          <w:sz w:val="28"/>
          <w:szCs w:val="28"/>
          <w:rtl w:val="true"/>
          <w:lang w:bidi="fa-IR"/>
        </w:rPr>
        <w:t>.</w:t>
      </w:r>
    </w:p>
    <w:p>
      <w:pPr>
        <w:pStyle w:val="Heading5"/>
        <w:numPr>
          <w:ilvl w:val="4"/>
          <w:numId w:val="1"/>
        </w:numPr>
        <w:rPr/>
      </w:pPr>
      <w:bookmarkStart w:id="638" w:name="__RefHeading___Toc907458_1468164448"/>
      <w:bookmarkStart w:id="639" w:name="_Toc248"/>
      <w:bookmarkEnd w:id="638"/>
      <w:r>
        <w:rPr>
          <w:rtl w:val="true"/>
        </w:rPr>
        <w:t xml:space="preserve">التتمة الثانیة </w:t>
      </w:r>
      <w:r>
        <w:rPr>
          <w:rtl w:val="true"/>
        </w:rPr>
        <w:t>:</w:t>
      </w:r>
      <w:bookmarkEnd w:id="639"/>
    </w:p>
    <w:p>
      <w:pPr>
        <w:pStyle w:val="BookText"/>
        <w:rPr/>
      </w:pP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طواف النساء لیس جزءاً من النسک</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شمول القاعدة لما لو ترک طواف النساء عمداً وأهلّ بنسک أخر فقد قیل بالصحة استناداً إلی القول بعدم جزئیته نظراً إلی ورود النصوص الصحاح المتعددة، کصحیح الحلبی وصحیحی معاویة بن عمار ، ویؤید بخلو عمرة التمتع من طواف النساء مع أنها متحدة الطبیعة مع العمرة المفردة، فعلی ذلک لا یکون عند الإهلال لنسک جدید من إدخال نسک فی نسک ولا یندرج تحت موضوع القاعدة، بل غایة الأمر یکون مطالباً به لأجل التحلل من الإحرام السابق، لا أنه باقیاً فی ظرف نسک سابق بل حصل الخروج منه وإنما هو مرتبط ببعض آثاره، وأما لو بنی علی الجزئیة فیشکل الحال مع تعمد الترک فی إدخال نسک جدید، لأنه بناءً علی الجزئیة یکون متصلًا لما قبله وإدخال النسک یوجب قطع الهیئة الاتصالیة إلا أن الأظهر القول بعدم الجزئیة</w:t>
      </w:r>
      <w:r>
        <w:rPr>
          <w:rFonts w:eastAsia="IRNazanin" w:cs="IRNazanin"/>
          <w:color w:val="111111"/>
          <w:sz w:val="28"/>
          <w:szCs w:val="28"/>
          <w:rtl w:val="true"/>
          <w:lang w:bidi="fa-IR"/>
        </w:rPr>
        <w:t>.</w:t>
      </w:r>
      <w:bookmarkStart w:id="640" w:name="pg13690_120844"/>
    </w:p>
    <w:p>
      <w:pPr>
        <w:pStyle w:val="Heading2"/>
        <w:numPr>
          <w:ilvl w:val="1"/>
          <w:numId w:val="1"/>
        </w:numPr>
        <w:rPr/>
      </w:pPr>
      <w:bookmarkStart w:id="641" w:name="__RefHeading___Toc907460_1468164448"/>
      <w:bookmarkStart w:id="642" w:name="_Toc249"/>
      <w:bookmarkEnd w:id="640"/>
      <w:bookmarkEnd w:id="641"/>
      <w:r>
        <w:rPr>
          <w:rtl w:val="true"/>
        </w:rPr>
        <w:t>قاعدة</w:t>
      </w:r>
      <w:r>
        <w:rPr>
          <w:rtl w:val="true"/>
        </w:rPr>
        <w:t>:</w:t>
      </w:r>
      <w:r>
        <w:rPr>
          <w:rtl w:val="true"/>
        </w:rPr>
        <w:t>لزوم الحج من قابل بفساد الحج</w:t>
      </w:r>
      <w:bookmarkEnd w:id="64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3" w:name="__RefHeading___Toc907462_1468164448"/>
      <w:bookmarkStart w:id="644" w:name="_Toc250"/>
      <w:bookmarkEnd w:id="643"/>
      <w:r>
        <w:rPr>
          <w:rtl w:val="true"/>
        </w:rPr>
        <w:t>اشارة</w:t>
      </w:r>
      <w:bookmarkStart w:id="645" w:name="pg13690_120846"/>
      <w:bookmarkEnd w:id="644"/>
    </w:p>
    <w:p>
      <w:pPr>
        <w:pStyle w:val="Heading3"/>
        <w:numPr>
          <w:ilvl w:val="2"/>
          <w:numId w:val="1"/>
        </w:numPr>
        <w:rPr/>
      </w:pPr>
      <w:bookmarkStart w:id="646" w:name="__RefHeading___Toc907464_1468164448"/>
      <w:bookmarkStart w:id="647" w:name="_Toc251"/>
      <w:bookmarkEnd w:id="645"/>
      <w:bookmarkEnd w:id="646"/>
      <w:r>
        <w:rPr>
          <w:rtl w:val="true"/>
        </w:rPr>
        <w:t>من قواعد باب الحج</w:t>
      </w:r>
      <w:r>
        <w:rPr>
          <w:rtl w:val="true"/>
        </w:rPr>
        <w:t>:</w:t>
      </w:r>
      <w:r>
        <w:rPr>
          <w:rtl w:val="true"/>
        </w:rPr>
        <w:t>لزوم الحج من قابل بفساد الحج</w:t>
      </w:r>
      <w:bookmarkEnd w:id="647"/>
    </w:p>
    <w:p>
      <w:pPr>
        <w:pStyle w:val="Heading4"/>
        <w:numPr>
          <w:ilvl w:val="3"/>
          <w:numId w:val="1"/>
        </w:numPr>
        <w:rPr/>
      </w:pPr>
      <w:bookmarkStart w:id="648" w:name="__RefHeading___Toc907466_1468164448"/>
      <w:bookmarkStart w:id="649" w:name="_Toc252"/>
      <w:bookmarkEnd w:id="648"/>
      <w:r>
        <w:rPr>
          <w:rtl w:val="true"/>
        </w:rPr>
        <w:t>تحریر البحث</w:t>
      </w:r>
      <w:r>
        <w:rPr>
          <w:rtl w:val="true"/>
        </w:rPr>
        <w:t>:</w:t>
      </w:r>
      <w:bookmarkEnd w:id="649"/>
    </w:p>
    <w:p>
      <w:pPr>
        <w:pStyle w:val="BookText"/>
        <w:rPr/>
      </w:pPr>
      <w:r>
        <w:rPr>
          <w:rFonts w:ascii="IRNazanin" w:hAnsi="IRNazanin" w:eastAsia="IRNazanin"/>
          <w:color w:val="111111"/>
          <w:sz w:val="28"/>
          <w:sz w:val="28"/>
          <w:szCs w:val="28"/>
          <w:rtl w:val="true"/>
          <w:lang w:bidi="fa-IR"/>
        </w:rPr>
        <w:t>فهل یجب قضاء الحج لمن أفسد حجه أو بطل أو فسد بفوت الموقفین أو بغیر ذلک بعد تلبسه بالإحرام؟ سوء کان حجه واجباً أو مستحباً، وسواء کان الترک فی واجبات المتعة أو حج التمتع أو الإفراد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ذلک من کلمات جماعة وفی بعض المقامات، ویظهر الخلاف من کلمات أخری</w:t>
      </w:r>
      <w:r>
        <w:rPr>
          <w:rFonts w:eastAsia="IRNazanin" w:cs="IRNazanin"/>
          <w:color w:val="111111"/>
          <w:sz w:val="28"/>
          <w:szCs w:val="28"/>
          <w:rtl w:val="true"/>
          <w:lang w:bidi="fa-IR"/>
        </w:rPr>
        <w:t>.</w:t>
      </w:r>
    </w:p>
    <w:p>
      <w:pPr>
        <w:pStyle w:val="Heading4"/>
        <w:numPr>
          <w:ilvl w:val="3"/>
          <w:numId w:val="1"/>
        </w:numPr>
        <w:rPr/>
      </w:pPr>
      <w:bookmarkStart w:id="650" w:name="__RefHeading___Toc907468_1468164448"/>
      <w:bookmarkStart w:id="651" w:name="_Toc253"/>
      <w:bookmarkEnd w:id="650"/>
      <w:r>
        <w:rPr>
          <w:rtl w:val="true"/>
        </w:rPr>
        <w:t>الکلام فی مقامین</w:t>
      </w:r>
      <w:r>
        <w:rPr>
          <w:rtl w:val="true"/>
        </w:rPr>
        <w:t>:</w:t>
      </w:r>
      <w:bookmarkEnd w:id="651"/>
    </w:p>
    <w:p>
      <w:pPr>
        <w:pStyle w:val="Heading5"/>
        <w:numPr>
          <w:ilvl w:val="4"/>
          <w:numId w:val="1"/>
        </w:numPr>
        <w:rPr/>
      </w:pPr>
      <w:bookmarkStart w:id="652" w:name="__RefHeading___Toc907470_1468164448"/>
      <w:bookmarkStart w:id="653" w:name="_Toc254"/>
      <w:bookmarkEnd w:id="652"/>
      <w:r>
        <w:rPr>
          <w:rtl w:val="true"/>
        </w:rPr>
        <w:t>الأول</w:t>
      </w:r>
      <w:r>
        <w:rPr>
          <w:rtl w:val="true"/>
        </w:rPr>
        <w:t xml:space="preserve">: </w:t>
      </w:r>
      <w:r>
        <w:rPr>
          <w:rtl w:val="true"/>
        </w:rPr>
        <w:t>مقتضی القاعدة</w:t>
      </w:r>
      <w:r>
        <w:rPr>
          <w:rtl w:val="true"/>
        </w:rPr>
        <w:t>:</w:t>
      </w:r>
      <w:bookmarkEnd w:id="653"/>
    </w:p>
    <w:p>
      <w:pPr>
        <w:pStyle w:val="BookText"/>
        <w:rPr/>
      </w:pPr>
      <w:r>
        <w:rPr>
          <w:rFonts w:ascii="IRNazanin" w:hAnsi="IRNazanin" w:eastAsia="IRNazanin"/>
          <w:color w:val="111111"/>
          <w:sz w:val="28"/>
          <w:sz w:val="28"/>
          <w:szCs w:val="28"/>
          <w:rtl w:val="true"/>
          <w:lang w:bidi="fa-IR"/>
        </w:rPr>
        <w:t>مقتضی القاعدة أن من فسد حجه إما عامد عالماً أو غیره، اما الأول اما أن یقع فی حج واجب أو مستحب، أما إفساد العالم العامد لحجه فی الحج الواجب فیستقر الحج فی ذمته لترکه أداء الواجب مع حصول الاستطاعة فیستقر فی ذمته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لو کان مستحباً فمقتضی القاعدة عدم لزوم القضاء للأصل النافی، غایة الأمر عصیانه لوجوب إتیان واتمام الحج، کما أن ما دلّ علی فوات الحج بفوت الموقفین ونحوهما دالّا علی سقوط الأمر باتمام الحج</w:t>
      </w:r>
      <w:bookmarkStart w:id="654" w:name="pg13690_120847"/>
    </w:p>
    <w:p>
      <w:pPr>
        <w:pStyle w:val="BookText"/>
        <w:rPr/>
      </w:pPr>
      <w:bookmarkEnd w:id="654"/>
      <w:r>
        <w:rPr>
          <w:rFonts w:ascii="IRNazanin" w:hAnsi="IRNazanin" w:eastAsia="IRNazanin"/>
          <w:color w:val="111111"/>
          <w:sz w:val="28"/>
          <w:sz w:val="28"/>
          <w:szCs w:val="28"/>
          <w:rtl w:val="true"/>
          <w:lang w:bidi="fa-IR"/>
        </w:rPr>
        <w:t>بالفساد وأنه یتحلل بعمرة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غیر العامد فاما أن یفرض مقصّرا ملتفتا أو غیر، فأما الأول فالظاهر أنه بحکم العامد، وأما الثانی فالأقوی فیه استقرار الحج أیضاً لما ذکرنا فی بحث الاستطاعة من سند العروة کتاب الحج</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ضیق الوقت لا بسبب من المکلف ولا توانی منه ولو عذری لما تحققت الاستطاعة حینئذ ولا یستقرّ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بحسب القاعدة</w:t>
      </w:r>
      <w:r>
        <w:rPr>
          <w:rFonts w:eastAsia="IRNazanin" w:cs="IRNazanin"/>
          <w:color w:val="111111"/>
          <w:sz w:val="28"/>
          <w:szCs w:val="28"/>
          <w:rtl w:val="true"/>
          <w:lang w:bidi="fa-IR"/>
        </w:rPr>
        <w:t>.</w:t>
      </w:r>
    </w:p>
    <w:p>
      <w:pPr>
        <w:pStyle w:val="Heading5"/>
        <w:numPr>
          <w:ilvl w:val="4"/>
          <w:numId w:val="1"/>
        </w:numPr>
        <w:rPr/>
      </w:pPr>
      <w:bookmarkStart w:id="655" w:name="__RefHeading___Toc907472_1468164448"/>
      <w:bookmarkStart w:id="656" w:name="_Toc255"/>
      <w:bookmarkEnd w:id="655"/>
      <w:r>
        <w:rPr>
          <w:rtl w:val="true"/>
        </w:rPr>
        <w:t xml:space="preserve">المقام الثانی </w:t>
      </w:r>
      <w:r>
        <w:rPr>
          <w:rtl w:val="true"/>
        </w:rPr>
        <w:t xml:space="preserve">: </w:t>
      </w:r>
      <w:r>
        <w:rPr>
          <w:rtl w:val="true"/>
        </w:rPr>
        <w:t>الروایات</w:t>
      </w:r>
      <w:r>
        <w:rPr>
          <w:rtl w:val="true"/>
        </w:rPr>
        <w:t>:</w:t>
      </w:r>
      <w:bookmarkEnd w:id="656"/>
    </w:p>
    <w:p>
      <w:pPr>
        <w:pStyle w:val="BookText"/>
        <w:rPr/>
      </w:pPr>
      <w:r>
        <w:rPr>
          <w:rFonts w:ascii="IRNazanin" w:hAnsi="IRNazanin" w:eastAsia="IRNazanin"/>
          <w:color w:val="111111"/>
          <w:sz w:val="28"/>
          <w:sz w:val="28"/>
          <w:szCs w:val="28"/>
          <w:rtl w:val="true"/>
          <w:lang w:bidi="fa-IR"/>
        </w:rPr>
        <w:t>أما بحسب النصوص الواردة فقد یستدل بقضاء الحج مطلقاً بما ورد فیمن أفسد حجه بالجماع قبل الموقفین حیث 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فسد حجه فعلیه الحج من قابل</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ورد الأمر بالحج من قابل فیمن فاته الموقفین، وکذا ورد فی روایة النعمانی فی تفسیره،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حدود الحج فأربعة وهی الإحرام والطواف بالبیت والسعی بین الصفا والمروة والوقوف فی الموقفین وما یتبعها ویتصل بهما، ضمن ترک هذه الحدود وجب علیه الکفارة والاعادة</w:t>
      </w:r>
      <w:r>
        <w:rPr>
          <w:rFonts w:eastAsia="IRNazanin" w:cs="IRNazanin"/>
          <w:color w:val="111111"/>
          <w:sz w:val="28"/>
          <w:szCs w:val="28"/>
          <w:rtl w:val="true"/>
          <w:lang w:bidi="fa-IR"/>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الأصح فی المورد الأول کون ما یأتی به فی القابل عقوبة لصحیح زرارة الدال علی ذلک فی تلک المسألة، مضافاً إلی أن التعبیر بالفساد استعمل فی الجماع بعد الموقفین أیضاً، فالمراد منه نقص حجه بذلک</w:t>
      </w:r>
    </w:p>
    <w:p>
      <w:pPr>
        <w:pStyle w:val="BookText"/>
        <w:rPr/>
      </w:pPr>
      <w:r>
        <w:rPr>
          <w:rFonts w:ascii="IRNazanin" w:hAnsi="IRNazanin" w:eastAsia="IRNazanin"/>
          <w:color w:val="111111"/>
          <w:sz w:val="28"/>
          <w:sz w:val="28"/>
          <w:szCs w:val="28"/>
          <w:rtl w:val="true"/>
          <w:lang w:bidi="fa-IR"/>
        </w:rPr>
        <w:t>واحتیاجه للجبر بالکفارة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المورد الثانی فقد ذهب الأصحاب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کتب الفاضلین والدروس وصاحب کشف اللثام والحدائق والجواهر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استحباب الحج من قابل فیما إذا کان مستحباً، ووجوبه فیما إذا کان واجباً مستقراً علیه، أو بقیت الاستطاعة إلی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ما ذهب إلیه الأصحاب هو ما فی صحیح داود الرقی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أبی عبد الله بمنی إذ دخل علیه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الیوم قومٌ قد فاتهم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 الله العافیة،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علیهم أن یهریق کل واحد منهم دم شاة ویحلون وعلیهم الحج من قابل إن انصرفوا إلی بلادهم، وإن أقاموا حتی تمضی أیام التشریق بمکة ثمّ خرجوا إلی بعض مواقیت أهل مکة فأحرموا منه واعتمروا فلیس علیهم الحج من قابل</w:t>
      </w:r>
      <w:r>
        <w:rPr>
          <w:rFonts w:eastAsia="IRNazanin" w:cs="IRNazanin"/>
          <w:color w:val="111111"/>
          <w:sz w:val="28"/>
          <w:szCs w:val="28"/>
          <w:rtl w:val="true"/>
          <w:lang w:bidi="fa-IR"/>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فصل بین من یعتمر بعد إحلاله من المواقیت البعیدة فلا حج علیه من قابل، وهو یناسب الاستحباب</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صحیح ضریس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رجل خرج متمتعاً بالعمرة إلی الحج فلم یبلغ مکة إلا یوم النحر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علی إحرامه ویقطع التلبیة حتی یدخل مکة فیطوف ویسعی من الصفا والمروة ویحلق رأسه وینصرف إلی أهله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لمن اشترط علی ربّه عند إحرامه، فإن لم یکن اشترط فإن علیه الحج من قابل</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فصل بین من اشترط فی إحرامه وبین من لم یشترط، فإنه یناسب الاستحباب لا الوجوب، وتقریر هذا المفاد بملاحظة ما ورد من أن الاشتراط فی المستحب أیضاً یسقط الحج فی القابل، بخلاف الاشتراط فی الواجب فإنه لا یسقطه، کما هو مقتضی الجمع بین صحیح أبی بصیر وابی الصباح الکنانی من جهة ففی الأولی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عن الرجل یشترط فی الحج أن حلنی حیث حبستنی، علیه الحج من 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6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ذریح المحاربی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رجل تمتع بالعمرة إلی الحج وأحصر بعد ما أحرم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اشترط علی ربه قبل أن یحرم أن یحله من إحرامه عند عارض عرض له من امر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اشترط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فلیرجع إلی أهله حلًا لا إحرام علیه فإن الله أحق من وفی بما اشترط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فعلیه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حمله الشیخ علی حج التطوّع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الصحیح یظهر أن الحکم فی المصدود والمحصور مع المقام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مصححة حمزة بن حمران أنه سأل أبا عبدالله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 یقول حلنی حیث حبستنی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 حیث حبسه قال أو لم یقل، ولا یسقط الاشتراط عنه الحج من قابل</w:t>
      </w:r>
      <w:r>
        <w:rPr>
          <w:rFonts w:eastAsia="IRNazanin" w:cs="IRNazanin"/>
          <w:color w:val="111111"/>
          <w:sz w:val="28"/>
          <w:szCs w:val="28"/>
          <w:rtl w:val="true"/>
          <w:lang w:bidi="fa-IR"/>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المحمول علی مورد الحج الواجب حیث لا یسقط الاشتراط الحج الواجب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النعمانی فمع ضعف السند لسانها لسان روایات المورد الثانی الذی قد عرفت الحال فیه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الحج المندوب یستحب قضاؤه عن قابل، بخلاف ما إذا کان الحج واجباً کحجّة الاسلام</w:t>
      </w:r>
      <w:r>
        <w:rPr>
          <w:rFonts w:eastAsia="IRNazanin" w:cs="IRNazanin"/>
          <w:color w:val="111111"/>
          <w:sz w:val="28"/>
          <w:szCs w:val="28"/>
          <w:rtl w:val="true"/>
          <w:lang w:bidi="fa-IR"/>
        </w:rPr>
        <w:t>.</w:t>
      </w:r>
      <w:bookmarkStart w:id="657" w:name="pg13690_120852"/>
    </w:p>
    <w:p>
      <w:pPr>
        <w:pStyle w:val="Heading2"/>
        <w:numPr>
          <w:ilvl w:val="1"/>
          <w:numId w:val="1"/>
        </w:numPr>
        <w:rPr/>
      </w:pPr>
      <w:bookmarkStart w:id="658" w:name="__RefHeading___Toc907474_1468164448"/>
      <w:bookmarkStart w:id="659" w:name="_Toc256"/>
      <w:bookmarkEnd w:id="657"/>
      <w:bookmarkEnd w:id="658"/>
      <w:r>
        <w:rPr>
          <w:rtl w:val="true"/>
        </w:rPr>
        <w:t>قاعدة</w:t>
      </w:r>
      <w:r>
        <w:rPr>
          <w:rtl w:val="true"/>
        </w:rPr>
        <w:t>:</w:t>
      </w:r>
      <w:r>
        <w:rPr>
          <w:rtl w:val="true"/>
        </w:rPr>
        <w:t>تباین أو وحدة أنواع الحج فی کون الإفراد والقران وظیفة الحاضر</w:t>
      </w:r>
      <w:bookmarkEnd w:id="65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0" w:name="__RefHeading___Toc907476_1468164448"/>
      <w:bookmarkStart w:id="661" w:name="_Toc257"/>
      <w:bookmarkEnd w:id="660"/>
      <w:r>
        <w:rPr>
          <w:rtl w:val="true"/>
        </w:rPr>
        <w:t>اشارة</w:t>
      </w:r>
      <w:bookmarkStart w:id="662" w:name="pg13690_120854"/>
      <w:bookmarkEnd w:id="661"/>
    </w:p>
    <w:p>
      <w:pPr>
        <w:pStyle w:val="Heading3"/>
        <w:numPr>
          <w:ilvl w:val="2"/>
          <w:numId w:val="1"/>
        </w:numPr>
        <w:rPr/>
      </w:pPr>
      <w:bookmarkStart w:id="663" w:name="__RefHeading___Toc907478_1468164448"/>
      <w:bookmarkStart w:id="664" w:name="_Toc258"/>
      <w:bookmarkEnd w:id="662"/>
      <w:bookmarkEnd w:id="663"/>
      <w:r>
        <w:rPr>
          <w:rtl w:val="true"/>
        </w:rPr>
        <w:t>من قواعد باب الحج</w:t>
      </w:r>
      <w:r>
        <w:rPr>
          <w:rtl w:val="true"/>
        </w:rPr>
        <w:t>:</w:t>
      </w:r>
      <w:r>
        <w:rPr>
          <w:rtl w:val="true"/>
        </w:rPr>
        <w:t>تباین أو وحدة أنواع الحج فی کون الإفراد والقران وظیفة الحاضر</w:t>
      </w:r>
      <w:bookmarkEnd w:id="664"/>
    </w:p>
    <w:p>
      <w:pPr>
        <w:pStyle w:val="BookText"/>
        <w:rPr/>
      </w:pPr>
      <w:r>
        <w:rPr>
          <w:rFonts w:ascii="IRNazanin" w:hAnsi="IRNazanin" w:eastAsia="IRNazanin"/>
          <w:color w:val="111111"/>
          <w:sz w:val="28"/>
          <w:sz w:val="28"/>
          <w:szCs w:val="28"/>
          <w:rtl w:val="true"/>
          <w:lang w:bidi="fa-IR"/>
        </w:rPr>
        <w:t>لم یذکر خلاف فی ذلک إلا عن الشیخ و ابن سعید، قال فی المبسوط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تمتع من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أصحابنا من قال انّه لا یجزیه، و فیهم من قال یجزیه، و هو الصحیح لأن من تمتع قد اتی بالحج و بجمیع افعاله، و انّما أضاف الیه أفعال العمرة قبل ذلک، و لا ینافی ذلک ما یأتی به من أفعال الحج فی المستقبل، و من الناس من قال المکی لا یصح منه التمتع أصلًا، و فیهم من قال یصح ذلک منه غیر انّه لا یلزمه دم المتعة و هو الصحیح، لقوله تعالی ذلِکَ لِمَنْ لَمْ یَکُنْ أَهْلُهُ حاضِرِی الْمَسْجِدِ الْحَرامِ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الهدی الذی تقدم ذکره قبل هذا الکلام بلا فصل</w:t>
      </w:r>
      <w:r>
        <w:rPr>
          <w:rFonts w:eastAsia="IRNazanin" w:cs="IRNazanin"/>
          <w:color w:val="111111"/>
          <w:sz w:val="28"/>
          <w:szCs w:val="28"/>
          <w:rtl w:val="true"/>
          <w:lang w:bidi="fa-IR"/>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لکنه فی النهایة</w:t>
      </w:r>
      <w:r>
        <w:rPr>
          <w:rStyle w:val="FootnoteAnchor"/>
          <w:rtl w:val="true"/>
        </w:rPr>
        <w:footnoteReference w:id="699"/>
      </w:r>
      <w:r>
        <w:rPr>
          <w:rFonts w:ascii="IRNazanin" w:hAnsi="IRNazanin" w:eastAsia="IRNazanin"/>
          <w:color w:val="111111"/>
          <w:sz w:val="28"/>
          <w:sz w:val="28"/>
          <w:szCs w:val="28"/>
          <w:rtl w:val="true"/>
          <w:lang w:bidi="fa-IR"/>
        </w:rPr>
        <w:t>منع الاجزاء عن التمتع ، و اشکل علیه فی کشف اللثام انّه یتم فی أهل مکة دون غیرهم من الحاضرین، فإن علیهم الاحرام بالحج من المیقات أو منازلهم و المتمتع یحرم به من مکة، و استدلال الشیخ</w:t>
      </w:r>
    </w:p>
    <w:p>
      <w:pPr>
        <w:pStyle w:val="BookText"/>
        <w:rPr/>
      </w:pPr>
      <w:r>
        <w:rPr>
          <w:rFonts w:ascii="IRNazanin" w:hAnsi="IRNazanin" w:eastAsia="IRNazanin"/>
          <w:color w:val="111111"/>
          <w:sz w:val="28"/>
          <w:sz w:val="28"/>
          <w:szCs w:val="28"/>
          <w:rtl w:val="true"/>
          <w:lang w:bidi="fa-IR"/>
        </w:rPr>
        <w:t>فی المبسوط یرجع الی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التمتع فیه حقیقة الافراد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اسم الاشارة فی الآیة الی الهدی فیکون صدر الآیة عاماً للحاضر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وتنقیح الحال فی 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تقرب دعوی الشیخ بأن ما ورد من تقسیم الحج فی الروایات الی المفرد و القارن و المتمتع کصحیحة معاویة بن عمّار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ثلاث أصناف حج مفرد و قران و تمتع بالعمرة الی الحج و بها أمر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00"/>
      </w:r>
      <w:r>
        <w:rPr>
          <w:rFonts w:ascii="IRNazanin" w:hAnsi="IRNazanin" w:eastAsia="IRNazanin"/>
          <w:color w:val="111111"/>
          <w:sz w:val="28"/>
          <w:sz w:val="28"/>
          <w:szCs w:val="28"/>
          <w:rtl w:val="true"/>
          <w:lang w:bidi="fa-IR"/>
        </w:rPr>
        <w:t>ان التقسیم عرض و لیس فی نوع الماهیة، فالمقسم هو النوع و الاقسام هی الاصناف، وان الافراد هو الطبیعة النوعیة للحج لا بشرط، بخلاف التمتع والقران فهو الطبیعة بشرط شیء نظیر ما قیل فی صلاتی الفرادی والجماعة، ویظهر من اشکال کاشف اللثام علی الشیخ بالتفصیل ارتضاءه لذلک، ویمکن أن یستشهد له بأن القران کیفیة لعقد الاحرام بدیلة عن التلبیة کما هو مفاد صحیح معاویة بن عمّار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الاحرام ثلاثة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التلبیة والاشعار والتقلید، فاذا فعل شیئاً من هذه الثلاثة فقد احرم</w:t>
      </w:r>
      <w:r>
        <w:rPr>
          <w:rFonts w:eastAsia="IRNazanin" w:cs="IRNazanin"/>
          <w:color w:val="111111"/>
          <w:sz w:val="28"/>
          <w:szCs w:val="28"/>
          <w:rtl w:val="true"/>
          <w:lang w:bidi="fa-IR"/>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حریز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اذا</w:t>
      </w:r>
    </w:p>
    <w:p>
      <w:pPr>
        <w:pStyle w:val="BookText"/>
        <w:rPr/>
      </w:pPr>
      <w:r>
        <w:rPr>
          <w:rFonts w:ascii="IRNazanin" w:hAnsi="IRNazanin" w:eastAsia="IRNazanin"/>
          <w:color w:val="111111"/>
          <w:sz w:val="28"/>
          <w:sz w:val="28"/>
          <w:szCs w:val="28"/>
          <w:rtl w:val="true"/>
          <w:lang w:bidi="fa-IR"/>
        </w:rPr>
        <w:t>اشعرها وقلّدها وجب علیه الاحرام وهو بمنزلة‌التلبیة</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فیکون الخلاف بین الافراد والقران هو فی کیفیة عقد الاحرام، ومن المعلوم انّ الاحرام خارج عن حقیقة النسک، غایة الأمر یترتب علی کیفیة الاحرام أحکام من قبیل عدم امکان تبدیل الافراد الی تمتع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یکون التقسیم الیها عرضی لا تنویعی فلا محالة یکون التقسیم الیهما وإلی التمتع عرضی أیضاً بکون التمتع تسبقه العمرة الخارجة عن ماهیة الحج النوعیة، غایة الأمر مرتبطة بالحج، وهذا الارتباط وإن کان وضعیاً إلا انّه لصحة التمتع الذی هو ماهیّة صنفیة لا لأجل صحّة أصل ماهیة الحج النوعیة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یستشهد له أیضاً بما ذهب الیه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جواز التمتع للحاضر اذا خرج ومرّ فی رجوعه بأحد المواقیت فانّ ذلک یعنی تخیره مطلقاً بین القسمین لأن المتمتع اذا أراد أن یأتی به لا بد أن یأتی به من المواقیت البعیدة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صحیح عبد اللّه بن زرارة من اطلاق حج الافراد علی حج التمتع بعد عمرته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استأنف الاهلال بالحج مفرداً الی منی</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ویشکل علیه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التغایر العرضی لا یعنی عدم التباین فی الاعراض، وعلی</w:t>
      </w:r>
    </w:p>
    <w:p>
      <w:pPr>
        <w:pStyle w:val="BookText"/>
        <w:rPr/>
      </w:pPr>
      <w:r>
        <w:rPr>
          <w:rFonts w:ascii="IRNazanin" w:hAnsi="IRNazanin" w:eastAsia="IRNazanin"/>
          <w:color w:val="111111"/>
          <w:sz w:val="28"/>
          <w:sz w:val="28"/>
          <w:szCs w:val="28"/>
          <w:rtl w:val="true"/>
          <w:lang w:bidi="fa-IR"/>
        </w:rPr>
        <w:t>تقدیر کونها بنحو لا بشرط وبشرط شیء فقد یتعین فی ذمّة المکلّف صنف دون صنف آخر واللازم علی الشیخ اثبات الافراد بنحو الماهیة لا 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کاشف اللثام من أن غیر أهل مکة من الحاضرین میقات حج الافراد لهم دویریة أهلهم ولیس داخل مکة بخلاف احرام حج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غایة ما یستشهد به للشیخ هو مشروعیة التمتع للحاضرین من المواقیت البعیدة لا مشروعیة لهم من مواقیتهم القریبة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الالتزام بمشروعیة التمتع للحاضرین من المواقیت البعیدة لا بد من حمل الروایات الآتیة الدالّة علی أن الحاضرین لا متعة لهم جمعاً بینها وبین ما دلّ علی ذلک، حملها علی انّ المتعة غیر مشروعة من قرب وان قوام المتعة علی الاحرام من المواقیت البعیدة کما انّ قوامها فی تقدم العمرة علی حجها فی اشهر الحج من دون فصل نسک آخر وان میقات احرام الحج فیه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القران لیس بسبب لعقد الاحرام مطلقاً وإن کان هو ظاهر عدة روایات إلا انّ المستفیضة الواردة کصحیح معاویة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القارن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یکون قران إلا بسیاق الهدی وعلیه طواف بالبیت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وطواف بعد الحج</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 صحیح الفضیل بن یسار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یسوق الهدی علیه طوافان بالبیت وسعی واحد بین الصفا والمروة وینبغی له أن یشترط علی ربه إن لم تکن حجّة فعمرة</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ومثلها کثیر من الروایات، وهذا اللسان فی صدد شرح نفس القران ولم یؤخذ کوصف للحج بل أخذ الحج کأثر مترتب علی ایجاده وهذا وجه حصر المشهور له فی الحج وتتمة ذلک یأتی فی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انّ الاتحاد بین الافراد والتمتع لیس بقول مطلق کما ذکره الشیخ اذ بینهما اختلاف فی المواقیت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صحیح عبد اللّه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والقارن لا یحل حتی یبلغ الهدی محله النحر بمنی</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اسم الاشارة رجوعه الی المفاد الأصلی الی صدر الآیة وهو مشروعیة التمتع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التقریب الذی ذکرنا للآیة من انّ المشروعیة بمعنی التعین یصلح أن یکون المشار الیه هو تعین التمتع، لکن بالالتفات الی وجود اللام بعد اسم الاشارة ینحصر المشار الیه فی مشروعیة التمتع لا الهدی ولا تعینیة التمتع، کما هو صریح الروایات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الأمر انّ نفی المشهور مطلق سواء من میقاتهم أو من المواقیت البعیدة فتقید علی القول بجوازها لهم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واستدلّ المشهور مضافاً لظهور الآیة بصحیح الفضلاء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لأهل مکة، ولا لأهل مر، ولا لأهل سرف، متعة،</w:t>
      </w:r>
    </w:p>
    <w:p>
      <w:pPr>
        <w:pStyle w:val="BookText"/>
        <w:rPr/>
      </w:pPr>
      <w:r>
        <w:rPr>
          <w:rFonts w:ascii="Amiri" w:hAnsi="Amiri" w:eastAsia="Amiri" w:cs="Amiri"/>
          <w:color w:val="111111"/>
          <w:sz w:val="28"/>
          <w:sz w:val="28"/>
          <w:szCs w:val="28"/>
          <w:rtl w:val="true"/>
          <w:lang w:bidi="ar-SA"/>
        </w:rPr>
        <w:t xml:space="preserve">وذلک لقول الله عز وجل ذلِکَ لِمَنْ لَمْ یَکُنْ أَهْلُهُ حاضِرِی الْمَسْجِدِ الْحَرامِ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صحیح علی بن جعفر عن أخیه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مکة أن یتمتعوا بالعمرة الی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یتمتعوا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صحیح زرارة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أهل مکة لیس علیهم متعة، کل من </w:t>
      </w:r>
      <w:r>
        <w:rPr>
          <w:rFonts w:eastAsia="IRNazanin" w:cs="IRNazanin"/>
          <w:color w:val="111111"/>
          <w:sz w:val="28"/>
          <w:szCs w:val="28"/>
          <w:rtl w:val="true"/>
          <w:lang w:bidi="fa-IR"/>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أغلب الصحاح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متعة</w:t>
      </w:r>
      <w:r>
        <w:rPr>
          <w:rFonts w:eastAsia="IRNazanin" w:cs="IRNazanin"/>
          <w:color w:val="111111"/>
          <w:sz w:val="28"/>
          <w:szCs w:val="28"/>
          <w:rtl w:val="true"/>
          <w:lang w:bidi="fa-IR"/>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 زرارة الآخر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متعة ولا علیهم عمرة</w:t>
      </w:r>
      <w:r>
        <w:rPr>
          <w:rFonts w:eastAsia="IRNazanin" w:cs="IRNazanin"/>
          <w:color w:val="111111"/>
          <w:sz w:val="28"/>
          <w:szCs w:val="28"/>
          <w:rtl w:val="true"/>
          <w:lang w:bidi="fa-IR"/>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الوجه فی التعبیر باللام تارة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 ان التحلل فی الأثناء فی التمتع یطلق علیه متعة فمن ثمّ عبر فی نفیها باللام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العمرة فی التمتع فهو کلفة فعبر عن نفیها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bookmarkStart w:id="665" w:name="pg13690_120860"/>
    </w:p>
    <w:p>
      <w:pPr>
        <w:pStyle w:val="Heading2"/>
        <w:numPr>
          <w:ilvl w:val="1"/>
          <w:numId w:val="1"/>
        </w:numPr>
        <w:rPr/>
      </w:pPr>
      <w:bookmarkStart w:id="666" w:name="__RefHeading___Toc907480_1468164448"/>
      <w:bookmarkStart w:id="667" w:name="_Toc259"/>
      <w:bookmarkEnd w:id="665"/>
      <w:bookmarkEnd w:id="666"/>
      <w:r>
        <w:rPr>
          <w:rtl w:val="true"/>
        </w:rPr>
        <w:t>قاعدة</w:t>
      </w:r>
      <w:r>
        <w:rPr>
          <w:rtl w:val="true"/>
        </w:rPr>
        <w:t>:</w:t>
      </w:r>
      <w:r>
        <w:rPr>
          <w:rtl w:val="true"/>
        </w:rPr>
        <w:t>قاعدتا المصلحة ودفع الأفسد بالفاسد</w:t>
      </w:r>
      <w:bookmarkEnd w:id="667"/>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8" w:name="__RefHeading___Toc907482_1468164448"/>
      <w:bookmarkStart w:id="669" w:name="_Toc260"/>
      <w:bookmarkEnd w:id="668"/>
      <w:r>
        <w:rPr>
          <w:rtl w:val="true"/>
        </w:rPr>
        <w:t>اشارة</w:t>
      </w:r>
      <w:bookmarkStart w:id="670" w:name="pg13690_120862"/>
      <w:bookmarkEnd w:id="669"/>
    </w:p>
    <w:p>
      <w:pPr>
        <w:pStyle w:val="Heading3"/>
        <w:numPr>
          <w:ilvl w:val="2"/>
          <w:numId w:val="1"/>
        </w:numPr>
        <w:rPr/>
      </w:pPr>
      <w:bookmarkStart w:id="671" w:name="__RefHeading___Toc907484_1468164448"/>
      <w:bookmarkStart w:id="672" w:name="_Toc261"/>
      <w:bookmarkEnd w:id="670"/>
      <w:bookmarkEnd w:id="671"/>
      <w:r>
        <w:rPr>
          <w:rtl w:val="true"/>
        </w:rPr>
        <w:t>من قواعد الفقه السیاسی</w:t>
      </w:r>
      <w:r>
        <w:rPr>
          <w:rtl w:val="true"/>
        </w:rPr>
        <w:t>:</w:t>
      </w:r>
      <w:r>
        <w:rPr>
          <w:rtl w:val="true"/>
        </w:rPr>
        <w:t>قاعدتا المصلحة ودفع الأفسد بالفاسد</w:t>
      </w:r>
      <w:bookmarkEnd w:id="672"/>
    </w:p>
    <w:p>
      <w:pPr>
        <w:pStyle w:val="Heading4"/>
        <w:numPr>
          <w:ilvl w:val="3"/>
          <w:numId w:val="1"/>
        </w:numPr>
        <w:rPr/>
      </w:pPr>
      <w:bookmarkStart w:id="673" w:name="__RefHeading___Toc907486_1468164448"/>
      <w:bookmarkStart w:id="674" w:name="_Toc262"/>
      <w:bookmarkEnd w:id="673"/>
      <w:r>
        <w:rPr>
          <w:rtl w:val="true"/>
        </w:rPr>
        <w:t>معنی قاعدة الفاسد</w:t>
      </w:r>
      <w:r>
        <w:rPr>
          <w:rtl w:val="true"/>
        </w:rPr>
        <w:t>:</w:t>
      </w:r>
      <w:bookmarkEnd w:id="674"/>
    </w:p>
    <w:p>
      <w:pPr>
        <w:pStyle w:val="BookText"/>
        <w:rPr/>
      </w:pPr>
      <w:r>
        <w:rPr>
          <w:rFonts w:ascii="IRNazanin" w:hAnsi="IRNazanin" w:eastAsia="IRNazanin"/>
          <w:color w:val="111111"/>
          <w:sz w:val="28"/>
          <w:sz w:val="28"/>
          <w:szCs w:val="28"/>
          <w:rtl w:val="true"/>
          <w:lang w:bidi="fa-IR"/>
        </w:rPr>
        <w:t>إنّ المعنی الفاسد لهذه القاعدة هو جواز ارتکاب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الأفسد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لا یبنی علیه فقهاء الإمامیة ، وما ورد من أنّ التقیة فی کلّ شی حتی تبلغ الدماء، فإذا بلغت الدماء فلا تقیة</w:t>
      </w:r>
      <w:r>
        <w:rPr>
          <w:rStyle w:val="FootnoteAnchor"/>
          <w:rtl w:val="true"/>
        </w:rPr>
        <w:footnoteReference w:id="710"/>
      </w:r>
      <w:r>
        <w:rPr>
          <w:rFonts w:ascii="IRNazanin" w:hAnsi="IRNazanin" w:eastAsia="IRNazanin"/>
          <w:color w:val="111111"/>
          <w:sz w:val="28"/>
          <w:sz w:val="28"/>
          <w:szCs w:val="28"/>
          <w:rtl w:val="true"/>
          <w:lang w:bidi="fa-IR"/>
        </w:rPr>
        <w:t>لیس إشارة للتقیة فقط، بل اشارة لکلّ العناوین الثانویة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 العناوین الثانویة تجری مالم تبلغ إلی درجة معینة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الإضطرار المسوغ للکذب أو للتصرف فی مال الغیر وغیر ذلک ولکن إذا وصلت إلی الدماء أو إلی ملاکات کبیرة فحینئذ لا تسوغ</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عنصراً مخابراتیاً قد یرتکب الزنا واللواط والفحشاء والقتل وغیر ذلک لأجل أن یسترقّ معلومات خطیرة مثلًا عن الکیان الصهیونی هذا لا یسوغ و الغایة التی یرجوها لا تبرر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اترونی لا أعلم ما یصلحکم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ولکنی اکره ان اصلحکم بفساد نفسی</w:t>
      </w:r>
      <w:r>
        <w:rPr>
          <w:rFonts w:eastAsia="IRNazanin" w:cs="IRNazanin"/>
          <w:color w:val="111111"/>
          <w:sz w:val="28"/>
          <w:szCs w:val="28"/>
          <w:rtl w:val="true"/>
          <w:lang w:bidi="fa-IR"/>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فتحنا باب العمل بقاعدة دفع الأفسد بالفاسد، لکان فتحاً للفاسد علی مصراعیه تحت محتملات الأفسد، وبالتالی یصبح الفاسد هو الأفسد أی یودی الو ارتکابه بدرجة الافسد او تفوقه ؛ لذلک تری المشهور یذهبون الی ان الإکراه علی قتل</w:t>
      </w:r>
      <w:r>
        <w:rPr>
          <w:rStyle w:val="FootnoteAnchor"/>
          <w:rtl w:val="true"/>
        </w:rPr>
        <w:footnoteReference w:id="712"/>
      </w:r>
      <w:r>
        <w:rPr>
          <w:rFonts w:ascii="IRNazanin" w:hAnsi="IRNazanin" w:eastAsia="IRNazanin"/>
          <w:color w:val="111111"/>
          <w:sz w:val="28"/>
          <w:sz w:val="28"/>
          <w:szCs w:val="28"/>
          <w:rtl w:val="true"/>
          <w:lang w:bidi="fa-IR"/>
        </w:rPr>
        <w:t xml:space="preserve">الغیر بالتوعد من الظالم بالقتل لا یسوغ قتل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أکرهت علی أن تقتل زیداً، أو یقتلک الظالم، لا یجوز لک أن تقتل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خالف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المشهور یفتون بالحرمة، فإنّ حفظ النفس وان کان واجبا ولکن لا بدرجة أن نخلد فی الأرض بکل الوسائل؟</w:t>
      </w:r>
    </w:p>
    <w:p>
      <w:pPr>
        <w:pStyle w:val="BookText"/>
        <w:rPr/>
      </w:pPr>
      <w:r>
        <w:rPr>
          <w:rFonts w:ascii="IRNazanin" w:hAnsi="IRNazanin" w:eastAsia="IRNazanin"/>
          <w:color w:val="111111"/>
          <w:sz w:val="28"/>
          <w:sz w:val="28"/>
          <w:szCs w:val="28"/>
          <w:rtl w:val="true"/>
          <w:lang w:bidi="fa-IR"/>
        </w:rPr>
        <w:t>بل ، حفظ النفس إلی حد الإمکان و بالوسائل المباحة، أمّا بالوسائل غیر المباحة فلا مسوغ یوجب علینا حفظ النفس؟</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فالأصل الأولی فی الحدود الإلهیة أن یتقیّد بها، وارتکاب المحذور یجب أن یکون بمسوّغ دقیق مضبوط مقنن، و هذه قواعد صعبة التطبیق، وجملة من المحققین لدیهم نقد وابرام حادّ لاجل صعوبة التطبیق فیها ولا سیما مع جهالة غیر المعصوم و عدم إلمامه بالدقة بدرجات الکبائر و لک ان تمثل مدی رعایة الحدود وتداعیات لوازم الأمور والافعال فی دولة الحضارة</w:t>
      </w:r>
    </w:p>
    <w:p>
      <w:pPr>
        <w:pStyle w:val="BookText"/>
        <w:rPr/>
      </w:pPr>
      <w:r>
        <w:rPr>
          <w:rFonts w:ascii="IRNazanin" w:hAnsi="IRNazanin" w:eastAsia="IRNazanin"/>
          <w:color w:val="111111"/>
          <w:sz w:val="28"/>
          <w:sz w:val="28"/>
          <w:szCs w:val="28"/>
          <w:rtl w:val="true"/>
          <w:lang w:bidi="fa-IR"/>
        </w:rPr>
        <w:t>للمعصومین، بهذا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لو رمی الإنسان حجراً فی حوض تتداعی لک الأمواج إلی نهایة الحوض، المعصوم عندما یرتکب فعلًا یعلم بتموّج هذا الفعل و هذه السیرة إلی آخر أمواج الأجیال البشریة، یعنی یعلم عندما یرتکب هذا الفعل أنّه سوف تأتی أجیال إما ستسترفد منه ایجابیاً أو سلبیاً وعلی ضوء هذه المحاسبة التی لا یمکن رعایتها الا بالعلم اللدنی تتم افعال وخطی وسیرة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عظمة الإعجاز فی التدبیر الإلهی و ضرورة حاکمیّة الله سیاسیاً عبر المعصوم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فالقانون الإلهی لا یکفی فیه العصمة فی التنظیر، بل یجب أن یکون هناک عصمة فی التطبیق أیضاً کی لا یطبق القانون بشکل مناقض لأهدافه</w:t>
      </w:r>
      <w:r>
        <w:rPr>
          <w:rFonts w:eastAsia="IRNazanin" w:cs="IRNazanin"/>
          <w:color w:val="111111"/>
          <w:sz w:val="28"/>
          <w:szCs w:val="28"/>
          <w:rtl w:val="true"/>
          <w:lang w:bidi="fa-IR"/>
        </w:rPr>
        <w:t>.</w:t>
      </w:r>
      <w:bookmarkStart w:id="675" w:name="pg13690_120865"/>
    </w:p>
    <w:p>
      <w:pPr>
        <w:pStyle w:val="Heading2"/>
        <w:numPr>
          <w:ilvl w:val="1"/>
          <w:numId w:val="1"/>
        </w:numPr>
        <w:rPr/>
      </w:pPr>
      <w:bookmarkStart w:id="676" w:name="__RefHeading___Toc907488_1468164448"/>
      <w:bookmarkStart w:id="677" w:name="_Toc263"/>
      <w:bookmarkEnd w:id="675"/>
      <w:bookmarkEnd w:id="676"/>
      <w:r>
        <w:rPr>
          <w:rtl w:val="true"/>
        </w:rPr>
        <w:t>قاعدة</w:t>
      </w:r>
      <w:r>
        <w:rPr>
          <w:rtl w:val="true"/>
        </w:rPr>
        <w:t>:</w:t>
      </w:r>
      <w:r>
        <w:rPr>
          <w:rtl w:val="true"/>
        </w:rPr>
        <w:t>المصلحة</w:t>
      </w:r>
      <w:bookmarkEnd w:id="677"/>
    </w:p>
    <w:p>
      <w:pPr>
        <w:pStyle w:val="Heading3"/>
        <w:numPr>
          <w:ilvl w:val="2"/>
          <w:numId w:val="1"/>
        </w:numPr>
        <w:rPr/>
      </w:pPr>
      <w:bookmarkStart w:id="678" w:name="__RefHeading___Toc907490_1468164448"/>
      <w:bookmarkStart w:id="679" w:name="_Toc264"/>
      <w:bookmarkEnd w:id="678"/>
      <w:r>
        <w:rPr>
          <w:rtl w:val="true"/>
        </w:rPr>
        <w:t>اشارة</w:t>
      </w:r>
      <w:bookmarkEnd w:id="679"/>
    </w:p>
    <w:p>
      <w:pPr>
        <w:pStyle w:val="BookText"/>
        <w:rPr/>
      </w:pPr>
      <w:r>
        <w:rPr>
          <w:rFonts w:ascii="IRNazanin" w:hAnsi="IRNazanin" w:eastAsia="IRNazanin"/>
          <w:color w:val="111111"/>
          <w:sz w:val="28"/>
          <w:sz w:val="28"/>
          <w:szCs w:val="28"/>
          <w:rtl w:val="true"/>
          <w:lang w:bidi="fa-IR"/>
        </w:rPr>
        <w:t>هل المصلحة فی النظام الإسلامی تسوّغ ارتکاب المحرّمات الأوّلیة بقاعدة حکومة مصلحة النظام الإسلامی علی الأحکام الأوّلیة او لا ؟</w:t>
      </w:r>
    </w:p>
    <w:p>
      <w:pPr>
        <w:pStyle w:val="BookText"/>
        <w:rPr/>
      </w:pPr>
      <w:r>
        <w:rPr>
          <w:rFonts w:ascii="IRNazanin" w:hAnsi="IRNazanin" w:eastAsia="IRNazanin"/>
          <w:color w:val="111111"/>
          <w:sz w:val="28"/>
          <w:sz w:val="28"/>
          <w:szCs w:val="28"/>
          <w:rtl w:val="true"/>
          <w:lang w:bidi="fa-IR"/>
        </w:rPr>
        <w:t>سواء فسّرت او طبقت القاعدة علی مقدمات یراد التوصل بها لاقامة النظام الاسلامی او طبقت القاعدة لاجل المحافظة علیه، تسوّغ ارتکاب المحرّمات الأوّلیة بقاعدة حکومة مصلحة النظام الإسلامی علی الأحکام الأوّلیة أو لا؟</w:t>
      </w:r>
    </w:p>
    <w:p>
      <w:pPr>
        <w:pStyle w:val="BookText"/>
        <w:rPr/>
      </w:pPr>
      <w:r>
        <w:rPr>
          <w:rFonts w:ascii="IRNazanin" w:hAnsi="IRNazanin" w:eastAsia="IRNazanin"/>
          <w:color w:val="111111"/>
          <w:sz w:val="28"/>
          <w:sz w:val="28"/>
          <w:szCs w:val="28"/>
          <w:rtl w:val="true"/>
          <w:lang w:bidi="fa-IR"/>
        </w:rPr>
        <w:t>و نسلّط الضوء علی هذه القاعدة وذلک القانون فی جهات ثلاث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قاعدة المصلحة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المصلحة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أدلّة القائلین بمشروعیة المصلحة</w:t>
      </w:r>
      <w:r>
        <w:rPr>
          <w:rFonts w:eastAsia="IRNazanin" w:cs="IRNazanin"/>
          <w:color w:val="111111"/>
          <w:sz w:val="28"/>
          <w:szCs w:val="28"/>
          <w:rtl w:val="true"/>
          <w:lang w:bidi="fa-IR"/>
        </w:rPr>
        <w:t>.</w:t>
      </w:r>
    </w:p>
    <w:p>
      <w:pPr>
        <w:pStyle w:val="Heading3"/>
        <w:numPr>
          <w:ilvl w:val="2"/>
          <w:numId w:val="1"/>
        </w:numPr>
        <w:rPr/>
      </w:pPr>
      <w:bookmarkStart w:id="680" w:name="__RefHeading___Toc907492_1468164448"/>
      <w:bookmarkStart w:id="681" w:name="_Toc265"/>
      <w:bookmarkEnd w:id="680"/>
      <w:r>
        <w:rPr>
          <w:rtl w:val="true"/>
        </w:rPr>
        <w:t>الجهة الأولی</w:t>
      </w:r>
      <w:r>
        <w:rPr>
          <w:rtl w:val="true"/>
        </w:rPr>
        <w:t xml:space="preserve">: </w:t>
      </w:r>
      <w:r>
        <w:rPr>
          <w:rtl w:val="true"/>
        </w:rPr>
        <w:t>قاعدة مشروّعیة المصلحة و تفسیرها</w:t>
      </w:r>
      <w:r>
        <w:rPr>
          <w:rtl w:val="true"/>
        </w:rPr>
        <w:t>:</w:t>
      </w:r>
      <w:bookmarkEnd w:id="681"/>
    </w:p>
    <w:p>
      <w:pPr>
        <w:pStyle w:val="BookText"/>
        <w:rPr/>
      </w:pPr>
      <w:r>
        <w:rPr>
          <w:rFonts w:ascii="IRNazanin" w:hAnsi="IRNazanin" w:eastAsia="IRNazanin"/>
          <w:color w:val="111111"/>
          <w:sz w:val="28"/>
          <w:sz w:val="28"/>
          <w:szCs w:val="28"/>
          <w:rtl w:val="true"/>
          <w:lang w:bidi="fa-IR"/>
        </w:rPr>
        <w:t>ولهذه القاعدة فی نظام الحکم السیاسی تفسیران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لأجل الوصول إلی الحکم و القدرة أو المحافظة علی بقائها یُسَوَّغ ارتکاب المحظورات تحت ذریعة أنّ وصول أهل الصلاح و العدل إلی سدّة القدرة و بقائهم فیها یوجب الخیر الکثیر فی مقابل الشر و المفسدة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یَسُوغ له ارتکاب المحظورات فی موارد دفع الأفسد بالفاسد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2" w:name="__RefHeading___Toc907494_1468164448"/>
      <w:bookmarkStart w:id="683" w:name="_Toc266"/>
      <w:bookmarkEnd w:id="682"/>
      <w:r>
        <w:rPr>
          <w:rtl w:val="true"/>
        </w:rPr>
        <w:t>الجهة الثانیة</w:t>
      </w:r>
      <w:r>
        <w:rPr>
          <w:rtl w:val="true"/>
        </w:rPr>
        <w:t xml:space="preserve">: </w:t>
      </w:r>
      <w:r>
        <w:rPr>
          <w:rtl w:val="true"/>
        </w:rPr>
        <w:t>معانی المصلحة</w:t>
      </w:r>
      <w:r>
        <w:rPr>
          <w:rtl w:val="true"/>
        </w:rPr>
        <w:t>:</w:t>
      </w:r>
      <w:bookmarkEnd w:id="68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النفس والعرض والمال ورعایتها وسلامة الأنفس والأعراض و الأموال، سواء فی الجهة الفردیة أم المجموعیة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سلامة النظام المدنی الإجتماعی الضروری للمعیشة، سواء علی صعید الضرورة الأولیّة أم الکمال الثانوی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إلی هذا یشیر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أمیر برّ أو فاجر، یعملُ فی إمرته المؤمن ویستمتع فیها الکافر ویبلِّغ الله فیها الأجل ویُجمَع به الفئ ویُقاتَل به العدوّ وتأمن به السبل ویؤخذ به للضعیف من القوی حتی یستریح بَرّ ویُستراح من فاجر</w:t>
      </w:r>
      <w:r>
        <w:rPr>
          <w:rFonts w:eastAsia="IRNazanin" w:cs="IRNazanin"/>
          <w:color w:val="111111"/>
          <w:sz w:val="28"/>
          <w:szCs w:val="28"/>
          <w:rtl w:val="true"/>
          <w:lang w:bidi="fa-IR"/>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فی إمرته المؤمن، هو أدنی درجات إقامة البرنامج الدینی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یستمتع فیها الکافر، أی حصول الکمالات المعیشیة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ویبلِّغ الله فیها الأجل، أی تقدیرات الأمور وبلوغ ما یمکن بلوغه من الأمور إلی 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ویجمع بالفئ، تنظیم النظام المالی فی النظام الإجتماعی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ویقاتل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فالمراد به الأمن الداخلی والخارجی والأمن القضائی ویتمّ به أدنی درجات العدل النظامی ویُرْدَع المتخلّف عن ذلک</w:t>
      </w:r>
      <w:r>
        <w:rPr>
          <w:rFonts w:eastAsia="IRNazanin" w:cs="IRNazanin"/>
          <w:color w:val="111111"/>
          <w:sz w:val="28"/>
          <w:szCs w:val="28"/>
          <w:rtl w:val="true"/>
          <w:lang w:bidi="fa-IR"/>
        </w:rPr>
        <w:t>.</w:t>
      </w:r>
      <w:bookmarkStart w:id="684" w:name="pg13690_120867"/>
    </w:p>
    <w:p>
      <w:pPr>
        <w:pStyle w:val="BookText"/>
        <w:rPr/>
      </w:pPr>
      <w:bookmarkEnd w:id="684"/>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معالم الدین الأصلیة والأساسیة وهما قد یسمّی ببیضة الدین و هو کلّ مَشعَر ومَعْلَم رکنی أمَر الشارع بإقامته فی بناء الدین سواء علی صعید الإعتقاد أو التشریع التنظیری أو التطبیق العملی والسنن السائرة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کان مقدّمة لأداء واجب أو ترک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التزاحم والورود والتوارد؛ أی مراعاة الأهم ومراعاة ذی الرتبة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تبریر الهدف والغایة للوسیلة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ملاکات الأحکام وجهات الحسن والقبح وهو الذی یطلق علیه المصالح والمفاسد والکمال والنقص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ویشیر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w:t>
      </w:r>
      <w:r>
        <w:rPr>
          <w:rStyle w:val="FootnoteAnchor"/>
          <w:rtl w:val="true"/>
        </w:rPr>
        <w:footnoteReference w:id="714"/>
      </w:r>
      <w:r>
        <w:rPr>
          <w:rFonts w:ascii="IRNazanin" w:hAnsi="IRNazanin" w:eastAsia="IRNazanin"/>
          <w:color w:val="111111"/>
          <w:sz w:val="28"/>
          <w:sz w:val="28"/>
          <w:szCs w:val="28"/>
          <w:rtl w:val="true"/>
          <w:lang w:bidi="fa-IR"/>
        </w:rPr>
        <w:t>والمعبّر لدینا فی الأصول بحکمة المجعول وعلل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العلم بتحقّق الموضوعات أو العلم بجعل الحکم أیضاً قیداً فی موضوعات الأحکام وهذا یلزم منه التصویب فی التکوین أیضاً مضافاً إلی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والغریب من القائل تفسیر ذلک بأنّه قید التنجیز مع أنّه قید الفعلیة؛ و المعذوریةُ فی مقام التنجیز لا یغنی ولا یسمن من جوع فی بحث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قدرة الحاکم والحکومة وبقاؤهما فی الحکومة الدینیة</w:t>
      </w:r>
      <w:r>
        <w:rPr>
          <w:rFonts w:eastAsia="IRNazanin" w:cs="IRNazanin"/>
          <w:color w:val="111111"/>
          <w:sz w:val="28"/>
          <w:szCs w:val="28"/>
          <w:rtl w:val="true"/>
          <w:lang w:bidi="fa-IR"/>
        </w:rPr>
        <w:t>.</w:t>
      </w:r>
    </w:p>
    <w:p>
      <w:pPr>
        <w:pStyle w:val="Heading3"/>
        <w:numPr>
          <w:ilvl w:val="2"/>
          <w:numId w:val="1"/>
        </w:numPr>
        <w:rPr/>
      </w:pPr>
      <w:bookmarkStart w:id="685" w:name="__RefHeading___Toc907496_1468164448"/>
      <w:bookmarkStart w:id="686" w:name="_Toc267"/>
      <w:bookmarkEnd w:id="685"/>
      <w:r>
        <w:rPr>
          <w:rtl w:val="true"/>
        </w:rPr>
        <w:t>الجهة الثالثة</w:t>
      </w:r>
      <w:r>
        <w:rPr>
          <w:rtl w:val="true"/>
        </w:rPr>
        <w:t xml:space="preserve">: </w:t>
      </w:r>
      <w:r>
        <w:rPr>
          <w:rtl w:val="true"/>
        </w:rPr>
        <w:t>أدلّة القائلین بمشروعیة المصلحة</w:t>
      </w:r>
      <w:r>
        <w:rPr>
          <w:rtl w:val="true"/>
        </w:rPr>
        <w:t>:</w:t>
      </w:r>
      <w:bookmarkEnd w:id="686"/>
    </w:p>
    <w:p>
      <w:pPr>
        <w:pStyle w:val="Heading4"/>
        <w:numPr>
          <w:ilvl w:val="3"/>
          <w:numId w:val="1"/>
        </w:numPr>
        <w:rPr/>
      </w:pPr>
      <w:bookmarkStart w:id="687" w:name="__RefHeading___Toc907498_1468164448"/>
      <w:bookmarkStart w:id="688" w:name="_Toc268"/>
      <w:bookmarkEnd w:id="687"/>
      <w:r>
        <w:rPr>
          <w:rtl w:val="true"/>
        </w:rPr>
        <w:t>اشارة</w:t>
      </w:r>
      <w:bookmarkEnd w:id="68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یبرّر إرتکاب الوسیلة المحرّمة لأجل الوصول إلی الهدف و الغایة</w:t>
      </w:r>
      <w:bookmarkStart w:id="689" w:name="pg13690_120868"/>
    </w:p>
    <w:p>
      <w:pPr>
        <w:pStyle w:val="BookText"/>
        <w:rPr/>
      </w:pPr>
      <w:bookmarkEnd w:id="689"/>
      <w:r>
        <w:rPr>
          <w:rFonts w:ascii="IRNazanin" w:hAnsi="IRNazanin" w:eastAsia="IRNazanin"/>
          <w:color w:val="111111"/>
          <w:sz w:val="28"/>
          <w:sz w:val="28"/>
          <w:szCs w:val="28"/>
          <w:rtl w:val="true"/>
          <w:lang w:bidi="fa-IR"/>
        </w:rPr>
        <w:t>المهمّة تحت ذریعة وجوه کالتالی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سدّ الذرائع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المصالح المرسلة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العناوین الثانویة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التزاحم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لا ضرر و لا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العقل بتقدیم الأهمّ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دفع الأفسد بالفاسد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منطقة الفراغ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الشروط الإلزامیة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الزمان و المکان فی الإجتهاد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قصة داود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الولائی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وندرس تلک الوجوه فی ما یلی</w:t>
      </w:r>
      <w:r>
        <w:rPr>
          <w:rFonts w:eastAsia="IRNazanin" w:cs="IRNazanin"/>
          <w:color w:val="111111"/>
          <w:sz w:val="28"/>
          <w:szCs w:val="28"/>
          <w:rtl w:val="true"/>
          <w:lang w:bidi="fa-IR"/>
        </w:rPr>
        <w:t>:</w:t>
      </w:r>
    </w:p>
    <w:p>
      <w:pPr>
        <w:pStyle w:val="Heading4"/>
        <w:numPr>
          <w:ilvl w:val="3"/>
          <w:numId w:val="1"/>
        </w:numPr>
        <w:rPr/>
      </w:pPr>
      <w:bookmarkStart w:id="690" w:name="__RefHeading___Toc907500_1468164448"/>
      <w:bookmarkStart w:id="691" w:name="_Toc269"/>
      <w:bookmarkEnd w:id="690"/>
      <w:r>
        <w:rPr>
          <w:rtl w:val="true"/>
        </w:rPr>
        <w:t>الوجه الأول والثانی</w:t>
      </w:r>
      <w:r>
        <w:rPr>
          <w:rtl w:val="true"/>
        </w:rPr>
        <w:t xml:space="preserve">: </w:t>
      </w:r>
      <w:r>
        <w:rPr>
          <w:rtl w:val="true"/>
        </w:rPr>
        <w:t>قاعدة</w:t>
      </w:r>
      <w:r>
        <w:rPr>
          <w:rtl w:val="true"/>
        </w:rPr>
        <w:t xml:space="preserve">: </w:t>
      </w:r>
      <w:r>
        <w:rPr>
          <w:rtl w:val="true"/>
        </w:rPr>
        <w:t>سدّ الذرائع والمصالح المرسلة</w:t>
      </w:r>
      <w:r>
        <w:rPr>
          <w:rtl w:val="true"/>
        </w:rPr>
        <w:t>:</w:t>
      </w:r>
      <w:bookmarkEnd w:id="69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علیهما ما هو محرّر فی علم الأصول من الخدشة فی صحتهما لا سیّما مع بیان النقاط الآتیة</w:t>
      </w:r>
      <w:r>
        <w:rPr>
          <w:rFonts w:eastAsia="IRNazanin" w:cs="IRNazanin"/>
          <w:color w:val="111111"/>
          <w:sz w:val="28"/>
          <w:szCs w:val="28"/>
          <w:rtl w:val="true"/>
          <w:lang w:bidi="fa-IR"/>
        </w:rPr>
        <w:t>.</w:t>
      </w:r>
      <w:bookmarkStart w:id="692" w:name="pg13690_120869"/>
    </w:p>
    <w:p>
      <w:pPr>
        <w:pStyle w:val="BookText"/>
        <w:rPr/>
      </w:pPr>
      <w:bookmarkEnd w:id="692"/>
      <w:r>
        <w:rPr>
          <w:rFonts w:ascii="IRNazanin" w:hAnsi="IRNazanin" w:eastAsia="IRNazanin"/>
          <w:color w:val="111111"/>
          <w:sz w:val="28"/>
          <w:sz w:val="28"/>
          <w:szCs w:val="28"/>
          <w:rtl w:val="true"/>
          <w:lang w:bidi="fa-IR"/>
        </w:rPr>
        <w:t>مع أنّ المصالح المرسلة لیست قاعدة لتشریع الأحکام بل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بها فی التدبیر السیاسی فی موارد المباحات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یتصور رفع الید بها عن الأحکام الأولیة من دون وجود تزاحم أو ورود أو عنوان آخر من عناوین معالجة الحکم فی ما لو کانت هذه المصلحة تؤول إلی إقامة أغراض شرعیة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بتخصیص عمومات الکتاب والسنّة بالمصالح المرسلة خَلْطٌ بین مقام التشریع ومقام التطبیق</w:t>
      </w:r>
      <w:r>
        <w:rPr>
          <w:rFonts w:eastAsia="IRNazanin" w:cs="IRNazanin"/>
          <w:color w:val="111111"/>
          <w:sz w:val="28"/>
          <w:szCs w:val="28"/>
          <w:rtl w:val="true"/>
          <w:lang w:bidi="fa-IR"/>
        </w:rPr>
        <w:t>.</w:t>
      </w:r>
    </w:p>
    <w:p>
      <w:pPr>
        <w:pStyle w:val="Heading4"/>
        <w:numPr>
          <w:ilvl w:val="3"/>
          <w:numId w:val="1"/>
        </w:numPr>
        <w:rPr/>
      </w:pPr>
      <w:bookmarkStart w:id="693" w:name="__RefHeading___Toc907502_1468164448"/>
      <w:bookmarkStart w:id="694" w:name="_Toc270"/>
      <w:bookmarkEnd w:id="693"/>
      <w:r>
        <w:rPr>
          <w:rtl w:val="true"/>
        </w:rPr>
        <w:t xml:space="preserve">الوجه الثالث </w:t>
      </w:r>
      <w:r>
        <w:rPr>
          <w:rtl w:val="true"/>
        </w:rPr>
        <w:t xml:space="preserve">: </w:t>
      </w:r>
      <w:r>
        <w:rPr>
          <w:rtl w:val="true"/>
        </w:rPr>
        <w:t>العناوین الثانویة</w:t>
      </w:r>
      <w:r>
        <w:rPr>
          <w:rtl w:val="true"/>
        </w:rPr>
        <w:t>:</w:t>
      </w:r>
      <w:bookmarkEnd w:id="694"/>
    </w:p>
    <w:p>
      <w:pPr>
        <w:pStyle w:val="BookText"/>
        <w:rPr/>
      </w:pPr>
      <w:r>
        <w:rPr>
          <w:rFonts w:ascii="IRNazanin" w:hAnsi="IRNazanin" w:eastAsia="IRNazanin"/>
          <w:color w:val="111111"/>
          <w:sz w:val="28"/>
          <w:sz w:val="28"/>
          <w:szCs w:val="28"/>
          <w:rtl w:val="true"/>
          <w:lang w:bidi="fa-IR"/>
        </w:rPr>
        <w:t>فیرد علی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العنوان الثانوی لا یسوغ التمسک به بنحو الدوام وإلّا لانقلب الثانوی إلی أولی والأولی إلی ثانوی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العنوان الثانوی یرجع فی المآل إلی قاعدة التزاحم کما حُرّر فی علم الأصول</w:t>
      </w:r>
      <w:r>
        <w:rPr>
          <w:rFonts w:eastAsia="IRNazanin" w:cs="IRNazanin"/>
          <w:color w:val="111111"/>
          <w:sz w:val="28"/>
          <w:szCs w:val="28"/>
          <w:rtl w:val="true"/>
          <w:lang w:bidi="fa-IR"/>
        </w:rPr>
        <w:t>.</w:t>
      </w:r>
    </w:p>
    <w:p>
      <w:pPr>
        <w:pStyle w:val="Heading4"/>
        <w:numPr>
          <w:ilvl w:val="3"/>
          <w:numId w:val="1"/>
        </w:numPr>
        <w:rPr/>
      </w:pPr>
      <w:bookmarkStart w:id="695" w:name="__RefHeading___Toc907504_1468164448"/>
      <w:bookmarkStart w:id="696" w:name="_Toc271"/>
      <w:bookmarkEnd w:id="695"/>
      <w:r>
        <w:rPr>
          <w:rtl w:val="true"/>
        </w:rPr>
        <w:t xml:space="preserve">الوجه الرابع </w:t>
      </w:r>
      <w:r>
        <w:rPr>
          <w:rtl w:val="true"/>
        </w:rPr>
        <w:t xml:space="preserve">: </w:t>
      </w:r>
      <w:r>
        <w:rPr>
          <w:rtl w:val="true"/>
        </w:rPr>
        <w:t>قاعدة التزاحم</w:t>
      </w:r>
      <w:r>
        <w:rPr>
          <w:rtl w:val="true"/>
        </w:rPr>
        <w:t>:</w:t>
      </w:r>
      <w:bookmarkEnd w:id="696"/>
    </w:p>
    <w:p>
      <w:pPr>
        <w:pStyle w:val="BookText"/>
        <w:rPr/>
      </w:pPr>
      <w:r>
        <w:rPr>
          <w:rFonts w:ascii="IRNazanin" w:hAnsi="IRNazanin" w:eastAsia="IRNazanin"/>
          <w:color w:val="111111"/>
          <w:sz w:val="28"/>
          <w:sz w:val="28"/>
          <w:szCs w:val="28"/>
          <w:rtl w:val="true"/>
          <w:lang w:bidi="fa-IR"/>
        </w:rPr>
        <w:t>فیرد علی التمسک بها بنحو دائم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الحاکم السیاسی أو الشرعی یجب علیه أن یتحفّظ علی الملاکات والأحکام الشرعیة وإقامتها بقدر الوسع المستطاع بتدبیر یتکفّل مراعاتها أجمع مع ما أمکن إلی ذلک سبیلًا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یجب علیه الممانعة عن التفریط بأیّ منها وعدم التشبّث بذریعة</w:t>
      </w:r>
    </w:p>
    <w:p>
      <w:pPr>
        <w:pStyle w:val="BookText"/>
        <w:rPr/>
      </w:pPr>
      <w:r>
        <w:rPr>
          <w:rFonts w:ascii="IRNazanin" w:hAnsi="IRNazanin" w:eastAsia="IRNazanin"/>
          <w:color w:val="111111"/>
          <w:sz w:val="28"/>
          <w:sz w:val="28"/>
          <w:szCs w:val="28"/>
          <w:rtl w:val="true"/>
          <w:lang w:bidi="fa-IR"/>
        </w:rPr>
        <w:t>أهمیة بعضها للتفریط بالمهم، فیجب علیه الممانعة عن وقوع التزاحم أو المسیر فی مسار یُؤدّی إلی الاضطرار أو إلی التمسّک بالعناوین الثانویة ونحو ذلک؛ لأنّ کلّ هذه الحالات هی خلاف الغرض الاصلی من الحکم التنفیذی وإجراء الأحکام الذی هو إقامة جمیع الأحکام، بل لو قُدّر وفرض وقوع التزاحم أو حالات الإضطرار اتفاقاً فاللازم علیه التحرّی سبیل عدا موضوع التزاحم و الإضطرار أوّلًا، لا المسارعة فی التشبّث بمقتضی التزاحم و الإضطرار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الإسلام أن یغیر الظروف الإجتماعیة المریضة إلی المرام الصالح لا أن یتأثّر منه وإلّا إنّ النظام الرأسمالی أو النظام الشیوعی ضرورة 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فالضرورة عنوان فضفاض لابدّ أن یحدّد إن کان یرجع إلی بدیهیات عقلیة وإن کان یرجع إلی نظریات علمیة ویصادم الأحکام الشرعیة الأولیة فلا 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أی‌لزوم تحفّظ الحاکم علی الأغراض الشرعیة والأحکام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اللازم الفحص فی الشبهة الموضوعیة علی الحاکم؛ لأنّ إقامة الأحکام وأداء الأغراض الشرعیة لا یتمّ إلّا بذلک؛ لا أن یعالج هذه الموضوعات العامّة بعَفَوِیّة وبالإدراک السطحی الظاهری لها، بل علیه أن یفحص جوانبها وجهاتها درءاً عن التدافع بین الأحکام فضلًا عن التطبیق الخاطئ لها</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ذکرنا فی بحث الربا</w:t>
      </w:r>
      <w:r>
        <w:rPr>
          <w:rStyle w:val="FootnoteAnchor"/>
          <w:rtl w:val="true"/>
        </w:rPr>
        <w:footnoteReference w:id="715"/>
      </w:r>
      <w:r>
        <w:rPr>
          <w:rFonts w:ascii="IRNazanin" w:hAnsi="IRNazanin" w:eastAsia="IRNazanin"/>
          <w:color w:val="111111"/>
          <w:sz w:val="28"/>
          <w:sz w:val="28"/>
          <w:szCs w:val="28"/>
          <w:rtl w:val="true"/>
          <w:lang w:bidi="fa-IR"/>
        </w:rPr>
        <w:t>أنّ التوسّل بالحیل الشرعیة الثانویة أو</w:t>
      </w:r>
    </w:p>
    <w:p>
      <w:pPr>
        <w:pStyle w:val="BookText"/>
        <w:rPr/>
      </w:pPr>
      <w:r>
        <w:rPr>
          <w:rFonts w:ascii="IRNazanin" w:hAnsi="IRNazanin" w:eastAsia="IRNazanin"/>
          <w:color w:val="111111"/>
          <w:sz w:val="28"/>
          <w:sz w:val="28"/>
          <w:szCs w:val="28"/>
          <w:rtl w:val="true"/>
          <w:lang w:bidi="fa-IR"/>
        </w:rPr>
        <w:t>تسویغ ارتکاب بعض محرّمات الربا فی النظام المصرفی والمالی تحت ذریعة الإضطرار غیر سائغة، بل اللازم علی الحاکم هو تعبئة أهل الخبرة فی الموضوعات المختلفة لتکییفها وبنائها علی الصورة الشرعیة للأحکام لا تکییف وعطف الحکم علی وجودات الموضوعات بحسب بنائها القائم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فالمسئولیة تقع علی أهل الخبرة والإختصاص فی کلّ مجال لصیاغة وبناء بُنی النظام المدنی علی هیئة الأحکام الشرعیة لا عطف الأحکام علی صورة الموضوعات والبُنی کیف ما کانت کمنع عمر عن زواج المتعة، فإنّه بدل عن أن یحافظ علی أصل التشریع ویسعی لتنظیم طرق الإجراء، منع عن أصل الحکم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اللازم فی الحکومة السیاسیة هو المهارة فی تطبیق الأحکام وأصولها علی الموضوعات المختلفة، کما أنّ اللازم فی الظروف المستجدّة والموضوعات المختلفة المتولّدة هو فطنة الفقیه فی الوصول إلی الأصل التشریعی المناسب فی التطبیق واستکشاف المنطبق منها علی تلک الموضوعات لا تجمیدها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تحکیم صیغة المصلحة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یسوغ إجراء قواعد التزاحم، لا سیما فی النظام السیاسی الحاکم فی الأموال والأعراض والنفوس فضلًا عن إقامة معالم الدین، بمجرد احتمال التدافع لا سیّما بین موضوع فعلیّ قائم وموضوع مستقبلیٍ محتمل؛ فإنّ بمجرّد الإحتمال لا یجوز رفع الید عن الملاک الملزِم الحاضر وهذا المیزان جارٍ حتی بالإضافة إلی الحکم ذی الملاک الأهمّ مع فرض مجرّد احتمال تحقّق موضوعٍ مستقبلًا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ضوء هذا المیزان وهذه الضابطة یتضح الجواب عن سابقه ولاحقه وتولدت عدّة قواعد فی التشریع الإسلامی من تلک الظابطة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عقوبة قبل الجنایة ولا حدّ قبل ارتکاب الموجِب ونظیر ما عُرّف من سیرة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مُناوِئیه من قبیل الخوارج أو بغاة الجمل إنّه لم یُقِم علیهم الردع السیاسی ما لم یتورّطوا بارتکاب المواجهة المسلحة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 ما جری من اعتراضات النبی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بیّن الخضر وجه الحکمة بتوسّط العلم اللدنی الذی أعطاه الله إیّاه الذی هو لیس میزان عملٍ للتشریع العامّ فی النظام المدنی البشری ولا النظام الفردی عدا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دالّ علی أنّ المیزان العامّ فی الشریعة والتشریع هو علی لزوم التحقّق والعلم به من الطرق المعتبرة لدی الشارع لا بمجرد الظن السیاسی والحدس النفسی لدی الحاکم السیاسی فضلًا عن التعویل علی الکَهَنَة والمنجّمین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القواعد التی نشأت من هذه الضابطة، ما عُرف لدی الإمامیة من ردّ قاعدة المصالح المرسلة، فإنّ عمدة ما أشکل به علی قاعدة المصالح المرسلة هو أنّها إقامة لباب التزاحم فی المورد المحتمل غیر المحقّق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سیرة أمیر المؤمنین موارد عدیدة رفض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التدّرع بقاعدة التزاحم للوصول إلی الحفاظ علی جملة من الأغراض والأهداف الشرعیة بالتفریط فی جملة أخری کما فی قوله المشهور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أتَأمرونّی أن أطلب النصر بالجور فی من وُلّیتُ علیه لا والله لا یکون</w:t>
      </w:r>
    </w:p>
    <w:p>
      <w:pPr>
        <w:pStyle w:val="BookText"/>
        <w:rPr/>
      </w:pPr>
      <w:r>
        <w:rPr>
          <w:rFonts w:ascii="Amiri" w:hAnsi="Amiri" w:eastAsia="Amiri" w:cs="Amiri"/>
          <w:color w:val="111111"/>
          <w:sz w:val="28"/>
          <w:sz w:val="28"/>
          <w:szCs w:val="28"/>
          <w:rtl w:val="true"/>
          <w:lang w:bidi="ar-SA"/>
        </w:rPr>
        <w:t>ذلک ما سَمَرَ سمیر وما رایت فی السماء نجماً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إنّ فی سیرته شواهد علی ما تقدّم فی الجواب الأول من أنّ وظیفة الحاکم رفع موضوع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تلک القواعد التی نشأت من ردّ التدّرع بقاعدة التزاحم ما عرف فی البحث القانونی الإسلامی من أنّ الأهداف لا تبرّر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تحدید ومعرفة درجات الأهمیة فی الملاکات وموازنتها بعضها مع البعض وموازنة درجة التدافع بینها لا سیما بحسب اختلاف أفراد موضوعات کلّ منهما لا یتیسّر إلّاللمعصوم وأمّا غیره فلیس له حظّ من ذلک إلّافی موارد محدودة؛ وعلی ذلک فلا یسوغ له الخوض فی إعمالها بالتّظنّی والتحدّس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استفاض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دین الله لا یصاب بالعقول</w:t>
      </w:r>
      <w:r>
        <w:rPr>
          <w:rFonts w:eastAsia="IRNazanin" w:cs="IRNazanin"/>
          <w:color w:val="111111"/>
          <w:sz w:val="28"/>
          <w:szCs w:val="28"/>
          <w:rtl w:val="true"/>
          <w:lang w:bidi="fa-IR"/>
        </w:rPr>
        <w:t>»</w:t>
      </w:r>
      <w:r>
        <w:rPr>
          <w:rStyle w:val="FootnoteAnchor"/>
          <w:rtl w:val="true"/>
        </w:rPr>
        <w:footnoteReference w:id="717"/>
      </w:r>
      <w:r>
        <w:rPr>
          <w:rFonts w:ascii="IRNazanin" w:hAnsi="IRNazanin" w:eastAsia="IRNazanin"/>
          <w:color w:val="111111"/>
          <w:sz w:val="28"/>
          <w:sz w:val="28"/>
          <w:szCs w:val="28"/>
          <w:rtl w:val="true"/>
          <w:lang w:bidi="fa-IR"/>
        </w:rPr>
        <w:t>، أی أنّ علل التشریع الإلهی وحِکمه لا تحیط بها العقول المحدودة فضلًا عن أن تحیط بتفاصیل ملاکات ودرجاتها ولأجل ذلک کانت الضرورة والحاجة من البشر إلی بعثة الرسل وهدایة الله بإبلاغ الشرائع</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الحال فی الأحکام الشرعیة بحسب مجموع المجتمع البشری ونظامه أکثر تعقیداً منه بحسب الحال الفردیة لا سیّما بالإضافة إلی تعدّد شعب النظام الإجتماعی ومرافقه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التزاحم والعناوین الثانویة کما حُرّر فی محلّه لا توجب رفع الحکم الفعلی فضلًا عن الملاک، بل غایة ما توجب هو رفع التنجیز وکذلک الحال فی موارد التقیة، فإنّ غایة ما تقتضیه العذر دون تبدّل الواقع عمّا هو علیه وفی موارد إجزاء العمل بالتقیة یکون من قبیل إجزاء الأبدال الإضطراریة عن الوظیفة الأولیّة من دون تبدّل الأمر الأولی عمّا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یتبیّن قاعدة شریفة فی الأحکام الشرعیة وهی ثباتها ودوامها فی کافّة الأحوال، غایة الأمر طروّ المعذوریة أو جعل البدل فی مقام الإمتثال؛ وعلی ذلک فالتشریعات لا تتبدّل عمّا هی علیه فی مختلف الظروف والأحوال؛ ومن ثمّ تحدّ ولایة الولاة بعدم مخالفة التشریعات الأولیة کما فی 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طاعة لمخلوق فی معصیة الخالق</w:t>
      </w:r>
      <w:r>
        <w:rPr>
          <w:rFonts w:eastAsia="IRNazanin" w:cs="IRNazanin"/>
          <w:color w:val="111111"/>
          <w:sz w:val="28"/>
          <w:szCs w:val="28"/>
          <w:rtl w:val="true"/>
          <w:lang w:bidi="fa-IR"/>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 إلّا شرط خالف الکتاب والسنّة</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التدافع بین التشریعات فی مقام التحقّق والموضوع الخارجی والإمتثال فقد مرّ أنّ وظیفة الوالی هی التجنّب عن وقوع ذلک والسعی إلی التحفّظ علی مراعاة ملاکاتهما بقدر الوسع</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فتح الباب للموازنات الظنیة و الإحتمالیة بعنوان تشخیص المصلحة سوف یؤدّی إلی تغیّر معالم الأحکام الشرعیة إلی معالم الأحکام الوضعیة البشریة؛ لأنّ رسم بقاء الأحکام لن یکون الحالة الغالبة فیه الثبات، بل ستکون الحالة الغالبة</w:t>
      </w:r>
    </w:p>
    <w:p>
      <w:pPr>
        <w:pStyle w:val="BookText"/>
        <w:rPr/>
      </w:pPr>
      <w:r>
        <w:rPr>
          <w:rFonts w:ascii="IRNazanin" w:hAnsi="IRNazanin" w:eastAsia="IRNazanin"/>
          <w:color w:val="111111"/>
          <w:sz w:val="28"/>
          <w:sz w:val="28"/>
          <w:szCs w:val="28"/>
          <w:rtl w:val="true"/>
          <w:lang w:bidi="fa-IR"/>
        </w:rPr>
        <w:t>فیه التغیّر أو بنحو المختلط بین ثبات بعضها وتغیّر واختلاف جملة وافرة أخری؛ لا سیّما وأنّ مجریات الحال فی الموضوعات الخارجیة إذا بنی علی الإنقهار والإنفعال عنها سوف تکون قاهرة بدل أن تکون مقهورة وسوف توجب تکییف الأحکام معها بدل أن تتکیَّف هی علی وفق الأحکام وهذه عین الجدلیة القائمة بین المدرسة العلمانیة والمدرسة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تقدیم وترجیح الحکومة السیاسیة الظاهرة وولایة الحکم السیاسی علی کلّ الفروع هو موضوعیته الذاتیة فی قبال تلک الأحکام فلا یصحّ حینئذٍ تعلیل أهمیتها وثبوتها بأنّه یتوصّل بها إلی إقامة الأحکام ولحفظ بیضة الدین، لأنّ هذا التعلیل یقتضی أهمیة الغایة علی ذی الغایة لا العکس، مع أنّ مقتضی القول بأهمیة الحکومة علی کلّ فروع الدین هو کون الحکومة وولایة الحکم غایة بنفسهما لا أنهمّا وسیلة للأحکام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هذه الدعوی ودلیلها تدافع بیّن الا اذا رجع الی ترجیح مجموع اکثر الاحکام او مجموع غالب الاحکام علی بعض من الاحکام أی الترجیح من باب التزاحم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یحتمل أن تکون الحکومة السیاسیة لغیر المعصوم أهمّ من الحکومة السیاسیة للمعصوم التی وصفت فی الأدلّة الشرعیة بأنّهما وسیلة لإقامة الحق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لهی أحبّ إلیّ من إمرتکم إلّاأن أُقیم حقّاً أو أدفع باطلاً</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یصحّ مقایسة ولایة غیر المعصوم فی الحکومة السیاسیة بأصل ولایة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اتّضح من أنّ الحکومة السیاسیة للمعصوم هی أحد شئون ولایته لا کلّ ولایته وأنّ الحکومة السیاسیة الظاهرة للمعصوم لیست فی حدّ ودرجة أصل ولایة المعصوم، فکیف بالحکومة السیاسیة الظاهریة لغیر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والغریب التفسیر للمصلحة الدینیة بنفس الحکومة السیاسیة وبقائها ثمّ الإستدلال علی ذلک بفعل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الخمسة وعشرین سنة، حیث غضّ الطرف عن المواجهة المسلّحة مع حکومة السقیفة لأجل عدم التفریط بمصالح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معالم الدین إذا کانت أهمّ من الحکومة السیاسیة الظاهریة للمعصوم، فکیف یکون هذا دلیلًا علی أهمیة الحکومة السیاسیة الظاهریة لغیر المعصوم علی معالم الدین وإذا فسّرت المصلحة بالأحکام الأولیة ومعالم الدین فکیف تفسّر تارةً أخری بالحکومة السیاسیة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الحکومة التی هی الضرورة هی آلیة لإقامة الأحکام الأولیة فإذا فقدت حیثیة الآلیة مسخت وتبدّلت ماهیة الحکومة</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هذا الإستدلال المتدافع ینطوی علی مغالطة أخری أیضاً وهی تصویر أنّ حفظ معالم الدین والأحکام الأولیة لا یتمّ إلّا بالحکومة السیاسیة الظاهریة الدینیة مع أنّ التجربة التاریخیة للمسلمین تکذّب هذه الدعوی، فإنّ الحکومات السیاسیة المتعاقبة علی المسلمین قروناً عدیدة لم تکن دینیة حقیقة وإن تقمّص جملة منهما باسم الدین ومع ذلک تمّ المحافظة علی جملة مهمّة من معالم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لما بیّناه سابقاً من أنّ أنواع الحکومة للمجتمع لا ینحصر بالحکومة السیاسیة الظاهریة، بل هناک أنواع عدیدة کثیرة من أشکال الحکم والحکومة غیر الظاهریة نظیر القدرة والسلطة الثقافیة والعقائدیة و إدارة نظام الطائفة بالنحو التقلیدی عبر القنوات التقلیدیة غیر الرسمیة وکذلک قدرة الملکوت الخفی النازل وقدرة التحکم فی الشرائح المختلفة للمجتمع بتوسط المال أو التعلیم أو الإعلام أو الطقوس التربویة الدینیة وغیرها من أشکال وقنوات وسلطات التحکم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أنظمة متعدّدة و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المعرفی والعقائدی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السنن والآداب الإجتماعیة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الأسرة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النظام الثقافی والمالی والإقتصادی والنظام السیاسی وغیرها من الأنظمة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ولکلّ نظامٍ حکومة أو حکومات وقدرة أو قدرات تتحکّم فیه ولیس النظام السیاسی وحکومته هو المتصرّف الوحید فی الأنظمة الأخری لا سیما وأنّ الحکومة والقدرة فی النظام العقائدی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أهمّ أنظمة الدین ومعالمه وبیضته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القدرة والحکومة فیه هی الحکومة السیاسیة، بل المرجعیة الدینیة الشرعیة هی صاحبة القدرة والنفوذ فیه</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 مغالطة ثالثة أیضاً وهی أنّه لا یعقل أهمیة الحکومة السیاسیة الظاهریة لغیر المعصوم علی الحکومة السیاسیة الظاهریة للمعصوم وإذا ساغ</w:t>
      </w:r>
    </w:p>
    <w:p>
      <w:pPr>
        <w:pStyle w:val="BookText"/>
        <w:rPr/>
      </w:pPr>
      <w:r>
        <w:rPr>
          <w:rFonts w:ascii="IRNazanin" w:hAnsi="IRNazanin" w:eastAsia="IRNazanin"/>
          <w:color w:val="111111"/>
          <w:sz w:val="28"/>
          <w:sz w:val="28"/>
          <w:szCs w:val="28"/>
          <w:rtl w:val="true"/>
          <w:lang w:bidi="fa-IR"/>
        </w:rPr>
        <w:t>تأخیر الحکومة الثانیة فکیف لا یسوغ فرض تعطیل الحکومة الأولی وأنّهما فرع لذلک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تفسیر المصلحة الدینیة بنفس الحکومة السیاسیة الظاهریة وولایة شئون الأمور العامة ثمّ الإستدلال لذلک بقاعدة التزاحم ونحوها وأهمیة بیضة الدین ومعالم الأحکام تدافع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بالمصلحة وتحدید دائرتها إن کان فی ضمن حدود موقّتة زَمَنیّة وفی حدود جیل معیّن أو فئة معیّنة من دون لحاظ المصلحة فی جمیع الأزمان وجمیع الأجیال فسوف یکون فی ذلک إجحافاً ببقیة الأجیال، بل بنفس الجیل بلحاظ الفترات الزمنیة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بنی مذهب الإمامیة علی أنّه لا یحیط بالمصلحة بتمام دوائرها وبنحو منسجم متناسب فی جمیع الأزمان وجمیع الأجیال إلّامَن وهبه الله تعالی العلم اللدنی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مرّ من أنّ الإحاطة بالموضوعات بتفاصیلها وشئونها وعلائق التأثیر بین بعضها مع البعض لا یتمکّن منها بنحو الأتمّ إلّاذو العلم اللدنی من المعصوم ومن ثم قُرّر فی علوم الإدارة والتدبیر فی الآکادیمیات الحدیثة أنّ علم الإحصاء ونُظُم المعلومات من العلوم الخطیرة الهامّة ببالغ الدرجة فی رسم الإدارة السیاسیّة الناجحة ورسم التشریعات واللوائح البنّاءة</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أیضاً 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بالعمل علی المصلحة المظنونة والمحتملة</w:t>
      </w:r>
    </w:p>
    <w:p>
      <w:pPr>
        <w:pStyle w:val="BookText"/>
        <w:rPr/>
      </w:pPr>
      <w:r>
        <w:rPr>
          <w:rFonts w:ascii="IRNazanin" w:hAnsi="IRNazanin" w:eastAsia="IRNazanin"/>
          <w:color w:val="111111"/>
          <w:sz w:val="28"/>
          <w:sz w:val="28"/>
          <w:szCs w:val="28"/>
          <w:rtl w:val="true"/>
          <w:lang w:bidi="fa-IR"/>
        </w:rPr>
        <w:t>وتحکیمها علی الأحکام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بلزوم الرجوع إلی الخبراء والمتخصصین فی جملة من الموضوعات کی یرسم صورة واضحة عن واقع الموضوعات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المصلحة مداراً ومحوراً تُعطَفُ علیها الأحکام هو بمعنی جعل المصلحة المادیة والقدرة والقوة السیاسیة المادیة أعلی شأناً من الغایات الشرعیة المعنویة والأخرویة وبالتالی سوف یکون القدرة والقوة والغلبة السیاسیة هی مصدر الحق والتشریع لا الکمال المعنوی والأخروی وبدل أن تکون الدنیا ممرّاً والآخرة مقرّاً، تکون النظرة إلی الدنیا فی أصول التشریع مقرّاً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توازن بین الطریقیة ومقدّمیة المصالح المادیة والدنیویة مع غائیة المصالح الأخرویة من أنّ الغایة لیست بنحو تُعدم الوسیلة ولا بنحو یؤول إلی جعل الوسیلة الغایة، بل لابدّ من حفظ التوازن بینهما لا سیما علی صعید التناسب بین الجهة الفردیة والمجموعیة لمجموع المجتمع من جانب ومن جانب آخر التناسب بین معالم الدین والمصالح المعیشیة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تعیین المصلحة إمّا بِیَد المتخصصین فی الموضوعات المختلفة، فهذا یؤول إلی عدم حاکمیة المرجعیة الدینیة وإمّا أن یکون بضمیمة نظر الفقیه باعتبار أنّ له الولایة النیابیة ومن ثمّ تتعنون وتنتسب المصلحة بالحیثیة الشرعیة فیبقی السؤال علی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الحیثیة الشرعیة للمصلحة الآتیة من حاکمیة الفقیه لابدّ وأن تکون من جهة معرفته بالأحکام الشرعیة وفِقْهِه للدین وبالتالی فسوف یکون مدار الشرعیة للمصلحة هی نفس الأحکام الأولیة وهذا کَرٌّ علی ما فَرَّ منه القائل</w:t>
      </w:r>
      <w:bookmarkStart w:id="697" w:name="pg13690_120880"/>
    </w:p>
    <w:p>
      <w:pPr>
        <w:pStyle w:val="BookText"/>
        <w:rPr/>
      </w:pPr>
      <w:bookmarkEnd w:id="697"/>
      <w:r>
        <w:rPr>
          <w:rFonts w:ascii="IRNazanin" w:hAnsi="IRNazanin" w:eastAsia="IRNazanin"/>
          <w:color w:val="111111"/>
          <w:sz w:val="28"/>
          <w:sz w:val="28"/>
          <w:szCs w:val="28"/>
          <w:rtl w:val="true"/>
          <w:lang w:bidi="fa-IR"/>
        </w:rPr>
        <w:t>بمداریة المصلحة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وقع الکلام والبحث حول صلاحیّة التشریع بنحو محدود للرسول صلی الله علیه و آله بعد الفراغ عن أنّ المشرّع الأوّل هو الله تعالی وکذلک الکلام فی صلاحیّة عترته مِن بعده للتشریع فی دائرة أضیق مما کانت للنبی صلی الله علیه و آله ، فَبَیْنَ مُثبِت لذلک وبین نافٍ وإن کان الأصحّ هو ثبوت ذلک بنحو التبعیة للتشریع الإلهی وتبعیة تشریع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لتشریعات الباری تعالی وتشریعات النبی صلی الله علیه و آله ولم یذهب ذاهب بالضرورة إلی ثبوت هذه الصلاحیّة لغیر المعصومین سواء تعویلًا علی میزان المصلحة أو علی أیّ میزان آخر، فإنّ جملة هذه الموازین لا تُعطی ولا تُخَوّل الفقیه صلاحیة التشریع ومن ثمّ افترق حقیقة الإجتهاد عند الإمامیة عن معناه لدی المذاهب الأخری حیث إنّه عند الإمامیة عبارة عن الإستنباط والفهم والکشف عن الحکم الشرعی وتنزّلاته لا إنشاء الحکم بالرأی کما هو لدی المذاهب الأخری</w:t>
      </w:r>
      <w:r>
        <w:rPr>
          <w:rFonts w:eastAsia="IRNazanin" w:cs="IRNazanin"/>
          <w:color w:val="111111"/>
          <w:sz w:val="28"/>
          <w:szCs w:val="28"/>
          <w:rtl w:val="true"/>
          <w:lang w:bidi="fa-IR"/>
        </w:rPr>
        <w:t>.</w:t>
      </w:r>
    </w:p>
    <w:p>
      <w:pPr>
        <w:pStyle w:val="Heading4"/>
        <w:numPr>
          <w:ilvl w:val="3"/>
          <w:numId w:val="1"/>
        </w:numPr>
        <w:rPr/>
      </w:pPr>
      <w:bookmarkStart w:id="698" w:name="__RefHeading___Toc907506_1468164448"/>
      <w:bookmarkStart w:id="699" w:name="_Toc272"/>
      <w:bookmarkEnd w:id="698"/>
      <w:r>
        <w:rPr>
          <w:rtl w:val="true"/>
        </w:rPr>
        <w:t xml:space="preserve">الوجه الخامس </w:t>
      </w:r>
      <w:r>
        <w:rPr>
          <w:rtl w:val="true"/>
        </w:rPr>
        <w:t>:</w:t>
      </w:r>
      <w:r>
        <w:rPr>
          <w:rtl w:val="true"/>
        </w:rPr>
        <w:t>قاعدة لا ضرر</w:t>
      </w:r>
      <w:r>
        <w:rPr>
          <w:rtl w:val="true"/>
        </w:rPr>
        <w:t>:</w:t>
      </w:r>
      <w:bookmarkEnd w:id="699"/>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التمسّک بقاعدة لا ضرر أو لا حرج، فالصحیح أنّ قاعدة 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مشهور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تؤول إلی التزاحم، أی بین حفظ النفس من الحیاة والبدن والصحة والسلامة وحفظ العِرض من الفروج والسُمعة والعفّة والشرف وحفظ الأموال والمنافع أو فی مقام التزاحم مع ملاکات الأحکام الأولیة، فحقیقتها ترجع إلی التزاحم إذن، ومن ثمّ لا یقدّمون الضرر بأیّ درجة کانت ولو بدرجة خفیفة أو متوسطة فی مقابل الحکم الالزامی البالغ الأهمیة، فلم یتوهّم أن ترفع حرمة الفاحشة تحت ذریعة تسویغ الضرر الصحّی من حبس الماء، کما هو الحال فی قاعدة الحرج</w:t>
      </w:r>
      <w:bookmarkStart w:id="700" w:name="pg13690_120881"/>
    </w:p>
    <w:p>
      <w:pPr>
        <w:pStyle w:val="BookText"/>
        <w:rPr/>
      </w:pPr>
      <w:bookmarkEnd w:id="700"/>
      <w:r>
        <w:rPr>
          <w:rFonts w:ascii="IRNazanin" w:hAnsi="IRNazanin" w:eastAsia="IRNazanin"/>
          <w:color w:val="111111"/>
          <w:sz w:val="28"/>
          <w:sz w:val="28"/>
          <w:szCs w:val="28"/>
          <w:rtl w:val="true"/>
          <w:lang w:bidi="fa-IR"/>
        </w:rPr>
        <w:t>أیضاً فإنّه لا یرفع بها بالحرج المتوسط عزیمة الأحکام الهامّة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ذلک فکلّ ما تقدّم تسجیله من أحکام قاعدة التزاحم وبالتالی التحفظات التی تسجل علی قاعدة‌الغایة تبرّر الوسیلة‌ومشرّعیّة المصلحة تسجّل علی التمسک بذیل قاعدة‌لا ضررللتدلیل علی قاعدة مشرّعیة المصلحة</w:t>
      </w:r>
      <w:r>
        <w:rPr>
          <w:rFonts w:eastAsia="IRNazanin" w:cs="IRNazanin"/>
          <w:color w:val="111111"/>
          <w:sz w:val="28"/>
          <w:szCs w:val="28"/>
          <w:rtl w:val="true"/>
          <w:lang w:bidi="fa-IR"/>
        </w:rPr>
        <w:t>.</w:t>
      </w:r>
    </w:p>
    <w:p>
      <w:pPr>
        <w:pStyle w:val="Heading4"/>
        <w:numPr>
          <w:ilvl w:val="3"/>
          <w:numId w:val="1"/>
        </w:numPr>
        <w:rPr/>
      </w:pPr>
      <w:bookmarkStart w:id="701" w:name="__RefHeading___Toc907508_1468164448"/>
      <w:bookmarkStart w:id="702" w:name="_Toc273"/>
      <w:bookmarkEnd w:id="701"/>
      <w:r>
        <w:rPr>
          <w:rtl w:val="true"/>
        </w:rPr>
        <w:t xml:space="preserve">الوجه السادس </w:t>
      </w:r>
      <w:r>
        <w:rPr>
          <w:rtl w:val="true"/>
        </w:rPr>
        <w:t>:</w:t>
      </w:r>
      <w:r>
        <w:rPr>
          <w:rtl w:val="true"/>
        </w:rPr>
        <w:t>حکم العقل بتقدیم الأهم</w:t>
      </w:r>
      <w:r>
        <w:rPr>
          <w:rtl w:val="true"/>
        </w:rPr>
        <w:t>:</w:t>
      </w:r>
      <w:bookmarkEnd w:id="702"/>
    </w:p>
    <w:p>
      <w:pPr>
        <w:pStyle w:val="BookText"/>
        <w:rPr/>
      </w:pPr>
      <w:r>
        <w:rPr>
          <w:rFonts w:ascii="IRNazanin" w:hAnsi="IRNazanin" w:eastAsia="IRNazanin"/>
          <w:color w:val="111111"/>
          <w:sz w:val="28"/>
          <w:sz w:val="28"/>
          <w:szCs w:val="28"/>
          <w:rtl w:val="true"/>
          <w:lang w:bidi="fa-IR"/>
        </w:rPr>
        <w:t>و ممّا استدلّ به لرعایة المصلحة إنّه من باب مراعاة الأهمّ قبال المهم والذی هو حکم عقلی، فحکم الحاکم النائب وإن خالف جملة من مصالح الأحکام الأولیة إلّاأنّه یکون رعایة لما هو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الأهمّ إن أرید منه حفظ القدرة والسلطة فی الحکم بما هی هی، فهذه لیست غایة مشروعة، بل هی غایة الفراعنة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المراد من الأهمّ بقیة مصالح الأحکام الأولیة، فهذا یندرج فی بحث التزاحم الإصطلاحی إلّا أنّ اللازم علی الحاکم المدبّر الفطن هو الممانعة عن تدافع المصالح الأولیة وعلی فرض وقوعها فاللازم ایجاد التدبیر الحکیم لرفع استمرار ذلک التدافع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التفریط بسلسلة المهمّات تحت طائلة الأهمّ الواحد سوف یقلب معادلة التزاحم ویکون التفریط بسلسلة المهم هو التفریط بالأهمّ المتعاقب الشدید فی مقابل حفظ الأهمّ الموقّت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ارتکاب المحظور ومخالفة الحدود الإلهیة بنفسه یجذّر سنّة</w:t>
      </w:r>
      <w:bookmarkStart w:id="703" w:name="pg13690_120882"/>
    </w:p>
    <w:p>
      <w:pPr>
        <w:pStyle w:val="BookText"/>
        <w:rPr/>
      </w:pPr>
      <w:bookmarkEnd w:id="703"/>
      <w:r>
        <w:rPr>
          <w:rFonts w:ascii="IRNazanin" w:hAnsi="IRNazanin" w:eastAsia="IRNazanin"/>
          <w:color w:val="111111"/>
          <w:sz w:val="28"/>
          <w:sz w:val="28"/>
          <w:szCs w:val="28"/>
          <w:rtl w:val="true"/>
          <w:lang w:bidi="fa-IR"/>
        </w:rPr>
        <w:t>المخالفة کسنّة باطلة فی النظام الإجتماعی، حیث أنّ عامّة طبقات المجتمع علی دین ملوکهم، أی تَسْتَنُّ فی منهاجها بسنن النظام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من أخطر محاذیر ارتکاب المحظورات وعدم حفظ الحدود الإلهیة ولو تحت ذریعة التزاحم أو الأهمّ والمهم أو العناوین الثانویة أو غیرها من القواعد العذریة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تدافع الأهمّ والمهم إنّما هو من الجهل و الاغفال عن حلول موضوعیة والإلتجاء إلی الحلول الحُکْمیة مع أنّ العکس هو المتعیّن؛ إذ إنّ اللازم تکییف البیئات الموضوعیة علی طبق التشریع وهو هدف التشریع لا تکییف التشریع علی طبق البیئات الموضوعیة المرضیة فی الحقول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التزاحم والتدافع والتنافی بین إقامة الأهمّ والمهم إنّما هو لتصویر فرض خاطئ مبتنٍ علی أنّ وسیلة إقامة الأهمّ منحصرة بشکل الحکومة الرسمیة، مع أنّ هناک أشکالًا مختلفة أخری غیر صیغة الحکومة الرسمیة أی عبر أشکال القدرة الإجتماعیة المختلفة یمکن إقامة الأحکام بلا تدافع بینهما</w:t>
      </w:r>
      <w:r>
        <w:rPr>
          <w:rFonts w:eastAsia="IRNazanin" w:cs="IRNazanin"/>
          <w:color w:val="111111"/>
          <w:sz w:val="28"/>
          <w:szCs w:val="28"/>
          <w:rtl w:val="true"/>
          <w:lang w:bidi="fa-IR"/>
        </w:rPr>
        <w:t>.</w:t>
      </w:r>
    </w:p>
    <w:p>
      <w:pPr>
        <w:pStyle w:val="Heading4"/>
        <w:numPr>
          <w:ilvl w:val="3"/>
          <w:numId w:val="1"/>
        </w:numPr>
        <w:rPr/>
      </w:pPr>
      <w:bookmarkStart w:id="704" w:name="__RefHeading___Toc907510_1468164448"/>
      <w:bookmarkStart w:id="705" w:name="_Toc274"/>
      <w:bookmarkEnd w:id="704"/>
      <w:r>
        <w:rPr>
          <w:rtl w:val="true"/>
        </w:rPr>
        <w:t xml:space="preserve">الوجه السابع </w:t>
      </w:r>
      <w:r>
        <w:rPr>
          <w:rtl w:val="true"/>
        </w:rPr>
        <w:t xml:space="preserve">: </w:t>
      </w:r>
      <w:r>
        <w:rPr>
          <w:rtl w:val="true"/>
        </w:rPr>
        <w:t>دفع الأفسد بالفاسد</w:t>
      </w:r>
      <w:r>
        <w:rPr>
          <w:rtl w:val="true"/>
        </w:rPr>
        <w:t>:</w:t>
      </w:r>
      <w:bookmarkEnd w:id="705"/>
    </w:p>
    <w:p>
      <w:pPr>
        <w:pStyle w:val="BookText"/>
        <w:rPr/>
      </w:pPr>
      <w:r>
        <w:rPr>
          <w:rFonts w:ascii="IRNazanin" w:hAnsi="IRNazanin" w:eastAsia="IRNazanin"/>
          <w:color w:val="111111"/>
          <w:sz w:val="28"/>
          <w:sz w:val="28"/>
          <w:szCs w:val="28"/>
          <w:rtl w:val="true"/>
          <w:lang w:bidi="fa-IR"/>
        </w:rPr>
        <w:t>وهذه القاعدة فی الغالب تستعمل ویستدلّ بها لارتکاب المحظورات فی دفع ما هو أشدّ حرمة وأکثر ضرراً وفساداً وهی مع التأمّل الدقیق ترجع إلی تطبیق قاعدة التزاحم والأهمّ والمهم فی مورد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فیرد علیها ما تقدّم من التمسّک بذیل القاعدتین</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اختصاصها ببعض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دفع الأفسد لیس من المسئولیة والتکلیف الشرعی إلّاضمن الحدود المشروعة و أمّا ما وراء ذلک فلیس هو من المسئولیة الواقعة علی عاتق المکلّف إلّا فی ما أذن الشرع فیه بالخصوص ومن ثمّ تسالم فقهاء الإمامیة علی أنّ التقیة فی کلّ شیء وأمّا إذا بلغت الدماء فلا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دار الأمر بسبب الإکراه أن یقتل مجنوناً مسلماً غیر بالغ فی قبال أن یحفظ دم نفسه، فإنّ التقیة لا تجوّز ذلک، أی إنّ الأدلّة العذریة برمّتها لا تجوّز له ارتکاب ذلک المحظور ومن ثمّ استفاد الفقهاء من قاعدة لا تقیة فی الدماء أنّ النفی هنا بمعنی النهی یفید الحرمة ممّا یدلّل علی أنّه لا یسوغ ارتکاب المحرم لأجل التوصّل إلی دفع المفسدة إلّافی المورد الذی ورد الترخیص الشرعی فیه بالخصوص، کمثل قتل المسلمین المتَتَرَّس بهم فی الحرب مع الکفّار وما ورد من تحریم التداوی بالخمر و أنّه لم یجعل الله الشفاء فی الخمر ونظیره ما قاله عدة من الاعلام من أنّه لا یسوغ تشریح جثث المیت لأجل معالجة مرضی الأحیاء بترکیب الأعضاء فإنّ الواجب فی انقاذ حیاة الأحیاء لیس واجباً مطلقاً بلغ ما بلغ، بل إنّما اللازم هو اتخاذ الوسائل المشروعة وکم له نظیر فی الفقه</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فرض اطلاق وجوب دفع الأفسد بلغ ما بلغ یبتنی علی فلسفة اصل فی التشریع وهی أنّ مسئولیة إصلاح النظام الإجتماعی مفوّضة تماماً إلی الإرادة الإختیاریة البشریة لا إلی الإرادة التشریعیة، مع أنّ هذه النظریة هی إفراط فی مقابل نظریة المرجئة والقدریة التی تفترض الجبریة وتتبّناها فی المسرح النظام الإجتماعی السیاسی، أی اعطاء المساحة والدور إلی الإرادة التکوینیة الإلهیة فقط مع إلغاء دور الإرادة الإختیاریة البشریة فی ظل الإرادة التشریعیة بخلاف النظریة الوسطیة التی هی الأمر</w:t>
      </w:r>
    </w:p>
    <w:p>
      <w:pPr>
        <w:pStyle w:val="BookText"/>
        <w:rPr/>
      </w:pPr>
      <w:r>
        <w:rPr>
          <w:rFonts w:ascii="IRNazanin" w:hAnsi="IRNazanin" w:eastAsia="IRNazanin"/>
          <w:color w:val="111111"/>
          <w:sz w:val="28"/>
          <w:sz w:val="28"/>
          <w:szCs w:val="28"/>
          <w:rtl w:val="true"/>
          <w:lang w:bidi="fa-IR"/>
        </w:rPr>
        <w:t>بین الأمرین، فإنّها لا تتبنّی رؤیة الیأس کما فی النظریة الثانیة کما أنّها لا تتبنّی رؤیة الإستقلال التفویضی کما فی النظریة الأولی وهذا معنی لزوم تقید الإرادة الإختیاریة فی ظل دائرة التشریع والتکلیف وقد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یَتَّقِ اللّهَ یَجْعَلْ لَهُ مَخْرَجاً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تَتَّقُوا اللّهَ یَجْعَلْ لَکُمْ فُرْقاناً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فالتقیّد بالحدود الإلهیة هو سبیل المَخْرَج، ففی ظلّ الصراع السیاسی والإقتصادی والفکری والإعتقادی أو المالی والتجاری أو العسکری والأمنی، التقید بالحدود الإلهیة وَ الْحافِظُونَ لِحُدُودِ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السبیل والمخرج من المأزق لا ارتکاب المحظورات کما هو سبیل الإنتهازیین وعصابات المرتزقة السیاسیة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العقل لمّا یحکم بمؤدّی هذه القاعدة لا بمعنی ارتکاب الفاسد</w:t>
      </w:r>
    </w:p>
    <w:p>
      <w:pPr>
        <w:pStyle w:val="BookText"/>
        <w:rPr/>
      </w:pPr>
      <w:r>
        <w:rPr>
          <w:rFonts w:ascii="IRNazanin" w:hAnsi="IRNazanin" w:eastAsia="IRNazanin"/>
          <w:color w:val="111111"/>
          <w:sz w:val="28"/>
          <w:sz w:val="28"/>
          <w:szCs w:val="28"/>
          <w:rtl w:val="true"/>
          <w:lang w:bidi="fa-IR"/>
        </w:rPr>
        <w:t>وایجاد العاقل المختار لذلک الفساد بیده، فإنّ قبح الفساد لا یزول بذریعة المزاحمة وإنّما بمعنی أنّه إذا اضطرّ المختار إلی أحد الخیارین بحیث یکون ما فیهما من الفساد هو من قبل الغیر إلّاأنّ أحد الطریقین أکثر من الآخر؛ فالعقل یحکم بأنّ تحمّل أحد الضررین أهون من تحمّل الضرر الآخر فمورد القاعدة ما إذا کان الفساد حاصلاً من قبل الغیر واضطرّ المختار إلی سلوک أحد الطریقین أو الموردین الذین فیهما ذلک الفساد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ما ذکره الفقهاء فی تولّی ولایة الجائر وغیرها من الموارد من</w:t>
      </w:r>
    </w:p>
    <w:p>
      <w:pPr>
        <w:pStyle w:val="BookText"/>
        <w:rPr/>
      </w:pPr>
      <w:r>
        <w:rPr>
          <w:rFonts w:ascii="IRNazanin" w:hAnsi="IRNazanin" w:eastAsia="IRNazanin"/>
          <w:color w:val="111111"/>
          <w:sz w:val="28"/>
          <w:sz w:val="28"/>
          <w:szCs w:val="28"/>
          <w:rtl w:val="true"/>
          <w:lang w:bidi="fa-IR"/>
        </w:rPr>
        <w:t>جواز تولّیهما إذا خاف علی نفسه ولو استلزم إلحاق الضرر بمؤمن إذا کان الضرر الّذی یتهدّده أشدّ من الضرر القلیل علی الغیر تمسّکاً منهم بمشروعیّة التقیة إلّاإذا بلغت الدم، فکلامهم هذا ناظر إلی ما لو کان دوران الأمر بین الضرر المزبور وبعض الموارد القلیلة عدداً لا ما إذا دار الأمر بین ذلک الضرر علی نفسه وبین الإضرار بنوع المؤمنین فی جملة عدیدة من الموارد بسبب طبیعة ذلک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فی الفرد الأوّل أیضاً لم ینفوا الضمان الوضعی ولا مبغوضیة الفعل بل غایته معذوریة الفاعل وبالجملة فتطبیق قاعدة دفع الأفسد بالفاسد وتزاحم الأفسد مع الفاسد إذا طبّقت بنحو مستمر متکرّر وکسنّة عملیة متصلة فسیؤول الأمر إلی إرتکاب مجموعة موارد الفاسد وهی أکثر فساداً من الأفسد الواحد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 فاللازم هو تحمّل الأفسد الذی یرتکبه الغیر فی مقابل ارتکاب الفاسد بنحو المستدیم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ذلک ما لو فرض أنّ عامّة المؤمنین یرتکب الفاسد دفعاً للأفسد کسنّة منتشرة شائعة بینهم بنحو یؤدّی إلی زوال محذوریّة الفاسد فی العادة لعملیّة لدیهم أو یستلزم ذلک منهم ارتکاب البقیة للفاسد فی صورة عدم المدافعة مع الأفسد ونحو ذلک من الصور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مثل هذه الموارد لا یکون من دفع الأفسد بالفاسد إلّا صوریاً وهو فی الحقیقة من دفع الأفسد بما هو أفسد منه فی اللبّ وحقیقة المآل ولأجل ذلک یشدّد کقاعدة خطیرة فی الفقه السیاسی وباب الولایات علی أصحاب الولایات والمناصب فی النظام الإجتماعی السیاسی من ارتکاب الأعذار، فإنّ أفعالهم حیث تکون متصلة بسلسلة حلقات</w:t>
      </w:r>
      <w:bookmarkStart w:id="706" w:name="pg13690_120886"/>
    </w:p>
    <w:p>
      <w:pPr>
        <w:pStyle w:val="BookText"/>
        <w:rPr/>
      </w:pPr>
      <w:bookmarkEnd w:id="706"/>
      <w:r>
        <w:rPr>
          <w:rFonts w:ascii="IRNazanin" w:hAnsi="IRNazanin" w:eastAsia="IRNazanin"/>
          <w:color w:val="111111"/>
          <w:sz w:val="28"/>
          <w:sz w:val="28"/>
          <w:szCs w:val="28"/>
          <w:rtl w:val="true"/>
          <w:lang w:bidi="fa-IR"/>
        </w:rPr>
        <w:t>النظام فلأجل ذلک یصعب احراز دائرة اطراف التزاحم والتدافع وتداعیات کلّ طرف أی لوازمه ومستلزماته ولا یمکن قصر النظر علی خصوص المتدافعین مباشرة ومن ثمّ لا یحیطوا بتداعیات وتلازمات الموضوعات والحالات فی أنظمة النظام الإجتماعی والسیاسی بنحو لا یشذّ عن الحیطة والإحاطة شیء إلّامن لدیه علم لدنّی وهو المعصوم الذی یتنزّل علیه کلّ أمر فی لیلة القدر بخلاف غیره، فإنّ اللازم علیهم التحفّظ علی الحدود الأولیّة وعدم المبادرة لارتکاب مخالفتهما بذریعة التدافع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مرّ عن مجمل الأجوبة عن قاعدة التزاحم والعناوین الثانویة کلزوم تکییف الموضوع مع التشریع لا التشریع مع الموضوع</w:t>
      </w:r>
      <w:r>
        <w:rPr>
          <w:rFonts w:eastAsia="IRNazanin" w:cs="IRNazanin"/>
          <w:color w:val="111111"/>
          <w:sz w:val="28"/>
          <w:szCs w:val="28"/>
          <w:rtl w:val="true"/>
          <w:lang w:bidi="fa-IR"/>
        </w:rPr>
        <w:t>.</w:t>
      </w:r>
    </w:p>
    <w:p>
      <w:pPr>
        <w:pStyle w:val="Heading4"/>
        <w:numPr>
          <w:ilvl w:val="3"/>
          <w:numId w:val="1"/>
        </w:numPr>
        <w:rPr/>
      </w:pPr>
      <w:bookmarkStart w:id="707" w:name="__RefHeading___Toc907512_1468164448"/>
      <w:bookmarkStart w:id="708" w:name="_Toc275"/>
      <w:bookmarkEnd w:id="707"/>
      <w:r>
        <w:rPr>
          <w:rtl w:val="true"/>
        </w:rPr>
        <w:t xml:space="preserve">الوجه الثامن </w:t>
      </w:r>
      <w:r>
        <w:rPr>
          <w:rtl w:val="true"/>
        </w:rPr>
        <w:t>:</w:t>
      </w:r>
      <w:r>
        <w:rPr>
          <w:rtl w:val="true"/>
        </w:rPr>
        <w:t>منطقة الفراغ</w:t>
      </w:r>
      <w:r>
        <w:rPr>
          <w:rtl w:val="true"/>
        </w:rPr>
        <w:t>:</w:t>
      </w:r>
      <w:bookmarkEnd w:id="708"/>
    </w:p>
    <w:p>
      <w:pPr>
        <w:pStyle w:val="BookText"/>
        <w:rPr/>
      </w:pPr>
      <w:r>
        <w:rPr>
          <w:rFonts w:ascii="IRNazanin" w:hAnsi="IRNazanin" w:eastAsia="IRNazanin"/>
          <w:color w:val="111111"/>
          <w:sz w:val="28"/>
          <w:sz w:val="28"/>
          <w:szCs w:val="28"/>
          <w:rtl w:val="true"/>
          <w:lang w:bidi="fa-IR"/>
        </w:rPr>
        <w:t>وممّا استدلّ به علی مراعاة المصلحة وشرعیّتها ومداریّتها فی نظام تدبیر السیاسی وجود منطقة الفراغ فی التشریع الإسلامی وهی منطقة المباحات؛ فإنّ فلسفة وجود مثل هذه المنطقة وهذه المساحة من الفراغ هو لأجل مواکبة التشریع وملائمته من للأدوار البشریة المختلفة والظروف البیئیة المتغیّرة وهی نحو مرونة فی التشریع الإسلامی مع الجانب المتغیر فی الحیاة البشریّة</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یصاغ هذا الدلیل‌بتقریب آخروهو أنّ التشریع الإسلامی لم یتعرّض إلی تفاصیل النظام السیاسی أو النظام الإقتصادی أو المالی أو القضائی أو الأمنی أو العسکری أو الثقافی أو الصحّی والبیئی أو غیرها من الأنظمة المختلفة وإنّما تعرّض إلی أسس فوقیة کلیّة والحکمة فی ذلک</w:t>
      </w:r>
    </w:p>
    <w:p>
      <w:pPr>
        <w:pStyle w:val="BookText"/>
        <w:rPr/>
      </w:pPr>
      <w:r>
        <w:rPr>
          <w:rFonts w:ascii="IRNazanin" w:hAnsi="IRNazanin" w:eastAsia="IRNazanin"/>
          <w:color w:val="111111"/>
          <w:sz w:val="28"/>
          <w:sz w:val="28"/>
          <w:szCs w:val="28"/>
          <w:rtl w:val="true"/>
          <w:lang w:bidi="fa-IR"/>
        </w:rPr>
        <w:t>هی دوام بقاء التشریع وأهداف ضمن الظروف البشریة المختلفة والتکیّف معهما فی إطار المحافظة علی الأغراض والمصالح الشرعیة الأساسیّة من دون نظر إلی التفاصیل الجزئیة المتناوبة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استفاضت الدلالات الشرعیّة علی عدم خلوّ أی واقع عن حکم الله تعالی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وغیرها من الآیات الدالّة علی أنّ کلّ صغیرة وکبیرة وکلّ شیء مستطر فی الکتاب المبین مضافاً إلی الروایات المستفیضة والمتواترة علی أنّ ما من واقع إلا و لله فیه حکم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فالتعبیر بالفراغ فی الشریعة الإسلامیّة لا یخلو عن مسامحة واضحة وإرادة منطقة المباحات من ذلک لا یصحّح إطلاق هذه التسمیة علیهما</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حصول المصالح الملزمة وتصادقها مع المباحات فی جملة من</w:t>
      </w:r>
    </w:p>
    <w:p>
      <w:pPr>
        <w:pStyle w:val="BookText"/>
        <w:rPr/>
      </w:pPr>
      <w:r>
        <w:rPr>
          <w:rFonts w:ascii="IRNazanin" w:hAnsi="IRNazanin" w:eastAsia="IRNazanin"/>
          <w:color w:val="111111"/>
          <w:sz w:val="28"/>
          <w:sz w:val="28"/>
          <w:szCs w:val="28"/>
          <w:rtl w:val="true"/>
          <w:lang w:bidi="fa-IR"/>
        </w:rPr>
        <w:t>الموارد لیس له معنی محصّلٌ ولا تفسیر صحیح إلّا بإرادة انطباق العناوین الأولیّة الإلزامیّة علی الموضوعات المباحة وإلّا فمن أین یتصور الإلزام من دون أن یکون قد شرّع فی الأحکام الأولیة ومن ثمّ أشکل علی العامّة فی اعتمادهم علی المصالح المرسلة وسدّ الذرائع مع أنّ کلتا القاعدتین عندهم هی بلحاظ الأحکام الإلزامیة الأولیة والحیطة علیها والحفاظ علیها إلّا أنهم جعلوا التأدیة إلی التفریط بهما ولو احتمالًا أو ظنّاً لازم الرعایة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یقرّب‌بأنّ للفقیه مَلأ منطقة الفراغ، فإنّ فی التشریع الإسلامی قسماً ثابتاً وهو ما قد یعبّر عنه فی الأثر الشریف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وحرامه حرام إلی یوم القیامة</w:t>
      </w:r>
      <w:r>
        <w:rPr>
          <w:rFonts w:eastAsia="IRNazanin" w:cs="IRNazanin"/>
          <w:color w:val="111111"/>
          <w:sz w:val="28"/>
          <w:szCs w:val="28"/>
          <w:rtl w:val="true"/>
          <w:lang w:bidi="fa-IR"/>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قسم غیر ثابت متغیر حسب الظروف المختلفة لکنه مشروط ومتأطّر بعناوین القسم الأول ویطلق علیه منطقة الفراغ ومَلأ هذا القسم المتغیر هو من العارف بأحکام القسم الأول هو الخبیر باستنباط أحکام القسم الثانی بنحو لا یتعارض مع أحکام القسم الأول ولا یتمکن من ذلک إلّاالفقیه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ذکر عدة من الضوابط المرعیّة فی ملأ منطقة الفراغ</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الأهداف والعلل المنصوصة للأحکام الثابتة کما فی تعلیل جعل الفیء لله وللرسول ولذی القربی کی لا یکون دولة بین الأغنیاء منکم أی لا تتکدّس الأموال بین الأغنیاء، بل یکون لصالح الدولة والأمّة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العلّة کضابطة حدّدتْه الآیة وباستطاعة الفقیه تشریع</w:t>
      </w:r>
    </w:p>
    <w:p>
      <w:pPr>
        <w:pStyle w:val="BookText"/>
        <w:rPr/>
      </w:pPr>
      <w:r>
        <w:rPr>
          <w:rFonts w:ascii="IRNazanin" w:hAnsi="IRNazanin" w:eastAsia="IRNazanin"/>
          <w:color w:val="111111"/>
          <w:sz w:val="28"/>
          <w:sz w:val="28"/>
          <w:szCs w:val="28"/>
          <w:rtl w:val="true"/>
          <w:lang w:bidi="fa-IR"/>
        </w:rPr>
        <w:t>بعض القوانین الممانعة من تکدّس الأموال عند الأغنیاء کفرض الضرائب علی أموالهم ونحو ذلک لتحقیق الهدف المنصوص علیه 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ونظیره ما عُلل فی روایات الزکاة من أنّ غایتها إلحاق الفقیر بالمستوی المعتاد فی المعیشة، کما فی معتبرة أبی بصیر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أخذ من الزکاة فَضَّه علی عیاله حتی یلحقهم بالناس</w:t>
      </w:r>
      <w:r>
        <w:rPr>
          <w:rFonts w:eastAsia="IRNazanin" w:cs="IRNazanin"/>
          <w:color w:val="111111"/>
          <w:sz w:val="28"/>
          <w:szCs w:val="28"/>
          <w:rtl w:val="true"/>
          <w:lang w:bidi="fa-IR"/>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ونظیره ما ورد أیضاً من ان من له جاریة ودار وغلام وجمل له أنّ یأخذ من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التعلیل یفید أنّ مِن حق الوالی إذا عجزت أموال الزکاة عن هذا الهدف أن یشرّع المزید من الزکاة لأجل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ومثلها الأهداف المستنبطة من مجموعة أحکام کقاعدة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ربح بلا عمل من جملة من الأحکام الأخری کعدم تملک الأرض من دون إحیاء وعدم ملکیة المعدن إلّابمقدار ما استخرج وعدم مشارکة الربح إذا کان صاحب رأس المال ماله مضموناً والمستأجر لا یؤجر بأزید من أجرته إلّاإذا أحدث 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 الإجتماعیة التی أکّدت علیها النصوص کالعدالة والمساواة والأخوة فی قوله تعالی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کُونُوا قَوّامِینَ لِلّهِ شُهَداءَ بِالْقِسْطِ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یَأْمُرُ بِالْعَدْلِ وَ الْإِحْسانِ وَ إِیتاءِ ذِی الْقُرْبی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إِنّا خَلَقْناکُمْ مِنْ ذَکَرٍ وَ أُنْثی وَ جَعَلْناکُمْ شُعُوباً وَ قَبائِلَ لِتَعارَفُوا إِنَّ أَکْرَمَکُمْ عِنْدَ اللّهِ أَتْقاکُمْ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فاللازم علی الحاکم سنّ إقامة النُظُم والقوانین المؤدّیة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 فی الأحکام المستفادة من النصوص بین الأحکام الثابتة والأحکام التدبیریة المتغیرة کما فی جملة من الموارد من النواهی فی الأرضین وباب الإجارة والثروات المشترکة الطبیعیة فإنّها عُلّلَ بعدم الضرر والضرار، کالنهی عن الإحتکار فی البیوعات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الغایات التی حدّدت للحاکم أن ینجزها کمسئولیة تقع علی عاتقه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فی تعدیل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عدم خلو أیّ واقعة من الحکم الشرعی وهذا لیس من الفراغ فی التشریع بقدر ما هو تطبیق للثابت التشریعی علی المتغیّر الموضوعی فی الحقول المختلفة</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الأصول التشریعیة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قد یعبّر عنه بأصول القانون أو</w:t>
      </w:r>
    </w:p>
    <w:p>
      <w:pPr>
        <w:pStyle w:val="BookText"/>
        <w:rPr/>
      </w:pPr>
      <w:r>
        <w:rPr>
          <w:rFonts w:ascii="IRNazanin" w:hAnsi="IRNazanin" w:eastAsia="IRNazanin"/>
          <w:color w:val="111111"/>
          <w:sz w:val="28"/>
          <w:sz w:val="28"/>
          <w:szCs w:val="28"/>
          <w:rtl w:val="true"/>
          <w:lang w:bidi="fa-IR"/>
        </w:rPr>
        <w:t>فقه المقاصد أو روح الشریعة ومذاقها علی حسب اختلاف النظریات الثلاث المعالجة لأسس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تشریعات أولیّة فوقیة لا سیما علی وفق النظریة الأولی إلّاأنّ ذلک لا یعنی رفع الید عن التشریعات النبویة الأخری التی هی فی طول تلک الأصول التشریعیة و هی نحو من التنزیل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التشریعات أو البیانات التشریعیة من الأئمة علیهم السلام هی فی طول التشریعات النبویة أیضاً فی المراتب اللاحقة ولا معنی لرفع الید عن مدارج التشریع النازلة تحت ذریعة أنّها أحکام تدبیریة متغیّرة غیر ثابتة، فإنّ البناء علی ذلک بنحو العموم بدعوی إقتضاء الأصول التشریعیة الفوقیة لذلک، لازمه التخلّی عن التسلیم بولایة الرسول والأئمة علیهم السلام وعدم التبعیة لهم و بالتالی القفز علی ذلک و تخطّیه هو مروق و انفساخ عن ولایتهم وعن التأسّی بهم وعن الطاعة و الانقیاد لهم؛ فمقتضی ولایتهم و طاعتهم و التسلیم لهم فی طول ولایة اللّه و أحکامه هو اقتضاء ذلک الثبات علی التشریعات النبویة و الأحکام المبینة من قبلهم علیهم السلام إلّاما نصّ علیه الدلیل الخاص کما فی جملة من الموارد الدالّة علی أن حکمهم هو من التدبیر الخاص بذلک المورد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هذا التقریب هو بیان الأصول القانونیة للتشریع وذلک لا یقتضی ثبوت صلاحیة التشریع للفقیه علی مصراعیه، بل اللازم حینئذٍ مراعاة قواعد أصول الحکم والقانون المسمی بالمبادی الاحکامیة وضوابطها وهی تشتمل علی موازین عدیدة قد طفح وبرز تنقیحها فی التحقیقات الأخیرة فی علم أصول الفقه</w:t>
      </w:r>
      <w:r>
        <w:rPr>
          <w:rFonts w:eastAsia="IRNazanin" w:cs="IRNazanin"/>
          <w:color w:val="111111"/>
          <w:sz w:val="28"/>
          <w:szCs w:val="28"/>
          <w:rtl w:val="true"/>
          <w:lang w:bidi="fa-IR"/>
        </w:rPr>
        <w:t>.</w:t>
      </w:r>
      <w:bookmarkStart w:id="709" w:name="pg13690_120892"/>
    </w:p>
    <w:p>
      <w:pPr>
        <w:pStyle w:val="Heading4"/>
        <w:numPr>
          <w:ilvl w:val="3"/>
          <w:numId w:val="1"/>
        </w:numPr>
        <w:rPr/>
      </w:pPr>
      <w:bookmarkStart w:id="710" w:name="__RefHeading___Toc907514_1468164448"/>
      <w:bookmarkStart w:id="711" w:name="_Toc276"/>
      <w:bookmarkEnd w:id="709"/>
      <w:bookmarkEnd w:id="710"/>
      <w:r>
        <w:rPr>
          <w:rtl w:val="true"/>
        </w:rPr>
        <w:t xml:space="preserve">الوجه التاسع </w:t>
      </w:r>
      <w:r>
        <w:rPr>
          <w:rtl w:val="true"/>
        </w:rPr>
        <w:t>:</w:t>
      </w:r>
      <w:r>
        <w:rPr>
          <w:rtl w:val="true"/>
        </w:rPr>
        <w:t>جعل الشروط الإلزامیة</w:t>
      </w:r>
      <w:r>
        <w:rPr>
          <w:rtl w:val="true"/>
        </w:rPr>
        <w:t>:</w:t>
      </w:r>
      <w:bookmarkEnd w:id="711"/>
    </w:p>
    <w:p>
      <w:pPr>
        <w:pStyle w:val="BookText"/>
        <w:rPr/>
      </w:pPr>
      <w:r>
        <w:rPr>
          <w:rFonts w:ascii="IRNazanin" w:hAnsi="IRNazanin" w:eastAsia="IRNazanin"/>
          <w:color w:val="111111"/>
          <w:sz w:val="28"/>
          <w:sz w:val="28"/>
          <w:szCs w:val="28"/>
          <w:rtl w:val="true"/>
          <w:lang w:bidi="fa-IR"/>
        </w:rPr>
        <w:t>واستدلّ بإمکان تعاقد الدولة والنظام مع أفراد الأمّة والمؤسّسات الخاصّة بانشاء عقود وعهود مشروطة تلزمهم بالمصلحة الّتی تشخّص وذلک بازاء ما تقوم به الدولة من توفیر خدمات وامکانات مادیة لهم؛ فعبْر نظام العقود والشروط تتمکّن الدولة من إقامة الأنظمة المختلفة المقترحة المتوفّرة علی المصلحة المدرکة، سواء النظام الإقتصادی أو نظام العمل أو نظام التجارة ونظام الأحوال الشخصیة والأسرة ونظام البلدیة والعمران ونظام الزراعة وغیرها من الأنظمة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فتتوصّل عبر نظام العقد والشروط إلی الوصول إلی عملیة التغییر المطلوبة فی أنظمة النظام الإجتماعی السیاسی فی الموارد التی تضطر الأمّة والشعب فی سدّ حاجتها إلی خدمات وظائف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فالعقد والشروط صیاغة قانونیة لتنفیذ السیاسات العامّة للإلزام أو للحظر فی الموارد المختلفة وللرخصة وللمنع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ویتحفظ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الشروط إنّما تشرع إذا لم یستلزم منهما تغییر الأحکام الأولیّة لا سیما إذا فرضت تغییر ماهیّة الأنظمة الّتی قرّرتها الشریعة والّتی هی مجموعة أحکام أساسیة أصلیّة</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تقرّر أنّ ما هو واجب لا یصح اتخاذ الأجرة علیه والعوض لا سیّما الوالی لاعتبار الشارع ذلک الوجوب کون المکلّف مقهوراً علیه فلا یکون متوقفاً علی طیب نفسه ولا تکون له حرمة ویکون أکلًا للمال بالباطل ولعلّ وجهه فی الوالی وغیره أنّ تلک الأفعال لم یجعلها الشارع مصدراً ومنبعاً للمال لکن الصحیح امکان اخذ الاجرة علی</w:t>
      </w:r>
      <w:bookmarkStart w:id="712" w:name="pg13690_120893"/>
    </w:p>
    <w:p>
      <w:pPr>
        <w:pStyle w:val="BookText"/>
        <w:rPr/>
      </w:pPr>
      <w:bookmarkEnd w:id="712"/>
      <w:r>
        <w:rPr>
          <w:rFonts w:ascii="IRNazanin" w:hAnsi="IRNazanin" w:eastAsia="IRNazanin"/>
          <w:color w:val="111111"/>
          <w:sz w:val="28"/>
          <w:sz w:val="28"/>
          <w:szCs w:val="28"/>
          <w:rtl w:val="true"/>
          <w:lang w:bidi="fa-IR"/>
        </w:rPr>
        <w:t>الواجب الا ما اعتبره الشارع واجبا مجانیا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 فی أراضی الأنفال أنّه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العوض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یفهم من ذلک جواز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مطلق ما کان فیئاً ونفلًا لا سیّما أنّه قد علّل فی الروایة جواز أخذه ذلک بأنّ الأرض کلّها لهم، أی تحت ولایتهم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ذلک لا یعنی أخذ الشروط والتعاقد بهما بنحو یخالف الکتاب أو السنة أو یحرّم حلالًا أو یحلّل حراماً کما مرّ فی الملاحظة الأولی مضافاً إلی ما مرّ ذکره من الملاحظات الکثیرة علی الوجوه المزعومة لمشروعیّة المصلحة علی نحو الاطلاق</w:t>
      </w:r>
      <w:r>
        <w:rPr>
          <w:rFonts w:eastAsia="IRNazanin" w:cs="IRNazanin"/>
          <w:color w:val="111111"/>
          <w:sz w:val="28"/>
          <w:szCs w:val="28"/>
          <w:rtl w:val="true"/>
          <w:lang w:bidi="fa-IR"/>
        </w:rPr>
        <w:t>.</w:t>
      </w:r>
    </w:p>
    <w:p>
      <w:pPr>
        <w:pStyle w:val="Heading4"/>
        <w:numPr>
          <w:ilvl w:val="3"/>
          <w:numId w:val="1"/>
        </w:numPr>
        <w:rPr/>
      </w:pPr>
      <w:bookmarkStart w:id="713" w:name="__RefHeading___Toc907516_1468164448"/>
      <w:bookmarkStart w:id="714" w:name="_Toc277"/>
      <w:bookmarkEnd w:id="713"/>
      <w:r>
        <w:rPr>
          <w:rtl w:val="true"/>
        </w:rPr>
        <w:t xml:space="preserve">الوجه العاشر </w:t>
      </w:r>
      <w:r>
        <w:rPr>
          <w:rtl w:val="true"/>
        </w:rPr>
        <w:t>:</w:t>
      </w:r>
      <w:r>
        <w:rPr>
          <w:rtl w:val="true"/>
        </w:rPr>
        <w:t>دور الزمان والمکان فی الإجتهاد</w:t>
      </w:r>
      <w:r>
        <w:rPr>
          <w:rtl w:val="true"/>
        </w:rPr>
        <w:t>:</w:t>
      </w:r>
      <w:bookmarkEnd w:id="714"/>
    </w:p>
    <w:p>
      <w:pPr>
        <w:pStyle w:val="BookText"/>
        <w:rPr/>
      </w:pPr>
      <w:r>
        <w:rPr>
          <w:rFonts w:ascii="IRNazanin" w:hAnsi="IRNazanin" w:eastAsia="IRNazanin"/>
          <w:color w:val="111111"/>
          <w:sz w:val="28"/>
          <w:sz w:val="28"/>
          <w:szCs w:val="28"/>
          <w:rtl w:val="true"/>
          <w:lang w:bidi="fa-IR"/>
        </w:rPr>
        <w:t>واستدلّ بأنّ الزمان والمکان لهما تأثیر ملحوظ فی الأحکام الشرعیة واستنباطها واجتهاد الفقهاء ممّا ینبّه علی أنّ الجانب المتغیّر فی البیئة المحیطة للبشر لها واضح التأثیر فی تحدید الأحکام المنطبقة علیها أو المتعلّقة بها؛ فکما أنّ فی الشریعة جانب ثبات هناک جانب تغیّر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قیل بأنّ کلّ ما له تأثیر فی حفظ النظام الإسلامی، أی إنّ عدم مراعاته یوجب اختلاله والتفریط به یوجب الفساد أو الحرج فاللازم مراعاته ما دام ذلک الموضوع بهذا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فی دراسة هذا الوجه</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إن أرید انطباق کلیات العناوین الأولیة علی المصادیق هو بنحو متغیّر فهذا متّجه ولکن لا صلة له بتصویر المصلحة المزعومة وراء الأحکام الأولیة</w:t>
      </w:r>
      <w:r>
        <w:rPr>
          <w:rFonts w:eastAsia="IRNazanin" w:cs="IRNazanin"/>
          <w:color w:val="111111"/>
          <w:sz w:val="28"/>
          <w:szCs w:val="28"/>
          <w:rtl w:val="true"/>
          <w:lang w:bidi="fa-IR"/>
        </w:rPr>
        <w:t>.</w:t>
      </w:r>
      <w:bookmarkStart w:id="715" w:name="pg13690_120894"/>
    </w:p>
    <w:p>
      <w:pPr>
        <w:pStyle w:val="BookText"/>
        <w:rPr/>
      </w:pPr>
      <w:bookmarkEnd w:id="715"/>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نظام الموضوع ودرجات وجوداته ومصادیقه یتصوّر فیه عدم الثبات فی المراتب التحتانیة فقد یکون مصداقاً جزئیاً ینطبق علیه عنواناً موضوعیاً مّا ثمّ یؤول الأمر إلی انتفاء ذلک العنوان وانطباق عنوان آخر علیه وهکذا تتوارد علیه عناوین وتزول اخری وهذا ما یعبّر عنه بالطروء الثانوی فی الجانب الموضوعی وهو یغایر حالة الأحکام الثانویة فإنّ الثانویة، فیها هی بلحاظ الحکم وقد مضی أنّ اللازم علی الوالی مراعاة عدم وقوع التدافع بین الأحکام لا التشبث المستمر بتکییف الأحکام علی البیئات الموضوعیة، بل تکییف الموضوعات علی نهج الأحکام وإلّا لعاد الحکم الثانوی أولیاً</w:t>
      </w:r>
      <w:r>
        <w:rPr>
          <w:rFonts w:eastAsia="IRNazanin" w:cs="IRNazanin"/>
          <w:color w:val="111111"/>
          <w:sz w:val="28"/>
          <w:szCs w:val="28"/>
          <w:rtl w:val="true"/>
          <w:lang w:bidi="fa-IR"/>
        </w:rPr>
        <w:t>.</w:t>
      </w:r>
    </w:p>
    <w:p>
      <w:pPr>
        <w:pStyle w:val="Heading4"/>
        <w:numPr>
          <w:ilvl w:val="3"/>
          <w:numId w:val="1"/>
        </w:numPr>
        <w:rPr/>
      </w:pPr>
      <w:bookmarkStart w:id="716" w:name="__RefHeading___Toc907518_1468164448"/>
      <w:bookmarkStart w:id="717" w:name="_Toc278"/>
      <w:bookmarkEnd w:id="716"/>
      <w:r>
        <w:rPr>
          <w:rtl w:val="true"/>
        </w:rPr>
        <w:t xml:space="preserve">الوجه الحادی عشر </w:t>
      </w:r>
      <w:r>
        <w:rPr>
          <w:rtl w:val="true"/>
        </w:rPr>
        <w:t>:</w:t>
      </w:r>
      <w:r>
        <w:rPr>
          <w:rtl w:val="true"/>
        </w:rPr>
        <w:t>قصةُ داود</w:t>
      </w:r>
      <w:r>
        <w:rPr>
          <w:rtl w:val="true"/>
        </w:rPr>
        <w:t>(</w:t>
      </w:r>
      <w:r>
        <w:rPr>
          <w:rtl w:val="true"/>
        </w:rPr>
        <w:t>علیه السلام</w:t>
      </w:r>
      <w:r>
        <w:rPr>
          <w:rtl w:val="true"/>
        </w:rPr>
        <w:t>):</w:t>
      </w:r>
      <w:bookmarkEnd w:id="717"/>
    </w:p>
    <w:p>
      <w:pPr>
        <w:pStyle w:val="BookText"/>
        <w:rPr/>
      </w:pPr>
      <w:r>
        <w:rPr>
          <w:rFonts w:ascii="Amiri" w:hAnsi="Amiri" w:eastAsia="Amiri" w:cs="Amiri"/>
          <w:color w:val="111111"/>
          <w:sz w:val="28"/>
          <w:sz w:val="28"/>
          <w:szCs w:val="28"/>
          <w:rtl w:val="true"/>
          <w:lang w:bidi="ar-SA"/>
        </w:rPr>
        <w:t>وقد یستدلّ لمشرعیة المصلحة بما قَصَّه الله عَزَّ وَجَلَّ من فعل الملائکة فی قوله تعالی</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أَتاکَ نَبَأُ الْخَصْمِ إِذْ تَسَوَّرُوا الْمِحْرابَ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دَخَلُوا عَلی داوُدَ فَفَزِعَ مِنْهُمْ قالُوا لا تَخَفْ خَصْمانِ بَغی بَعْضُنا عَلی بَعْضٍ فَاحْکُمْ بَیْنَنا بِالْحَقِّ وَ لا تُشْطِطْ وَ اهْدِنا إِلی سَواءِ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أَخِی لَهُ تِسْعٌ وَ تِسْعُونَ نَعْجَةً وَ لِیَ نَعْجَةٌ واحِدَةٌ فَقالَ أَکْفِلْنِیها وَ عَزَّنِی فِی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ظَلَمَکَ بِسُؤالِ نَعْجَتِکَ إِلی نِعاجِهِ وَ إِنَّ کَثِیراً مِنَ الْخُلَطاءِ لَیَبْغِی بَعْضُهُمْ عَلی بَعْضٍ إِلاَّ الَّذِینَ آمَنُوا وَ عَمِلُوا الصّالِحاتِ وَ قَلِیلٌ ما هُمْ وَ ظَنَّ داوُدُ أَنَّما فَتَنّاهُ فَاسْتَغْفَرَ رَبَّهُ وَ خَرَّ راکِعاً وَ أَنابَ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718" w:name="pg13690_120895"/>
    </w:p>
    <w:p>
      <w:pPr>
        <w:pStyle w:val="BookText"/>
        <w:rPr/>
      </w:pPr>
      <w:bookmarkEnd w:id="718"/>
      <w:r>
        <w:rPr>
          <w:rFonts w:ascii="IRNazanin" w:hAnsi="IRNazanin" w:eastAsia="IRNazanin"/>
          <w:color w:val="111111"/>
          <w:sz w:val="28"/>
          <w:sz w:val="28"/>
          <w:szCs w:val="28"/>
          <w:rtl w:val="true"/>
          <w:lang w:bidi="fa-IR"/>
        </w:rPr>
        <w:t>حیث إنّ الخصومة التی حکاها الملکان لم یکن لها تحقّق فی الواقع وإنّما قاما بحکایتها إمتحاناً من الله تعالی لداود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فالمصلحة اقتضت الإمتحان وإن کانت بحکایة غیر مطابقة للواقع فلم تقع الواقعة ولا کان هناک متخاصمان فی الحقیقة ولا نعجة ولا نعاج فی البین؛ فالمصلحة تقتضی حینئذٍ انتهاج ما هو محظور بطبعه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لو سلّم بأنّ المتخاصمین ملکان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ذلک لیس من المجیء فی عالم المحسوس المادی، بل قد یکون من باب التمثّل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فَتَمَثَّلَ لَها بَشَراً سَوِیًّا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رسم الحکم من داود المعلّق فی ظرف التمثّل کما لو کان رآه فی ما یری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فصورة الحدث کالصورة فی عالم الرؤیة وهی تعکس المیول الباطنة فی النفس الإنسانیة فهی إمّا من التمثّل المنفصل أو المتصل وهی الرؤیا لا من الحدث فی الحس المادی فهو من الخلط حینئذ بین عالم التقدیر الالهی وعالم الوقوع المادی الدنیوی الذی هو مجال تطبیق التشریع</w:t>
      </w:r>
      <w:r>
        <w:rPr>
          <w:rFonts w:eastAsia="IRNazanin" w:cs="IRNazanin"/>
          <w:color w:val="111111"/>
          <w:sz w:val="28"/>
          <w:szCs w:val="28"/>
          <w:rtl w:val="true"/>
          <w:lang w:bidi="fa-IR"/>
        </w:rPr>
        <w:t>.</w:t>
      </w:r>
    </w:p>
    <w:p>
      <w:pPr>
        <w:pStyle w:val="Heading4"/>
        <w:numPr>
          <w:ilvl w:val="3"/>
          <w:numId w:val="1"/>
        </w:numPr>
        <w:rPr/>
      </w:pPr>
      <w:bookmarkStart w:id="719" w:name="__RefHeading___Toc907520_1468164448"/>
      <w:bookmarkStart w:id="720" w:name="_Toc279"/>
      <w:bookmarkEnd w:id="719"/>
      <w:r>
        <w:rPr>
          <w:rtl w:val="true"/>
        </w:rPr>
        <w:t>الوجه الثانی عشر</w:t>
      </w:r>
      <w:r>
        <w:rPr>
          <w:rtl w:val="true"/>
        </w:rPr>
        <w:t xml:space="preserve">: </w:t>
      </w:r>
      <w:r>
        <w:rPr>
          <w:rtl w:val="true"/>
        </w:rPr>
        <w:t>الحکم الولائی</w:t>
      </w:r>
      <w:r>
        <w:rPr>
          <w:rtl w:val="true"/>
        </w:rPr>
        <w:t>:</w:t>
      </w:r>
      <w:bookmarkEnd w:id="720"/>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ویستدلّ أیضاً علی مشرعیة المصلحة بأنّ حکم الحاکم هو بنفسه من الأحکام الأولیة فی قبال بقیة الأحکام ولا ضرورة لانطباقه علی الأحکام الأولیة الأخری، فعندما یری الحاکمُ المصلحةَ فی موردٍ مّا ویُلزِم الآخرین</w:t>
      </w:r>
    </w:p>
    <w:p>
      <w:pPr>
        <w:pStyle w:val="BookText"/>
        <w:rPr/>
      </w:pPr>
      <w:r>
        <w:rPr>
          <w:rFonts w:ascii="IRNazanin" w:hAnsi="IRNazanin" w:eastAsia="IRNazanin"/>
          <w:color w:val="111111"/>
          <w:sz w:val="28"/>
          <w:sz w:val="28"/>
          <w:szCs w:val="28"/>
          <w:rtl w:val="true"/>
          <w:lang w:bidi="fa-IR"/>
        </w:rPr>
        <w:t>بمراعاتها هو بنفسه حکم أولیّ؛ فالمصلحة لو خلّیت ونفسها لا توجب تشریع الحکم ولکن بطرو عنوان حکم الحاکم وأمره بها أصبحت مُلزمة وممّا یدلّل علی أنّ حکم الحاکم من الأحکام الأولیة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تشیر إلی أنّ الغایة من التشریع هی إقامة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یستدلّ بذلک بقوله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بتقریب أنّ طاعة الأحکام التشریعیة تندرج فی طاعة الله وعندما یأمر الرسول صلی الله علیه و آله أو ولاة الأمر بحکم من أحکام الله تعالی فالطاعة فی الحقیقة للَّه تعالی لا للرسول ولا لأولی الأمر، بل لو فرض أنّه صلّی أو صام وقصده إطاعة الرسول أو الإمام لبطلت صلاته وفسد صومه؛ فلا محالة تکون طاعة الرسول وطاعة أولی الأمر هی من جهة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یشیر إلی ذلک أیضاً تکرار کلمة أَطِیعُوا ممّا یشیر إلی اختلاف سنخ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الأمر یستعمل فی ما هو فی الشأن العامّ ممّا یقتضی أنّ الطاعة لولیّ الأمر إنّما هی فی الحکم والتدبیر فی الأمور العامّة</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ردّ الخوارج لا حکم إلا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للناس من أمیر برّ أو فاجر یعمل فی إمرته المؤمن و یستمتع فیها الکافر و یبلغ الله فیها الأجل و یجمع به الفیء و یقاتل به العدو و تأمن به السبل</w:t>
      </w:r>
      <w:r>
        <w:rPr>
          <w:rFonts w:eastAsia="IRNazanin" w:cs="IRNazanin"/>
          <w:color w:val="111111"/>
          <w:sz w:val="28"/>
          <w:szCs w:val="28"/>
          <w:rtl w:val="true"/>
          <w:lang w:bidi="fa-IR"/>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حکم العقل الضروری بإقامة النظم والتدبیر فی الإجتماع السیاسی البشری فهذا الحکم ممّا یقضی به العقل بدیهةً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خلط بین ضرورة الحکومة وإقامة النظام وبین تفاصیل وجزئیات التدبیر وتصرّفات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ضرورة الحکومة وفعلَ النظم والتنسیق فی التدبیر والأمور لا یعنی ضرورة آحاد وجزئیات کلّ تدبیر، بل إنّ مقتضی ذلک هو ضرورة التدبیر فی الجملة ممّا یحفظ النظم واتّساق الأمور وهو لا یتوقّف علی مخالفة الأحکام الأولیة، بل الأحکام الأولیة المفروض إنّها تشریع سماوی یُقیم النظم لا أنّه یشیع الفوضی؛ غایة الأمر قد یقع التزاحم بین موضوعات التشریعات الأولیة أو الورود ونحو ذلک فکیف یتصوّر أن تکون هناک مصلحة مُدرَکة لم یعلمها الشارع الأقدس ویُدرکها البشر بعد فرض عدم کون الأمر الذی تعلّق بذلک الفعل منحدراً ومنشعباً عن أصول تشریعیة أولیة وأن الفرض کونه فی عرضها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ماهیّة الحکومة فی علم القانون والعلوم السیاسیة والإداریة والعلوم الإنسانیة لیست إلّاتدبیراً لتطبیق الأحکام والقوانین</w:t>
      </w:r>
    </w:p>
    <w:p>
      <w:pPr>
        <w:pStyle w:val="BookText"/>
        <w:rPr/>
      </w:pPr>
      <w:r>
        <w:rPr>
          <w:rFonts w:ascii="IRNazanin" w:hAnsi="IRNazanin" w:eastAsia="IRNazanin"/>
          <w:color w:val="111111"/>
          <w:sz w:val="28"/>
          <w:sz w:val="28"/>
          <w:szCs w:val="28"/>
          <w:rtl w:val="true"/>
          <w:lang w:bidi="fa-IR"/>
        </w:rPr>
        <w:t>الکلیّة؛ فمثلًا فی الحکومة الوضعیة، الحکومة التنفیذیة تُجری وتُنَفّذ وتطبّق القوانین والمواد الدستوریة أو القوانین للمجالس النیابیة وهی تَنَزُّل وتطبیق للمواد القانونیة الدستوریة ولا معنی للقول بأنّ تدبیر الحکومة فی عرض المواد الدستوریة، بل العرضیة تَعنی عدم تقیّد الحکومة التنفیذیة بالدستور، بل لازم عدم تقیّد الحکومات بالقوانین هو حکومة شرع الغاب أو استبداد الهوی وإلّا فاللازم تحکیم الأحکام المقرّرة المشرَّعة من دون تجاوز حدود التشریعات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طاعة الرسول لا تنفکّ عن طاعة الله، کما أنّ طاعة الله تعالی لا تنفکّ عن طاعة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فعل طاعة یصدق علیه طاعة الله، فإنّه یصدق علیه طاعة الرسول أیضاً وکذلک 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المبلّغ عن الله فی أحکامه هو الرسول صلی الله علیه و آله فی ما بلّغه و کذلک طاعة الرسول فی ما یأمر به وینهی عنه هو طاعة للَّه‌تعالی، حیث أمر بطاعة الرسول صلی الله علیه و آله کما فی الآیة المتقدّمة وکما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من التشریعات القرآنیة ونحوها ما یطلق علیه تشریعات الله تعالی وأحکامه، کما أنّ هناک سنن النبی صلی الله علیه و آله وتشریعاته التی هی منشعبة ومنحدرة عن أصول تشریع الله تعالی کما فی الصلاة؛ فإنّ الرکعتین الأولیتین من الفرائض الیومیة هی من فرائض الله تعالی و أمّا الرکعتین</w:t>
      </w:r>
    </w:p>
    <w:p>
      <w:pPr>
        <w:pStyle w:val="BookText"/>
        <w:rPr/>
      </w:pPr>
      <w:r>
        <w:rPr>
          <w:rFonts w:ascii="IRNazanin" w:hAnsi="IRNazanin" w:eastAsia="IRNazanin"/>
          <w:color w:val="111111"/>
          <w:sz w:val="28"/>
          <w:sz w:val="28"/>
          <w:szCs w:val="28"/>
          <w:rtl w:val="true"/>
          <w:lang w:bidi="fa-IR"/>
        </w:rPr>
        <w:t>الاخریتین فیها، فإنّها من تشریع النبی صلی الله علیه و آله و سلم کما رَوی ذلک الفریقان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الغریب دعوی بطلان الصلاة إذا أتی بها طاعةً للنبی صلی الله علیه و آله فإنّ الذی أمر بالرکعتین الأخریتین هو النبی صلی الله علیه و آله کما أنّ فی جملة من تشریعات العبادات کالإمساک عن بعض الأمور فی الصوم وتحدید مواقیت الإحرام وغیرها من أجزاء وشروط العبادات هی من تشریعات النبی صلی الله علیه و آله والإتیان بها طاعة للَّه‌تعالی کما هی طاعة للنبی صلی الله علیه و آله ومآل طاعة النبی هی إطاعة الله تعالی وکأنّ تلک الدعوی قد افترض فیها أنّ طاعة الرسول فی عرض طاعة الله لا فی طول طاعة الله تعالی ومن ثمّ توهّم فیها الإنفکاک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یظهر أنّ طاعة الرسول صلی الله علیه و آله لا تنحصر بحکومته السیاسیة، بل کذلک فی تشریعاته وبقیة شئون مقاماته وأنّ الوجه فی تکرار کلمة أَطِیعُوا وتعدّد الطاعة فی السنخ هو بلحاظ أنّ التشریعات علی نمطین ومن ثمّ اسندت الطاعة للرسول صلی الله علیه و آله لمقام رسالته لا لخصوص ولایته للأمر، بل الحال فی أولی الأمر کذلک أیضاً بناء علی ما هو الصحیح من صلاحیّتهم فی التشریع فی طول تشریعات الله ورسوله، أی التابعة لأصول تشریعیة إلهیة ونبویة لا فی عرض تشریعات الله ورسوله، کما ورد فی وضع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الزکاة علی الخیل وفی کثیر من أحکام الحدود والدیات وأحکام البغاة وغیرها ممّا یجده المتتبع بل اغلب تفاصیل الاحکام لا اسسها من الموانع والشروط فی الابواب هی من تشریعاتهم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المنحدرة من اسس الفرائض الالهیة والسنن النبویة</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فطاعة أولی الأمر لیست منحصرة فی الشأن العام وتدبیر الحکم</w:t>
      </w:r>
    </w:p>
    <w:p>
      <w:pPr>
        <w:pStyle w:val="BookText"/>
        <w:rPr/>
      </w:pPr>
      <w:r>
        <w:rPr>
          <w:rFonts w:ascii="IRNazanin" w:hAnsi="IRNazanin" w:eastAsia="IRNazanin"/>
          <w:color w:val="111111"/>
          <w:sz w:val="28"/>
          <w:sz w:val="28"/>
          <w:szCs w:val="28"/>
          <w:rtl w:val="true"/>
          <w:lang w:bidi="fa-IR"/>
        </w:rPr>
        <w:t>والسبب فی هذا الوهم والخبط هو تفسیر الأمر بالشأن العام، مع أنّ لفظ الأمر قد ورد فی 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تفسیره بنحو بیّن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القدس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 الأمری الابداعی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تَنَزَّلُ الْمَلائِکَةُ وَ الرُّوحُ فِیها بِإِذْنِ رَبِّهِمْ مِنْ کُلِّ أَمْرٍ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کَذلِکَ أَوْحَیْنا إِلَیْکَ رُوحاً مِنْ أَمْرِنا ما کُنْتَ تَدْرِی مَا الْکِتابُ وَ لاَ الْإِیمانُ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طاعة الرسول صلی الله علیه و آله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لیست منافیة لطاعة الله فی العبادات فحسب، بل هی لابدّ منها فی صحّة و قبول العبادات؛ فإنّ عبادة إبلیس الرجیم لم تقبل ولم تصحّ وکانت هباءً منثوراً لأنّه أبَی الخضوع لآدم خلیفة الله، فلم یعبد الله من الباب الذی أمره به، فرُدَّتْ علیه عبادته، بل کانت عبادته عبادة لأنانیة النفس</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تصویر المصلحة فی حکم الوالی النائب بنحوٍ تکون فی قبال وعرض المصالح للأحکام الأولیة یستلزم فرض نقص التشریع</w:t>
      </w:r>
    </w:p>
    <w:p>
      <w:pPr>
        <w:pStyle w:val="BookText"/>
        <w:rPr/>
      </w:pPr>
      <w:r>
        <w:rPr>
          <w:rFonts w:ascii="IRNazanin" w:hAnsi="IRNazanin" w:eastAsia="IRNazanin"/>
          <w:color w:val="111111"/>
          <w:sz w:val="28"/>
          <w:sz w:val="28"/>
          <w:szCs w:val="28"/>
          <w:rtl w:val="true"/>
          <w:lang w:bidi="fa-IR"/>
        </w:rPr>
        <w:t>الإلهی عن استیفاء کافّة المصالح والمفاسد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کانت فی طولها بنحو یکون متشعبة عنها وتنزّلًا لها فی الموارد فهذا لا یعقل فی غیر المعصوم إلّا بنحو التطبیق والتنفیذ فهو لیس مصلحة وراء المصالح الأولیة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الوالی غیر المعصوم مُزَوَّدٌ بعلم یتمیز به عن غیره بنحو یُدرک ما لا یُدرکه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 ضوء هذا فلا مجال لتوهّم التمسّک بإطلاقات أدلّة النیابة لعموم نفوذ ولایة النائب فی غیر ما کان تدبیره رعایةً للمصالح للأحکام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ثان للوجه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ولایة 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ولیّ الأمر فی هذه العبارة هو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موارد القطع بخطئه، لأنّ الولایة لیست حکماً ظاهریاً کی تقیّد بعدم العلم بالخطأ وانّما هی حکم واقعی وعندئذٍ یصبح المقیاس للمولّی علیه هو رأی الولی حتّی لو اعتقد المولّی علیه بأنّ الولی قد أخطأ فی تقدیره للمصالح والمفاسد وغیر هذا لیس بولایة، بل امارة وحکم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شئتم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الخطأ فی الحکم لا معنی له لأنّ حکم الحاکم واقعه هو هذا الحکم ولیس کاشفاً عن حکم الشریعة لأنّ المفروض هو أنّ الشریعة لم تأتِ بحکم فی مورد حکم الحاکم ولو أتت الشریعة بحکم فی هکذا مورد لما احتجنا حکمه، فحکمه یعنی أنّ الشریعة قد فوّضت الأمر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الشریعة قد فوّضت أمر الحکم إلیه، فحقیقة الأمر وواقع الحکم الذی یریده الله هو نفس حکم هذ الحاکم وإن أخطأ فی تقدیراته وحینئذٍ لا معنی لافتراض الخطأ فی حکم ولی الأمر وعلیه یجب اتّباعه؛ ومن هنا یتبیّن أنّ نفوذ حکم الحاکم لا یختصّ بمن لا یعلم خطأه، بل یشمل عموم المکلفین ؛ نعم إذا افترضنا أنّ أخطاء الحاکم قد کثرت إلی الحد الذی أسقطه عن الکفاءة فحینئذٍ سیخرج هذا الحاکم عن کونه ولیاً لفقدان الکفاءة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التقریب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القائل قد افترض وقرّر أنّ الشریعة الإسلامیة لا تعمّ کلّ الوقائع والحوادث التی یبتلی بها الإنسان وأنّ أصول التشریع فی الدین غیر شاملة لکلّ موارد الحیاة والمعاش وهذا یناقض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عَلَیْکَ الْکِتابَ تِبْیاناً لِکُلِّ شَیْ‌ءٍ وَ هُدیً وَ رَحْمَةً وَ بُشْری لِلْمُسْلِمِینَ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جِئْناهُمْ بِکِتابٍ فَصَّلْناهُ عَلی عِلْمٍ هُدیً وَ رَحْمَةً لِقَوْمٍ یُؤْمِنُونَ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یَعْزُبُ عَنْ رَبِّکَ مِنْ مِثْقالِ ذَرَّةٍ فِی الْأَرْضِ وَ لا فِی</w:t>
      </w:r>
    </w:p>
    <w:p>
      <w:pPr>
        <w:pStyle w:val="BookText"/>
        <w:rPr/>
      </w:pPr>
      <w:r>
        <w:rPr>
          <w:rFonts w:ascii="Amiri" w:hAnsi="Amiri" w:eastAsia="Amiri" w:cs="Amiri"/>
          <w:color w:val="111111"/>
          <w:sz w:val="28"/>
          <w:sz w:val="28"/>
          <w:szCs w:val="28"/>
          <w:rtl w:val="true"/>
          <w:lang w:bidi="ar-SA"/>
        </w:rPr>
        <w:t xml:space="preserve">السَّماءِ وَ لا أَصْغَرَ مِنْ ذلِکَ وَ لا أَکْبَرَ إِلاّ فِی کِتابٍ مُبِینٍ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أُحْکِمَتْ آیاتُهُ ثُمَّ فُصِّلَتْ مِنْ لَدُنْ حَکِیمٍ خَبِیرٍ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یَعْزُبُ عَنْهُ مِثْقالُ ذَرَّةٍ فِی السَّماواتِ وَ لا فِی الْأَرْضِ وَ لا أَصْغَرُ مِنْ ذلِکَ وَ لا أَکْبَرُ إِلاّ فِی کِتابٍ مُبِینٍ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حَدِیثاً یُفْتَری وَ لکِنْ تَصْدِیقَ الَّذِی بَیْنَ یَدَیْهِ وَ تَفْصِیلَ کُلِّ شَیْ‌ءٍ وَ هُدیً وَ رَحْمَةً لِقَوْمٍ یُؤْمِنُونَ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الْوَلایَةُ لِلّهِ الْحَقِّ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التقریر لولایة الفقیه وأنّها فوق النقد وأنّ الولی فوق أن یناقش لا یتم إلّامع فرض أن صلاحیته فی عرض صلاحیّة الله و رسوله والمعصومین، مع أنّ صلاحیّة الرسول والمعصومین لیست فی عرض</w:t>
      </w:r>
    </w:p>
    <w:p>
      <w:pPr>
        <w:pStyle w:val="BookText"/>
        <w:rPr/>
      </w:pPr>
      <w:r>
        <w:rPr>
          <w:rFonts w:ascii="IRNazanin" w:hAnsi="IRNazanin" w:eastAsia="IRNazanin"/>
          <w:color w:val="111111"/>
          <w:sz w:val="28"/>
          <w:sz w:val="28"/>
          <w:szCs w:val="28"/>
          <w:rtl w:val="true"/>
          <w:lang w:bidi="fa-IR"/>
        </w:rPr>
        <w:t>صلاحیّة الله بل فی طوله کما أنّ صلاحیّة الأئمة المعصومین لیست فی عرض صلاحیّة الرسول، بل فی طولها وتابعة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صلاحیّة الفقیه فی عرض صلاحیّة المعصوم أو فی طولها؟ فإن کانت فی طول هذه المراتب فلابدّ من تحکیم حکم الله ورسوله والأئمة المعصومین علیهم السلام علیه والإحتکام إلی تلک التشریعات لأنّها فوقه إلّاأن یفرض أنّها فی عرضها وهذا ممّا لا یمکن التفوّه به أو یفرض عصمة الفقیه فی تبعیّته إلی أحکام الله وأحکام رسوله والأئمة المعصومین علیهم السلام فلا یمکن فرض خطائه فی التبعیة وهذا ما لم یدّعِ أحد أیضاً فلا محالة یکون مسلک التخطئة هو المحکّم لا التصویب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عرّف عن مسلک الإمامیة بلحاظ المجتهد والفقیه بأنّه مسلک التخطئة لا مسلک التصویب الذی هو مسلک العامّة العمیاء المبتنّی علی نقص الشریعة وعلی عدم وجود امام معصوم من عترة النبی صلی الله علیه و آله هو المبیّن لأحکام الکتاب التی أشکلت علی الناس الوصول إلیها وعجزت قدرتهم عن الإهتداء إلی مظانّها کما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 الرّاسِخُونَ فِی الْعِلْمِ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آیاتٌ بَیِّناتٌ فِی صُدُورِ الَّذِینَ أُوتُوا الْعِلْمَ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والضمیر فیه عائد إلی‌القرآن</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الروایات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شیء إلاوفیه کتاب أو سنة </w:t>
      </w:r>
      <w:r>
        <w:rPr>
          <w:rFonts w:eastAsia="IRNazanin" w:cs="IRNazanin"/>
          <w:color w:val="111111"/>
          <w:sz w:val="28"/>
          <w:szCs w:val="28"/>
          <w:rtl w:val="true"/>
          <w:lang w:bidi="fa-IR"/>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الشریعة قد فوّضتْ أمر الحکم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إمّا یرید تفویض التشریع أو تفویض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تفویض التشریع فالخلاف قد وقع فی الولایة التشریعیة للرسول صلی الله علیه و آله وللأئمة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بغیرهم؟ مع أنّ مَن قال بذلک فی الرسول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بذلک فی الرسول فی طول تشریعات الباری تعالی بحیث یکون الرسول تابعاً مطیعاً لأحکام الله تعالی ویکون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تابعین مطیعین فی تشریعهم لأحکام الله ورسوله صلی الله علیه و آله فکیف یفرض فی غیرهم صلاحیّة التشریع مع عدم القول بالعصمة فیه، فضلًا عن أن لا یکون تابعاً لأحکام الله ورسوله والأئمة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إنّه قد وردت روایات مستفیضة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الحدیث المنقول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الکتاب والسنة القطعیة وهذا التحکیم وإن لم یکن من قبیل تحکیم غیر المعصوم علی المعصوم بل هو من تحکیم الکتاب المعصوم وسنة المعصوم القطعیة علی نقل الرواة غیر المعصومین لأحادیث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فی ذیل کلامه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کثر الخطأ إلی الحدّ الذی یسقطه عن الکفاءة، یخلّ بشرائط الحاکم والولی یناقض کلامه السابق، إذ مع عدم فرض واقعٍ فی نفس الأمر یطابقه حکم الحاکم وإنّما حکمه هو متن الواقع ولا واقع وراءه فأیّ خطأ یمکن فرضه بنحو متکرّر؟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ففرض الخطأ فی کلّ مورد مورد إلی أن یکثر یناقض الدعوی السابقة وهو نوع من تحکیم الواقع والإعتراف بوجوده، أصابه من یصیبه وأخطأه</w:t>
      </w:r>
    </w:p>
    <w:p>
      <w:pPr>
        <w:pStyle w:val="BookText"/>
        <w:rPr/>
      </w:pPr>
      <w:r>
        <w:rPr>
          <w:rFonts w:ascii="IRNazanin" w:hAnsi="IRNazanin" w:eastAsia="IRNazanin"/>
          <w:color w:val="111111"/>
          <w:sz w:val="28"/>
          <w:sz w:val="28"/>
          <w:szCs w:val="28"/>
          <w:rtl w:val="true"/>
          <w:lang w:bidi="fa-IR"/>
        </w:rPr>
        <w:t>مَن یخطئه، ممّا یستلزم أنّ غیر المعصوم لا یتعقّل اطلاق حاکمیته وولایته، بل الحاکم غیر المعصوم محکوم بالکتاب وسنة المعصومین، وهو ما یعبّر عنه بالواقع، وهذا بخلاف المعصوم فإنّه یُجَسّم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فی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تتفاضل مقاماتهم بلحاظ الکمالات الواقعیة نری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تابعون لسیّد الأنبیاء صلی الله علیه و آله والرسول صلی الله علیه و آله تابع لولایة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یستدلّ‌لکون حکم الحاکم هو بنفسه من الأحکام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الأحکام الأولیة الأخری وبغضّ النظر عن وجود واقع وراء 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الحکومة والحاکمیة کفعل ونظم، فالتدبیر والقیادة والحکم والحکومة بنفسه فعل راجح ذو مصلحة ملزمة، کما ذکر ذلک فی استدلال الحکماء علی ضرورة النظام الإجتماعی، حیث قالوا بأنّ الإنسان مدنی بالطبع لا یتمّ وصوله إلی کمالاته وسعادته إلّابالتکافل الإجتماعی وتبادل الخدمات والصناعات والمهارات مع بَنی جنسه ولا یتمّ ذلک إلّابالنظم والنظام الإجتماعی وإقامة السنن والقوانین وتطبیقها واجرائها لحصول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ویتضح من هذا الدلیل الذی صاغوه أن النظم بنفسه فعل راجح وکمال مطلوب ولعله إلیه الإشارة فی قوله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لابدّ للناس من أمیر برّ أو فاجر، یعمل فی إمرته المؤمن ویستمتع فیها الکافر ویبلغ الله فیها الأجل ویجمع به الفیء ویقاتل به العدو وتأمن به السبل ویؤخذ به للضعیف من القوی حتی یستریح بر ویستراح من فاجر</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الإمرة البرّة فیعمل فیها التقی وأمّا الإمرة الفاجرة</w:t>
      </w:r>
    </w:p>
    <w:p>
      <w:pPr>
        <w:pStyle w:val="BookText"/>
        <w:rPr/>
      </w:pPr>
      <w:r>
        <w:rPr>
          <w:rFonts w:ascii="IRNazanin" w:hAnsi="IRNazanin" w:eastAsia="IRNazanin"/>
          <w:color w:val="111111"/>
          <w:sz w:val="28"/>
          <w:sz w:val="28"/>
          <w:szCs w:val="28"/>
          <w:rtl w:val="true"/>
          <w:lang w:bidi="fa-IR"/>
        </w:rPr>
        <w:t>فیتمتع فیها الشقی إلی أن تنقطع مدّته تدرکه منیته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التقریب یقضی بأنّ الحکم والحکومة والتدبیر فعل مطلوب لذاته وأنّه من المهامّ الکبری فی مصالح الإجتماع البشری، بل لا یقاس بأهمیته شیء، کما فی صحیح زرارة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الصلاة والزکاة والحج والصوم والولایة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من ذلک أفضل؟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أفضل لأنّها مفتاحهنّ والوالی هو الدلیل علیهنّ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فجعلت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مفتاحاً، أی علّة لإقامة تلک الأرکان من الدین والوالی والحاکم هو المقیم 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یتبیّن أنّ الحکم والحکومة والتدبیر الحکومی هو من الواجبات الأولیة الرکنیة فی الدین ولا یعدلها بقیة الأرکان فهی حکم أولی بنفسها وعلی درجة من الأهمیة مقدمة علی الأحکام الأولیة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ویلاحظ علی هذا التقریب</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التدبیر والنظم إنّما یتحقّق ویرسو بتطبیق القوانین والحدود لابتضییعها، فالحکومة والتدبیر لیس إلّااجراءً وتنفیذاً للأحکام والتشریعات الکلّیة وهو غایة الحکم والحکومة، فکیف یُفَرَّط بالغایة فی سبیل المقدّمة؟ و لایکون ذلک إلّانقضاً للغرض کَالَّتِی نَقَضَتْ غَزْلَها مِنْ بَعْدِ قُوَّةٍ أَنْکاثاً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التدبیر والحکومة إذا کان بنفسه میزاناً وواقعیة، فهذا یقضی إمّا بصحّة وکمال کلّ أنواع الحکومات البشریة بأنّ الفرض أنّ کلّها تحکم وتملک القدرة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باستصواب بعضها والحکم بفساد الأخری ولا یکون ذلک إلّابفرض موازین واقعیة حاکمة علی النهج الحکومی وفِعلِ السلطة، فإذا روعیت تلک الموازین أصبحت الحکومة صائبة وإلّا تکون إفساداً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بیان ضرورة الحکومة بالعلل الغائیة التی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هی ضرورات أولیة فی النظام الإجتماعی، فهذا یُعَزّز أنّ الحکومة والحکم وسیلة لتحقیق غایات أخری فی النظام الإجتماعی وأنّ بعض تلک الغایات ضروریة فی أصل حیاة المجتمع البشری لا یمکن بقاؤه إلّابها، فمن ثمّ تکون أصل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بمختلف درجاتها وأنماطها من الصالحة والفاسدة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ضروریة لأنّ جملتها تُلَبّی جملة من الضرورات ذات الأهمیة بالدرجة القصوی لأصل حیاة المجتمع الإنسانی والنسل البشری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 جهة الإختلاف بین أنماط الحکومات، فإنّها وإن اشترکت فی تحقیق وتلبیة ایجاد بعض الضرورات القصوی لمجتمع البشری وهی الجانب لمصالح مدنیة إلّاأنّها تختلف فی جملة أخری من النتائج؛ حیث إنّ فی الحکومة الصالحة تتحقّق فیها النتائج الصالحة الأخری کالعدالة والهدایة والسداد بینما فی الحکومات الفاسدة تُضَیَّع فیها تلک الغایات إلی نقائضها وأبدالها، فمن ذلک یتبیّن أنّ صلاح وفساد الحکومة بلحاظ إقامة الحدود والموازین العادلة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یحصل التزاحم والمدافعة بین الضرورات الأولیة فی النظام الإجتماعی وغایات الحکومة وبین الضرورات الکمالیة اللاحقة المطلوبة فی التشریع الإلهی لتأمین السعادتین الدنیویة والأخرویة للبشر وهنا لیس من دوران الأمر بین تلک الغایات الدینیة التشریعیة من الحدود الإلهیة والحکومة بما هی هی کما قد یصوّر، بل إنّما هو دوران بین الضرورات المعیشیة المدنیة والغایات التشریعیة وهذا التدافع لیس بطبیعة الأشیاء الأولیة، بل هو طارئ بسبب سوء التدبیر فی النظام السیاسی الإجتماعی المدنی وبسبب الأعراف والعادات الفاسدة المنتشرة فی الظواهر الإجتماعیة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فمع اصلاح التدبیر واصلاح الأعراف والعادات بتوسط سلسلة من العوامل والمناشئ یعود الوئام والتناسب بین ضرورات المعاش المدنی وبین غایات التشریع، بل إنّ طبیعة الإجتماع البشری الأولیة تقتضی بفطرتها المسیر نحو تلک الغایات اذا ارید لها الکمال والتکامل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الولایة فی الأحادیث المستفیضة التی بنی علیها الإسلام لیس خصوص الحکومة السیاسیة الرسمیة المعلنة من قِبل المعصوم فضلًا عن الحکومة السیاسیة الرسمیة من قِبل غیره، بل لیس المراد یقتصر علی أشکال الحکومة الأخری کحکومة ودولة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یعبّر عنه بتیّار المعارضة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الحکومة الخفیة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والمعبّر عنها بالحکومة الأمنیة المخابراتیة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والحکومة المذهبیة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والمعبّر عنها بالطوائف والتیارات الأدیان الإعتقادیة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من أشکال القدرة والسلطة والحکومة فی المجتمعات البشریة المعلنة وغیر المعلنة، بل لا یقتصر علی الهدایة الملکوتیة للأرواح لإیصالها إلی المنازل والکمالات المعنویة، بل هی</w:t>
      </w:r>
    </w:p>
    <w:p>
      <w:pPr>
        <w:pStyle w:val="BookText"/>
        <w:rPr/>
      </w:pPr>
      <w:r>
        <w:rPr>
          <w:rFonts w:ascii="IRNazanin" w:hAnsi="IRNazanin" w:eastAsia="IRNazanin"/>
          <w:color w:val="111111"/>
          <w:sz w:val="28"/>
          <w:sz w:val="28"/>
          <w:szCs w:val="28"/>
          <w:rtl w:val="true"/>
          <w:lang w:bidi="fa-IR"/>
        </w:rPr>
        <w:t>تشمل کلّ ذلک وبالذات یراد منها مقام الإعتقاد والمعرفة بإمامتهم ومن ثمّ عَظُمَتْ الولایة علی بقیة أرکان الدین، بل فی بعض الروایات ذکر أنّ المراد منها ولایة الله ورسوله والأئمة علیهم السلام ممّا یعنی إرادة التسلیم للتوحید والمعاد والنبوة والإمامة وانعکاس ذلک التسلیم والتولی علی بقیة مقامات الافعال الانسانیة والشئون البشریة ومن ثمّ تقدّمت الولایة علی الصلاة مع أنّ الغالب فیها البُعد الروحی الفردی لا یتّصل بعلاقات الأفراد فی نظام التعایش الإجتماعی بالذات وإن کان تنعکس آثار الصلاة بالتبع لاحقاً علیه لکنها بالدرجة الأولی مرتبطة بعروج الروح للمؤمن والقرب الإلهی ومع ذلک فإنّ هذا السلوک الروحی الفردی لا یقدّر له أن یتحقّق وینجز إلّابباب الولایة للَّه‌ورسوله والأئمة علیهم السلام وکذلک الحال فی الصوم والجانب المهمّ من الحج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ورد فی الروایات المستفیضة أنّ الولایة فی کلّ النشئات من عالم الذرّ والمیثاق والأشباح والأظلّة والآخرة والبرزخ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الولایة حتماً علی عهدة الإنسان وإن کان وحیداً فریداً لا یعیش فی ظلّ اجتماع بشری، فإنّ صلاته وصومه وحجّه وبقیة أعماله لا یتم لها الصحّة والقبول إلّابالولایة</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القائلین بحصر ولایة الأئمة المعصومین فی التشریع فی دائرة الحکومة والقوانین التنفیذیة والإجرائیة غفلوا عن أقسام الحکومة، فإنّ الحکومة وقدرة تدبیر المجتمعات البشریة وسیاسة العباد لا تنحصر فی الحکومة السیاسیة العلنیة المؤقتة، بل تعمّ الإشکال والإنماط الأخری من الحکومة کالحکومة الخفیة وکذلک دولة الظلّ وکذلک قدرة النفوذ فی</w:t>
      </w:r>
    </w:p>
    <w:p>
      <w:pPr>
        <w:pStyle w:val="BookText"/>
        <w:rPr/>
      </w:pPr>
      <w:r>
        <w:rPr>
          <w:rFonts w:ascii="IRNazanin" w:hAnsi="IRNazanin" w:eastAsia="IRNazanin"/>
          <w:color w:val="111111"/>
          <w:sz w:val="28"/>
          <w:sz w:val="28"/>
          <w:szCs w:val="28"/>
          <w:rtl w:val="true"/>
          <w:lang w:bidi="fa-IR"/>
        </w:rPr>
        <w:t>التیارات الإجتماعیة والثقافیّة فضلًا عن قدرة بناء الحضارات التمدنیة، فإنّ هذه نمط من الحکومة علی المجتمعات لا تحدّ بسنین قصیرة، بل تتطاول قروناً مدیدة قد تبلغ محاذاة طول عمر البشر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النمط بخصوصه من الحکومة الذی یؤسّسه الأنبیاء والرسل والأوصیاء تکون القوانین المشرَّعة فیهما بمنزلة القوانین التشریعیة الثابتة الّتی لا تتغیّر وبالتالی فصلاحیّة التشریع لدیهم تندرج فی إطار الأحکام التشریعیة الثابتة وهذا وجه اختلاف ولایة وحکومة المعصومین عن الحکومة وصلاحیّة الفقهاء حیث أنّ قدرة غیر المعصوم من ناحیة العلم والمعلومات والإحاطة بالبیئات المختلفة وقدرة التدبیر لا تصل إلی علم وإحاطة وتدبیر المعصوم، فإنّ إحاطة المعصوم ثاقبة للأدوار الزمانیة المتباعدة المتطاولة ومن ثمّ امتنع تماثل صلاحیّة غیر المعصوم لصلاحیّة وولایة المعصوم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نکاح العبید والاماء،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اللعان،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المهور،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المهور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المهور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المهور،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المهور،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المهور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المهور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أحکام الاولاد،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مرأة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أحکام الأولاد،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العقیقة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العیاشی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المنظمة الاسلامیة للعلوم الطبیة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الرؤیة الاسلامیة لبعض الممارسات الطبیة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الکویت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المحکی عن القانون السوری والمصری</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السحت،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العبید والاماء،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اللعان،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المتعة،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والاماء،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مایحرم بالمصاهرة،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الأبواب،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مایحرم بالمصاهرة،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میراث ولد الملاعنة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میراث ولد الملاعنة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میراث ولد الملاعنة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والاماء،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والاماء،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والاماء،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والاماء،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والاماء،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والاماء، 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للسید الیزدی، کتاب النکاح، الفصل الأوَّل من شروط الرضاع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 غیر واحد منهم الشهید الثانی فی المسالک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الوثقی، کتاب النکاح، التحریم بالنسب</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أبواب أحکام الأولاد،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ما یحرم بالرضاع،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موضع من المبسوط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نقله الکرکی فی جامع المقاصد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ولکن نقل صاحب المسالک أنَّ الشیخ ذکر عدم الاعتداد بوجور الثدی فی فم الطفل فی عشرة مواضع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رواها الصدوق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وجور الصبی بمنزلة الرضاع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 فی الصحاح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1609</w:t>
      </w:r>
      <w:r>
        <w:rPr>
          <w:rFonts w:ascii="IRNazanin" w:hAnsi="IRNazanin" w:eastAsia="IRNazanin"/>
          <w:b w:val="false"/>
          <w:b w:val="false"/>
          <w:bCs w:val="false"/>
          <w:i w:val="false"/>
          <w:i w:val="false"/>
          <w:iCs w:val="false"/>
          <w:color w:val="333333"/>
          <w:sz w:val="20"/>
          <w:sz w:val="20"/>
          <w:szCs w:val="20"/>
          <w:rtl w:val="true"/>
        </w:rPr>
        <w:t>، المکوک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إناء کانوا یکیلون به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یحرم بالرضاع، باب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المسائل، المشهور بین الأصحاب أنَّه یشترط فی نشر الحرمة بالرضاع کون الرضعة حیة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کتاب النکاح، المحرمات بالرضاع</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للشیخ الطوسی،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أنَّهم ذهبوا إلی نشر الحرمة بالمیتة، فلم یشترطوا الحیاة، راجع الفقه علی المذاهب الأربعة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وکتاب الخلاف للشیخ الطوسی،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أُمَّهاتُکُمُ اللاّتِی أَرْضَعْنَکُمْ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أبوبا ما یحرم بالرضاع،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أحکام الأولاد،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ما یحرم بالرضاع،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کتاب النکاح، شروط الرضاع</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ذهب أبو حنیفة ومالک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ذهب إلیه بعض الحنابلة والشافعیة، کما نسبه إلیهم صاحب کتاب المذاهب الأربعة،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یسمی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ط دار الفکر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ما یحرم بالرضاع،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ما یحرم بالرضاع،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ما یحرم بالرضاع،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کتاب النکاح، شروط الرضاع</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ما یحرم بالرضاع،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ما یحرم بالرضاع،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کتاب النکاح، شروط الرضاع، 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من أبواب الشهادات،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شهادات النساء،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کتاب النکاح، أحکام الرضاع</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باب الرضاع،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باب الرضاع،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ما یحرم من الرضاع،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فی الرضاع،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الرضاع،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الرضاع،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العتق،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وأبواب بیع الحیوان،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ما یحرم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آل البیت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أبواب ما یحرم بالنسب، 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نفسه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یحرم بالرضاع،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من الرضاع، با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ما یحرم بالرضاع،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الوثقی، کتاب النکاح</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ما یحرم بالرضاع،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بالرضاع،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الوثقی، کتاب النکاح، فصل عقد النکاح</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عقد النکاح،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المتعة،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الوکالة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عقد النکاح،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عقد النکاح،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الوثقی، کتاب النکاح</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والصفحة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المشهور، إلی تصدیق قولها مطلقاً، وذهب بعض الفقهاء استناداً إلی روایة حماد إلی اشتراط الوثاقة فی تصدیقها</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البحرانی فی الحدائق الناضرة کما نسبه إلیه صاحب الجواهر ج</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السید الطباطبائی فی ریاض المسائل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کمؤید لهذهِ القاعدة، واستشهد له بکلمات الأصحاب المدعومة بالروایات، الدالة علی قبول من ادعی شیئاً لم یدعه غیره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عناوین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حیث قال أنَّ هذا المضمون علیه الإجماع، بل صار من الضروریات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أبواب المتعة،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وغیرها فی هذا المضمون، کما فی 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أبواب المتعة،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صاحب الریاض مستدلاً علی 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عدم القبول ربما أوجب العسر والحرج المنفیین آیة وروایة، راجع الریاض،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أبواب المتعة،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أبواب المتعة،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من أبواب عقد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أبواب الحیض،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وکذا رواها فی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أقاسم الطلاق،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من أبواب الحیض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المتعة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المتعة،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وسائل الشیعة،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وتفسیر العیاشی، ذیل تفسیر الآیة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مقدمات النکاح، 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مشهور الفقهاء إلی انقلاب المنقطع إلی العقد الدائم إذا خلا من ذکر الأجل، وقد صرَّح بذهاب المشهور إلی ذلک جمع من الفقهاء منهم الشهید الثانی فی المسالک،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فالمشهور بین الأصحاب أنَّه ینعقد دائماً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ذهب إلی ذلک الانعقاد الدائم الشیخ فی النهایة والخلاف وابن البراج وابن زهرة وأبو الصلاح الحلبی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صاحب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وانعقد دائماً فی المشهور نقلاً وتحصیلاً بل لعلَّه مجمع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وذهب بعض الفقهاء إلی البطلان کما صرَّح العلامة فی المختلف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والشهید الثانی فی المسالک،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والصفحة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الحاوی لتحریر الفتاوی لابن إدریس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 هذا القول صاحب المسال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الإفهام،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من أبواب المتعة،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أبواب المتعة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أبواب المتعة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ما یحرم بالمصاهرة،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ومثلها روایة محمد بن مسلم عن الباقر، 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عدة المتوفی عنها زوجها، وغیرها من الروایات التی شابهت هذا المضمون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ما یحرم بالمصاهرة،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المصاهرة،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والصفحة،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من أبواب المصاهرة،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أبواب المصاهرة،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من أبواب المصاهرة،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 أبواب ما یحرم بالمصاهرة،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من أبواب ما یحرم بالمصاهرة،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المصاهرة،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فی التهذیب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فی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هو محمد بن یحیی بن أحمد بن محمد عن علی بن الحکم عن موسی بن بکر عن زرارة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باب من أبواب أقسام الطلاق،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من أبواب أقسام الطلاق،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أقسام الطلاق،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الجواهر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وفی کلام شیخنا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حرم النظر حرم اللمس قطعاً بل لا إشکال فی حرمة اللمس وإنَّ جاز النظر؛ للأخبار الکثیرة، والظاهر أنَّه مما لا خلاف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المشهور جواز اللمس من وراء الثیباب فقط، راجع العروة والتعالیق علیها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إلی هذا القید جملة من الفقهاء منهم السید الخمینی فی تحریر الوسیلة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لا بأس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المصافحة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وراء الثوب، لکن لا یغمز کفها احتیاطاً</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جملة من محشی العروة إلی اشتراط عدم حصول الریبة باللمس من وراء الثیاب، وإلّا فیحرم اللمس، وقد صرح بذلک جملة من الفقهاء منهم السید البروجردی والسید الکلبایکانی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الیزدی فی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النکاح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توقف العلاج علی النظر دون اللمس أو اللمس دون النظر یجب الاقتصار علی ما اضطر إلیه فلا یجوز الآخر بجوازه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علی ذلک أکثر محشی العروة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مقدمات النکاح، 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من أبواب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من أبواب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وما بعدها، أبواب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أبواب غسل المیت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ظاهر روایة زید بن علی عن آبائه، الوسائل،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مقدمات النکاح،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نکاح المحرم،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نکاح المحرم،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مقدمات النکاح،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النکاح المحرم،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أبواب مقدمات النکاح، ب</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الباب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مقدمات النکاح، باب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أحکام النساء للشیخ المفید،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عن مبهمات الشریعة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الحدیثة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کاشف الغطاء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البیان فی أحکام القرآن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 أبواب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للسیوری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للخلیل الفراهیدی،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عن حقائق غوامض التنزیل،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من أحکام الملابس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من أبواب آداب الحمام،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من أبواب مقدمات النکاح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 أبواب مقدمات النکاح،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الصدوق فی عقاب الأعمال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 أبواب مقدمات النکاح،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من أبواب آداب الحمام،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النکاح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اللغة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الذی لایقدر علیه لارتفاعه، وحصن حصانه فهو حصین أی منیع، وقیل للفرس العتیق حصان لان ظهره کالحصن لراکبه أو لانه ظُنَّ بمائه فلم ینزأ الا علی کریمة، ومن ثم قیل للمرأة العفیفة حَصَان، والحصانة العفة، أی انّه اذا تزوج فقد احصن نفسه، أی اذا التزم الطرفان بتملیک البضع منع من السفاح، فاطلق علی الزواج انه مانع ومناعة من اراقة الماء علی وجه هدر وبدد، أی ان النکاح مأوی للالتزام بالتنسیل والتعاهد بأثاره والقیام بعبئه ومسؤولیاته، فهو یمنع المتزوج من الهروب عن المسؤولیة بخلاف القاصد للزنا فانه انما یتجه الیه لهروبه من مسؤولیات ووظائف الزواج الی مجرد نزوة الزنا السریعة الخالیة من أی مسؤولیات عاجلة، وهذا فرق فارق وفیصل فاصل بین الماهیتین</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المنضود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الخلع والمباراة،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العیوب،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العیوب،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العیوب،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تفسیر القمی فی سورة الاحزاب فی ذیل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وانزل الذین ظاهروهم من أهل الکتاب من صیاصیهم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والتعبیر فی الکتاب هذا ما قاضی علیه 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صالح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سهیل بن عمرو واصطلاحا علی وضع الحرب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القاضی،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الحکم والنشوز،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ذیل آیة النساء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حیث حکی الإجماع علی ذلک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العروة وتعالیقها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أبواب مقدمات النکاح 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مراد السید الخوئی فیه الحکم فی الشابة، فی منهاج الصالحین،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مؤسسة السید الخوئی، حیث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یجوز ترک وط‌ء الزوجة الدائمة أکثر من أربعة أشهر إذا کانت شابة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 من الفقهاء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المیرزا النائینی فی الحاشیة علی العروة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إطلاقه من هذهِ الجهة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للمسافر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بل ممنوع لکن الأحوط أنَّ یکون السفر المنافی لذلک مع عدم وجوبه برضا الزوجة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المحقق العراقی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الوجوب علی المسافر نظر لقیام السیرة علی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من الفقهاء</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الإیلاء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من أبواب العیوب،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الإیلاء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أبواب الإیلاء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الإیلاء،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أبواب الظهار،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العیوب،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العیوب،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المتعة،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النفقات،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العیوب،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مایکتسب به،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أبواب العشرة، باب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غوالی اللآلیء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الاقضیة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نمفس المصدر،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القسم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والنشور،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والنشوز،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القسم،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الدفن،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النکاح،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مقدمات النکاح،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الباب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نکاح العبید والاماء،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أحکام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ذیل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الجنازة،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النفقات،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وجوب الحج، 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وأبواب الوصایا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الایمان،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وغیرها من الأبواب</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شرطیة الکفاءة فی العقد، کما حرر فی سند العروة الوثقی، کتاب النکاح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نشوز الزوج</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الظهار،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الایلاء،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احکام الاولاد،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الحدیث الاول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فتغیلین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فتقتلین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أحادیث الشیعة، أبواب النفقات،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للشیخ الأقدم الصدوق،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ورواة الوسائل،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وغیرهما</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الإرث،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الوسائل،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الإرث،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العاقلة،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مایکتسب به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،وأبواب نکاح العبید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النکاح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النکاح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النکاح،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احکام الاولاد،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النکاح،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النکاح،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الاولاد،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أحاکم الاولاد،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أحاکم الاولاد،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النذر،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مقدمات النکاح،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النکاح، 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مقدمات النکاح، 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مقدمات النکاح، 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أحکام الأولاد، 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النکاح وأولیاءه،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النکاح وأولیاءه،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النکاح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النکاح،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النکاح،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النکاح،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النکاح،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الباب،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الأبواب،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البیع،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البیع،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الوصایا، 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جمع عقدة وهی البستان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أبواب موجبات الإرث،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أبواب الوصایا احادیث،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عقد البیع احادیث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یکتسب به،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مقدمات الطلاق، 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العبادات،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وأبواب الحجر،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 مادة فتن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للفاضل الهندی،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 للمحقق النراقی،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للطبری،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مقدمات النکاح،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المحدث النوری، أبواب مقدمات العبادات،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المحدث النوری، أبواب مقدمات العبادات،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مقدمات النکاح،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النوری، أبواب مقدمات العبادات،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أبواب مقدمات النکاح، ب</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أبواب مقدمات النکاح،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أحکام الإجارة،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مقدمات النکاح،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الأمر بالمعروف،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أبواب مقدمات النکاح 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باب الشهادات،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أقسام الحج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من أبواب المواقیت</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من أبواب المواقیت،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أبواب الطواف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من أبواب الطواف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کفارات الاستمتاع</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لابن قدامة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أبواب أقسامالحج،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الوثقی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من أبواب الاستمتاع</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من أبواب الوقوف بالمشعر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أقسام الحج 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الوقوف بالمشعر،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الإحرام،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أبواب الإحرام،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من أبواب الاحصار والصد،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الحج،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الحج،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أبواب أقسام الحج،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ومن تلک الروایات ما رواة الثمالی عن أبی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جعلت التقیة لیحقن بها الدم فإذا بلغت الدم فلا تقیة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 بالتوعد من الظالم بالقتل لا یسوغ قتل الغیر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فقه المصارف والنقود، للشیخ الأستاذ السند دام توفیقه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وأکثر الروایات عبّرت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واقعة إلّا ولله فیها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 فی کلمات الفقهاء، وهو لیس بروایةٍ وإنَّما هو متصید من مجموع روایات بلغت حدِّ الاستفاضة، قال 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استفاضة الأخبار بأنَّ لله فی کل واقعة حکماً شرعیاً مخزوناً عند أهله حتَّی إرش الخدش</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image" Target="media/image2.jpeg"/><Relationship Id="rId516" Type="http://schemas.openxmlformats.org/officeDocument/2006/relationships/image" Target="media/image2.jpeg"/><Relationship Id="rId517" Type="http://schemas.openxmlformats.org/officeDocument/2006/relationships/footer" Target="footer510.xml"/><Relationship Id="rId518" Type="http://schemas.openxmlformats.org/officeDocument/2006/relationships/footnotes" Target="footnotes.xml"/><Relationship Id="rId519" Type="http://schemas.openxmlformats.org/officeDocument/2006/relationships/numbering" Target="numbering.xml"/><Relationship Id="rId520" Type="http://schemas.openxmlformats.org/officeDocument/2006/relationships/fontTable" Target="fontTable.xml"/><Relationship Id="rId521" Type="http://schemas.openxmlformats.org/officeDocument/2006/relationships/settings" Target="settings.xml"/><Relationship Id="rId5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54060</Words>
  <Characters>242843</Characters>
  <CharactersWithSpaces>295025</CharactersWithSpaces>
  <Paragraphs>1879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2026-08-28T09:25:14Z</dcterms:created>
  <dc:creator>ghaemiyeh.com</dc:creator>
  <dc:description/>
  <dc:language>en-US</dc:language>
  <cp:lastModifiedBy/>
  <dcterms:modified xsi:type="dcterms:W3CDTF">2026-08-28T12:55:32Z</dcterms:modified>
  <cp:revision>1</cp:revision>
  <dc:subject/>
  <dc:title>بحوث فی القواعد الفقهیه تقریرات محمدالسند جلد 2</dc:title>
</cp:coreProperties>
</file>

<file path=docProps/custom.xml><?xml version="1.0" encoding="utf-8"?>
<Properties xmlns="http://schemas.openxmlformats.org/officeDocument/2006/custom-properties" xmlns:vt="http://schemas.openxmlformats.org/officeDocument/2006/docPropsVTypes"/>
</file>