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85.xml" ContentType="application/vnd.openxmlformats-officedocument.wordprocessingml.footer+xml"/>
  <Override PartName="/word/footer73.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حدیث المنزلة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912216_105122903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7912218_1051229030">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7912220_1051229030">
            <w:r>
              <w:rPr>
                <w:webHidden/>
                <w:rStyle w:val="IndexLink"/>
                <w:rtl w:val="true"/>
              </w:rPr>
              <w:t>مقدمة الناشر</w:t>
            </w:r>
            <w:r>
              <w:rPr>
                <w:rStyle w:val="IndexLink"/>
                <w:rtl w:val="true"/>
              </w:rPr>
              <w:tab/>
            </w:r>
            <w:r>
              <w:rPr>
                <w:rStyle w:val="IndexLink"/>
              </w:rPr>
              <w:t>8</w:t>
            </w:r>
          </w:hyperlink>
        </w:p>
        <w:p>
          <w:pPr>
            <w:pStyle w:val="Contents2"/>
            <w:tabs>
              <w:tab w:val="clear" w:pos="8743"/>
              <w:tab w:val="right" w:pos="9026" w:leader="dot"/>
            </w:tabs>
            <w:rPr/>
          </w:pPr>
          <w:hyperlink w:anchor="__RefHeading___Toc7912222_1051229030">
            <w:r>
              <w:rPr>
                <w:webHidden/>
                <w:rStyle w:val="IndexLink"/>
                <w:rtl w:val="true"/>
              </w:rPr>
              <w:t>المقدّمة</w:t>
            </w:r>
            <w:r>
              <w:rPr>
                <w:rStyle w:val="IndexLink"/>
                <w:rtl w:val="true"/>
              </w:rPr>
              <w:tab/>
            </w:r>
            <w:r>
              <w:rPr>
                <w:rStyle w:val="IndexLink"/>
              </w:rPr>
              <w:t>12</w:t>
            </w:r>
          </w:hyperlink>
        </w:p>
        <w:p>
          <w:pPr>
            <w:pStyle w:val="Contents2"/>
            <w:tabs>
              <w:tab w:val="clear" w:pos="8743"/>
              <w:tab w:val="right" w:pos="9026" w:leader="dot"/>
            </w:tabs>
            <w:rPr/>
          </w:pPr>
          <w:hyperlink w:anchor="__RefHeading___Toc7912224_1051229030">
            <w:r>
              <w:rPr>
                <w:webHidden/>
                <w:rStyle w:val="IndexLink"/>
                <w:rtl w:val="true"/>
              </w:rPr>
              <w:t>الأمر الأول</w:t>
            </w:r>
            <w:r>
              <w:rPr>
                <w:rStyle w:val="IndexLink"/>
                <w:rtl w:val="true"/>
              </w:rPr>
              <w:t xml:space="preserve">: </w:t>
            </w:r>
            <w:r>
              <w:rPr>
                <w:rStyle w:val="IndexLink"/>
                <w:rtl w:val="true"/>
              </w:rPr>
              <w:t>خصائص حديث المنزلة</w:t>
            </w:r>
            <w:r>
              <w:rPr>
                <w:rStyle w:val="IndexLink"/>
                <w:rtl w:val="true"/>
              </w:rPr>
              <w:tab/>
            </w:r>
            <w:r>
              <w:rPr>
                <w:rStyle w:val="IndexLink"/>
              </w:rPr>
              <w:t>14</w:t>
            </w:r>
          </w:hyperlink>
        </w:p>
        <w:p>
          <w:pPr>
            <w:pStyle w:val="Contents2"/>
            <w:tabs>
              <w:tab w:val="clear" w:pos="8743"/>
              <w:tab w:val="right" w:pos="9026" w:leader="dot"/>
            </w:tabs>
            <w:rPr/>
          </w:pPr>
          <w:hyperlink w:anchor="__RefHeading___Toc7912226_1051229030">
            <w:r>
              <w:rPr>
                <w:webHidden/>
                <w:rStyle w:val="IndexLink"/>
                <w:rtl w:val="true"/>
              </w:rPr>
              <w:t>تکرار صدور الحديث عن النبي صلی الله علیه و آله و سلم</w:t>
            </w:r>
            <w:r>
              <w:rPr>
                <w:rStyle w:val="IndexLink"/>
                <w:rtl w:val="true"/>
              </w:rPr>
              <w:tab/>
            </w:r>
            <w:r>
              <w:rPr>
                <w:rStyle w:val="IndexLink"/>
              </w:rPr>
              <w:t>16</w:t>
            </w:r>
          </w:hyperlink>
        </w:p>
        <w:p>
          <w:pPr>
            <w:pStyle w:val="Contents3"/>
            <w:tabs>
              <w:tab w:val="clear" w:pos="8459"/>
              <w:tab w:val="right" w:pos="9026" w:leader="dot"/>
            </w:tabs>
            <w:rPr/>
          </w:pPr>
          <w:hyperlink w:anchor="__RefHeading___Toc7912228_1051229030">
            <w:r>
              <w:rPr>
                <w:webHidden/>
                <w:rStyle w:val="IndexLink"/>
                <w:rtl w:val="true"/>
              </w:rPr>
              <w:t>اشارة</w:t>
            </w:r>
            <w:r>
              <w:rPr>
                <w:rStyle w:val="IndexLink"/>
                <w:rtl w:val="true"/>
              </w:rPr>
              <w:tab/>
            </w:r>
            <w:r>
              <w:rPr>
                <w:rStyle w:val="IndexLink"/>
              </w:rPr>
              <w:t>16</w:t>
            </w:r>
          </w:hyperlink>
        </w:p>
        <w:p>
          <w:pPr>
            <w:pStyle w:val="Contents3"/>
            <w:tabs>
              <w:tab w:val="clear" w:pos="8459"/>
              <w:tab w:val="right" w:pos="9026" w:leader="dot"/>
            </w:tabs>
            <w:rPr/>
          </w:pPr>
          <w:hyperlink w:anchor="__RefHeading___Toc7912230_1051229030">
            <w:r>
              <w:rPr>
                <w:webHidden/>
                <w:rStyle w:val="IndexLink"/>
                <w:rtl w:val="true"/>
              </w:rPr>
              <w:t>أوّلاً</w:t>
            </w:r>
            <w:r>
              <w:rPr>
                <w:rStyle w:val="IndexLink"/>
                <w:rtl w:val="true"/>
              </w:rPr>
              <w:t xml:space="preserve">: </w:t>
            </w:r>
            <w:r>
              <w:rPr>
                <w:rStyle w:val="IndexLink"/>
                <w:rtl w:val="true"/>
              </w:rPr>
              <w:t>حديث غزوة تبوك أو ما يحتمل أن يكون في غزوة تبوك</w:t>
            </w:r>
            <w:r>
              <w:rPr>
                <w:rStyle w:val="IndexLink"/>
                <w:rtl w:val="true"/>
              </w:rPr>
              <w:tab/>
            </w:r>
            <w:r>
              <w:rPr>
                <w:rStyle w:val="IndexLink"/>
              </w:rPr>
              <w:t>17</w:t>
            </w:r>
          </w:hyperlink>
        </w:p>
        <w:p>
          <w:pPr>
            <w:pStyle w:val="Contents4"/>
            <w:tabs>
              <w:tab w:val="clear" w:pos="8176"/>
              <w:tab w:val="right" w:pos="9026" w:leader="dot"/>
            </w:tabs>
            <w:rPr/>
          </w:pPr>
          <w:hyperlink w:anchor="__RefHeading___Toc7912232_1051229030">
            <w:r>
              <w:rPr>
                <w:webHidden/>
                <w:rStyle w:val="IndexLink"/>
              </w:rPr>
              <w:t>1</w:t>
            </w:r>
            <w:r>
              <w:rPr>
                <w:rStyle w:val="IndexLink"/>
                <w:rtl w:val="true"/>
              </w:rPr>
              <w:t xml:space="preserve">- </w:t>
            </w:r>
            <w:r>
              <w:rPr>
                <w:rStyle w:val="IndexLink"/>
                <w:rtl w:val="true"/>
              </w:rPr>
              <w:t>رواة أهل السنّة</w:t>
            </w:r>
            <w:r>
              <w:rPr>
                <w:rStyle w:val="IndexLink"/>
                <w:rtl w:val="true"/>
              </w:rPr>
              <w:tab/>
            </w:r>
            <w:r>
              <w:rPr>
                <w:rStyle w:val="IndexLink"/>
              </w:rPr>
              <w:t>17</w:t>
            </w:r>
          </w:hyperlink>
        </w:p>
        <w:p>
          <w:pPr>
            <w:pStyle w:val="Contents4"/>
            <w:tabs>
              <w:tab w:val="clear" w:pos="8176"/>
              <w:tab w:val="right" w:pos="9026" w:leader="dot"/>
            </w:tabs>
            <w:rPr/>
          </w:pPr>
          <w:hyperlink w:anchor="__RefHeading___Toc7912234_1051229030">
            <w:r>
              <w:rPr>
                <w:webHidden/>
                <w:rStyle w:val="IndexLink"/>
              </w:rPr>
              <w:t>2</w:t>
            </w:r>
            <w:r>
              <w:rPr>
                <w:rStyle w:val="IndexLink"/>
                <w:rtl w:val="true"/>
              </w:rPr>
              <w:t xml:space="preserve">- </w:t>
            </w:r>
            <w:r>
              <w:rPr>
                <w:rStyle w:val="IndexLink"/>
                <w:rtl w:val="true"/>
              </w:rPr>
              <w:t>رواة الشيعة</w:t>
            </w:r>
            <w:r>
              <w:rPr>
                <w:rStyle w:val="IndexLink"/>
                <w:rtl w:val="true"/>
              </w:rPr>
              <w:tab/>
            </w:r>
            <w:r>
              <w:rPr>
                <w:rStyle w:val="IndexLink"/>
              </w:rPr>
              <w:t>24</w:t>
            </w:r>
          </w:hyperlink>
        </w:p>
        <w:p>
          <w:pPr>
            <w:pStyle w:val="Contents4"/>
            <w:tabs>
              <w:tab w:val="clear" w:pos="8176"/>
              <w:tab w:val="right" w:pos="9026" w:leader="dot"/>
            </w:tabs>
            <w:rPr/>
          </w:pPr>
          <w:hyperlink w:anchor="__RefHeading___Toc7912236_1051229030">
            <w:r>
              <w:rPr>
                <w:webHidden/>
                <w:rStyle w:val="IndexLink"/>
                <w:rtl w:val="true"/>
              </w:rPr>
              <w:t>ملاحظات على حديث غزوة تبوك</w:t>
            </w:r>
            <w:r>
              <w:rPr>
                <w:rStyle w:val="IndexLink"/>
                <w:rtl w:val="true"/>
              </w:rPr>
              <w:t>:</w:t>
              <w:tab/>
            </w:r>
            <w:r>
              <w:rPr>
                <w:rStyle w:val="IndexLink"/>
              </w:rPr>
              <w:t>27</w:t>
            </w:r>
          </w:hyperlink>
        </w:p>
        <w:p>
          <w:pPr>
            <w:pStyle w:val="Contents3"/>
            <w:tabs>
              <w:tab w:val="clear" w:pos="8459"/>
              <w:tab w:val="right" w:pos="9026" w:leader="dot"/>
            </w:tabs>
            <w:rPr/>
          </w:pPr>
          <w:hyperlink w:anchor="__RefHeading___Toc7912238_1051229030">
            <w:r>
              <w:rPr>
                <w:webHidden/>
                <w:rStyle w:val="IndexLink"/>
                <w:rtl w:val="true"/>
              </w:rPr>
              <w:t>ثانياً</w:t>
            </w:r>
            <w:r>
              <w:rPr>
                <w:rStyle w:val="IndexLink"/>
                <w:rtl w:val="true"/>
              </w:rPr>
              <w:t xml:space="preserve">: </w:t>
            </w:r>
            <w:r>
              <w:rPr>
                <w:rStyle w:val="IndexLink"/>
                <w:rtl w:val="true"/>
              </w:rPr>
              <w:t>حديث المنزلة في غير تبوك</w:t>
            </w:r>
            <w:r>
              <w:rPr>
                <w:rStyle w:val="IndexLink"/>
                <w:rtl w:val="true"/>
              </w:rPr>
              <w:tab/>
            </w:r>
            <w:r>
              <w:rPr>
                <w:rStyle w:val="IndexLink"/>
              </w:rPr>
              <w:t>29</w:t>
            </w:r>
          </w:hyperlink>
        </w:p>
        <w:p>
          <w:pPr>
            <w:pStyle w:val="Contents4"/>
            <w:tabs>
              <w:tab w:val="clear" w:pos="8176"/>
              <w:tab w:val="right" w:pos="9026" w:leader="dot"/>
            </w:tabs>
            <w:rPr/>
          </w:pPr>
          <w:hyperlink w:anchor="__RefHeading___Toc7912240_1051229030">
            <w:r>
              <w:rPr>
                <w:webHidden/>
                <w:rStyle w:val="IndexLink"/>
              </w:rPr>
              <w:t>1</w:t>
            </w:r>
            <w:r>
              <w:rPr>
                <w:rStyle w:val="IndexLink"/>
                <w:rtl w:val="true"/>
              </w:rPr>
              <w:t xml:space="preserve">- </w:t>
            </w:r>
            <w:r>
              <w:rPr>
                <w:rStyle w:val="IndexLink"/>
                <w:rtl w:val="true"/>
              </w:rPr>
              <w:t>رواة أهل السنّة</w:t>
            </w:r>
            <w:r>
              <w:rPr>
                <w:rStyle w:val="IndexLink"/>
                <w:rtl w:val="true"/>
              </w:rPr>
              <w:tab/>
            </w:r>
            <w:r>
              <w:rPr>
                <w:rStyle w:val="IndexLink"/>
              </w:rPr>
              <w:t>29</w:t>
            </w:r>
          </w:hyperlink>
        </w:p>
        <w:p>
          <w:pPr>
            <w:pStyle w:val="Contents4"/>
            <w:tabs>
              <w:tab w:val="clear" w:pos="8176"/>
              <w:tab w:val="right" w:pos="9026" w:leader="dot"/>
            </w:tabs>
            <w:rPr/>
          </w:pPr>
          <w:hyperlink w:anchor="__RefHeading___Toc7912242_1051229030">
            <w:r>
              <w:rPr>
                <w:webHidden/>
                <w:rStyle w:val="IndexLink"/>
              </w:rPr>
              <w:t>2</w:t>
            </w:r>
            <w:r>
              <w:rPr>
                <w:rStyle w:val="IndexLink"/>
                <w:rtl w:val="true"/>
              </w:rPr>
              <w:t xml:space="preserve">- </w:t>
            </w:r>
            <w:r>
              <w:rPr>
                <w:rStyle w:val="IndexLink"/>
                <w:rtl w:val="true"/>
              </w:rPr>
              <w:t>رواة الشيعة</w:t>
            </w:r>
            <w:r>
              <w:rPr>
                <w:rStyle w:val="IndexLink"/>
                <w:rtl w:val="true"/>
              </w:rPr>
              <w:tab/>
            </w:r>
            <w:r>
              <w:rPr>
                <w:rStyle w:val="IndexLink"/>
              </w:rPr>
              <w:t>31</w:t>
            </w:r>
          </w:hyperlink>
        </w:p>
        <w:p>
          <w:pPr>
            <w:pStyle w:val="Contents4"/>
            <w:tabs>
              <w:tab w:val="clear" w:pos="8176"/>
              <w:tab w:val="right" w:pos="9026" w:leader="dot"/>
            </w:tabs>
            <w:rPr/>
          </w:pPr>
          <w:hyperlink w:anchor="__RefHeading___Toc7912244_1051229030">
            <w:r>
              <w:rPr>
                <w:webHidden/>
                <w:rStyle w:val="IndexLink"/>
                <w:rtl w:val="true"/>
              </w:rPr>
              <w:t>ملاحظات على الحديث في غير تبوك</w:t>
            </w:r>
            <w:r>
              <w:rPr>
                <w:rStyle w:val="IndexLink"/>
                <w:rtl w:val="true"/>
              </w:rPr>
              <w:t>:</w:t>
              <w:tab/>
            </w:r>
            <w:r>
              <w:rPr>
                <w:rStyle w:val="IndexLink"/>
              </w:rPr>
              <w:t>37</w:t>
            </w:r>
          </w:hyperlink>
        </w:p>
        <w:p>
          <w:pPr>
            <w:pStyle w:val="Contents2"/>
            <w:tabs>
              <w:tab w:val="clear" w:pos="8743"/>
              <w:tab w:val="right" w:pos="9026" w:leader="dot"/>
            </w:tabs>
            <w:rPr/>
          </w:pPr>
          <w:hyperlink w:anchor="__RefHeading___Toc7912246_1051229030">
            <w:r>
              <w:rPr>
                <w:webHidden/>
                <w:rStyle w:val="IndexLink"/>
                <w:rtl w:val="true"/>
              </w:rPr>
              <w:t>تواتر الحديث</w:t>
            </w:r>
            <w:r>
              <w:rPr>
                <w:rStyle w:val="IndexLink"/>
                <w:rtl w:val="true"/>
              </w:rPr>
              <w:tab/>
            </w:r>
            <w:r>
              <w:rPr>
                <w:rStyle w:val="IndexLink"/>
              </w:rPr>
              <w:t>38</w:t>
            </w:r>
          </w:hyperlink>
        </w:p>
        <w:p>
          <w:pPr>
            <w:pStyle w:val="Contents2"/>
            <w:tabs>
              <w:tab w:val="clear" w:pos="8743"/>
              <w:tab w:val="right" w:pos="9026" w:leader="dot"/>
            </w:tabs>
            <w:rPr/>
          </w:pPr>
          <w:hyperlink w:anchor="__RefHeading___Toc7912248_1051229030">
            <w:r>
              <w:rPr>
                <w:webHidden/>
                <w:rStyle w:val="IndexLink"/>
                <w:rtl w:val="true"/>
              </w:rPr>
              <w:t>المقارنة والاستثناء في الحديث</w:t>
            </w:r>
            <w:r>
              <w:rPr>
                <w:rStyle w:val="IndexLink"/>
                <w:rtl w:val="true"/>
              </w:rPr>
              <w:tab/>
            </w:r>
            <w:r>
              <w:rPr>
                <w:rStyle w:val="IndexLink"/>
              </w:rPr>
              <w:t>41</w:t>
            </w:r>
          </w:hyperlink>
        </w:p>
        <w:p>
          <w:pPr>
            <w:pStyle w:val="Contents3"/>
            <w:tabs>
              <w:tab w:val="clear" w:pos="8459"/>
              <w:tab w:val="right" w:pos="9026" w:leader="dot"/>
            </w:tabs>
            <w:rPr/>
          </w:pPr>
          <w:hyperlink w:anchor="__RefHeading___Toc7912250_1051229030">
            <w:r>
              <w:rPr>
                <w:webHidden/>
                <w:rStyle w:val="IndexLink"/>
                <w:rtl w:val="true"/>
              </w:rPr>
              <w:t>اشارة</w:t>
            </w:r>
            <w:r>
              <w:rPr>
                <w:rStyle w:val="IndexLink"/>
                <w:rtl w:val="true"/>
              </w:rPr>
              <w:tab/>
            </w:r>
            <w:r>
              <w:rPr>
                <w:rStyle w:val="IndexLink"/>
              </w:rPr>
              <w:t>41</w:t>
            </w:r>
          </w:hyperlink>
        </w:p>
        <w:p>
          <w:pPr>
            <w:pStyle w:val="Contents3"/>
            <w:tabs>
              <w:tab w:val="clear" w:pos="8459"/>
              <w:tab w:val="right" w:pos="9026" w:leader="dot"/>
            </w:tabs>
            <w:rPr/>
          </w:pPr>
          <w:hyperlink w:anchor="__RefHeading___Toc7912252_1051229030">
            <w:r>
              <w:rPr>
                <w:webHidden/>
                <w:rStyle w:val="IndexLink"/>
                <w:rtl w:val="true"/>
              </w:rPr>
              <w:t>ملاحظات على المقارنة</w:t>
            </w:r>
            <w:r>
              <w:rPr>
                <w:rStyle w:val="IndexLink"/>
                <w:rtl w:val="true"/>
              </w:rPr>
              <w:tab/>
            </w:r>
            <w:r>
              <w:rPr>
                <w:rStyle w:val="IndexLink"/>
              </w:rPr>
              <w:t>41</w:t>
            </w:r>
          </w:hyperlink>
        </w:p>
        <w:p>
          <w:pPr>
            <w:pStyle w:val="Contents2"/>
            <w:tabs>
              <w:tab w:val="clear" w:pos="8743"/>
              <w:tab w:val="right" w:pos="9026" w:leader="dot"/>
            </w:tabs>
            <w:rPr/>
          </w:pPr>
          <w:hyperlink w:anchor="__RefHeading___Toc7912254_1051229030">
            <w:r>
              <w:rPr>
                <w:webHidden/>
                <w:rStyle w:val="IndexLink"/>
                <w:rtl w:val="true"/>
              </w:rPr>
              <w:t>الأمر الثاني</w:t>
            </w:r>
            <w:r>
              <w:rPr>
                <w:rStyle w:val="IndexLink"/>
                <w:rtl w:val="true"/>
              </w:rPr>
              <w:t xml:space="preserve">: </w:t>
            </w:r>
            <w:r>
              <w:rPr>
                <w:rStyle w:val="IndexLink"/>
                <w:rtl w:val="true"/>
              </w:rPr>
              <w:t>حديث المنزلة في القرآن</w:t>
            </w:r>
            <w:r>
              <w:rPr>
                <w:rStyle w:val="IndexLink"/>
                <w:rtl w:val="true"/>
              </w:rPr>
              <w:tab/>
            </w:r>
            <w:r>
              <w:rPr>
                <w:rStyle w:val="IndexLink"/>
              </w:rPr>
              <w:t>46</w:t>
            </w:r>
          </w:hyperlink>
        </w:p>
        <w:p>
          <w:pPr>
            <w:pStyle w:val="Contents2"/>
            <w:tabs>
              <w:tab w:val="clear" w:pos="8743"/>
              <w:tab w:val="right" w:pos="9026" w:leader="dot"/>
            </w:tabs>
            <w:rPr/>
          </w:pPr>
          <w:hyperlink w:anchor="__RefHeading___Toc7912256_1051229030">
            <w:r>
              <w:rPr>
                <w:webHidden/>
                <w:rStyle w:val="IndexLink"/>
                <w:rtl w:val="true"/>
              </w:rPr>
              <w:t>المشاركة في الدعوة</w:t>
            </w:r>
            <w:r>
              <w:rPr>
                <w:rStyle w:val="IndexLink"/>
                <w:rtl w:val="true"/>
              </w:rPr>
              <w:tab/>
            </w:r>
            <w:r>
              <w:rPr>
                <w:rStyle w:val="IndexLink"/>
              </w:rPr>
              <w:t>49</w:t>
            </w:r>
          </w:hyperlink>
        </w:p>
        <w:p>
          <w:pPr>
            <w:pStyle w:val="Contents3"/>
            <w:tabs>
              <w:tab w:val="clear" w:pos="8459"/>
              <w:tab w:val="right" w:pos="9026" w:leader="dot"/>
            </w:tabs>
            <w:rPr/>
          </w:pPr>
          <w:hyperlink w:anchor="__RefHeading___Toc7912258_1051229030">
            <w:r>
              <w:rPr>
                <w:webHidden/>
                <w:rStyle w:val="IndexLink"/>
                <w:rtl w:val="true"/>
              </w:rPr>
              <w:t>بعثة النبي العظيم موسی علیه السلام</w:t>
            </w:r>
            <w:r>
              <w:rPr>
                <w:rStyle w:val="IndexLink"/>
                <w:rtl w:val="true"/>
              </w:rPr>
              <w:tab/>
            </w:r>
            <w:r>
              <w:rPr>
                <w:rStyle w:val="IndexLink"/>
              </w:rPr>
              <w:t>49</w:t>
            </w:r>
          </w:hyperlink>
        </w:p>
        <w:p>
          <w:pPr>
            <w:pStyle w:val="Contents3"/>
            <w:tabs>
              <w:tab w:val="clear" w:pos="8459"/>
              <w:tab w:val="right" w:pos="9026" w:leader="dot"/>
            </w:tabs>
            <w:rPr/>
          </w:pPr>
          <w:hyperlink w:anchor="__RefHeading___Toc7912260_1051229030">
            <w:r>
              <w:rPr>
                <w:webHidden/>
                <w:rStyle w:val="IndexLink"/>
                <w:rtl w:val="true"/>
              </w:rPr>
              <w:t>استعانة موسی بهارون</w:t>
            </w:r>
            <w:r>
              <w:rPr>
                <w:rStyle w:val="IndexLink"/>
                <w:rtl w:val="true"/>
              </w:rPr>
              <w:tab/>
            </w:r>
            <w:r>
              <w:rPr>
                <w:rStyle w:val="IndexLink"/>
              </w:rPr>
              <w:t>50</w:t>
            </w:r>
          </w:hyperlink>
        </w:p>
        <w:p>
          <w:pPr>
            <w:pStyle w:val="Contents3"/>
            <w:tabs>
              <w:tab w:val="clear" w:pos="8459"/>
              <w:tab w:val="right" w:pos="9026" w:leader="dot"/>
            </w:tabs>
            <w:rPr/>
          </w:pPr>
          <w:hyperlink w:anchor="__RefHeading___Toc7912262_1051229030">
            <w:r>
              <w:rPr>
                <w:webHidden/>
                <w:rStyle w:val="IndexLink"/>
                <w:rtl w:val="true"/>
              </w:rPr>
              <w:t>إشراك هارون مع موسی</w:t>
            </w:r>
            <w:r>
              <w:rPr>
                <w:rStyle w:val="IndexLink"/>
                <w:rtl w:val="true"/>
              </w:rPr>
              <w:tab/>
            </w:r>
            <w:r>
              <w:rPr>
                <w:rStyle w:val="IndexLink"/>
              </w:rPr>
              <w:t>51</w:t>
            </w:r>
          </w:hyperlink>
        </w:p>
        <w:p>
          <w:pPr>
            <w:pStyle w:val="Contents3"/>
            <w:tabs>
              <w:tab w:val="clear" w:pos="8459"/>
              <w:tab w:val="right" w:pos="9026" w:leader="dot"/>
            </w:tabs>
            <w:rPr/>
          </w:pPr>
          <w:hyperlink w:anchor="__RefHeading___Toc7912264_1051229030">
            <w:r>
              <w:rPr>
                <w:webHidden/>
                <w:rStyle w:val="IndexLink"/>
                <w:rtl w:val="true"/>
              </w:rPr>
              <w:t>المقارنة بين علي وهارون</w:t>
            </w:r>
            <w:r>
              <w:rPr>
                <w:rStyle w:val="IndexLink"/>
                <w:rtl w:val="true"/>
              </w:rPr>
              <w:tab/>
            </w:r>
            <w:r>
              <w:rPr>
                <w:rStyle w:val="IndexLink"/>
              </w:rPr>
              <w:t>52</w:t>
            </w:r>
          </w:hyperlink>
        </w:p>
        <w:p>
          <w:pPr>
            <w:pStyle w:val="Contents3"/>
            <w:tabs>
              <w:tab w:val="clear" w:pos="8459"/>
              <w:tab w:val="right" w:pos="9026" w:leader="dot"/>
            </w:tabs>
            <w:rPr/>
          </w:pPr>
          <w:hyperlink w:anchor="__RefHeading___Toc7912266_1051229030">
            <w:r>
              <w:rPr>
                <w:webHidden/>
                <w:rStyle w:val="IndexLink"/>
                <w:rtl w:val="true"/>
              </w:rPr>
              <w:t>ملاحظات على المشاركة في الدعوة</w:t>
            </w:r>
            <w:r>
              <w:rPr>
                <w:rStyle w:val="IndexLink"/>
                <w:rtl w:val="true"/>
              </w:rPr>
              <w:tab/>
            </w:r>
            <w:r>
              <w:rPr>
                <w:rStyle w:val="IndexLink"/>
              </w:rPr>
              <w:t>62</w:t>
            </w:r>
          </w:hyperlink>
        </w:p>
        <w:p>
          <w:pPr>
            <w:pStyle w:val="Contents2"/>
            <w:tabs>
              <w:tab w:val="clear" w:pos="8743"/>
              <w:tab w:val="right" w:pos="9026" w:leader="dot"/>
            </w:tabs>
            <w:rPr/>
          </w:pPr>
          <w:hyperlink w:anchor="__RefHeading___Toc7912268_1051229030">
            <w:r>
              <w:rPr>
                <w:webHidden/>
                <w:rStyle w:val="IndexLink"/>
                <w:rtl w:val="true"/>
              </w:rPr>
              <w:t>الخلافة</w:t>
            </w:r>
            <w:r>
              <w:rPr>
                <w:rStyle w:val="IndexLink"/>
                <w:rtl w:val="true"/>
              </w:rPr>
              <w:tab/>
            </w:r>
            <w:r>
              <w:rPr>
                <w:rStyle w:val="IndexLink"/>
              </w:rPr>
              <w:t>68</w:t>
            </w:r>
          </w:hyperlink>
        </w:p>
        <w:p>
          <w:pPr>
            <w:pStyle w:val="Contents3"/>
            <w:tabs>
              <w:tab w:val="clear" w:pos="8459"/>
              <w:tab w:val="right" w:pos="9026" w:leader="dot"/>
            </w:tabs>
            <w:rPr/>
          </w:pPr>
          <w:hyperlink w:anchor="__RefHeading___Toc7912270_1051229030">
            <w:r>
              <w:rPr>
                <w:webHidden/>
                <w:rStyle w:val="IndexLink"/>
                <w:rtl w:val="true"/>
              </w:rPr>
              <w:t>اشارة</w:t>
            </w:r>
            <w:r>
              <w:rPr>
                <w:rStyle w:val="IndexLink"/>
                <w:rtl w:val="true"/>
              </w:rPr>
              <w:tab/>
            </w:r>
            <w:r>
              <w:rPr>
                <w:rStyle w:val="IndexLink"/>
              </w:rPr>
              <w:t>68</w:t>
            </w:r>
          </w:hyperlink>
        </w:p>
        <w:p>
          <w:pPr>
            <w:pStyle w:val="Contents3"/>
            <w:tabs>
              <w:tab w:val="clear" w:pos="8459"/>
              <w:tab w:val="right" w:pos="9026" w:leader="dot"/>
            </w:tabs>
            <w:rPr/>
          </w:pPr>
          <w:hyperlink w:anchor="__RefHeading___Toc7912272_1051229030">
            <w:r>
              <w:rPr>
                <w:webHidden/>
                <w:rStyle w:val="IndexLink"/>
                <w:rtl w:val="true"/>
              </w:rPr>
              <w:t>ملاحظات على الخلافة</w:t>
            </w:r>
            <w:r>
              <w:rPr>
                <w:rStyle w:val="IndexLink"/>
                <w:rtl w:val="true"/>
              </w:rPr>
              <w:tab/>
            </w:r>
            <w:r>
              <w:rPr>
                <w:rStyle w:val="IndexLink"/>
              </w:rPr>
              <w:t>70</w:t>
            </w:r>
          </w:hyperlink>
        </w:p>
        <w:p>
          <w:pPr>
            <w:pStyle w:val="Contents3"/>
            <w:tabs>
              <w:tab w:val="clear" w:pos="8459"/>
              <w:tab w:val="right" w:pos="9026" w:leader="dot"/>
            </w:tabs>
            <w:rPr/>
          </w:pPr>
          <w:hyperlink w:anchor="__RefHeading___Toc7912274_1051229030">
            <w:r>
              <w:rPr>
                <w:webHidden/>
                <w:rStyle w:val="IndexLink"/>
                <w:rtl w:val="true"/>
              </w:rPr>
              <w:t>خلاصة الكلام</w:t>
            </w:r>
            <w:r>
              <w:rPr>
                <w:rStyle w:val="IndexLink"/>
                <w:rtl w:val="true"/>
              </w:rPr>
              <w:tab/>
            </w:r>
            <w:r>
              <w:rPr>
                <w:rStyle w:val="IndexLink"/>
              </w:rPr>
              <w:t>76</w:t>
            </w:r>
          </w:hyperlink>
        </w:p>
        <w:p>
          <w:pPr>
            <w:pStyle w:val="Contents2"/>
            <w:tabs>
              <w:tab w:val="clear" w:pos="8743"/>
              <w:tab w:val="right" w:pos="9026" w:leader="dot"/>
            </w:tabs>
            <w:rPr/>
          </w:pPr>
          <w:hyperlink w:anchor="__RefHeading___Toc7912276_1051229030">
            <w:r>
              <w:rPr>
                <w:webHidden/>
                <w:rStyle w:val="IndexLink"/>
                <w:rtl w:val="true"/>
              </w:rPr>
              <w:t>فهرس المطالب</w:t>
            </w:r>
            <w:r>
              <w:rPr>
                <w:rStyle w:val="IndexLink"/>
                <w:rtl w:val="true"/>
              </w:rPr>
              <w:tab/>
            </w:r>
            <w:r>
              <w:rPr>
                <w:rStyle w:val="IndexLink"/>
              </w:rPr>
              <w:t>84</w:t>
            </w:r>
          </w:hyperlink>
        </w:p>
        <w:p>
          <w:pPr>
            <w:pStyle w:val="Contents2"/>
            <w:tabs>
              <w:tab w:val="clear" w:pos="8743"/>
              <w:tab w:val="right" w:pos="9026" w:leader="dot"/>
            </w:tabs>
            <w:rPr/>
          </w:pPr>
          <w:hyperlink w:anchor="__RefHeading___Toc7912278_1051229030">
            <w:r>
              <w:rPr>
                <w:webHidden/>
                <w:rStyle w:val="IndexLink"/>
                <w:rtl w:val="true"/>
              </w:rPr>
              <w:t>قائمة الكتب العربية الصادرة عن مؤسسة المعارف الاسلامية</w:t>
            </w:r>
            <w:r>
              <w:rPr>
                <w:rStyle w:val="IndexLink"/>
                <w:rtl w:val="true"/>
              </w:rPr>
              <w:tab/>
            </w:r>
            <w:r>
              <w:rPr>
                <w:rStyle w:val="IndexLink"/>
              </w:rPr>
              <w:t>86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095_81545"/>
      <w:bookmarkStart w:id="1" w:name="pg8095_81545"/>
      <w:bookmarkEnd w:id="1"/>
    </w:p>
    <w:p>
      <w:pPr>
        <w:pStyle w:val="Heading2"/>
        <w:numPr>
          <w:ilvl w:val="1"/>
          <w:numId w:val="1"/>
        </w:numPr>
        <w:rPr/>
      </w:pPr>
      <w:bookmarkStart w:id="2" w:name="pg8095_81545"/>
      <w:bookmarkStart w:id="3" w:name="__RefHeading___Toc7912216_1051229030"/>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المُهري، محمّد رضا ، </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عنوان واسم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رضا المُهري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المعارف الإسلاميّة، </w:t>
      </w:r>
      <w:r>
        <w:rPr>
          <w:rFonts w:eastAsia="Amiri" w:cs="Amiri" w:ascii="Amiri" w:hAnsi="Amiri"/>
          <w:color w:val="111111"/>
          <w:sz w:val="28"/>
          <w:szCs w:val="28"/>
          <w:lang w:bidi="ar-SA"/>
        </w:rPr>
        <w:t>1392</w:t>
      </w:r>
    </w:p>
    <w:p>
      <w:pPr>
        <w:pStyle w:val="BookText"/>
        <w:rPr/>
      </w:pPr>
      <w:r>
        <w:rPr>
          <w:rFonts w:ascii="Amiri" w:hAnsi="Amiri" w:eastAsia="Amiri" w:cs="Amiri"/>
          <w:color w:val="111111"/>
          <w:sz w:val="28"/>
          <w:sz w:val="28"/>
          <w:szCs w:val="28"/>
          <w:rtl w:val="true"/>
          <w:lang w:bidi="ar-SA"/>
        </w:rPr>
        <w:t>مواصفات المظهر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المعارف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ISBN: 978-600-146-013-5</w:t>
      </w:r>
    </w:p>
    <w:p>
      <w:pPr>
        <w:pStyle w:val="BookText"/>
        <w:rPr/>
      </w:pPr>
      <w:r>
        <w:rPr>
          <w:rFonts w:ascii="Amiri" w:hAnsi="Amiri" w:eastAsia="Amiri" w:cs="Amiri"/>
          <w:color w:val="111111"/>
          <w:sz w:val="28"/>
          <w:sz w:val="28"/>
          <w:szCs w:val="28"/>
          <w:rtl w:val="true"/>
          <w:lang w:bidi="ar-SA"/>
        </w:rPr>
        <w:t>حالة القائمة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الفيفا</w:t>
      </w:r>
    </w:p>
    <w:p>
      <w:pPr>
        <w:pStyle w:val="BookText"/>
        <w:rPr/>
      </w:pPr>
      <w:r>
        <w:rPr>
          <w:rFonts w:ascii="Amiri" w:hAnsi="Amiri" w:eastAsia="Amiri" w:cs="Amiri"/>
          <w:color w:val="111111"/>
          <w:sz w:val="28"/>
          <w:sz w:val="28"/>
          <w:szCs w:val="28"/>
          <w:rtl w:val="true"/>
          <w:lang w:bidi="ar-SA"/>
        </w:rPr>
        <w:t>ملاحظات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ببليوغرافيا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مترجم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أول إمام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إثبات الخلافة</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جمعية خيرية رقمية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ذو الفقار الحوزة أصفهان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912218_1051229030"/>
      <w:bookmarkStart w:id="6" w:name="_Toc2"/>
      <w:bookmarkEnd w:id="5"/>
      <w:r>
        <w:rPr>
          <w:rtl w:val="true"/>
        </w:rPr>
        <w:t>هوية الكتاب</w:t>
      </w:r>
      <w:bookmarkEnd w:id="6"/>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المنزلة</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محمّد رضا المُهري</w:t>
      </w:r>
    </w:p>
    <w:p>
      <w:pPr>
        <w:pStyle w:val="BookText"/>
        <w:rPr/>
      </w:pPr>
      <w:r>
        <w:rPr>
          <w:rFonts w:ascii="Amiri" w:hAnsi="Amiri" w:eastAsia="Amiri" w:cs="Amiri"/>
          <w:color w:val="111111"/>
          <w:sz w:val="28"/>
          <w:sz w:val="28"/>
          <w:szCs w:val="28"/>
          <w:rtl w:val="true"/>
          <w:lang w:bidi="ar-SA"/>
        </w:rPr>
        <w:t>مقوّم النص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علي زهراب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الفاضلي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مؤسّسة المعارف الإسلاميّة</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عترت</w:t>
      </w:r>
    </w:p>
    <w:p>
      <w:pPr>
        <w:pStyle w:val="BookText"/>
        <w:rPr/>
      </w:pP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رقم الايداع الدولي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eastAsia="Times New Roman" w:cs="Times New Roman" w:ascii="Times New Roman" w:hAnsi="Times New Roman"/>
          <w:color w:val="111111"/>
          <w:sz w:val="28"/>
          <w:szCs w:val="28"/>
          <w:lang w:val="en-US" w:bidi="en-US"/>
        </w:rPr>
        <w:t>978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600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013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ISBN</w:t>
      </w:r>
    </w:p>
    <w:p>
      <w:pPr>
        <w:pStyle w:val="BookText"/>
        <w:rPr/>
      </w:pPr>
      <w:r>
        <w:rPr>
          <w:rFonts w:ascii="Amiri" w:hAnsi="Amiri" w:eastAsia="Amiri" w:cs="Amiri"/>
          <w:color w:val="111111"/>
          <w:sz w:val="28"/>
          <w:sz w:val="28"/>
          <w:szCs w:val="28"/>
          <w:rtl w:val="true"/>
          <w:lang w:bidi="ar-SA"/>
        </w:rPr>
        <w:t xml:space="preserve">كافة حقوق الطبع والنشر محفوظه المؤسسة المعارف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37185/768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lang w:bidi="fa-IR"/>
        </w:rPr>
        <w:t>37732009</w:t>
      </w:r>
      <w:r>
        <w:rPr>
          <w:rFonts w:eastAsia="IRNazanin" w:cs="IRNazanin"/>
          <w:color w:val="111111"/>
          <w:sz w:val="28"/>
          <w:szCs w:val="28"/>
          <w:rtl w:val="true"/>
          <w:lang w:bidi="fa-IR"/>
        </w:rPr>
        <w:t xml:space="preserve">- </w:t>
      </w:r>
      <w:r>
        <w:rPr>
          <w:rFonts w:eastAsia="IRNazanin" w:cs="IRNazanin"/>
          <w:color w:val="111111"/>
          <w:sz w:val="28"/>
          <w:szCs w:val="28"/>
          <w:lang w:bidi="fa-IR"/>
        </w:rPr>
        <w:t>09127488298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فاکس </w:t>
      </w:r>
      <w:r>
        <w:rPr>
          <w:rFonts w:eastAsia="IRNazanin" w:cs="IRNazanin"/>
          <w:color w:val="111111"/>
          <w:sz w:val="28"/>
          <w:szCs w:val="28"/>
          <w:lang w:bidi="fa-IR"/>
        </w:rPr>
        <w:t>27743701</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E-mail:info@maaref islami.COM - www.maaref islami.com</w:t>
      </w:r>
      <w:r>
        <w:rPr>
          <w:rFonts w:eastAsia="Times New Roman" w:cs="Times New Roman" w:ascii="Times New Roman" w:hAnsi="Times New Roman"/>
          <w:color w:val="111111"/>
          <w:sz w:val="28"/>
          <w:szCs w:val="28"/>
          <w:rtl w:val="true"/>
          <w:lang w:val="en-US" w:bidi="en-US"/>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وصلى الله على سيدنا محمد و آله الطيبين الطاهرين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095_81549"/>
      <w:bookmarkStart w:id="8" w:name="pg8095_81549"/>
      <w:bookmarkEnd w:id="8"/>
    </w:p>
    <w:p>
      <w:pPr>
        <w:pStyle w:val="Heading2"/>
        <w:numPr>
          <w:ilvl w:val="1"/>
          <w:numId w:val="1"/>
        </w:numPr>
        <w:rPr/>
      </w:pPr>
      <w:bookmarkStart w:id="9" w:name="pg8095_81549"/>
      <w:bookmarkStart w:id="10" w:name="__RefHeading___Toc7912220_1051229030"/>
      <w:bookmarkStart w:id="11" w:name="_Toc3"/>
      <w:bookmarkEnd w:id="9"/>
      <w:bookmarkEnd w:id="10"/>
      <w:r>
        <w:rPr>
          <w:rtl w:val="true"/>
        </w:rPr>
        <w:t>مقدمة الناشر</w:t>
      </w:r>
      <w:bookmarkEnd w:id="11"/>
    </w:p>
    <w:p>
      <w:pPr>
        <w:pStyle w:val="BookText"/>
        <w:rPr/>
      </w:pPr>
      <w:r>
        <w:rPr>
          <w:rFonts w:ascii="IRNazanin" w:hAnsi="IRNazanin" w:eastAsia="IRNazanin"/>
          <w:color w:val="111111"/>
          <w:sz w:val="28"/>
          <w:sz w:val="28"/>
          <w:szCs w:val="28"/>
          <w:rtl w:val="true"/>
          <w:lang w:bidi="fa-IR"/>
        </w:rPr>
        <w:t>بسم الله الرحمن الرحيم وقول لخير الخلق أحمد لا يُنسی كمصباح نور فاق في ضوئه الشمسا المنزلةُ يَحظي عليُّ بها مِنّي تعادل ما كانت لهارون من موسی سوى أنه لا وحي ينزل من بعدي فليس نبيُّ بعد أن أدخل الرمسا تبرٌ مليءٌ بالعسجد، جدّ الكاتب باخعأ نفسه حتى يستخلص باليراع منه ذهباً أصفر فاقعاً لونه يسرّ الناظرين، فكان ما ترونه وهو غيضٌ من فيض ذلك الكلام المتعالي الذي ينحدر عنه سیل الإمامة الإلهية الحقّة، ولا يرقى إليه طير الفكر مهما بلغ من الدقة</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أثبت الكاتب أن المقارنة المذكورة في الحديث النبوي الشريف إنما هي مقارنةٌ عامةٌ تشمل كل الفضائل السامية والمكارم الراقية، فهي كمشكاةٍ فيها مصباحان، والمصباحان في زجاجتين، والزجاجتان كأنهما کوکبان دریان يوقدان من شجرة مباركةٍ واحدةٍ وغيرهما من شجرٍ شتی، یکاد زيتهما يضيء ولو لم تمسسهما نار، فهما نورٌ على نور يهدي الله بهما من يشاء، فأحدهما شمسٌ تنير الكون بأنوار الهداية الإلهية والثاني قمرٌ يستمد نوره من الشمس لينير درب </w:t>
      </w:r>
    </w:p>
    <w:p>
      <w:pPr>
        <w:pStyle w:val="BookText"/>
        <w:rPr/>
      </w:pPr>
      <w:r>
        <w:rPr>
          <w:rFonts w:ascii="IRNazanin" w:hAnsi="IRNazanin" w:eastAsia="IRNazanin"/>
          <w:color w:val="111111"/>
          <w:sz w:val="28"/>
          <w:sz w:val="28"/>
          <w:szCs w:val="28"/>
          <w:rtl w:val="true"/>
          <w:lang w:bidi="fa-IR"/>
        </w:rPr>
        <w:t>المستضيئين في دياجير الليالى الظلماء التي تحيط بالإنسانية جمعاء، وتلك الشمس وذلك القمر كانا في سالف الزمان موسى وهارون علیهما السلام، حتى اذا اكتملا تلألؤاً أصبحا محمداً المصطفى صلی الله علیه و آله وسلم ، وعليّاً المرتضى علیه السلام</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كما كان هارون من موسى، فقد جعل العليُّ القدير عليّاً وزيراً لرسول الله وشدَّ به أزره وأشركه في أمره، فسبّحا ربّهما كثيراً وذكراه كثيرا، إنه كان بهما بصيرا، ولقد آتاهما ربّهما الفرقان وضياءً وذكراً للعالمين، وهداهما الصراط المستقيم، وجعل لهما سلطاناً حتى لا يصل المشركون اليهما، فكانا بآيات الله عز وجل هما ومن اتبعهما الغالبين، فسلامٌ من الرحمن على محمدٍ وعلیّ ٍ، وكذلك يجزي الله المحسنين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وعیَّن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 بأمرٍ من الله تعالى خليفةً له في قومه ليصلح أمرهم، ولكنّ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وبكل أسف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استضعفوا خليفة الرسول و كادوا أن يقتلوه، ولم يهتموا بتحذير امير المؤمنين لهم بأن ما يفعلونه إنما هو فتنة وأن ربّهم الرحمن فعليهم أن يتّبعوا الإمام ويطيعوا أمره، حتى اذا يئس منهم تركهم خوفاً من أن تتفرق أمة الإسلام، ويا ليت الرسول كان يعود كما عاد موسی غضبان أسفا، فيخاطب قومه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بئسما خلفتموني من بعدي أعجلتم أمر ربكم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وهكذا حاول الكاتب أن يسبر غور آیاتٍ من الذكر الحكيم ليتعرف على شيءٍ  من المنزلة الرفيعة التي خص الله تعالى امير المؤمنين عليّاً علیه السلام بها، وذلك على ضوء ما ذكره القرآن الكريم في هارون علیه السلام، و كان على حذرٍ دائم ألّا يتخطى الحدود التي رسمها النبي صلی الله علیه وآله وسلم باستثنائه النبوة من هذه المقارنة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وكما يعلم القارئ العزيز فقد دأبت مؤسسة المعارف الاسلامية في قم على أن تتبنى كلَّ ما يختص بولاية أهل البيت عليه السلام فتقوم بطبعه ونشره حتى تعمَّ الفائدة وتتم الحجة، مستلهمة التوفيق من الباري المتعال ومستشفعة بأنوار الهداية من عترة النبي الأعظم صلی الله علیه وآله وسلم، الذين أذهب الله عنهم الرجس وطهرهم تطهيرا، فعلی دربهم فلیمش الماشون وإلى ولايتهم فليهتد المهتدون</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الختام نتقدّم بالشكر الجزيل للأخ المؤلّف سماحة السيد محمد رضا المهري على جهده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نشكر الأخوة الأفاضل الذين ساهموا في اخراج هذا الكتاب بهذه الحُلّة</w:t>
      </w:r>
      <w:r>
        <w:rPr>
          <w:rFonts w:eastAsia="Amiri" w:cs="Amiri" w:ascii="Amiri" w:hAnsi="Amiri"/>
          <w:color w:val="111111"/>
          <w:sz w:val="28"/>
          <w:szCs w:val="28"/>
          <w:rtl w:val="true"/>
          <w:lang w:bidi="ar-SA"/>
        </w:rPr>
        <w:t xml:space="preserve">. </w:t>
      </w:r>
      <w:bookmarkStart w:id="12" w:name="pg8095_81553"/>
    </w:p>
    <w:p>
      <w:pPr>
        <w:pStyle w:val="Heading2"/>
        <w:numPr>
          <w:ilvl w:val="1"/>
          <w:numId w:val="1"/>
        </w:numPr>
        <w:rPr/>
      </w:pPr>
      <w:bookmarkStart w:id="13" w:name="__RefHeading___Toc7912222_1051229030"/>
      <w:bookmarkStart w:id="14" w:name="_Toc4"/>
      <w:bookmarkEnd w:id="12"/>
      <w:bookmarkEnd w:id="13"/>
      <w:r>
        <w:rPr>
          <w:rtl w:val="true"/>
        </w:rPr>
        <w:t>المقدّمة</w:t>
      </w:r>
      <w:bookmarkEnd w:id="14"/>
    </w:p>
    <w:p>
      <w:pPr>
        <w:pStyle w:val="BookText"/>
        <w:rPr/>
      </w:pPr>
      <w:r>
        <w:rPr>
          <w:rFonts w:ascii="IRNazanin" w:hAnsi="IRNazanin" w:eastAsia="IRNazanin"/>
          <w:color w:val="111111"/>
          <w:sz w:val="28"/>
          <w:sz w:val="28"/>
          <w:szCs w:val="28"/>
          <w:rtl w:val="true"/>
          <w:lang w:bidi="fa-IR"/>
        </w:rPr>
        <w:t>نحن نعتقد بأنَ رسول صلی الله علیه وآله وسلم هو المفسِّر الحقيقي للقرآن الكريم، ومن بعده الأئمة الأطهار علیه السلام  المستنيرون بنوره والذين أوسمهم بكلمته الخالدة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تركت فيكم ما إن تمسّكتم به لن تضلّوا بعدي، كتاب الله وعترتي</w:t>
      </w:r>
      <w:r>
        <w:rPr>
          <w:rFonts w:eastAsia="IRNazanin" w:cs="IRNazanin"/>
          <w:color w:val="111111"/>
          <w:sz w:val="28"/>
          <w:szCs w:val="28"/>
          <w:rtl w:val="true"/>
          <w:lang w:bidi="fa-IR"/>
        </w:rPr>
        <w:t>».</w:t>
      </w:r>
      <w:r>
        <w:rPr>
          <w:rStyle w:val="FootnoteAnchor"/>
          <w:rtl w:val="true"/>
        </w:rPr>
        <w:footnoteReference w:id="2"/>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تأتي التفاسير إلا على ضوء ما بيَّنوه من غوامض المعاني وما أحكموه من متشابه التنزيل، وليس القرآن هو المعنى الظاهر فحسب، مع ما لهذا الظاهر من جمالٍ في التعبير وسلاسةٍ في البيان دان لهما الأدب العربي بكلّ قوّته وهيمنته، وكلّ زخرفته وغطرسته، بل للقرآن بطون وأعماق لا تدركها عقولنا القاصرة ولا تنالها أفهامنا المتواضعة، إلا إذا استنارت بأنوار النبوّة واستمدّت من علوم الوحي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ونحن الآن بصدد دراسة حديث شريف معيّن، لنعرف كيف يفسّر هذا الحديث بعض آیات الذكر الحكيم، و كيف يستخرج من الآيات معاني عميقة لا يسعنا كشفها لولا كلامه صلی الله علیه وآله وسلم، هذا الحديث هو ما اشتهر عند المسلمين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المنزلة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روي بعبارات تختلف في ما بينها قليلاً وتتّفق كلّها على أنّه صلی الله علیه وآله وسلم قال في أمير المؤمنين عليّ ٍ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مني بمنزلة هارون من موسى، إلا أنّه لا نبي بعدي</w:t>
      </w:r>
      <w:r>
        <w:rPr>
          <w:rFonts w:eastAsia="IRNazanin" w:cs="IRNazanin"/>
          <w:color w:val="111111"/>
          <w:sz w:val="28"/>
          <w:szCs w:val="28"/>
          <w:rtl w:val="true"/>
          <w:lang w:bidi="fa-IR"/>
        </w:rPr>
        <w:t>».</w:t>
      </w:r>
      <w:r>
        <w:rPr>
          <w:rStyle w:val="FootnoteAnchor"/>
          <w:rtl w:val="true"/>
        </w:rPr>
        <w:footnoteReference w:id="3"/>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فلنبدأ بالحديث أوّلاً، لنرى ما يحوم حوله من اُمور، ثم نتدبّره قدر المستطاع لندرك شيئاً من مدلولاته وخفاياه ومن جوانبه وزواياه، نسرد ذلك كلّه تحت عنوان خصائص الحديث، والعجيب أنّ مجرّد رواية الحديث يعتبر واحداً من أهمّ خصائصه علیه السلام، ومن بعد دراسة الحديث على ما هو عليه ننتقل إلى الكتاب العزيز، لنرى كيف يتفاعل هذا الحديث معه وما ينتج منهما معاً</w:t>
      </w:r>
      <w:r>
        <w:rPr>
          <w:rFonts w:eastAsia="IRNazanin" w:cs="IRNazanin"/>
          <w:color w:val="111111"/>
          <w:sz w:val="28"/>
          <w:szCs w:val="28"/>
          <w:rtl w:val="true"/>
          <w:lang w:bidi="fa-IR"/>
        </w:rPr>
        <w:t xml:space="preserve">. </w:t>
      </w:r>
      <w:bookmarkStart w:id="15" w:name="pg8095_81555"/>
    </w:p>
    <w:p>
      <w:pPr>
        <w:pStyle w:val="Heading2"/>
        <w:numPr>
          <w:ilvl w:val="1"/>
          <w:numId w:val="1"/>
        </w:numPr>
        <w:rPr/>
      </w:pPr>
      <w:bookmarkStart w:id="16" w:name="__RefHeading___Toc7912224_1051229030"/>
      <w:bookmarkStart w:id="17" w:name="_Toc5"/>
      <w:bookmarkEnd w:id="15"/>
      <w:bookmarkEnd w:id="16"/>
      <w:r>
        <w:rPr>
          <w:rtl w:val="true"/>
        </w:rPr>
        <w:t>الأمر الأول</w:t>
      </w:r>
      <w:r>
        <w:rPr>
          <w:rtl w:val="true"/>
        </w:rPr>
        <w:t xml:space="preserve">: </w:t>
      </w:r>
      <w:r>
        <w:rPr>
          <w:rtl w:val="true"/>
        </w:rPr>
        <w:t>خصائص حديث المنزلة</w:t>
      </w:r>
      <w:bookmarkEnd w:id="17"/>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خصائص حديث المنزلة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8095_81557"/>
      <w:bookmarkStart w:id="19" w:name="pg8095_81557"/>
      <w:bookmarkEnd w:id="19"/>
    </w:p>
    <w:p>
      <w:pPr>
        <w:pStyle w:val="Heading2"/>
        <w:numPr>
          <w:ilvl w:val="1"/>
          <w:numId w:val="1"/>
        </w:numPr>
        <w:rPr/>
      </w:pPr>
      <w:bookmarkStart w:id="20" w:name="pg8095_81557"/>
      <w:bookmarkStart w:id="21" w:name="__RefHeading___Toc7912226_1051229030"/>
      <w:bookmarkStart w:id="22" w:name="_Toc6"/>
      <w:bookmarkEnd w:id="20"/>
      <w:bookmarkEnd w:id="21"/>
      <w:r>
        <w:rPr>
          <w:rtl w:val="true"/>
        </w:rPr>
        <w:t>تکرار صدور الحديث عن النبي صلی الله علیه و آله و سلم</w:t>
      </w:r>
      <w:bookmarkEnd w:id="22"/>
    </w:p>
    <w:p>
      <w:pPr>
        <w:pStyle w:val="Heading3"/>
        <w:numPr>
          <w:ilvl w:val="2"/>
          <w:numId w:val="1"/>
        </w:numPr>
        <w:rPr/>
      </w:pPr>
      <w:bookmarkStart w:id="23" w:name="__RefHeading___Toc7912228_1051229030"/>
      <w:bookmarkStart w:id="24" w:name="_Toc7"/>
      <w:bookmarkEnd w:id="23"/>
      <w:r>
        <w:rPr>
          <w:rtl w:val="true"/>
        </w:rPr>
        <w:t>اشارة</w:t>
      </w:r>
      <w:bookmarkEnd w:id="24"/>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صنَّف المحدثون الأحاديث الشريفة قوةً وضعفأ حسب درجة الثقة بها من حيث المعنی والسند، فإذا سألت محدّثاً عن أقوى الأحاديث الذكر المتواتر منها، أي التي رواها جمع كبير لا يمكن اجتماعهم على الكذب، إلا أنّ حديثنا الذي سنذكره الآن يمتاز عن تلك الأحاديث المتواترة بميزة يندر أن تراها في سائر الأحادیث، فالحديث المتواتر وإن كان قوياً في سنده، فإنّ الجميع يروونه باعتبار أنّهم سمعوه مرةً واحدة ًمن رسول الله صلی الله علیه و آله و سلم ، أمّا الغريب في حديثنا هذا أنّ الرسول قد كرّره عدّة مرّات، ولكلّ مرّةٍ من هذه المرّات روانه الخاصّة به، وكأنّ النبيَّ صلی الله علیه و آله و سلم له أراد أن يؤكّد على هذا الأمر وأن يُسمعه أكبر عددٍ من صحابته، وهذا يعطي الحديث أهميةً بالغةً </w:t>
      </w:r>
      <w:bookmarkStart w:id="25" w:name="pg8095_81558"/>
    </w:p>
    <w:p>
      <w:pPr>
        <w:pStyle w:val="BookText"/>
        <w:rPr/>
      </w:pPr>
      <w:bookmarkEnd w:id="25"/>
      <w:r>
        <w:rPr>
          <w:rFonts w:ascii="Amiri" w:hAnsi="Amiri" w:eastAsia="Amiri" w:cs="Amiri"/>
          <w:color w:val="111111"/>
          <w:sz w:val="28"/>
          <w:sz w:val="28"/>
          <w:szCs w:val="28"/>
          <w:rtl w:val="true"/>
          <w:lang w:bidi="ar-SA"/>
        </w:rPr>
        <w:t>تستوجب عمق التدبّر وشدّة الإمعان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نكتفي في ذكر رواة أهل السنة بما جمعه الأستاذ محمد بيومي مهران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وأهل البيت</w:t>
      </w:r>
      <w:r>
        <w:rPr>
          <w:rFonts w:eastAsia="Amiri" w:cs="Amiri" w:ascii="Amiri" w:hAnsi="Amiri"/>
          <w:color w:val="111111"/>
          <w:sz w:val="28"/>
          <w:szCs w:val="28"/>
          <w:rtl w:val="true"/>
          <w:lang w:bidi="ar-SA"/>
        </w:rPr>
        <w:t>».</w:t>
      </w:r>
      <w:r>
        <w:rPr>
          <w:rStyle w:val="FootnoteAnchor"/>
          <w:rtl w:val="true"/>
        </w:rPr>
        <w:footnoteReference w:id="4"/>
      </w:r>
    </w:p>
    <w:p>
      <w:pPr>
        <w:pStyle w:val="Heading3"/>
        <w:numPr>
          <w:ilvl w:val="2"/>
          <w:numId w:val="1"/>
        </w:numPr>
        <w:rPr/>
      </w:pPr>
      <w:bookmarkStart w:id="26" w:name="__RefHeading___Toc7912230_1051229030"/>
      <w:bookmarkStart w:id="27" w:name="_Toc8"/>
      <w:bookmarkEnd w:id="26"/>
      <w:r>
        <w:rPr>
          <w:rtl w:val="true"/>
        </w:rPr>
        <w:t>أوّلاً</w:t>
      </w:r>
      <w:r>
        <w:rPr>
          <w:rtl w:val="true"/>
        </w:rPr>
        <w:t xml:space="preserve">: </w:t>
      </w:r>
      <w:r>
        <w:rPr>
          <w:rtl w:val="true"/>
        </w:rPr>
        <w:t>حديث غزوة تبوك أو ما يحتمل أن يكون في غزوة تبوك</w:t>
      </w:r>
      <w:bookmarkEnd w:id="27"/>
    </w:p>
    <w:p>
      <w:pPr>
        <w:pStyle w:val="Heading4"/>
        <w:numPr>
          <w:ilvl w:val="3"/>
          <w:numId w:val="1"/>
        </w:numPr>
        <w:rPr/>
      </w:pPr>
      <w:bookmarkStart w:id="28" w:name="__RefHeading___Toc7912232_1051229030"/>
      <w:bookmarkStart w:id="29" w:name="_Toc9"/>
      <w:bookmarkEnd w:id="28"/>
      <w:r>
        <w:rPr/>
        <w:t>1</w:t>
      </w:r>
      <w:r>
        <w:rPr>
          <w:rtl w:val="true"/>
        </w:rPr>
        <w:t xml:space="preserve">- </w:t>
      </w:r>
      <w:r>
        <w:rPr>
          <w:rtl w:val="true"/>
        </w:rPr>
        <w:t>رواة أهل السنّة</w:t>
      </w:r>
      <w:bookmarkEnd w:id="29"/>
    </w:p>
    <w:p>
      <w:pPr>
        <w:pStyle w:val="BookText"/>
        <w:rPr/>
      </w:pPr>
      <w:r>
        <w:rPr>
          <w:rFonts w:ascii="IRNazanin" w:hAnsi="IRNazanin" w:eastAsia="IRNazanin"/>
          <w:color w:val="111111"/>
          <w:sz w:val="28"/>
          <w:sz w:val="28"/>
          <w:szCs w:val="28"/>
          <w:rtl w:val="true"/>
          <w:lang w:bidi="fa-IR"/>
        </w:rPr>
        <w:t>روى البخاري في صحيحه بسنده عن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إبراهيم بن سعد،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ترضى أن تكون مني بمنزلة هارون من موسى</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وروى البخاري أيضا بسنده عن شعبة، عن الحكم، عن مصعب بن سعد، عن 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آله و سلم، خرج إلى تبوك واستخلف عليّاً،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أتخلفني في الصبيان والنساء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ترضى أن تكون مني بمنزلة هارون من موسى، إلا أنه ليس نبي بعدي؟</w:t>
      </w:r>
      <w:r>
        <w:rPr>
          <w:rFonts w:eastAsia="Amiri" w:cs="Amiri" w:ascii="Amiri" w:hAnsi="Amiri"/>
          <w:color w:val="111111"/>
          <w:sz w:val="28"/>
          <w:szCs w:val="28"/>
          <w:rtl w:val="true"/>
          <w:lang w:bidi="ar-SA"/>
        </w:rPr>
        <w:t>».</w:t>
      </w:r>
      <w:r>
        <w:rPr>
          <w:rStyle w:val="FootnoteAnchor"/>
          <w:rtl w:val="true"/>
        </w:rPr>
        <w:footnoteReference w:id="6"/>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مسلم بسنده عن الحكم، عن مصعب </w:t>
      </w:r>
    </w:p>
    <w:p>
      <w:pPr>
        <w:pStyle w:val="BookText"/>
        <w:rPr/>
      </w:pPr>
      <w:r>
        <w:rPr>
          <w:rFonts w:ascii="IRNazanin" w:hAnsi="IRNazanin" w:eastAsia="IRNazanin"/>
          <w:color w:val="111111"/>
          <w:sz w:val="28"/>
          <w:sz w:val="28"/>
          <w:szCs w:val="28"/>
          <w:rtl w:val="true"/>
          <w:lang w:bidi="fa-IR"/>
        </w:rPr>
        <w:t>بن سعد بن وقاص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رسول الله صلی الله علیه و آله و سلم علي بن أبي طالب في غزوة تبوك،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 تخلّفني في النساء والصبيان؟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ترضى أن تكون مني بمنزلة هارون من موسى، غير أنه لا نبي بعدي؟</w:t>
      </w:r>
      <w:r>
        <w:rPr>
          <w:rFonts w:eastAsia="IRNazanin" w:cs="IRNazanin"/>
          <w:color w:val="111111"/>
          <w:sz w:val="28"/>
          <w:szCs w:val="28"/>
          <w:rtl w:val="true"/>
          <w:lang w:bidi="fa-IR"/>
        </w:rPr>
        <w:t>».</w:t>
      </w:r>
      <w:r>
        <w:rPr>
          <w:rStyle w:val="FootnoteAnchor"/>
          <w:rtl w:val="true"/>
        </w:rPr>
        <w:footnoteReference w:id="7"/>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مسلم في صحيحه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بسنده عن عامر بن سعد بن أبي وقاص،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معاوية بن أبي سفيان سعداً،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منعك أن تسبّ أبا تراب؟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ذكرت ثلاثاً قالهنّ له رسول الله صلی الله علیه و آله و سلم، فلن أسبّه، لأن تكون لي واحدة منهن أحب إلي من حمر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 سلم يقول له وخلّفه في بعض مغازيه، فقال له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خلّفتني مع النساء والصبيان، فقال له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ترضى أن تكون مني بمنزلة هارون من موسی، إلا أنّه لا نبوة بعدي؟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وسمعته يقول يوم خیبر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لأُعطينّ الراية رجلاّ يحب الله ورسوله ويحبّه الله ورسوله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فتطاولنا لهما،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لي علياً، فأتي به أرمد</w:t>
      </w:r>
      <w:r>
        <w:rPr>
          <w:rStyle w:val="FootnoteAnchor"/>
          <w:rtl w:val="true"/>
        </w:rPr>
        <w:footnoteReference w:id="8"/>
      </w:r>
      <w:r>
        <w:rPr>
          <w:rFonts w:ascii="Amiri" w:hAnsi="Amiri" w:eastAsia="Amiri" w:cs="Amiri"/>
          <w:color w:val="111111"/>
          <w:sz w:val="28"/>
          <w:sz w:val="28"/>
          <w:szCs w:val="28"/>
          <w:rtl w:val="true"/>
          <w:lang w:bidi="ar-SA"/>
        </w:rPr>
        <w:t>، فبصق في عينه، ودفع الراية إليه، ففتح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نزلت هذه </w:t>
      </w:r>
    </w:p>
    <w:p>
      <w:pPr>
        <w:pStyle w:val="BookText"/>
        <w:rPr/>
      </w:pP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تَعَالَوْا نَدْعُ أَبْنَاءَنَا وَأَبْنَاءَكُمْ</w:t>
      </w:r>
      <w:r>
        <w:rPr>
          <w:rFonts w:eastAsia="Amiri" w:cs="Amiri" w:ascii="Amiri" w:hAnsi="Amiri"/>
          <w:color w:val="111111"/>
          <w:sz w:val="28"/>
          <w:szCs w:val="28"/>
          <w:rtl w:val="true"/>
          <w:lang w:bidi="ar-SA"/>
        </w:rPr>
        <w:t>...)</w:t>
      </w:r>
      <w:r>
        <w:rPr>
          <w:rStyle w:val="FootnoteAnchor"/>
          <w:rtl w:val="true"/>
        </w:rPr>
        <w:footnoteReference w:id="9"/>
      </w:r>
      <w:r>
        <w:rPr>
          <w:rFonts w:ascii="IRNazanin" w:hAnsi="IRNazanin" w:eastAsia="IRNazanin"/>
          <w:color w:val="111111"/>
          <w:sz w:val="28"/>
          <w:sz w:val="28"/>
          <w:szCs w:val="28"/>
          <w:rtl w:val="true"/>
          <w:lang w:bidi="fa-IR"/>
        </w:rPr>
        <w:t xml:space="preserve">دعا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علياً وفاطمة وحسناً وحسيناً،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هؤلاء أهلي</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وروى مسلم أيضاً بسنده عن شعبة، عن سعد بن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إبراهيم بن سعد، عن سعد، عن النبي صلی الله علیه و آله و سلم أنّه قال لعلي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ترضى أن تكون مني بمنزلة هارون من موسى</w:t>
      </w:r>
      <w:r>
        <w:rPr>
          <w:rFonts w:eastAsia="IRNazanin" w:cs="IRNazanin"/>
          <w:color w:val="111111"/>
          <w:sz w:val="28"/>
          <w:szCs w:val="28"/>
          <w:rtl w:val="true"/>
          <w:lang w:bidi="fa-IR"/>
        </w:rPr>
        <w:t>».</w:t>
      </w:r>
      <w:r>
        <w:rPr>
          <w:rStyle w:val="FootnoteAnchor"/>
          <w:rtl w:val="true"/>
        </w:rPr>
        <w:footnoteReference w:id="11"/>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النسائي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عامر بن سعد بن أبي وقاص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معاوية سعداً،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يمنعك أن تسبّ أبا تراب؟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ذكرت ثلاثاً قالهن رسول الله صلی الله علیه و آله و سلم، فلن أسبّه، لأن تكون لي واحدة منها أحبّ إليّ من حمر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 سلم يقول له وخلّفه في بعض مغازيه، فقال له 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أتخلّفني مع النساء والصبيان؟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رسول الله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ترضى أن تكون منّي بمنزلة هارون من موسى، إلا أنّه لا نبوة بعدي؟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وسمعته يقول يوم خيبر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لأعطينّ الراية غداً رجلاً بحبّ الله ورسوله، ويحبّه الله ورسوله، فتطاولنا إليها،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ادعوا </w:t>
      </w:r>
    </w:p>
    <w:p>
      <w:pPr>
        <w:pStyle w:val="BookText"/>
        <w:rPr/>
      </w:pPr>
      <w:r>
        <w:rPr>
          <w:rFonts w:ascii="Amiri" w:hAnsi="Amiri" w:eastAsia="Amiri" w:cs="Amiri"/>
          <w:color w:val="111111"/>
          <w:sz w:val="28"/>
          <w:sz w:val="28"/>
          <w:szCs w:val="28"/>
          <w:rtl w:val="true"/>
          <w:lang w:bidi="ar-SA"/>
        </w:rPr>
        <w:t>لي علياً، فأتي به أرمد، فبصق في عينيه ودفع الراية إليه، ولمّا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12"/>
      </w:r>
      <w:r>
        <w:rPr>
          <w:rFonts w:ascii="IRNazanin" w:hAnsi="IRNazanin" w:eastAsia="IRNazanin"/>
          <w:color w:val="111111"/>
          <w:sz w:val="28"/>
          <w:sz w:val="28"/>
          <w:szCs w:val="28"/>
          <w:rtl w:val="true"/>
          <w:lang w:bidi="fa-IR"/>
        </w:rPr>
        <w:t>دعا رسول الله صلی الله علیه و آله و سلم علياً وفاطمة وحسناً وحسيناً،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هؤلاء أهلي</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وأخرج الإمام أحمد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سعيد بن المسيب، عن عامر بن سعد، عن أبيه سعد سمع النبي صلی الله علیه و آله و سلم يقول لعلي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ترضى أن تكون مني بمنزلة هارون من موسی، إلا أنّه ليس بعدي 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فأحببت أن أشافه بذلك سعداً، فلقيته فذكرت له ما ذكرني عامر،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 إصبعيه في أذنيه،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إستُکَّتا</w:t>
      </w:r>
      <w:r>
        <w:rPr>
          <w:rStyle w:val="FootnoteAnchor"/>
          <w:rtl w:val="true"/>
        </w:rPr>
        <w:footnoteReference w:id="14"/>
      </w:r>
      <w:r>
        <w:rPr>
          <w:rFonts w:ascii="IRNazanin" w:hAnsi="IRNazanin" w:eastAsia="IRNazanin"/>
          <w:color w:val="111111"/>
          <w:sz w:val="28"/>
          <w:sz w:val="28"/>
          <w:szCs w:val="28"/>
          <w:rtl w:val="true"/>
          <w:lang w:bidi="fa-IR"/>
        </w:rPr>
        <w:t xml:space="preserve">، إن لم أكن سمعته من النبي صلی الله علیه و آله و سلم </w:t>
      </w:r>
      <w:r>
        <w:rPr>
          <w:rStyle w:val="FootnoteAnchor"/>
          <w:rtl w:val="true"/>
        </w:rPr>
        <w:footnoteReference w:id="15"/>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ابن سعد في الطبقات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أبي سعيد،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 رسول الله صلی الله علیه و آله و سلم غزوة تبوك، وخلّف علياً في أهله، فقال بعض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منعه أن يخرج به، إلا أنه كره صحبته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ذلك علياً، فذكره للنبي صلی الله علیه و آله و سلم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ترضى أن تنزل منّي </w:t>
      </w:r>
    </w:p>
    <w:p>
      <w:pPr>
        <w:pStyle w:val="BookText"/>
        <w:rPr/>
      </w:pPr>
      <w:r>
        <w:rPr>
          <w:rFonts w:ascii="Amiri" w:hAnsi="Amiri" w:eastAsia="Amiri" w:cs="Amiri"/>
          <w:color w:val="111111"/>
          <w:sz w:val="28"/>
          <w:sz w:val="28"/>
          <w:szCs w:val="28"/>
          <w:rtl w:val="true"/>
          <w:lang w:bidi="ar-SA"/>
        </w:rPr>
        <w:t>بمنزلة هارون من موسى</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وعن عبد الله بن شريك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عبد الله بن رقيم الكناني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قدمنا المدينة، فلقينا سعد بن مالك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رسول الله صلی الله علیه و آله و سلم إلى تبوك، وخلّف علياً،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خرجت وخلفتني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ترضى أن تكون منّي بمنزلة هارون من موسى، إلا أنّه لا نبيّ بعدي</w:t>
      </w:r>
      <w:r>
        <w:rPr>
          <w:rFonts w:eastAsia="IRNazanin" w:cs="IRNazanin"/>
          <w:color w:val="111111"/>
          <w:sz w:val="28"/>
          <w:szCs w:val="28"/>
          <w:rtl w:val="true"/>
          <w:lang w:bidi="fa-IR"/>
        </w:rPr>
        <w:t>» .</w:t>
      </w:r>
      <w:r>
        <w:rPr>
          <w:rStyle w:val="FootnoteAnchor"/>
          <w:rtl w:val="true"/>
        </w:rPr>
        <w:footnoteReference w:id="17"/>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سعيد بن المسيب،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لسعد 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اُريد أن أسألك عن حديث، وأنا أهابك أن أسألك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تفعل يا ابن أخي، إذا علمت أنّ عندي علماً، فسلني عنه ولا تهبني، فقلت قول رسول الله صلی الله علیه و آله و سلم، لعلي حين خلّفه بالمدينة في غزوة تبوك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أتخلفني في الخالفة </w:t>
      </w:r>
      <w:r>
        <w:rPr>
          <w:rStyle w:val="FootnoteAnchor"/>
          <w:rtl w:val="true"/>
        </w:rPr>
        <w:footnoteReference w:id="18"/>
      </w:r>
      <w:r>
        <w:rPr>
          <w:rFonts w:ascii="IRNazanin" w:hAnsi="IRNazanin" w:eastAsia="IRNazanin"/>
          <w:color w:val="111111"/>
          <w:sz w:val="28"/>
          <w:sz w:val="28"/>
          <w:szCs w:val="28"/>
          <w:rtl w:val="true"/>
          <w:lang w:bidi="fa-IR"/>
        </w:rPr>
        <w:t>في النساء والصبيان؟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ترضى أن تكون مني بمنزلة هارون من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فأدبر علي مسرعاً، وكأنّي أنظر إلى غبار قدميه يسطع</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وفي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بسنده عن سعيد بن المسيب، عن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 في غزوة تبوك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خلفتك أن تكون خليفتي في أهلي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أتخلف بعدك يا نبي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ترضى أن تكون مني بمنزلة هارون من موسى، إلا أنّه لا نبي بعدي؟</w:t>
      </w:r>
      <w:r>
        <w:rPr>
          <w:rFonts w:eastAsia="IRNazanin" w:cs="IRNazanin"/>
          <w:color w:val="111111"/>
          <w:sz w:val="28"/>
          <w:szCs w:val="28"/>
          <w:rtl w:val="true"/>
          <w:lang w:bidi="fa-IR"/>
        </w:rPr>
        <w:t>».</w:t>
      </w:r>
      <w:r>
        <w:rPr>
          <w:rStyle w:val="FootnoteAnchor"/>
          <w:rtl w:val="true"/>
        </w:rPr>
        <w:footnoteReference w:id="20"/>
      </w:r>
      <w:r>
        <w:rPr>
          <w:rFonts w:ascii="Amiri" w:hAnsi="Amiri" w:eastAsia="Amiri" w:cs="Amiri"/>
          <w:color w:val="111111"/>
          <w:sz w:val="28"/>
          <w:sz w:val="28"/>
          <w:szCs w:val="28"/>
          <w:rtl w:val="true"/>
          <w:lang w:bidi="ar-SA"/>
        </w:rPr>
        <w:t xml:space="preserve">ورواه المتقي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Style w:val="FootnoteAnchor"/>
          <w:rtl w:val="true"/>
        </w:rPr>
        <w:footnoteReference w:id="21"/>
      </w:r>
      <w:r>
        <w:rPr>
          <w:rFonts w:ascii="Amiri" w:hAnsi="Amiri" w:eastAsia="Amiri" w:cs="Amiri"/>
          <w:color w:val="111111"/>
          <w:sz w:val="28"/>
          <w:sz w:val="28"/>
          <w:szCs w:val="28"/>
          <w:rtl w:val="true"/>
          <w:lang w:bidi="ar-SA"/>
        </w:rPr>
        <w:t>، والهيثمي في مجمعه</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وفي رواية عن سعيد بن المسيب،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سمعت سعدة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لعلي بن أبي 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ترضى أن تكون منّي بمنزلة هارون من موسى، إلا أنه لا نبي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الحضرمي في حديثه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رضیت رضيت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بسنده عن الحكم، عن مصعب بن سعد، عن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رسول الله صلی الله علیه و آله و سلم ماء علي بن أبي طالب في غزوة تبوك،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أتخلّفني في النساء والصبيان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ترضى أن تكون مني بمنزلة هارون من </w:t>
      </w:r>
    </w:p>
    <w:p>
      <w:pPr>
        <w:pStyle w:val="BookText"/>
        <w:rPr/>
      </w:pPr>
      <w:r>
        <w:rPr>
          <w:rFonts w:ascii="Amiri" w:hAnsi="Amiri" w:eastAsia="Amiri" w:cs="Amiri"/>
          <w:color w:val="111111"/>
          <w:sz w:val="28"/>
          <w:sz w:val="28"/>
          <w:szCs w:val="28"/>
          <w:rtl w:val="true"/>
          <w:lang w:bidi="ar-SA"/>
        </w:rPr>
        <w:t>موسى، إلا أنه لا نبي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مشهور من حديث شعبة عن الحكم </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وروى المتقي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عن عامر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لعلي ثلاث خصال، لأن یكون لي واحدة منهن أحبّ إليّ من حمر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على رسول الله صلی الله علیه و آله و سلم الوحي، فأدخل عليّاً وفاطمة وابنيهما، تحت ثوبه،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هؤلاء أهلي وأهل بيتي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له حين خلّفه في غزاة غزاها، فقال 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خلّفتني مع النساء والصبيان؟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رسول الله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ترضی أن تكون منّي بمنزلة هارون من موسى، إلا أنّه لا نبوةّ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يوم خيبر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لاُعطينّ الراية رجلاّ يحبّ الله ورسوله، ويحبّه الله ورسوله، يفتح الله على يديه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فتطاول المهاجرون الرسول الله صلی الله علیه و آله و سلم، ليراهم،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رمِدٌ،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فدعوه، فبصق في عينيه، ففتح الله على 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أخرجه ابن النجار</w:t>
      </w:r>
      <w:r>
        <w:rPr>
          <w:rFonts w:eastAsia="IRNazanin" w:cs="IRNazanin"/>
          <w:color w:val="111111"/>
          <w:sz w:val="28"/>
          <w:szCs w:val="28"/>
          <w:rtl w:val="true"/>
          <w:lang w:bidi="fa-IR"/>
        </w:rPr>
        <w:t>.</w:t>
      </w:r>
      <w:r>
        <w:rPr>
          <w:rStyle w:val="FootnoteAnchor"/>
          <w:rtl w:val="true"/>
        </w:rPr>
        <w:footnoteReference w:id="25"/>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الهيثمي في مجمع الزوائد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بسنده </w:t>
      </w:r>
      <w:bookmarkStart w:id="30" w:name="pg8095_81565"/>
    </w:p>
    <w:p>
      <w:pPr>
        <w:pStyle w:val="BookText"/>
        <w:rPr/>
      </w:pPr>
      <w:bookmarkEnd w:id="30"/>
      <w:r>
        <w:rPr>
          <w:rFonts w:ascii="IRNazanin" w:hAnsi="IRNazanin" w:eastAsia="IRNazanin"/>
          <w:color w:val="111111"/>
          <w:sz w:val="28"/>
          <w:sz w:val="28"/>
          <w:szCs w:val="28"/>
          <w:rtl w:val="true"/>
          <w:lang w:bidi="fa-IR"/>
        </w:rPr>
        <w:t>عن أم سلمة، أن النبي صلی الله علیه و آله و سلم، قال لعلي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ترضی أن تكون منّي بمنزلة هارون من موسی، إلا أنّه لا نبي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أبو يعلى والطبراني</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وفي رواية أخرى عن ابن عمر، أنّ النبي صلی الله علیه و آله و سلم ما قال لعلي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ترضى أن تكون مني بمنزلة هارون من موسى، إلا أنّه لا نبوة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الطبراني في الكبير والأوسط </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وروى ابن حجر العسقلاني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الإصابة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النبي صلی الله علیه و آله و سلم الله قال لعلي في غزوة تبوك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أنت مني بمنزلة هارون من موسى، إلا أنّك لست بنبي، أي لا ينبغي أن أذهب إلا وأنت خليفتي </w:t>
      </w:r>
      <w:r>
        <w:rPr>
          <w:rFonts w:eastAsia="IRNazanin" w:cs="IRNazanin"/>
          <w:color w:val="111111"/>
          <w:sz w:val="28"/>
          <w:szCs w:val="28"/>
          <w:rtl w:val="true"/>
          <w:lang w:bidi="fa-IR"/>
        </w:rPr>
        <w:t>».</w:t>
      </w:r>
      <w:r>
        <w:rPr>
          <w:rStyle w:val="FootnoteAnchor"/>
          <w:rtl w:val="true"/>
        </w:rPr>
        <w:footnoteReference w:id="28"/>
      </w:r>
    </w:p>
    <w:p>
      <w:pPr>
        <w:pStyle w:val="Heading4"/>
        <w:numPr>
          <w:ilvl w:val="3"/>
          <w:numId w:val="1"/>
        </w:numPr>
        <w:rPr/>
      </w:pPr>
      <w:bookmarkStart w:id="31" w:name="__RefHeading___Toc7912234_1051229030"/>
      <w:bookmarkStart w:id="32" w:name="_Toc10"/>
      <w:bookmarkEnd w:id="31"/>
      <w:r>
        <w:rPr/>
        <w:t>2</w:t>
      </w:r>
      <w:r>
        <w:rPr>
          <w:rtl w:val="true"/>
        </w:rPr>
        <w:t xml:space="preserve">- </w:t>
      </w:r>
      <w:r>
        <w:rPr>
          <w:rtl w:val="true"/>
        </w:rPr>
        <w:t>رواة الشيعة</w:t>
      </w:r>
      <w:bookmarkEnd w:id="32"/>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للكليني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خطبة لأمير المؤمنين عليه السلام، وهي خطبة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معمر، عن محمد بن علي بن عكاية التميمي، عن الحسين بن النضر الفهري، عن </w:t>
      </w:r>
    </w:p>
    <w:p>
      <w:pPr>
        <w:pStyle w:val="BookText"/>
        <w:rPr/>
      </w:pPr>
      <w:r>
        <w:rPr>
          <w:rFonts w:ascii="IRNazanin" w:hAnsi="IRNazanin" w:eastAsia="IRNazanin"/>
          <w:color w:val="111111"/>
          <w:sz w:val="28"/>
          <w:sz w:val="28"/>
          <w:szCs w:val="28"/>
          <w:rtl w:val="true"/>
          <w:lang w:bidi="fa-IR"/>
        </w:rPr>
        <w:t xml:space="preserve">أبي عمرو الأوزاعي، عن عمرو بن شمر، عن جابر بن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 طويل، نذكر منه ما يتعلّق بموضوعنا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جعفر </w:t>
      </w:r>
      <w:r>
        <w:rPr>
          <w:rStyle w:val="FootnoteAnchor"/>
          <w:rtl w:val="true"/>
        </w:rPr>
        <w:footnoteReference w:id="29"/>
      </w:r>
      <w:r>
        <w:rPr>
          <w:rFonts w:ascii="Amiri" w:hAnsi="Amiri" w:eastAsia="Amiri" w:cs="Amiri"/>
          <w:color w:val="111111"/>
          <w:sz w:val="28"/>
          <w:sz w:val="28"/>
          <w:szCs w:val="28"/>
          <w:rtl w:val="true"/>
          <w:lang w:bidi="ar-SA"/>
        </w:rPr>
        <w:t>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قد أرمضني </w:t>
      </w:r>
      <w:r>
        <w:rPr>
          <w:rStyle w:val="FootnoteAnchor"/>
          <w:rtl w:val="true"/>
        </w:rPr>
        <w:footnoteReference w:id="30"/>
      </w:r>
      <w:r>
        <w:rPr>
          <w:rFonts w:ascii="IRNazanin" w:hAnsi="IRNazanin" w:eastAsia="IRNazanin"/>
          <w:color w:val="111111"/>
          <w:sz w:val="28"/>
          <w:sz w:val="28"/>
          <w:szCs w:val="28"/>
          <w:rtl w:val="true"/>
          <w:lang w:bidi="fa-IR"/>
        </w:rPr>
        <w:t>اختلاف الشيعة في مذاهبها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اسمع وع وبلغ حيث انتهت بك راحلتك، إن أمير المؤمنین عليه السلام خطب الناس بالمدينة بعد سبعة أيّام من وفاة رسول الله صلی الله علیه و آله و سلم  وذلك حين فرغ من جمع القرآن، وتأليفه فقال</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لله الذي منع الأوهام أن تنال إلا وجوده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تبارك اسمه امتحن بي عباده وقتل بيدي أضداده وأفنی بسيفي جُحّاده وجعلني زلفة للمؤمنين وحياض موت على الجبارين وسيفه على المجرمين وشدّ بي أزر رسوله وأكرمني بنصره وشرفني بعلمه وحباني بأحكامه واختصّني بوصيته واصطفاني بخلافته في أمّته، فقال صلی الله علیه و آله و سلم ما وقد حشده المهاجرون والأنصار وانغصّت بهم المحافل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 علياً مني كهارون</w:t>
      </w:r>
      <w:r>
        <w:rPr>
          <w:rStyle w:val="FootnoteAnchor"/>
          <w:rtl w:val="true"/>
        </w:rPr>
        <w:footnoteReference w:id="31"/>
      </w:r>
      <w:r>
        <w:rPr>
          <w:rFonts w:ascii="IRNazanin" w:hAnsi="IRNazanin" w:eastAsia="IRNazanin"/>
          <w:color w:val="111111"/>
          <w:sz w:val="28"/>
          <w:sz w:val="28"/>
          <w:szCs w:val="28"/>
          <w:rtl w:val="true"/>
          <w:lang w:bidi="fa-IR"/>
        </w:rPr>
        <w:t xml:space="preserve">من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موسى إلا أنّه لا نبيّ بعدي، فعقل المؤمنون عن الله نطق الرسول إذ عرفوني أنّي لست بأخيه لأبيه وأمّه، كما كان هارون أخا موسى لأبيه وأمّه ولا كنت نبياً فاقتضى نبوّة ولكن كان ذلك منه استخلافاّ لي كما استخلف موسی هارون علیه السلام حيث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اخْلُفْنِي فِي قَوْمِي وَأَصْلِحْ وَلَا تَتَّبِعْ سَبِيلَ الْمُفْسِدِينَ </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
      </w: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للشيخ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عمرو، عن ابن عقدة، عن أحمد بن يحيى، عن عبد الرحمان بن شريك، عن أبيه، عن الأعمش، عن عطية، 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لعلي بن أبي طالب علیه السلام في غزوة تبوك </w:t>
      </w:r>
      <w:r>
        <w:rPr>
          <w:rStyle w:val="FootnoteAnchor"/>
          <w:rtl w:val="true"/>
        </w:rPr>
        <w:footnoteReference w:id="3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اخلفني في أهلي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إني أكره أن تقول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خذل ابن عمّه وتخلف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ترضى أن تكون مني بمنزلة هارون من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صلی الله علیه و آله و سلم </w:t>
      </w:r>
      <w:r>
        <w:rPr>
          <w:rFonts w:eastAsia="IRNazanin" w:cs="IRNazanin"/>
          <w:color w:val="111111"/>
          <w:sz w:val="28"/>
          <w:szCs w:val="28"/>
          <w:rtl w:val="true"/>
          <w:lang w:bidi="fa-IR"/>
        </w:rPr>
        <w:t xml:space="preserve">: </w:t>
      </w:r>
      <w:bookmarkStart w:id="33" w:name="pg8095_81568"/>
    </w:p>
    <w:p>
      <w:pPr>
        <w:pStyle w:val="BookText"/>
        <w:rPr/>
      </w:pPr>
      <w:bookmarkEnd w:id="3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فاخلفني</w:t>
      </w:r>
      <w:r>
        <w:rPr>
          <w:rFonts w:eastAsia="Amiri" w:cs="Amiri" w:ascii="Amiri" w:hAnsi="Amiri"/>
          <w:color w:val="111111"/>
          <w:sz w:val="28"/>
          <w:szCs w:val="28"/>
          <w:rtl w:val="true"/>
          <w:lang w:bidi="ar-SA"/>
        </w:rPr>
        <w:t>».</w:t>
      </w:r>
      <w:r>
        <w:rPr>
          <w:rStyle w:val="FootnoteAnchor"/>
          <w:rtl w:val="true"/>
        </w:rPr>
        <w:footnoteReference w:id="35"/>
      </w:r>
    </w:p>
    <w:p>
      <w:pPr>
        <w:pStyle w:val="Heading4"/>
        <w:numPr>
          <w:ilvl w:val="3"/>
          <w:numId w:val="1"/>
        </w:numPr>
        <w:rPr/>
      </w:pPr>
      <w:bookmarkStart w:id="34" w:name="__RefHeading___Toc7912236_1051229030"/>
      <w:bookmarkStart w:id="35" w:name="_Toc11"/>
      <w:bookmarkEnd w:id="34"/>
      <w:r>
        <w:rPr>
          <w:rtl w:val="true"/>
        </w:rPr>
        <w:t>ملاحظات على حديث غزوة تبوك</w:t>
      </w:r>
      <w:r>
        <w:rPr>
          <w:rtl w:val="true"/>
        </w:rPr>
        <w:t>:</w:t>
      </w:r>
      <w:bookmarkEnd w:id="3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أظهر الإمام علي علیه السلام حزنه من التخلف عن الغزو مع النبي صلی الله علیه و آله و سلم، فأجابه رسول الله صلی الله علیه و آله و سلم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ترضی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ولكن في بعض الروايات لم يبدأ بهذه البداية ممّا يدلّ على أنّها لم تكن في تبوك، وهذا ما يؤكّد أنّ النبي صلی الله علیه و آله و سلم قد كرّر الحديث في مواقف مختلفة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اختيار النبي صلی الله علیه و آله و سلم لهذا الموقف من أجل ذكر هذه الجملة يدلّ على اهتمام النبيّ الإسماع هذا الأمر إلى أكبر عدد ممكن من الصحابة، فكلّ المحاربين كانوا مجتمعين استعداداّ للخروج، وأكثر من لا يحارب من النساء والأطفال والشيوخ وأمثالهم كانوا حاضرين أيضاّ لوداع الجيش قبل خروجه، وقد سمعوا جميعاً مقالة النبي ورووه من بعد، ولذا كان رواة هذا الحديث كثيرين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يبيّن هذا الحديث أن النبي صلی الله علیه و آله و سلم كان يحزن لحزن علي علیه السلام ويحاول إرضاءه بأحسن </w:t>
      </w:r>
    </w:p>
    <w:p>
      <w:pPr>
        <w:pStyle w:val="BookText"/>
        <w:rPr/>
      </w:pPr>
      <w:r>
        <w:rPr>
          <w:rFonts w:ascii="Amiri" w:hAnsi="Amiri" w:eastAsia="Amiri" w:cs="Amiri"/>
          <w:color w:val="111111"/>
          <w:sz w:val="28"/>
          <w:sz w:val="28"/>
          <w:szCs w:val="28"/>
          <w:rtl w:val="true"/>
          <w:lang w:bidi="ar-SA"/>
        </w:rPr>
        <w:t>وجه، ولذلك شبه استخلافه له بأفضل ما يمكن تشبيهه به، ألا وهو استخلاف موسى عليه السلام الأخيه هارون عند استجابته لميعاد ربّه،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وَوَاعَدْنَا مُوسَى ثَلَاثِينَ لَيْلَةً وَأَتْمَمْنَاهَا بِعَشْرٍ فَتَمَّ مِيقَاتُ رَبِّهِ أَرْبَعِينَ لَيْلَةً وَقَالَ مُوسَى لِأَخِيهِ هَارُونَ اخْلُفْنِي فِي قَوْمِي وَأَصْلِحْ وَلَا تَتَّبِعْ سَبِيلَ الْمُفْسِدِينَ </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سبب استخلاف الإمام في المدينة أنّه كان يُخشى أن يستغلّ الأعداء خروج الجيش من المدينة فيهاجمونها؛ إذ لا حامي لها، فاستخلف النبي صلی الله علیه و آله و سلم علياً الكلية مع نفر من الجيش للدفاع عن البلد</w:t>
      </w:r>
      <w:r>
        <w:rPr>
          <w:rFonts w:eastAsia="IRNazanin" w:cs="IRNazanin"/>
          <w:color w:val="111111"/>
          <w:sz w:val="28"/>
          <w:szCs w:val="28"/>
          <w:rtl w:val="true"/>
          <w:lang w:bidi="fa-IR"/>
        </w:rPr>
        <w:t>.</w:t>
      </w:r>
      <w:bookmarkStart w:id="36" w:name="pg8095_81570"/>
    </w:p>
    <w:p>
      <w:pPr>
        <w:pStyle w:val="Heading3"/>
        <w:numPr>
          <w:ilvl w:val="2"/>
          <w:numId w:val="1"/>
        </w:numPr>
        <w:rPr/>
      </w:pPr>
      <w:bookmarkStart w:id="37" w:name="__RefHeading___Toc7912238_1051229030"/>
      <w:bookmarkStart w:id="38" w:name="_Toc12"/>
      <w:bookmarkEnd w:id="36"/>
      <w:bookmarkEnd w:id="37"/>
      <w:r>
        <w:rPr>
          <w:rtl w:val="true"/>
        </w:rPr>
        <w:t>ثانياً</w:t>
      </w:r>
      <w:r>
        <w:rPr>
          <w:rtl w:val="true"/>
        </w:rPr>
        <w:t xml:space="preserve">: </w:t>
      </w:r>
      <w:r>
        <w:rPr>
          <w:rtl w:val="true"/>
        </w:rPr>
        <w:t>حديث المنزلة في غير تبوك</w:t>
      </w:r>
      <w:bookmarkEnd w:id="38"/>
    </w:p>
    <w:p>
      <w:pPr>
        <w:pStyle w:val="Heading4"/>
        <w:numPr>
          <w:ilvl w:val="3"/>
          <w:numId w:val="1"/>
        </w:numPr>
        <w:rPr/>
      </w:pPr>
      <w:bookmarkStart w:id="39" w:name="__RefHeading___Toc7912240_1051229030"/>
      <w:bookmarkStart w:id="40" w:name="_Toc13"/>
      <w:bookmarkEnd w:id="39"/>
      <w:r>
        <w:rPr/>
        <w:t>1</w:t>
      </w:r>
      <w:r>
        <w:rPr>
          <w:rtl w:val="true"/>
        </w:rPr>
        <w:t xml:space="preserve">- </w:t>
      </w:r>
      <w:r>
        <w:rPr>
          <w:rtl w:val="true"/>
        </w:rPr>
        <w:t>رواة أهل السنّة</w:t>
      </w:r>
      <w:bookmarkEnd w:id="40"/>
    </w:p>
    <w:p>
      <w:pPr>
        <w:pStyle w:val="BookText"/>
        <w:rPr/>
      </w:pPr>
      <w:r>
        <w:rPr>
          <w:rFonts w:ascii="IRNazanin" w:hAnsi="IRNazanin" w:eastAsia="IRNazanin"/>
          <w:color w:val="111111"/>
          <w:sz w:val="28"/>
          <w:sz w:val="28"/>
          <w:szCs w:val="28"/>
          <w:rtl w:val="true"/>
          <w:lang w:bidi="fa-IR"/>
        </w:rPr>
        <w:t>روى مسلم في صحيحه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سعيد بن المسيّب، عن عامر بن سعد بن أبي وقّاص،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لعلي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منّي بمنزلة هارون من موسى، إلا أنّه لا نبي بعدي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فأحببت أن اُشافه بها سعداً، فلقيت سعداً، فحدّثته بما حدّثني عامر،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سمعته،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سمعته؟ فوضع إصبعيه على اُذنيه،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وإلا فَاستّکتا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بسنده عن أبي 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كان أوّل يوم في البيعة لعثمان، اجتمع المهاجرون والأنصار في المسجد، وجاء علي بن أبي طالب فأنشأ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أحقّ ما ابتدأ به المبتدئون، ونطق به الناطقون، وتفوّه به القائلون، حمد الله وثناء عليه بما هو أهله، والصلاة على النبيّ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تعلمون أنّ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منّي بمنزلة هارون من موسى إلا أنّه لا نبيّ بعدي ؟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لخلق مثل هذه المنزلة؟ نحن صابرون، ليقضي الله أمراً كان مفعولا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ابن عساکر</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وروى ابن عبد البرّ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الاستيعاب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يحيى بن مَعين، عن عثمان بن معاوية الفزاري، عن موسى الجهني، عن فاطمة بنت علي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أسماء بنت عمیس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 سلم يقول لعلي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منّي بمنزلة هارون من موسى، إلا أنّه ليس بعدي نبيّ</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وروى الحافظ أبو نعيم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حلية الأولياء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حبشي بن جنادة،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لعلي رضي الله تعالی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منّي بمنزلة هارون من موسى، إلا أنّه لا نبيّ بعدي</w:t>
      </w:r>
      <w:r>
        <w:rPr>
          <w:rFonts w:eastAsia="IRNazanin" w:cs="IRNazanin"/>
          <w:color w:val="111111"/>
          <w:sz w:val="28"/>
          <w:szCs w:val="28"/>
          <w:rtl w:val="true"/>
          <w:lang w:bidi="fa-IR"/>
        </w:rPr>
        <w:t>»</w:t>
      </w:r>
      <w:r>
        <w:rPr>
          <w:rStyle w:val="FootnoteAnchor"/>
          <w:rtl w:val="true"/>
        </w:rPr>
        <w:footnoteReference w:id="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الهيثمي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
      </w:r>
      <w:r>
        <w:rPr>
          <w:rFonts w:ascii="Amiri" w:hAnsi="Amiri" w:eastAsia="Amiri" w:cs="Amiri"/>
          <w:color w:val="111111"/>
          <w:sz w:val="28"/>
          <w:sz w:val="28"/>
          <w:szCs w:val="28"/>
          <w:rtl w:val="true"/>
          <w:lang w:bidi="ar-SA"/>
        </w:rPr>
        <w:t>نقلاّ عن الطبراني في الثلاثة</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الخطيب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إلى المأمون، عن الرشيد، عن المهدي،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 سفيان الثوري،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bookmarkStart w:id="41" w:name="pg8095_81572"/>
    </w:p>
    <w:p>
      <w:pPr>
        <w:pStyle w:val="BookText"/>
        <w:rPr/>
      </w:pPr>
      <w:bookmarkEnd w:id="41"/>
      <w:r>
        <w:rPr>
          <w:rFonts w:ascii="IRNazanin" w:hAnsi="IRNazanin" w:eastAsia="IRNazanin"/>
          <w:color w:val="111111"/>
          <w:sz w:val="28"/>
          <w:sz w:val="28"/>
          <w:szCs w:val="28"/>
          <w:rtl w:val="true"/>
          <w:lang w:bidi="fa-IR"/>
        </w:rPr>
        <w:t>بأفضل فضيلة عندك لعلي،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سلمة بن کھیل، عن حجية بن عدي، عن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منّي بمنزلة هارون من موسى، إلا أنّه لا نبيّ بعدي</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وروى المتّقي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كفّوا عن ذكر علي بن أبي طالب، فإنّي سمعت رسول الله صلی الله علیه و آله و 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عليّ ثلاث خصال لأن يكون لي واحدة منهنّ، أحب إليّ ممّا طلعت عليه الشمس، كنت أنا وأبو بكر وأبو عبيدة بن الجرّاح، ونفر من أصحاب رسول الله صلی الله علیه و آله و سلم والنبيّ متّكئ على علي بن أبي طالب، حتّى ضرب بيده على منكبه،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با علي أوّل المؤمنين إيماناً، وأوّلهم إسلاما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منّي بمنزلة هارون من موسی، و کذب عليّ من زعم أنّه يحبّني ويبغضك</w:t>
      </w:r>
      <w:r>
        <w:rPr>
          <w:rFonts w:eastAsia="IRNazanin" w:cs="IRNazanin"/>
          <w:color w:val="111111"/>
          <w:sz w:val="28"/>
          <w:szCs w:val="28"/>
          <w:rtl w:val="true"/>
          <w:lang w:bidi="fa-IR"/>
        </w:rPr>
        <w:t>».</w:t>
      </w:r>
      <w:r>
        <w:rPr>
          <w:rStyle w:val="FootnoteAnchor"/>
          <w:rtl w:val="true"/>
        </w:rPr>
        <w:footnoteReference w:id="43"/>
      </w:r>
    </w:p>
    <w:p>
      <w:pPr>
        <w:pStyle w:val="Heading4"/>
        <w:numPr>
          <w:ilvl w:val="3"/>
          <w:numId w:val="1"/>
        </w:numPr>
        <w:rPr/>
      </w:pPr>
      <w:bookmarkStart w:id="42" w:name="__RefHeading___Toc7912242_1051229030"/>
      <w:bookmarkStart w:id="43" w:name="_Toc14"/>
      <w:bookmarkEnd w:id="42"/>
      <w:r>
        <w:rPr/>
        <w:t>2</w:t>
      </w:r>
      <w:r>
        <w:rPr>
          <w:rtl w:val="true"/>
        </w:rPr>
        <w:t xml:space="preserve">- </w:t>
      </w:r>
      <w:r>
        <w:rPr>
          <w:rtl w:val="true"/>
        </w:rPr>
        <w:t>رواة الشيعة</w:t>
      </w:r>
      <w:bookmarkEnd w:id="43"/>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عبدالله بن صالح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يعقوب بن </w:t>
      </w:r>
    </w:p>
    <w:p>
      <w:pPr>
        <w:pStyle w:val="BookText"/>
        <w:rPr/>
      </w:pPr>
      <w:r>
        <w:rPr>
          <w:rFonts w:ascii="IRNazanin" w:hAnsi="IRNazanin" w:eastAsia="IRNazanin"/>
          <w:color w:val="111111"/>
          <w:sz w:val="28"/>
          <w:sz w:val="28"/>
          <w:szCs w:val="28"/>
          <w:rtl w:val="true"/>
          <w:lang w:bidi="fa-IR"/>
        </w:rPr>
        <w:t>حمید بن کاسب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سفيان بن عيينة، عن أبي نجيح، عن أبيه، عن ربيعة الجرشي أنّه ذكر علياً علیه السلام عند معاوية وعنده سعد بن أبي وقّاص فقال له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 علياً، أما إنّ له مناقب أربع لأن تكون لي واحدة منها أحبَ إليّ من كذا وكذا وذكر حمر النعم، قوله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لاُعطين الراية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منّي بمنزلة هارون من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ونسي سعد الرابعة</w:t>
      </w:r>
      <w:r>
        <w:rPr>
          <w:rFonts w:eastAsia="IRNazanin" w:cs="IRNazanin"/>
          <w:color w:val="111111"/>
          <w:sz w:val="28"/>
          <w:szCs w:val="28"/>
          <w:rtl w:val="true"/>
          <w:lang w:bidi="fa-IR"/>
        </w:rPr>
        <w:t>.</w:t>
      </w:r>
      <w:r>
        <w:rPr>
          <w:rStyle w:val="FootnoteAnchor"/>
          <w:rtl w:val="true"/>
        </w:rPr>
        <w:footnoteReference w:id="44"/>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المظفّر بن جعفر بن المظفّر العلوي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مسعود،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حدّبثنا نصر بن أحمد البغدادي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عبيد بن عتبة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إسماعيل بن أبان، عن سالم بن أبي عمرة، عن معروف بن خربوذ، عن أبي الطفيل، عن حذيفة بن أسيد الغفاري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النبي صلی الله علیه و آله و سلم قام خطيباً،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رجالاً لا يجدون في أنفسهم إن أسكن علياً في المسجد وأخرجهم، والله ما أخرجتهم وأسكنته، بل الله أخرجهم وأسكنه، إنّ الله عزّ وجلّ أوحي إلى </w:t>
      </w:r>
    </w:p>
    <w:p>
      <w:pPr>
        <w:pStyle w:val="BookText"/>
        <w:rPr/>
      </w:pPr>
      <w:r>
        <w:rPr>
          <w:rFonts w:ascii="Amiri" w:hAnsi="Amiri" w:eastAsia="Amiri" w:cs="Amiri"/>
          <w:color w:val="111111"/>
          <w:sz w:val="28"/>
          <w:sz w:val="28"/>
          <w:szCs w:val="28"/>
          <w:rtl w:val="true"/>
          <w:lang w:bidi="ar-SA"/>
        </w:rPr>
        <w:t>موسى وأخيه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تَبَوَّآ لِقَوْمِكُمَا بِمِصْرَ بُيُوتًا وَاجْعَلُوا بُيُوتَكُمْ قِبْلَةً وَأَقِيمُوا الصَّلَاةَ </w:t>
      </w:r>
      <w:r>
        <w:rPr>
          <w:rFonts w:eastAsia="Amiri" w:cs="Amiri" w:ascii="Amiri" w:hAnsi="Amiri"/>
          <w:color w:val="111111"/>
          <w:sz w:val="28"/>
          <w:szCs w:val="28"/>
          <w:rtl w:val="true"/>
          <w:lang w:bidi="ar-SA"/>
        </w:rPr>
        <w:t>»</w:t>
      </w:r>
      <w:r>
        <w:rPr>
          <w:rStyle w:val="FootnoteAnchor"/>
          <w:rtl w:val="true"/>
        </w:rPr>
        <w:footnoteReference w:id="45"/>
      </w:r>
      <w:r>
        <w:rPr>
          <w:rFonts w:ascii="Amiri" w:hAnsi="Amiri" w:eastAsia="Amiri" w:cs="Amiri"/>
          <w:color w:val="111111"/>
          <w:sz w:val="28"/>
          <w:sz w:val="28"/>
          <w:szCs w:val="28"/>
          <w:rtl w:val="true"/>
          <w:lang w:bidi="ar-SA"/>
        </w:rPr>
        <w:t>ثم أمر موسى أن لا يسكن مسجده ولا ينكح فيه ولا يدخله جنب إلا هارون وذرّيّته، وأنّ علياً منّي بمنزلة هارون من موسى وهو أخي دون أهلي، ولا يحلّ لأحد أن ينكح فيه النساء إلا علي وذرّيّته، فمن ساءه فهاهنا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وأشار بيده نحو الشام</w:t>
      </w:r>
      <w:r>
        <w:rPr>
          <w:rFonts w:eastAsia="Amiri" w:cs="Amiri" w:ascii="Amiri" w:hAnsi="Amiri"/>
          <w:color w:val="111111"/>
          <w:sz w:val="28"/>
          <w:szCs w:val="28"/>
          <w:rtl w:val="true"/>
          <w:lang w:bidi="ar-SA"/>
        </w:rPr>
        <w:t>.</w:t>
      </w:r>
      <w:r>
        <w:rPr>
          <w:rStyle w:val="FootnoteAnchor"/>
          <w:rtl w:val="true"/>
        </w:rPr>
        <w:footnoteReference w:id="46"/>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علي الأشعري، عن محمّد بن عبدالجبّار، عن الحسن بن علي بن فضّال، عن ثعلبة بن میمون، عن أبي أميّة يوسف بن ثابت بن أبي سعيدة، عن أبي عبد الله </w:t>
      </w:r>
      <w:r>
        <w:rPr>
          <w:rStyle w:val="FootnoteAnchor"/>
          <w:rtl w:val="true"/>
        </w:rPr>
        <w:footnoteReference w:id="47"/>
      </w:r>
      <w:r>
        <w:rPr>
          <w:rFonts w:ascii="IRNazanin" w:hAnsi="IRNazanin" w:eastAsia="IRNazanin"/>
          <w:color w:val="111111"/>
          <w:sz w:val="28"/>
          <w:sz w:val="28"/>
          <w:szCs w:val="28"/>
          <w:rtl w:val="true"/>
          <w:lang w:bidi="fa-IR"/>
        </w:rPr>
        <w:t>علیه السلام أنّهم قالوا حين دخلوا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أحببناكم لقرابتكم من رسول الله صلی الله علیه و آله و سلم ولما أوجب الله عزّ وجلّ من حقّكم،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أبو عبدالله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صدقتم صدقتم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أحبّنا كان 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تكونوا وحدانّيين فقد كان رسول الله صلی الله علیه و آله و سلم وحدانياً يدعو الناس، فلا يستجيبون له، وكان أوّل من </w:t>
      </w:r>
    </w:p>
    <w:p>
      <w:pPr>
        <w:pStyle w:val="BookText"/>
        <w:rPr/>
      </w:pPr>
      <w:r>
        <w:rPr>
          <w:rFonts w:ascii="IRNazanin" w:hAnsi="IRNazanin" w:eastAsia="IRNazanin"/>
          <w:color w:val="111111"/>
          <w:sz w:val="28"/>
          <w:sz w:val="28"/>
          <w:szCs w:val="28"/>
          <w:rtl w:val="true"/>
          <w:lang w:bidi="fa-IR"/>
        </w:rPr>
        <w:t>استجاب له علي بن أبي طالب علية السلام وقد 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منّي بمنزلة هارون من موسى إلا أنّه لا نبيّ بعدي</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الخوارزمي عن جابر بن عبدالله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جاءنا رسول الله صلی الله علیه و آله و سلم ونحن مضطجعون في المسجد، وفي يده عسیب رطب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ترقدون في المسجد؟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أجفلنا وأجفل</w:t>
      </w:r>
      <w:r>
        <w:rPr>
          <w:rStyle w:val="FootnoteAnchor"/>
          <w:rtl w:val="true"/>
        </w:rPr>
        <w:footnoteReference w:id="49"/>
      </w:r>
      <w:r>
        <w:rPr>
          <w:rFonts w:ascii="IRNazanin" w:hAnsi="IRNazanin" w:eastAsia="IRNazanin"/>
          <w:color w:val="111111"/>
          <w:sz w:val="28"/>
          <w:sz w:val="28"/>
          <w:szCs w:val="28"/>
          <w:rtl w:val="true"/>
          <w:lang w:bidi="fa-IR"/>
        </w:rPr>
        <w:t>علي معنا، فقال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تعال يا علي، إنّه يحلّ لك في المسجد ما يحلّ لي، ألا ترضى أن تكون منّي بمنزلة هارون من موسى إلا النبوة؟ والذي نفسي بيده إنّك الذائد عن حوضي يوم القيامة، تذود عنه رجالاً كما يذاد البعير الضالّ عن الماء بعصا لك من عوسج، كأنّي أنظر إلى مقامك من حوضي</w:t>
      </w:r>
      <w:r>
        <w:rPr>
          <w:rFonts w:eastAsia="IRNazanin" w:cs="IRNazanin"/>
          <w:color w:val="111111"/>
          <w:sz w:val="28"/>
          <w:szCs w:val="28"/>
          <w:rtl w:val="true"/>
          <w:lang w:bidi="fa-IR"/>
        </w:rPr>
        <w:t>»</w:t>
      </w:r>
      <w:r>
        <w:rPr>
          <w:rStyle w:val="FootnoteAnchor"/>
          <w:rtl w:val="true"/>
        </w:rPr>
        <w:footnoteReference w:id="50"/>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أمالي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الطالقاني، عن أحمد الهمداني، عن أحمد بن صالح، عن حكيم بن عبدالرحمان، عن مقاتل بن سليمان، عن الصادق، عن آبائه علیه السلام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و سلم لعلي بن أبي طالب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علي أنت منّي بمنزلة هبة الله من آدم، وبمنزلة سام من نوح، وبمنزلة إسحاق من إبراهيم، وبمنزلة هارون من موسى، وبمنزلة شمعون من عيسى، إلا أنّه لا نبيّ بعدي، يا علي أنت وصيّي وخليفتي، فمن جحد وصيّتك وخلافتك فليس منّي ولست منه، وأنا خصمه يوم القيامة، يا علي أنت أفضل اُمّتي فضلاً،</w:t>
      </w:r>
    </w:p>
    <w:p>
      <w:pPr>
        <w:pStyle w:val="BookText"/>
        <w:rPr/>
      </w:pPr>
      <w:r>
        <w:rPr>
          <w:rFonts w:ascii="IRNazanin" w:hAnsi="IRNazanin" w:eastAsia="IRNazanin"/>
          <w:color w:val="111111"/>
          <w:sz w:val="28"/>
          <w:sz w:val="28"/>
          <w:szCs w:val="28"/>
          <w:rtl w:val="true"/>
          <w:lang w:bidi="fa-IR"/>
        </w:rPr>
        <w:t>وأقدمهم سلماً، وأكثرهم علماً، وأوفرهم حلماً، وأشجعهم قلباً، وأسخاهم كفاً، يا علي أنت الإمام بعدي والأمير، وأنت الصاحب بعدي والوزير، وما لك في اُمّتي من نظير، یا علي أنت قسيم الجنّة والنار، بمحبّتك يعرف الأبرار من الفجّار، ويميز بين الأشرار والأخيار، وبين المؤمنين والكفار</w:t>
      </w:r>
      <w:r>
        <w:rPr>
          <w:rFonts w:eastAsia="IRNazanin" w:cs="IRNazanin"/>
          <w:color w:val="111111"/>
          <w:sz w:val="28"/>
          <w:szCs w:val="28"/>
          <w:rtl w:val="true"/>
          <w:lang w:bidi="fa-IR"/>
        </w:rPr>
        <w:t>»</w:t>
      </w:r>
      <w:r>
        <w:rPr>
          <w:rStyle w:val="FootnoteAnchor"/>
          <w:rtl w:val="true"/>
        </w:rPr>
        <w:footnoteReference w:id="51"/>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 المجاشعي، عن الصادق، عن أبيه، عن جدّه علي بن الحسين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عمر وسلمة ابنا أبي سلمة ربيبا رسول الله صلی الله علیه و آله و سلم أنهما سمعا رسول الله صلی الله علیه و آله و سلم يقول في حجّته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يعسوب المؤمنين والمال يعسوب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الظالمين، علي أخي ومولى المؤمنين من بعدي، وهو منّي بمنزلة هارون من موسى، إلا أنّ الله تعالی ختم النبوّة بي فلا نبيّ بعدي، وهو الخليفة في الأهل والمؤمنين بعدي</w:t>
      </w:r>
      <w:r>
        <w:rPr>
          <w:rFonts w:eastAsia="IRNazanin" w:cs="IRNazanin"/>
          <w:color w:val="111111"/>
          <w:sz w:val="28"/>
          <w:szCs w:val="28"/>
          <w:rtl w:val="true"/>
          <w:lang w:bidi="fa-IR"/>
        </w:rPr>
        <w:t>»</w:t>
      </w:r>
      <w:r>
        <w:rPr>
          <w:rStyle w:val="FootnoteAnchor"/>
          <w:rtl w:val="true"/>
        </w:rPr>
        <w:footnoteReference w:id="52"/>
      </w:r>
      <w:bookmarkStart w:id="44" w:name="pg8095_81578"/>
    </w:p>
    <w:p>
      <w:pPr>
        <w:pStyle w:val="Heading4"/>
        <w:numPr>
          <w:ilvl w:val="3"/>
          <w:numId w:val="1"/>
        </w:numPr>
        <w:rPr/>
      </w:pPr>
      <w:bookmarkStart w:id="45" w:name="__RefHeading___Toc7912244_1051229030"/>
      <w:bookmarkStart w:id="46" w:name="_Toc15"/>
      <w:bookmarkEnd w:id="44"/>
      <w:bookmarkEnd w:id="45"/>
      <w:r>
        <w:rPr>
          <w:rtl w:val="true"/>
        </w:rPr>
        <w:t>ملاحظات على الحديث في غير تبوك</w:t>
      </w:r>
      <w:r>
        <w:rPr>
          <w:rtl w:val="true"/>
        </w:rPr>
        <w:t>:</w:t>
      </w:r>
      <w:bookmarkEnd w:id="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يتصدّر الحديث هنا بقوله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منّي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يذكر الراوي اسم تبوك أو المغازي بصورة عامّة، ممّا يدلّ على أنّ النبيّ قد كرّر هذا الحديث في موضع آخر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يتّضح هذا الأمر جليّاً في رواية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 بن الخطاب، فالنبيُ لم يكن على أهبة الاستعداد للخروج بجيش، وإنّما كان يتحدّث متّكئاً على على علیه السلام</w:t>
      </w:r>
      <w:r>
        <w:rPr>
          <w:rFonts w:eastAsia="IRNazanin" w:cs="IRNazanin"/>
          <w:color w:val="111111"/>
          <w:sz w:val="28"/>
          <w:szCs w:val="28"/>
          <w:rtl w:val="true"/>
          <w:lang w:bidi="fa-IR"/>
        </w:rPr>
        <w:t xml:space="preserve">. </w:t>
      </w:r>
      <w:bookmarkStart w:id="47" w:name="pg8095_81579"/>
    </w:p>
    <w:p>
      <w:pPr>
        <w:pStyle w:val="Heading2"/>
        <w:numPr>
          <w:ilvl w:val="1"/>
          <w:numId w:val="1"/>
        </w:numPr>
        <w:rPr/>
      </w:pPr>
      <w:bookmarkStart w:id="48" w:name="__RefHeading___Toc7912246_1051229030"/>
      <w:bookmarkStart w:id="49" w:name="_Toc16"/>
      <w:bookmarkEnd w:id="47"/>
      <w:bookmarkEnd w:id="48"/>
      <w:r>
        <w:rPr>
          <w:rtl w:val="true"/>
        </w:rPr>
        <w:t>تواتر الحديث</w:t>
      </w:r>
      <w:bookmarkEnd w:id="49"/>
    </w:p>
    <w:p>
      <w:pPr>
        <w:pStyle w:val="BookText"/>
        <w:rPr/>
      </w:pPr>
      <w:r>
        <w:rPr>
          <w:rFonts w:ascii="IRNazanin" w:hAnsi="IRNazanin" w:eastAsia="IRNazanin"/>
          <w:color w:val="111111"/>
          <w:sz w:val="28"/>
          <w:sz w:val="28"/>
          <w:szCs w:val="28"/>
          <w:rtl w:val="true"/>
          <w:lang w:bidi="fa-IR"/>
        </w:rPr>
        <w:t>يكفي لكون الحدیث متواتراً ما ذكرناه آنفاً، وإنما نضيف الموارد التالية ممّا جمعه الأستاذ بيومي مهران تأكیداً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الإمام النسائي حديث المنزلة هذا بعدّة طرق، وبصيغ مختلفة </w:t>
      </w:r>
      <w:r>
        <w:rPr>
          <w:rStyle w:val="FootnoteAnchor"/>
          <w:rtl w:val="true"/>
        </w:rPr>
        <w:footnoteReference w:id="53"/>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الإمام أحمد حديث المنزلة هذا في الفضائل</w:t>
      </w:r>
      <w:r>
        <w:rPr>
          <w:rFonts w:eastAsia="Amiri" w:cs="Amiri" w:ascii="Amiri" w:hAnsi="Amiri"/>
          <w:color w:val="111111"/>
          <w:sz w:val="28"/>
          <w:szCs w:val="28"/>
          <w:rtl w:val="true"/>
          <w:lang w:bidi="ar-SA"/>
        </w:rPr>
        <w:t>»</w:t>
      </w:r>
      <w:r>
        <w:rPr>
          <w:rStyle w:val="FootnoteAnchor"/>
          <w:rtl w:val="true"/>
        </w:rPr>
        <w:footnoteReference w:id="54"/>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Style w:val="FootnoteAnchor"/>
          <w:rtl w:val="true"/>
        </w:rPr>
        <w:footnoteReference w:id="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بطرق وصيغ مختلفة، ورواه أيضاً الهيثمي في مجمع الزوائد</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 xml:space="preserve">والمتّقي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کنز العمّال</w:t>
      </w:r>
      <w:r>
        <w:rPr>
          <w:rFonts w:eastAsia="Amiri" w:cs="Amiri" w:ascii="Amiri" w:hAnsi="Amiri"/>
          <w:color w:val="111111"/>
          <w:sz w:val="28"/>
          <w:szCs w:val="28"/>
          <w:rtl w:val="true"/>
          <w:lang w:bidi="ar-SA"/>
        </w:rPr>
        <w:t>»</w:t>
      </w:r>
      <w:r>
        <w:rPr>
          <w:rStyle w:val="FootnoteAnchor"/>
          <w:rtl w:val="true"/>
        </w:rPr>
        <w:footnoteReference w:id="57"/>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وقد ورد حديث المنزلة هذا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w:t>
      </w:r>
      <w:r>
        <w:rPr>
          <w:rStyle w:val="FootnoteAnchor"/>
          <w:rtl w:val="true"/>
        </w:rPr>
        <w:footnoteReference w:id="58"/>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w:t>
      </w:r>
      <w:r>
        <w:rPr>
          <w:rStyle w:val="FootnoteAnchor"/>
          <w:rtl w:val="true"/>
        </w:rPr>
        <w:footnoteReference w:id="59"/>
      </w:r>
      <w:r>
        <w:rPr>
          <w:rFonts w:ascii="Amiri" w:hAnsi="Amiri" w:eastAsia="Amiri" w:cs="Amiri"/>
          <w:color w:val="111111"/>
          <w:sz w:val="28"/>
          <w:sz w:val="28"/>
          <w:szCs w:val="28"/>
          <w:rtl w:val="true"/>
          <w:lang w:bidi="ar-SA"/>
        </w:rPr>
        <w:t>، وفي ذخائر العقبى</w:t>
      </w:r>
      <w:r>
        <w:rPr>
          <w:rFonts w:eastAsia="Amiri" w:cs="Amiri" w:ascii="Amiri" w:hAnsi="Amiri"/>
          <w:color w:val="111111"/>
          <w:sz w:val="28"/>
          <w:szCs w:val="28"/>
          <w:rtl w:val="true"/>
          <w:lang w:bidi="ar-SA"/>
        </w:rPr>
        <w:t>»</w:t>
      </w:r>
      <w:r>
        <w:rPr>
          <w:rStyle w:val="FootnoteAnchor"/>
          <w:rtl w:val="true"/>
        </w:rPr>
        <w:footnoteReference w:id="60"/>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حجره</w:t>
      </w:r>
      <w:r>
        <w:rPr>
          <w:rStyle w:val="FootnoteAnchor"/>
          <w:rtl w:val="true"/>
        </w:rPr>
        <w:footnoteReference w:id="61"/>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الأحوذي</w:t>
      </w:r>
      <w:r>
        <w:rPr>
          <w:rFonts w:eastAsia="Amiri" w:cs="Amiri" w:ascii="Amiri" w:hAnsi="Amiri"/>
          <w:color w:val="111111"/>
          <w:sz w:val="28"/>
          <w:szCs w:val="28"/>
          <w:rtl w:val="true"/>
          <w:lang w:bidi="ar-SA"/>
        </w:rPr>
        <w:t>»</w:t>
      </w:r>
      <w:r>
        <w:rPr>
          <w:rStyle w:val="FootnoteAnchor"/>
          <w:rtl w:val="true"/>
        </w:rPr>
        <w:footnoteReference w:id="62"/>
      </w:r>
      <w:r>
        <w:rPr>
          <w:rFonts w:ascii="IRNazanin" w:hAnsi="IRNazanin" w:eastAsia="IRNazanin"/>
          <w:color w:val="111111"/>
          <w:sz w:val="28"/>
          <w:sz w:val="28"/>
          <w:szCs w:val="28"/>
          <w:rtl w:val="true"/>
          <w:lang w:bidi="fa-IR"/>
        </w:rPr>
        <w:t>، ورواه ابن ماجه،</w:t>
      </w:r>
      <w:r>
        <w:rPr>
          <w:rStyle w:val="FootnoteAnchor"/>
          <w:rtl w:val="true"/>
        </w:rPr>
        <w:footnoteReference w:id="63"/>
      </w:r>
      <w:r>
        <w:rPr>
          <w:rFonts w:ascii="Amiri" w:hAnsi="Amiri" w:eastAsia="Amiri" w:cs="Amiri"/>
          <w:color w:val="111111"/>
          <w:sz w:val="28"/>
          <w:sz w:val="28"/>
          <w:szCs w:val="28"/>
          <w:rtl w:val="true"/>
          <w:lang w:bidi="ar-SA"/>
        </w:rPr>
        <w:t>والترمذي</w:t>
      </w:r>
      <w:r>
        <w:rPr>
          <w:rStyle w:val="FootnoteAnchor"/>
          <w:rtl w:val="true"/>
        </w:rPr>
        <w:footnoteReference w:id="64"/>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والخطيب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w:t>
      </w:r>
      <w:r>
        <w:rPr>
          <w:rFonts w:eastAsia="Amiri" w:cs="Amiri" w:ascii="Amiri" w:hAnsi="Amiri"/>
          <w:color w:val="111111"/>
          <w:sz w:val="28"/>
          <w:szCs w:val="28"/>
          <w:rtl w:val="true"/>
          <w:lang w:bidi="ar-SA"/>
        </w:rPr>
        <w:t>»</w:t>
      </w:r>
      <w:r>
        <w:rPr>
          <w:rStyle w:val="FootnoteAnchor"/>
          <w:rtl w:val="true"/>
        </w:rPr>
        <w:footnoteReference w:id="65"/>
      </w:r>
      <w:r>
        <w:rPr>
          <w:rFonts w:ascii="IRNazanin" w:hAnsi="IRNazanin" w:eastAsia="IRNazanin"/>
          <w:color w:val="111111"/>
          <w:sz w:val="28"/>
          <w:sz w:val="28"/>
          <w:szCs w:val="28"/>
          <w:rtl w:val="true"/>
          <w:lang w:bidi="fa-IR"/>
        </w:rPr>
        <w:t xml:space="preserve">، والطحاوي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 الآثار</w:t>
      </w:r>
      <w:r>
        <w:rPr>
          <w:rFonts w:eastAsia="IRNazanin" w:cs="IRNazanin"/>
          <w:color w:val="111111"/>
          <w:sz w:val="28"/>
          <w:szCs w:val="28"/>
          <w:rtl w:val="true"/>
          <w:lang w:bidi="fa-IR"/>
        </w:rPr>
        <w:t>»</w:t>
      </w:r>
      <w:r>
        <w:rPr>
          <w:rStyle w:val="FootnoteAnchor"/>
          <w:rtl w:val="true"/>
        </w:rPr>
        <w:footnoteReference w:id="66"/>
      </w:r>
      <w:r>
        <w:rPr>
          <w:rFonts w:ascii="Amiri" w:hAnsi="Amiri" w:eastAsia="Amiri" w:cs="Amiri"/>
          <w:color w:val="111111"/>
          <w:sz w:val="28"/>
          <w:sz w:val="28"/>
          <w:szCs w:val="28"/>
          <w:rtl w:val="true"/>
          <w:lang w:bidi="ar-SA"/>
        </w:rPr>
        <w:t>، وابن هشام في السيرة</w:t>
      </w:r>
      <w:r>
        <w:rPr>
          <w:rFonts w:eastAsia="Amiri" w:cs="Amiri" w:ascii="Amiri" w:hAnsi="Amiri"/>
          <w:color w:val="111111"/>
          <w:sz w:val="28"/>
          <w:szCs w:val="28"/>
          <w:rtl w:val="true"/>
          <w:lang w:bidi="ar-SA"/>
        </w:rPr>
        <w:t>»</w:t>
      </w:r>
      <w:r>
        <w:rPr>
          <w:rStyle w:val="FootnoteAnchor"/>
          <w:rtl w:val="true"/>
        </w:rPr>
        <w:footnoteReference w:id="67"/>
      </w:r>
      <w:r>
        <w:rPr>
          <w:rFonts w:ascii="Amiri" w:hAnsi="Amiri" w:eastAsia="Amiri" w:cs="Amiri"/>
          <w:color w:val="111111"/>
          <w:sz w:val="28"/>
          <w:sz w:val="28"/>
          <w:szCs w:val="28"/>
          <w:rtl w:val="true"/>
          <w:lang w:bidi="ar-SA"/>
        </w:rPr>
        <w:t xml:space="preserve">، وابن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r>
        <w:rPr>
          <w:rStyle w:val="FootnoteAnchor"/>
          <w:rtl w:val="true"/>
        </w:rPr>
        <w:footnoteReference w:id="68"/>
      </w:r>
      <w:r>
        <w:rPr>
          <w:rFonts w:ascii="Amiri" w:hAnsi="Amiri" w:eastAsia="Amiri" w:cs="Amiri"/>
          <w:color w:val="111111"/>
          <w:sz w:val="28"/>
          <w:sz w:val="28"/>
          <w:szCs w:val="28"/>
          <w:rtl w:val="true"/>
          <w:lang w:bidi="ar-SA"/>
        </w:rPr>
        <w:t xml:space="preserve">، وابن عساكر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w:t>
      </w:r>
      <w:r>
        <w:rPr>
          <w:rFonts w:eastAsia="Amiri" w:cs="Amiri" w:ascii="Amiri" w:hAnsi="Amiri"/>
          <w:color w:val="111111"/>
          <w:sz w:val="28"/>
          <w:szCs w:val="28"/>
          <w:rtl w:val="true"/>
          <w:lang w:bidi="ar-SA"/>
        </w:rPr>
        <w:t xml:space="preserve">» </w:t>
      </w:r>
      <w:r>
        <w:rPr>
          <w:rStyle w:val="FootnoteAnchor"/>
        </w:rPr>
        <w:footnoteReference w:id="69"/>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والمسعودي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w:t>
      </w:r>
      <w:r>
        <w:rPr>
          <w:rStyle w:val="FootnoteAnchor"/>
          <w:rtl w:val="true"/>
        </w:rPr>
        <w:footnoteReference w:id="70"/>
      </w:r>
      <w:r>
        <w:rPr>
          <w:rFonts w:ascii="Amiri" w:hAnsi="Amiri" w:eastAsia="Amiri" w:cs="Amiri"/>
          <w:color w:val="111111"/>
          <w:sz w:val="28"/>
          <w:sz w:val="28"/>
          <w:szCs w:val="28"/>
          <w:rtl w:val="true"/>
          <w:lang w:bidi="ar-SA"/>
        </w:rPr>
        <w:t xml:space="preserve">، وابن كثير </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w:t>
      </w:r>
      <w:r>
        <w:rPr>
          <w:rFonts w:eastAsia="Amiri" w:cs="Amiri" w:ascii="Amiri" w:hAnsi="Amiri"/>
          <w:color w:val="111111"/>
          <w:sz w:val="28"/>
          <w:szCs w:val="28"/>
          <w:rtl w:val="true"/>
          <w:lang w:bidi="ar-SA"/>
        </w:rPr>
        <w:t>»</w:t>
      </w:r>
      <w:r>
        <w:rPr>
          <w:rStyle w:val="FootnoteAnchor"/>
          <w:rtl w:val="true"/>
        </w:rPr>
        <w:footnoteReference w:id="71"/>
      </w:r>
      <w:r>
        <w:rPr>
          <w:rFonts w:ascii="Amiri" w:hAnsi="Amiri" w:eastAsia="Amiri" w:cs="Amiri"/>
          <w:color w:val="111111"/>
          <w:sz w:val="28"/>
          <w:sz w:val="28"/>
          <w:szCs w:val="28"/>
          <w:rtl w:val="true"/>
          <w:lang w:bidi="ar-SA"/>
        </w:rPr>
        <w:t xml:space="preserve">، وابن قيم الجوزية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المعاد</w:t>
      </w:r>
      <w:r>
        <w:rPr>
          <w:rFonts w:eastAsia="Amiri" w:cs="Amiri" w:ascii="Amiri" w:hAnsi="Amiri"/>
          <w:color w:val="111111"/>
          <w:sz w:val="28"/>
          <w:szCs w:val="28"/>
          <w:rtl w:val="true"/>
          <w:lang w:bidi="ar-SA"/>
        </w:rPr>
        <w:t>»</w:t>
      </w:r>
      <w:r>
        <w:rPr>
          <w:rStyle w:val="FootnoteAnchor"/>
          <w:rtl w:val="true"/>
        </w:rPr>
        <w:footnoteReference w:id="72"/>
      </w:r>
      <w:r>
        <w:rPr>
          <w:rFonts w:ascii="Amiri" w:hAnsi="Amiri" w:eastAsia="Amiri" w:cs="Amiri"/>
          <w:color w:val="111111"/>
          <w:sz w:val="28"/>
          <w:sz w:val="28"/>
          <w:szCs w:val="28"/>
          <w:rtl w:val="true"/>
          <w:lang w:bidi="ar-SA"/>
        </w:rPr>
        <w:t xml:space="preserve">، والندوي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عبدالوّهاب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السيرة</w:t>
      </w:r>
      <w:r>
        <w:rPr>
          <w:rFonts w:eastAsia="Amiri" w:cs="Amiri" w:ascii="Amiri" w:hAnsi="Amiri"/>
          <w:color w:val="111111"/>
          <w:sz w:val="28"/>
          <w:szCs w:val="28"/>
          <w:rtl w:val="true"/>
          <w:lang w:bidi="ar-SA"/>
        </w:rPr>
        <w:t>»</w:t>
      </w:r>
      <w:r>
        <w:rPr>
          <w:rStyle w:val="FootnoteAnchor"/>
          <w:rtl w:val="true"/>
        </w:rPr>
        <w:footnoteReference w:id="73"/>
      </w:r>
      <w:r>
        <w:rPr>
          <w:rFonts w:ascii="Amiri" w:hAnsi="Amiri" w:eastAsia="Amiri" w:cs="Amiri"/>
          <w:color w:val="111111"/>
          <w:sz w:val="28"/>
          <w:sz w:val="28"/>
          <w:szCs w:val="28"/>
          <w:rtl w:val="true"/>
          <w:lang w:bidi="ar-SA"/>
        </w:rPr>
        <w:t xml:space="preserve">، وكذا عبدالله بن محمّد بن عبدالوّهاب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السيرة</w:t>
      </w:r>
      <w:r>
        <w:rPr>
          <w:rFonts w:eastAsia="Amiri" w:cs="Amiri" w:ascii="Amiri" w:hAnsi="Amiri"/>
          <w:color w:val="111111"/>
          <w:sz w:val="28"/>
          <w:szCs w:val="28"/>
          <w:rtl w:val="true"/>
          <w:lang w:bidi="ar-SA"/>
        </w:rPr>
        <w:t>»</w:t>
      </w:r>
      <w:r>
        <w:rPr>
          <w:rStyle w:val="FootnoteAnchor"/>
          <w:rtl w:val="true"/>
        </w:rPr>
        <w:footnoteReference w:id="74"/>
      </w:r>
      <w:r>
        <w:rPr>
          <w:rFonts w:ascii="Amiri" w:hAnsi="Amiri" w:eastAsia="Amiri" w:cs="Amiri"/>
          <w:color w:val="111111"/>
          <w:sz w:val="28"/>
          <w:sz w:val="28"/>
          <w:szCs w:val="28"/>
          <w:rtl w:val="true"/>
          <w:lang w:bidi="ar-SA"/>
        </w:rPr>
        <w:t xml:space="preserve">، كما 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الحلبية</w:t>
      </w:r>
      <w:r>
        <w:rPr>
          <w:rFonts w:eastAsia="Amiri" w:cs="Amiri" w:ascii="Amiri" w:hAnsi="Amiri"/>
          <w:color w:val="111111"/>
          <w:sz w:val="28"/>
          <w:szCs w:val="28"/>
          <w:rtl w:val="true"/>
          <w:lang w:bidi="ar-SA"/>
        </w:rPr>
        <w:t>»</w:t>
      </w:r>
      <w:r>
        <w:rPr>
          <w:rStyle w:val="FootnoteAnchor"/>
          <w:rtl w:val="true"/>
        </w:rPr>
        <w:footnoteReference w:id="75"/>
      </w:r>
      <w:r>
        <w:rPr>
          <w:rFonts w:ascii="Amiri" w:hAnsi="Amiri" w:eastAsia="Amiri" w:cs="Amiri"/>
          <w:color w:val="111111"/>
          <w:sz w:val="28"/>
          <w:sz w:val="28"/>
          <w:szCs w:val="28"/>
          <w:rtl w:val="true"/>
          <w:lang w:bidi="ar-SA"/>
        </w:rPr>
        <w:t>، وفي خاتم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زهرة</w:t>
      </w:r>
      <w:r>
        <w:rPr>
          <w:rStyle w:val="FootnoteAnchor"/>
          <w:rtl w:val="true"/>
        </w:rPr>
        <w:footnoteReference w:id="76"/>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للصادق عرجون</w:t>
      </w:r>
      <w:r>
        <w:rPr>
          <w:rStyle w:val="FootnoteAnchor"/>
          <w:rtl w:val="true"/>
        </w:rPr>
        <w:footnoteReference w:id="77"/>
      </w:r>
      <w:r>
        <w:rPr>
          <w:rFonts w:ascii="Amiri" w:hAnsi="Amiri" w:eastAsia="Amiri" w:cs="Amiri"/>
          <w:color w:val="111111"/>
          <w:sz w:val="28"/>
          <w:sz w:val="28"/>
          <w:szCs w:val="28"/>
          <w:rtl w:val="true"/>
          <w:lang w:bidi="ar-SA"/>
        </w:rPr>
        <w:t>، ورواه المقدّسي في</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البدء و التأريخ</w:t>
      </w:r>
      <w:r>
        <w:rPr>
          <w:rFonts w:eastAsia="Amiri" w:cs="Amiri" w:ascii="Amiri" w:hAnsi="Amiri"/>
          <w:color w:val="111111"/>
          <w:sz w:val="28"/>
          <w:szCs w:val="28"/>
          <w:rtl w:val="true"/>
          <w:lang w:bidi="ar-SA"/>
        </w:rPr>
        <w:t>»</w:t>
      </w:r>
      <w:r>
        <w:rPr>
          <w:rStyle w:val="FootnoteAnchor"/>
          <w:rtl w:val="true"/>
        </w:rPr>
        <w:footnoteReference w:id="78"/>
      </w:r>
      <w:bookmarkStart w:id="50" w:name="pg8095_81582"/>
    </w:p>
    <w:p>
      <w:pPr>
        <w:pStyle w:val="Heading2"/>
        <w:numPr>
          <w:ilvl w:val="1"/>
          <w:numId w:val="1"/>
        </w:numPr>
        <w:rPr/>
      </w:pPr>
      <w:bookmarkStart w:id="51" w:name="__RefHeading___Toc7912248_1051229030"/>
      <w:bookmarkStart w:id="52" w:name="_Toc17"/>
      <w:bookmarkEnd w:id="50"/>
      <w:bookmarkEnd w:id="51"/>
      <w:r>
        <w:rPr>
          <w:rtl w:val="true"/>
        </w:rPr>
        <w:t>المقارنة والاستثناء في الحديث</w:t>
      </w:r>
      <w:bookmarkEnd w:id="52"/>
    </w:p>
    <w:p>
      <w:pPr>
        <w:pStyle w:val="Heading3"/>
        <w:numPr>
          <w:ilvl w:val="2"/>
          <w:numId w:val="1"/>
        </w:numPr>
        <w:rPr/>
      </w:pPr>
      <w:bookmarkStart w:id="53" w:name="__RefHeading___Toc7912250_1051229030"/>
      <w:bookmarkStart w:id="54" w:name="_Toc18"/>
      <w:bookmarkEnd w:id="53"/>
      <w:r>
        <w:rPr>
          <w:rtl w:val="true"/>
        </w:rPr>
        <w:t>اشارة</w:t>
      </w:r>
      <w:bookmarkEnd w:id="54"/>
    </w:p>
    <w:p>
      <w:pPr>
        <w:pStyle w:val="BookText"/>
        <w:rPr/>
      </w:pPr>
      <w:r>
        <w:rPr>
          <w:rFonts w:ascii="IRNazanin" w:hAnsi="IRNazanin" w:eastAsia="IRNazanin"/>
          <w:color w:val="111111"/>
          <w:sz w:val="28"/>
          <w:sz w:val="28"/>
          <w:szCs w:val="28"/>
          <w:rtl w:val="true"/>
          <w:lang w:bidi="fa-IR"/>
        </w:rPr>
        <w:t>يقارن النبي صلی الله علیه و آله و سلم بين منزلة علي عليه السلام منه ومنزلة هارون من موسی علیه السلام، وهذه المقارنة</w:t>
      </w:r>
    </w:p>
    <w:p>
      <w:pPr>
        <w:pStyle w:val="BookText"/>
        <w:rPr/>
      </w:pPr>
      <w:r>
        <w:rPr>
          <w:rFonts w:ascii="IRNazanin" w:hAnsi="IRNazanin" w:eastAsia="IRNazanin"/>
          <w:color w:val="111111"/>
          <w:sz w:val="28"/>
          <w:sz w:val="28"/>
          <w:szCs w:val="28"/>
          <w:rtl w:val="true"/>
          <w:lang w:bidi="fa-IR"/>
        </w:rPr>
        <w:t>هي لبُّ الحديث، فمن أجل أن نعرف منزلة عليّ ٍ من رسول الله يمكننا أن نتعرّف على منزلة هارون من موسی ثم نقارن، ومنزلة هارون من موسی قد ذكرت في القرآن في أكثر من موضع، وكتاب الله خير مرجع يهتدى به ولا یُعلی عليه، ولكن قبل أن نراجع القرآن، نذكر بعض الملاحظات</w:t>
      </w:r>
      <w:r>
        <w:rPr>
          <w:rFonts w:eastAsia="IRNazanin" w:cs="IRNazanin"/>
          <w:color w:val="111111"/>
          <w:sz w:val="28"/>
          <w:szCs w:val="28"/>
          <w:rtl w:val="true"/>
          <w:lang w:bidi="fa-IR"/>
        </w:rPr>
        <w:t>:</w:t>
      </w:r>
    </w:p>
    <w:p>
      <w:pPr>
        <w:pStyle w:val="Heading3"/>
        <w:numPr>
          <w:ilvl w:val="2"/>
          <w:numId w:val="1"/>
        </w:numPr>
        <w:rPr/>
      </w:pPr>
      <w:bookmarkStart w:id="55" w:name="__RefHeading___Toc7912252_1051229030"/>
      <w:bookmarkStart w:id="56" w:name="_Toc19"/>
      <w:bookmarkEnd w:id="55"/>
      <w:r>
        <w:rPr>
          <w:rtl w:val="true"/>
        </w:rPr>
        <w:t>ملاحظات على المقارنة</w:t>
      </w:r>
      <w:bookmarkEnd w:id="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الاستثناء يدلّ على عدم الاستثناء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لا نبيّ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المقارنة صادقة في جميع الموارد على الإطلاق ماعدا هذا الاستثناء، ولا يصلح أن يقال إنَّ هناك موارد أخرى تستثنى منها، لأنّ النبيّ كان في مقام ذكر الاستثناءات، أمّا إذا لم يكن قد استثنى النبوة، لجاز للبعض أن يدّعي وجود استثناءات اُخرى لم يرد النبيّ 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لو قال أحدهم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جميع أصدقائي أشخاص صالحون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وُجد شخص غير</w:t>
      </w:r>
    </w:p>
    <w:p>
      <w:pPr>
        <w:pStyle w:val="BookText"/>
        <w:rPr/>
      </w:pPr>
      <w:r>
        <w:rPr>
          <w:rFonts w:ascii="IRNazanin" w:hAnsi="IRNazanin" w:eastAsia="IRNazanin"/>
          <w:color w:val="111111"/>
          <w:sz w:val="28"/>
          <w:sz w:val="28"/>
          <w:szCs w:val="28"/>
          <w:rtl w:val="true"/>
          <w:lang w:bidi="fa-IR"/>
        </w:rPr>
        <w:t>صالح بين اصدقائه، فلا اعتراض على كلامه؛ لأن هذا شاذٌّ عن القاعدة ولا يلزم ذكره، أمّا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جميع أصدقائي أشخاص صالحون ما عدا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لاستنتجنا أنّ سائر أصدقائه كلّهم صالحون بلا استثناء، ولو عثرنا على صديق آخر غير صالح له لاعتبرنا كلامه غير 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يؤكّد أنّ النبيُ صلی الله علیه و آله وسلم أراد أن يشمل حدیثه هذا كلُ المراتب دون استثناء، أنّ ما استثناه منه كان أمراً بيِّناً لا حاجة للاستثناء فيه، فلا يشكّ أحد في أنّه خاتم النبيّين وأنّه لا نبيّ بعده، فلِمَ استثنی أمراً واضحاً كلّ هذا الوضوح، ولعلّ الفصاحة تقتضي السكوت عن مثل ذلك؟ كما لو قال الرجل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أبنائي كلّهم پروون الشعر إلا ذلك الطفل الرضيع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فيُعترض عليه بأن لم يكن هناك داع لاستثناء الرضيع، فالعقل يقضي باستثنائه دون شكّ، إذن لعلّ النبيّ لم يكن يقصد بذلك إلا التأكيد على عدم استثناء غيره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تفضيل الإمام علي علیه السلام على بعض 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المقارنة تبيِّن أن علياً عليه السلام أفضل من النبيّ هارون عليه السلام، لأن منزلة عليّ ٍ بالنسبة إلى رسول الله صلی الله علیه و آله وسلم كمنزلة هارون بالنسبة إلى موسی، فكما أنّ الرسول أفضل من موسى عليه السلام</w:t>
      </w:r>
    </w:p>
    <w:p>
      <w:pPr>
        <w:pStyle w:val="BookText"/>
        <w:rPr/>
      </w:pPr>
      <w:r>
        <w:rPr>
          <w:rFonts w:ascii="Amiri" w:hAnsi="Amiri" w:eastAsia="Amiri" w:cs="Amiri"/>
          <w:color w:val="111111"/>
          <w:sz w:val="28"/>
          <w:sz w:val="28"/>
          <w:szCs w:val="28"/>
          <w:rtl w:val="true"/>
          <w:lang w:bidi="ar-SA"/>
        </w:rPr>
        <w:t>فعليُّ أيضاً أفضل من هارون بنفس النسبة</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 xml:space="preserve">وهارون النبيّ ليس كغيره من الآلاف المؤلّفة من الأنبياء الغير مذكورين في القرآن، بل هو ممّن اعتنى به الكتاب العزيز وذكر مواقف مختلفة من حياته الشريفة، و كرّر اسمه تسع عشرة مرّة، وذكر اسمه عند ما كان يسرد أسماء الأنبياء العظام الذين يضرب بهم مثلاً في الصبر والاستقامة في سبيل دعوة الحقّ </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والثانیه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وَوَهَبْنَا لَهُ إِسْحَاقَ وَيَعْقُوبَ كُلًّا هَدَيْنَا وَنُوحًا هَدَيْنَا مِنْ قَبْلُ وَمِنْ ذُرِّيَّتِهِ دَاوُودَ وَسُلَيْمَانَ وَأَيُّوبَ وَيُوسُفَ وَمُوسَى وَهَارُونَ وَكَذَلِكَ نَجْزِي الْمُحْسِنِينَ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الانعام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 هذا يدلَ على أنّ هارون كان أفضل من كثير من الأنبياء، وعليه فإنّ الإمام علي عليه السلام أيضاً أفضل من كلّ أولئك، وأمّا سائر الأنبياء، فالحديث ساكت عن المقارنة بينهم وبين</w:t>
      </w:r>
    </w:p>
    <w:p>
      <w:pPr>
        <w:pStyle w:val="BookText"/>
        <w:rPr/>
      </w:pP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الاستثناء المذكور لا يُنقص من منزلة علي شيئاً، رغم أنّ النبي صلی الله علیه و آله و سلم يستثني النبوّة من المقارنة، ولكّنه يذكر الاستثناء بطريقة تدلّ على عدم وجود أيّ نقص في الإمام، فلو كان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منّي بمنزلة هارون من موسى إلا في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لكان المعنى أنّ علياً لم يستطع في هذا المجال أن ينال منزلة معادلة لهارون، فتعتبر نقيصة فيه، ولكّنه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أنّه لا نبیّ بعدي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أنّ عدم نيل علي علیه السلام لهذه المرتبة، والذي استوجب ذكر الاستثناء كان لمجرّد أنّ النبوّة قد انتهت وخُتمت برسول الله صلی الله علیه و آله و سلم، فلا مجال لعلي علیه السلام أو لغيره أن ينالها، لا أنّ علیاً علیه السلام كان ينقصه شيء في نیلها</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 w:name="pg8095_81587"/>
      <w:bookmarkStart w:id="58" w:name="pg8095_81587"/>
      <w:bookmarkEnd w:id="58"/>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9" w:name="pg8095_81587"/>
      <w:bookmarkStart w:id="60" w:name="__RefHeading___Toc7912254_1051229030"/>
      <w:bookmarkStart w:id="61" w:name="_Toc20"/>
      <w:bookmarkEnd w:id="59"/>
      <w:bookmarkEnd w:id="60"/>
      <w:r>
        <w:rPr>
          <w:rtl w:val="true"/>
        </w:rPr>
        <w:t>الأمر الثاني</w:t>
      </w:r>
      <w:r>
        <w:rPr>
          <w:rtl w:val="true"/>
        </w:rPr>
        <w:t xml:space="preserve">: </w:t>
      </w:r>
      <w:r>
        <w:rPr>
          <w:rtl w:val="true"/>
        </w:rPr>
        <w:t>حديث المنزلة في القرآن</w:t>
      </w:r>
      <w:bookmarkEnd w:id="61"/>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يكفينا لمعرفة مقام أمير المؤمنين عليه السلام ودرجته الرفيعة المتعالية عند ربّه، أن نسبر أغوار القرآن الكريم، ونرى ما يقوله العليُّ جلَّ شأنه في شأن عليّ، وإن لم يسمِّه باسمه، بل ذکر مزاياه باسم نبّي کریم من أنبياء الله، وهو هارون ابن أمّ موسی علیهما السلام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اقتضت الحكمة الإلهية أن لا يسمّى علياً بالصراحة في كتابه العزيز، فلعلّ فيه امتحاناً من الله للناس في أمر الولاية من بعد رسوله، أو حفظاً لكتابه الكريم، من أن يمسّه غير المطهّرين من شياطين الإنس، الذين لغوا في أحاديث الرسول وضعاً و تبدیلاً و کتماناً وتكذيباً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فلنتدارس ما قاله تعالى في هارون، وقد ذُكرت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عشرين مرّةً في القرآن، ولكن إحداها ليست لهذا النبيّ الكريم وهي </w:t>
      </w:r>
      <w:bookmarkStart w:id="62" w:name="pg8095_81590"/>
    </w:p>
    <w:p>
      <w:pPr>
        <w:pStyle w:val="BookText"/>
        <w:rPr/>
      </w:pPr>
      <w:bookmarkEnd w:id="62"/>
      <w:r>
        <w:rPr>
          <w:rFonts w:ascii="Amiri" w:hAnsi="Amiri" w:eastAsia="Amiri" w:cs="Amiri"/>
          <w:color w:val="111111"/>
          <w:sz w:val="28"/>
          <w:sz w:val="28"/>
          <w:szCs w:val="28"/>
          <w:rtl w:val="true"/>
          <w:lang w:bidi="ar-SA"/>
        </w:rPr>
        <w:t>المذكورة في سورة مريم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أُخْتَ هَارُونَ مَا كَانَ أَبُوكِ امْرَأَ سَوْءٍ وَمَا كَانَتْ أُمُّكِ بَغِيًّا </w:t>
      </w:r>
      <w:r>
        <w:rPr>
          <w:rFonts w:eastAsia="Amiri" w:cs="Amiri" w:ascii="Amiri" w:hAnsi="Amiri"/>
          <w:color w:val="111111"/>
          <w:sz w:val="28"/>
          <w:szCs w:val="28"/>
          <w:rtl w:val="true"/>
          <w:lang w:bidi="ar-SA"/>
        </w:rPr>
        <w:t>»</w:t>
      </w:r>
      <w:r>
        <w:rPr>
          <w:rStyle w:val="FootnoteAnchor"/>
          <w:rtl w:val="true"/>
        </w:rPr>
        <w:footnoteReference w:id="81"/>
      </w:r>
      <w:r>
        <w:rPr>
          <w:rFonts w:ascii="IRNazanin" w:hAnsi="IRNazanin" w:eastAsia="IRNazanin"/>
          <w:color w:val="111111"/>
          <w:sz w:val="28"/>
          <w:sz w:val="28"/>
          <w:szCs w:val="28"/>
          <w:rtl w:val="true"/>
          <w:lang w:bidi="fa-IR"/>
        </w:rPr>
        <w:t>، أمّا سائر الموارد فتتعلّقً به عليه السلام، ويمكن تبویب هذه الموارد على النحو التالي</w:t>
      </w:r>
      <w:r>
        <w:rPr>
          <w:rFonts w:eastAsia="IRNazanin" w:cs="IRNazanin"/>
          <w:color w:val="111111"/>
          <w:sz w:val="28"/>
          <w:szCs w:val="28"/>
          <w:rtl w:val="true"/>
          <w:lang w:bidi="fa-IR"/>
        </w:rPr>
        <w:t>:</w:t>
      </w:r>
    </w:p>
    <w:p>
      <w:pPr>
        <w:pStyle w:val="Heading2"/>
        <w:numPr>
          <w:ilvl w:val="1"/>
          <w:numId w:val="1"/>
        </w:numPr>
        <w:rPr/>
      </w:pPr>
      <w:bookmarkStart w:id="63" w:name="__RefHeading___Toc7912256_1051229030"/>
      <w:bookmarkStart w:id="64" w:name="_Toc21"/>
      <w:bookmarkEnd w:id="63"/>
      <w:r>
        <w:rPr>
          <w:rtl w:val="true"/>
        </w:rPr>
        <w:t>المشاركة في الدعوة</w:t>
      </w:r>
      <w:bookmarkEnd w:id="64"/>
    </w:p>
    <w:p>
      <w:pPr>
        <w:pStyle w:val="Heading3"/>
        <w:numPr>
          <w:ilvl w:val="2"/>
          <w:numId w:val="1"/>
        </w:numPr>
        <w:rPr/>
      </w:pPr>
      <w:bookmarkStart w:id="65" w:name="__RefHeading___Toc7912258_1051229030"/>
      <w:bookmarkStart w:id="66" w:name="_Toc22"/>
      <w:bookmarkEnd w:id="65"/>
      <w:r>
        <w:rPr>
          <w:rtl w:val="true"/>
        </w:rPr>
        <w:t>بعثة النبي العظيم موسی علیه السلام</w:t>
      </w:r>
      <w:bookmarkEnd w:id="66"/>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بدأت بعثة النبي العظيم موسی علیه السلام في الطور، بعد أن أتمّ المدّة التي اتّفق فيها مع أبي زوجته على أن يخدمه فيها مقابل تزويجه بإحدى ابنتيه و كانت المدّة ثمان أو عشر سنين، وبعدها أخذ موسى أهله ليعود إلى مصر وفي أثناء الطريق رأي نوراً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إقرأ باقي القصّة في سورة 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وَهَلْ أَتَاكَ حَدِيثُ مُوسَى </w:t>
      </w:r>
      <w:r>
        <w:rPr>
          <w:rFonts w:ascii="Amiri" w:hAnsi="Amiri" w:eastAsia="Amiri" w:cs="Amiri"/>
          <w:i/>
          <w:i/>
          <w:iCs/>
          <w:color w:val="111111"/>
          <w:sz w:val="28"/>
          <w:sz w:val="28"/>
          <w:szCs w:val="28"/>
          <w:rtl w:val="true"/>
          <w:lang w:bidi="ar-SA"/>
        </w:rPr>
        <w:t xml:space="preserve">إِذْ رَأَى نَارًا فَقَالَ لِأَهْلِهِ امْكُثُوا إِنِّي آنَسْتُ نَارًا لَعَلِّي آتِيكُمْ مِنْهَا بِقَبَسٍ أَوْ أَجِدُ عَلَى النَّارِ هُدًى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فَلَمَّا أَتَاهَا نُودِيَ يَا مُوسَى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إِنِّي أَنَا رَبُّكَ فَاخْلَعْ نَعْلَيْكَ إِنَّكَ بِالْوَادِ الْمُقَدَّسِ طُوًى</w:t>
      </w:r>
      <w:r>
        <w:rPr>
          <w:rFonts w:ascii="Amiri" w:hAnsi="Amiri" w:eastAsia="Amiri" w:cs="Amiri"/>
          <w:color w:val="111111"/>
          <w:sz w:val="28"/>
          <w:sz w:val="28"/>
          <w:szCs w:val="28"/>
          <w:rtl w:val="true"/>
          <w:lang w:bidi="ar-SA"/>
        </w:rPr>
        <w:t xml:space="preserve">  وَأَنَا اخْتَرْتُكَ فَاسْتَمِعْ لِمَا يُوحَى </w:t>
      </w:r>
      <w:r>
        <w:rPr>
          <w:rFonts w:ascii="Amiri" w:hAnsi="Amiri" w:eastAsia="Amiri" w:cs="Amiri"/>
          <w:i/>
          <w:i/>
          <w:iCs/>
          <w:color w:val="111111"/>
          <w:sz w:val="28"/>
          <w:sz w:val="28"/>
          <w:szCs w:val="28"/>
          <w:rtl w:val="true"/>
          <w:lang w:bidi="ar-SA"/>
        </w:rPr>
        <w:t>إِنَّنِي أَنَا اللَّهُ لَا إِلَهَ إِلَّا أَنَا فَاعْبُدْنِي وَأَقِمِ الصَّلَاةَ لِذِكْرِي</w:t>
      </w:r>
      <w:bookmarkStart w:id="67" w:name="pg8095_81591"/>
    </w:p>
    <w:p>
      <w:pPr>
        <w:pStyle w:val="BookText"/>
        <w:rPr/>
      </w:pPr>
      <w:bookmarkEnd w:id="67"/>
      <w:r>
        <w:rPr>
          <w:rFonts w:ascii="Amiri" w:hAnsi="Amiri" w:eastAsia="Amiri" w:cs="Amiri"/>
          <w:color w:val="111111"/>
          <w:sz w:val="28"/>
          <w:sz w:val="28"/>
          <w:szCs w:val="28"/>
          <w:rtl w:val="true"/>
          <w:lang w:bidi="ar-SA"/>
        </w:rPr>
        <w:t xml:space="preserve">إِنَّ السَّاعَةَ آتِيَةٌ أَكَادُ أُخْفِيهَا لِتُجْزَى كُلُّ نَفْسٍ بِمَا تَسْعَى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يَصُدَّنَّكَ عَنْهَا مَنْ لَا يُؤْمِنُ بِهَا وَاتَّبَعَ هَوَاهُ فَتَرْدَى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تِلْكَ بِيَمِينِكَ يَا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هِيَ عَصَايَ أَتَوَكَّأُ عَلَيْهَا وَأَهُشُّ بِهَا عَلَى غَنَمِي وَلِيَ فِيهَا مَآرِبُ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أَلْقِهَا يَا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فَأَلْقَاهَا فَإِذَا هِيَ حَيَّةٌ تَسْعَى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خُذْهَا وَلَا تَخَفْ سَنُعِيدُهَا سِيرَتَهَا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وَاضْمُمْ يَدَكَ إِلَى جَنَاحِكَ تَخْرُجْ بَيْضَاءَ مِنْ غَيْرِ سُوءٍ آيَةً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لِنُرِيَكَ مِنْ آيَاتِنَا الْكُبْرَى</w:t>
      </w:r>
      <w:r>
        <w:rPr>
          <w:rFonts w:eastAsia="Amiri" w:cs="Amiri" w:ascii="Amiri" w:hAnsi="Amiri"/>
          <w:color w:val="111111"/>
          <w:sz w:val="28"/>
          <w:szCs w:val="28"/>
          <w:rtl w:val="true"/>
          <w:lang w:bidi="ar-SA"/>
        </w:rPr>
        <w:t xml:space="preserve">) </w:t>
      </w:r>
      <w:r>
        <w:rPr>
          <w:rStyle w:val="FootnoteAnchor"/>
          <w:rtl w:val="true"/>
        </w:rPr>
        <w:footnoteReference w:id="82"/>
      </w:r>
    </w:p>
    <w:p>
      <w:pPr>
        <w:pStyle w:val="Heading3"/>
        <w:numPr>
          <w:ilvl w:val="2"/>
          <w:numId w:val="1"/>
        </w:numPr>
        <w:rPr/>
      </w:pPr>
      <w:bookmarkStart w:id="68" w:name="__RefHeading___Toc7912260_1051229030"/>
      <w:bookmarkStart w:id="69" w:name="_Toc23"/>
      <w:bookmarkEnd w:id="68"/>
      <w:r>
        <w:rPr>
          <w:rtl w:val="true"/>
        </w:rPr>
        <w:t>استعانة موسی بهارون</w:t>
      </w:r>
      <w:bookmarkEnd w:id="69"/>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أمره ربّه بالدعوة إلى دين الله، وأن يبدأ دعوته بداية صعبة خطرة وهي دعوة الطاغية </w:t>
      </w:r>
      <w:bookmarkStart w:id="70" w:name="pg8095_81592"/>
    </w:p>
    <w:p>
      <w:pPr>
        <w:pStyle w:val="BookText"/>
        <w:rPr/>
      </w:pPr>
      <w:bookmarkEnd w:id="70"/>
      <w:r>
        <w:rPr>
          <w:rFonts w:ascii="Amiri" w:hAnsi="Amiri" w:eastAsia="Amiri" w:cs="Amiri"/>
          <w:color w:val="111111"/>
          <w:sz w:val="28"/>
          <w:sz w:val="28"/>
          <w:szCs w:val="28"/>
          <w:rtl w:val="true"/>
          <w:lang w:bidi="ar-SA"/>
        </w:rPr>
        <w:t>فرعون، فاستصعب موسى هذا الأمر، ودعا ربّه أن يعينه في مهمّته العظيمة هذه، وأظهر أنّ الأمر خطير للغاية، ويتطلّب أن يرافقه من يشار که في الدعوة فيقوّي كلّ منهما الآخر، واختار موسى أنسب شخص لهذه المهمّة وذكر أسباب اختياره له دون غيره، فلنقرأ باقي الآيات من سورة طه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اذْهَبْ إِلَى فِرْعَوْنَ إِنَّهُ 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اشْرَحْ لِي صَدْرِي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وَيَسِّرْ لِي أَمْرِي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وَاحْلُلْ عُقْدَةً مِنْ لِسَانِي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يَفْقَهُوا قَوْلِي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وَاجْعَلْ لِي وَزِيرًا مِنْ أَهْلِي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اشْدُدْ بِهِ أَزْرِي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وَأَشْرِكْهُ فِي أَمْرِي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نُسَبِّحَكَ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وَنَذْكُرَكَ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كُنْتَ بِنَا بَصِيرًا</w:t>
      </w:r>
      <w:r>
        <w:rPr>
          <w:rFonts w:eastAsia="Amiri" w:cs="Amiri" w:ascii="Amiri" w:hAnsi="Amiri"/>
          <w:color w:val="111111"/>
          <w:sz w:val="28"/>
          <w:szCs w:val="28"/>
          <w:rtl w:val="true"/>
          <w:lang w:bidi="ar-SA"/>
        </w:rPr>
        <w:t>»</w:t>
      </w:r>
      <w:r>
        <w:rPr>
          <w:rStyle w:val="FootnoteAnchor"/>
          <w:rtl w:val="true"/>
        </w:rPr>
        <w:footnoteReference w:id="83"/>
      </w:r>
    </w:p>
    <w:p>
      <w:pPr>
        <w:pStyle w:val="Heading3"/>
        <w:numPr>
          <w:ilvl w:val="2"/>
          <w:numId w:val="1"/>
        </w:numPr>
        <w:rPr/>
      </w:pPr>
      <w:bookmarkStart w:id="71" w:name="__RefHeading___Toc7912262_1051229030"/>
      <w:bookmarkStart w:id="72" w:name="_Toc24"/>
      <w:bookmarkEnd w:id="71"/>
      <w:r>
        <w:rPr>
          <w:rtl w:val="true"/>
        </w:rPr>
        <w:t>إشراك هارون مع موسی</w:t>
      </w:r>
      <w:bookmarkEnd w:id="72"/>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وأشرك الله تعالى هارون بأخيه موسی ليقوما بهذه المهمّة الصعبة معاً، وقوّى عزيمتهما بأنّه سيكون معهما، فقال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كَلَّا فَاذْهَبَا بِآيَاتِنَا إِنَّا مَعَكُمْ مُسْتَمِعُونَ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فَأْتِيَا فِرْعَوْنَ فَقُولَا إِنَّا رَسُولُ رَبِّ الْعَالَمِينَ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أَرْسِلْ مَعَنَا بَنِي إِسْرَائِيلَ</w:t>
      </w:r>
      <w:r>
        <w:rPr>
          <w:rFonts w:eastAsia="Amiri" w:cs="Amiri" w:ascii="Amiri" w:hAnsi="Amiri"/>
          <w:color w:val="111111"/>
          <w:sz w:val="28"/>
          <w:szCs w:val="28"/>
          <w:rtl w:val="true"/>
          <w:lang w:bidi="ar-SA"/>
        </w:rPr>
        <w:t>»</w:t>
      </w:r>
      <w:r>
        <w:rPr>
          <w:rStyle w:val="FootnoteAnchor"/>
          <w:rtl w:val="true"/>
        </w:rPr>
        <w:footnoteReference w:id="84"/>
      </w:r>
      <w:r>
        <w:rPr>
          <w:rFonts w:ascii="Amiri" w:hAnsi="Amiri" w:eastAsia="Amiri" w:cs="Amiri"/>
          <w:color w:val="111111"/>
          <w:sz w:val="28"/>
          <w:sz w:val="28"/>
          <w:szCs w:val="28"/>
          <w:rtl w:val="true"/>
          <w:lang w:bidi="ar-SA"/>
        </w:rPr>
        <w:t xml:space="preserve">وتتبيّن المشاركة </w:t>
      </w:r>
      <w:bookmarkStart w:id="73" w:name="pg8095_81593"/>
    </w:p>
    <w:p>
      <w:pPr>
        <w:pStyle w:val="BookText"/>
        <w:rPr/>
      </w:pPr>
      <w:bookmarkEnd w:id="73"/>
      <w:r>
        <w:rPr>
          <w:rFonts w:ascii="Amiri" w:hAnsi="Amiri" w:eastAsia="Amiri" w:cs="Amiri"/>
          <w:color w:val="111111"/>
          <w:sz w:val="28"/>
          <w:sz w:val="28"/>
          <w:szCs w:val="28"/>
          <w:rtl w:val="true"/>
          <w:lang w:bidi="ar-SA"/>
        </w:rPr>
        <w:t>التامة في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فَقُولَا إِنَّا 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بالتثنية، وكأنّهما شخص واحد</w:t>
      </w:r>
      <w:r>
        <w:rPr>
          <w:rFonts w:eastAsia="Amiri" w:cs="Amiri" w:ascii="Amiri" w:hAnsi="Amiri"/>
          <w:color w:val="111111"/>
          <w:sz w:val="28"/>
          <w:szCs w:val="28"/>
          <w:rtl w:val="true"/>
          <w:lang w:bidi="ar-SA"/>
        </w:rPr>
        <w:t>.</w:t>
      </w:r>
    </w:p>
    <w:p>
      <w:pPr>
        <w:pStyle w:val="Heading3"/>
        <w:numPr>
          <w:ilvl w:val="2"/>
          <w:numId w:val="1"/>
        </w:numPr>
        <w:rPr/>
      </w:pPr>
      <w:bookmarkStart w:id="74" w:name="__RefHeading___Toc7912264_1051229030"/>
      <w:bookmarkStart w:id="75" w:name="_Toc25"/>
      <w:bookmarkEnd w:id="74"/>
      <w:r>
        <w:rPr>
          <w:rtl w:val="true"/>
        </w:rPr>
        <w:t>المقارنة بين علي وهارون</w:t>
      </w:r>
      <w:bookmarkEnd w:id="75"/>
    </w:p>
    <w:p>
      <w:pPr>
        <w:pStyle w:val="BookText"/>
        <w:rPr/>
      </w:pPr>
      <w:r>
        <w:rPr>
          <w:rFonts w:ascii="IRNazanin" w:hAnsi="IRNazanin" w:eastAsia="IRNazanin"/>
          <w:color w:val="111111"/>
          <w:sz w:val="28"/>
          <w:sz w:val="28"/>
          <w:szCs w:val="28"/>
          <w:rtl w:val="true"/>
          <w:lang w:bidi="fa-IR"/>
        </w:rPr>
        <w:t>وتبدأ المقارنة بين علي وهارون علیهما السلام من هنا، فلنقرأ ما طلبه موسی من ربّه واستجاب الله له كلّ ما طلبه، فهي أمور ثابتة في هارون، وبالتالي ثابتة في علي 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الوزارة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 لِي وَزِيرًا مِنْ أَهْلِي</w:t>
      </w:r>
      <w:r>
        <w:rPr>
          <w:rFonts w:eastAsia="Amiri" w:cs="Amiri" w:ascii="Amiri" w:hAnsi="Amiri"/>
          <w:color w:val="111111"/>
          <w:sz w:val="28"/>
          <w:szCs w:val="28"/>
          <w:rtl w:val="true"/>
          <w:lang w:bidi="ar-SA"/>
        </w:rPr>
        <w:t>»</w:t>
      </w:r>
      <w:r>
        <w:rPr>
          <w:rStyle w:val="FootnoteAnchor"/>
          <w:rtl w:val="true"/>
        </w:rPr>
        <w:footnoteReference w:id="85"/>
      </w:r>
      <w:r>
        <w:rPr>
          <w:rFonts w:ascii="Amiri" w:hAnsi="Amiri" w:eastAsia="Amiri" w:cs="Amiri"/>
          <w:color w:val="111111"/>
          <w:sz w:val="28"/>
          <w:sz w:val="28"/>
          <w:szCs w:val="28"/>
          <w:rtl w:val="true"/>
          <w:lang w:bidi="ar-SA"/>
        </w:rPr>
        <w:t>وَلَقَدْ آتَيْنَا مُوسَى الْكِتَابَ وَجَعَلْنَا مَعَهُ أَخَاهُ هَارُونَ وَزِيرًا</w:t>
      </w:r>
      <w:r>
        <w:rPr>
          <w:rFonts w:eastAsia="Amiri" w:cs="Amiri" w:ascii="Amiri" w:hAnsi="Amiri"/>
          <w:color w:val="111111"/>
          <w:sz w:val="28"/>
          <w:szCs w:val="28"/>
          <w:rtl w:val="true"/>
          <w:lang w:bidi="ar-SA"/>
        </w:rPr>
        <w:t>»</w:t>
      </w:r>
      <w:r>
        <w:rPr>
          <w:rStyle w:val="FootnoteAnchor"/>
          <w:rtl w:val="true"/>
        </w:rPr>
        <w:footnoteReference w:id="86"/>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الراغب الأصفهاني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الملجأ الذي يُلتَجَأ إليه من الجبل،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لَا وَزَرَ الی ربّک</w:t>
      </w:r>
      <w:r>
        <w:rPr>
          <w:rFonts w:eastAsia="Amiri" w:cs="Amiri" w:ascii="Amiri" w:hAnsi="Amiri"/>
          <w:color w:val="111111"/>
          <w:sz w:val="28"/>
          <w:szCs w:val="28"/>
          <w:rtl w:val="true"/>
          <w:lang w:bidi="ar-SA"/>
        </w:rPr>
        <w:t xml:space="preserve">...» </w:t>
      </w:r>
      <w:r>
        <w:rPr>
          <w:rStyle w:val="FootnoteAnchor"/>
          <w:rtl w:val="true"/>
        </w:rPr>
        <w:footnoteReference w:id="87"/>
      </w:r>
      <w:r>
        <w:rPr>
          <w:rFonts w:ascii="Amiri" w:hAnsi="Amiri" w:eastAsia="Amiri" w:cs="Amiri"/>
          <w:color w:val="111111"/>
          <w:sz w:val="28"/>
          <w:sz w:val="28"/>
          <w:szCs w:val="28"/>
          <w:rtl w:val="true"/>
          <w:lang w:bidi="ar-SA"/>
        </w:rPr>
        <w:t>والوزر الثقل تشبيهاً بوزر الجبل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المُتحمِّل ثِقلَ أميره وشُغله</w:t>
      </w:r>
      <w:r>
        <w:rPr>
          <w:rFonts w:eastAsia="Amiri" w:cs="Amiri" w:ascii="Amiri" w:hAnsi="Amiri"/>
          <w:color w:val="111111"/>
          <w:sz w:val="28"/>
          <w:szCs w:val="28"/>
          <w:rtl w:val="true"/>
          <w:lang w:bidi="ar-SA"/>
        </w:rPr>
        <w:t>...»</w:t>
      </w:r>
      <w:r>
        <w:rPr>
          <w:rStyle w:val="FootnoteAnchor"/>
          <w:rtl w:val="true"/>
        </w:rPr>
        <w:footnoteReference w:id="88"/>
      </w:r>
      <w:r>
        <w:rPr>
          <w:rFonts w:ascii="Amiri" w:hAnsi="Amiri" w:eastAsia="Amiri" w:cs="Amiri"/>
          <w:color w:val="111111"/>
          <w:sz w:val="28"/>
          <w:sz w:val="28"/>
          <w:szCs w:val="28"/>
          <w:rtl w:val="true"/>
          <w:lang w:bidi="ar-SA"/>
        </w:rPr>
        <w:t xml:space="preserve">، وهكذا كان الأمراء يستوزرون رجلاً عاقلاً قادراً على تدبير الأمور، ليساعده في إدارة شؤون البلاد، حتّى أنّ بعض </w:t>
      </w:r>
    </w:p>
    <w:p>
      <w:pPr>
        <w:pStyle w:val="BookText"/>
        <w:rPr/>
      </w:pPr>
      <w:r>
        <w:rPr>
          <w:rFonts w:ascii="Amiri" w:hAnsi="Amiri" w:eastAsia="Amiri" w:cs="Amiri"/>
          <w:color w:val="111111"/>
          <w:sz w:val="28"/>
          <w:sz w:val="28"/>
          <w:szCs w:val="28"/>
          <w:rtl w:val="true"/>
          <w:lang w:bidi="ar-SA"/>
        </w:rPr>
        <w:t>الأمراء كانوا ضعافاً وجهلاء، فكانت الأمور تُلقى بأكملها على عاتق الوزير، فالوزير إذن رجل لا يستغني الأمير عنه أبداً، وهو يشارك الأمير في إمارته، بل يتحمّل أحياناً أتعاب الإمارة أكثر من أميره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الرسول، فليست مهمّته إدارة البلاد وإن كانت هذه المهمة تُضاف إلى مهامّه أحياناً، ولكن واجب الرسول هو الدعوة إلى عبادة الله وإرشاد الناس إلى الدين الحقّ، وهو أمر شاقُّ ثقيل؛ لأنّ الإنسان لا يرغب في تغيير دينه الذي اكتسبه من آبائه، فيمتنع عن قبول دعوة الأنبياء، وتزداد الدعوة ثقلاً وصعوبة كلّما ازداد القوم عتواً وبغياً، وطغياناً وتجبّراً، وهذا ما كان من أمر فرعون الطاغي وما كان من أمر قريش المتكبّرين المتغطرسين</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فلزم أن يشارك الرسول في دعوته رجل من أقرب الناس إليه وأكثرهم إيماناً وعقلاً ودراية وتحمّلاً للصعاب، فاختار موسی علیه السلام في بداية بعثته هارون وزيراً،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أَخِي</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 xml:space="preserve">، واختار رسول الله محمّد صلی الله علیه و آله وسلم علياً وزيراً، والتأريخ يشهد بذلك في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الإنذار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وكان ذلك أوّل عهد الرسول بالدعوة، إذ أمره الله تعالى بإنذار أقربائه، وأورد القصّة كما في تاريخ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الإنذار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إسحاق، عن عبدالغفّار بن القاسم، عن المنهال بن عمر، عن عبدالله بن الحارث بن نوفل بن الحارث بن عبدالمطلّب، عن عبدالله بن العباس، عن علي بن أبي طالب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نزلت هذه الآية</w:t>
      </w:r>
    </w:p>
    <w:p>
      <w:pPr>
        <w:pStyle w:val="BookText"/>
        <w:rPr/>
      </w:pPr>
      <w:r>
        <w:rPr>
          <w:rFonts w:ascii="IRNazanin" w:hAnsi="IRNazanin" w:eastAsia="IRNazanin"/>
          <w:color w:val="111111"/>
          <w:sz w:val="28"/>
          <w:sz w:val="28"/>
          <w:szCs w:val="28"/>
          <w:rtl w:val="true"/>
          <w:lang w:bidi="fa-IR"/>
        </w:rPr>
        <w:t>علی رسول الله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وَأَنْذِرْ عَشِيرَتَكَ الْأَقْرَبِينَ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دعاني رسول الله صلی الله علیه و آله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إنّ الله أمرني أن أنذر عشيرتك الأقربين، فضقت بذلك ذرعاً، وعرفت أنّي متى أبادئهم بهذا الأمر أرى منهم ما أكره، فصمت عليه حتى جاء جبرئيل،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إنّك إلا تفعل ما تؤمر به يعذّبك ربّك فاصنع لنا صاعاً من الطعام، واجعل عليه رجل شاة، واملألنا غُسّاً</w:t>
      </w:r>
      <w:r>
        <w:rPr>
          <w:rStyle w:val="FootnoteAnchor"/>
          <w:rtl w:val="true"/>
        </w:rPr>
        <w:footnoteReference w:id="90"/>
      </w:r>
      <w:r>
        <w:rPr>
          <w:rFonts w:ascii="Amiri" w:hAnsi="Amiri" w:eastAsia="Amiri" w:cs="Amiri"/>
          <w:color w:val="111111"/>
          <w:sz w:val="28"/>
          <w:sz w:val="28"/>
          <w:szCs w:val="28"/>
          <w:rtl w:val="true"/>
          <w:lang w:bidi="ar-SA"/>
        </w:rPr>
        <w:t>من لبن، ثمّ اجمع لي بني عبدالمطّلب حتّى أكلمهم وأبلغهم ما أمرت به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ففعلت ما أمرني به، ثمّ دعوتهم له، وهم يومئذ أربعون رجلاً يزيدون رجلاً أو ينقصونه،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فيهم أعمامه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طالب وحمزة والعبّاس وأبو الهب، فلمّا اجتمعوا إليه دعاني بالطعام الذي صنعت لهم فجئت به، فلمّا وضعته تناول رسول الله صلی الله علیه و آله وسلم جذبة من اللحم، فشقّها بأسنانه، ثمّ ألقاها في نواحي الصحفة </w:t>
      </w:r>
      <w:r>
        <w:rPr>
          <w:rStyle w:val="FootnoteAnchor"/>
          <w:rtl w:val="true"/>
        </w:rPr>
        <w:footnoteReference w:id="91"/>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بسم الله فأكل القوم حتّى ما لهم بشيء حاجة، وما أرى إلا موضع أيديهم، وأيم الله الذي نفس علي بيده، وإن كان الرجل الواحد منهم ليأكل ما قدّمت لجميعهم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فجئتهم بذلك العس، فشربوا حتّى رووا منه جميعاً وأيم الله، إن كان الرجل الواحد منهم ليشرب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أراد رسول الله صلی الله علیه و آله وسلم شاء أن يكلّمهم، بدره أبو لهب إلى الكلام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سحر کم صاحبكم، فتفرّق القوم، ولم يكلّمهم رسول الله صلی الله علیه و آله وسلم، فقال الغد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إنّ هذا الرجل سبقني إلى ما قد سمعت من القول، فتفرّق القوم قبل أن أكلّمهم، فعدّ لنا من الطعام بمثل ما صنعت، ثمّ أجمعهم إليّ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ففعلت، ثمّ جمعتهم، ثمّ دعاني بالطعام فقرّبته لهم، ففعل كما فعل بالأمس، فأكلوا </w:t>
      </w:r>
    </w:p>
    <w:p>
      <w:pPr>
        <w:pStyle w:val="BookText"/>
        <w:rPr/>
      </w:pPr>
      <w:r>
        <w:rPr>
          <w:rFonts w:ascii="IRNazanin" w:hAnsi="IRNazanin" w:eastAsia="IRNazanin"/>
          <w:color w:val="111111"/>
          <w:sz w:val="28"/>
          <w:sz w:val="28"/>
          <w:szCs w:val="28"/>
          <w:rtl w:val="true"/>
          <w:lang w:bidi="fa-IR"/>
        </w:rPr>
        <w:t>حتّى مالهم بشيء حاجة،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اسقهم، فجئتهم بذلك العسّ، فشربوا حتّی رووا منه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تكلّم رسول الله صلی الله علیه و آله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عبدالمطلّب، إنّي والله ما أعلم شابّاً في العرب جاء قومه بأفضل ممّا قد جئتكم به، إنّي قد جئتكم بخير الدنيا والآخرة، وقد أمرني الله تعالی أن أدعوكم إليه، فأيّكم يؤازرني على هذا الأمر على أن يكون أخي ووصيّي، وخليفتي فيكم؟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فأحجم القوم عنها جميعاً،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لاحدثهم سنّاً، وأرمصهم عيناً، وأعظمهم بطناً، وأحمشهم ساقاً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نبيّ الله، أكون وزيرك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برقبتي،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أخي، ووصيّي، وخليفتي فيكم، فاسمعوا له وأطيعوا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القوم يضحكون ويقولون لأبي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أمرك أن تسمع لابنك وتطيع</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 xml:space="preserve">ولكن يوجد من أثنى على أبي مريم و وثّقه من علماء الجرح والتعديل من أهل السنّة، فقد أثنى عليه ابن عقدة وأطراه، وبالغ في مدحه وأسند إليه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وصحّحه الخفاجي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الشفا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للقاضي عياض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،وحكى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الجوامع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ترتيبه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تصحيح ابن جرير الطبري، وصحّحه العلامة المعتزلي أبو جعفر الإسكافي في كتابه نقض العثمانية، كما حكى ذلك تلميذه العلامة ابن أبي الحديد في شرح نهج البلاغة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لدى علماء الشيعة فالحديث ثابت، لا نقاش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ورغم ثبوت الرواية سنداً لهم، إلا أنّ بعضهم حاول إخفاء الحقيقة فبتروا الجزء الخطير من الحديث، والذي يعيّن فيه علياً وصيّاً وخليفة له، فمثلاً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الطبري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يذكر أنّ رسول الله صلی الله علیه و آله وسلم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أخي</w:t>
      </w:r>
      <w:r>
        <w:rPr>
          <w:rFonts w:eastAsia="IRNazanin" w:cs="IRNazanin"/>
          <w:color w:val="111111"/>
          <w:sz w:val="28"/>
          <w:szCs w:val="28"/>
          <w:rtl w:val="true"/>
          <w:lang w:bidi="fa-IR"/>
        </w:rPr>
        <w:t>...»</w:t>
      </w:r>
      <w:r>
        <w:rPr>
          <w:rStyle w:val="FootnoteAnchor"/>
          <w:rtl w:val="true"/>
        </w:rPr>
        <w:footnoteReference w:id="93"/>
      </w:r>
      <w:r>
        <w:rPr>
          <w:rFonts w:ascii="Amiri" w:hAnsi="Amiri" w:eastAsia="Amiri" w:cs="Amiri"/>
          <w:color w:val="111111"/>
          <w:sz w:val="28"/>
          <w:sz w:val="28"/>
          <w:szCs w:val="28"/>
          <w:rtl w:val="true"/>
          <w:lang w:bidi="ar-SA"/>
        </w:rPr>
        <w:t xml:space="preserve">، مع أنّ الطبري نفسه أخرج الحديث كاملاً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w:t>
      </w:r>
      <w:r>
        <w:rPr>
          <w:rFonts w:eastAsia="Amiri" w:cs="Amiri" w:ascii="Amiri" w:hAnsi="Amiri"/>
          <w:color w:val="111111"/>
          <w:sz w:val="28"/>
          <w:szCs w:val="28"/>
          <w:rtl w:val="true"/>
          <w:lang w:bidi="ar-SA"/>
        </w:rPr>
        <w:t>».</w:t>
      </w:r>
      <w:r>
        <w:rPr>
          <w:rStyle w:val="FootnoteAnchor"/>
          <w:rtl w:val="true"/>
        </w:rPr>
        <w:footnoteReference w:id="94"/>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والكاتب المصري محمد حسنین هیکل أخرج الحديث بكامله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حياة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صفحة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الطبعة الأولى سنة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 وفي الطبعة الثانية وما بعدها حذف من الحديث قوله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وصيي وخليفتي من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الحديث يبيّن أن رسول الله عیّن علياً وصيّاً و خليفة له في بداية الدعوة، وهكذا أصبح علي عليه السلام وزيراً لرسول الله صلی الله علیه و آله وسلم يتحمّل </w:t>
      </w:r>
    </w:p>
    <w:p>
      <w:pPr>
        <w:pStyle w:val="BookText"/>
        <w:rPr/>
      </w:pPr>
      <w:r>
        <w:rPr>
          <w:rFonts w:ascii="IRNazanin" w:hAnsi="IRNazanin" w:eastAsia="IRNazanin"/>
          <w:color w:val="111111"/>
          <w:sz w:val="28"/>
          <w:sz w:val="28"/>
          <w:szCs w:val="28"/>
          <w:rtl w:val="true"/>
          <w:lang w:bidi="fa-IR"/>
        </w:rPr>
        <w:t>عنه أعباء الدعوة منذ نشأتها، كما كان من شأن هارون وموسی علهما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الأخوة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هَارُونَ أَخِي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كان هارون أخا موسی، والدليل على ذلك هذه الآية و آیات أخرى بنفس المعنى وكذلك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رَجَعَ مُوسَى إِلَى قَوْمِهِ غَضْبَانَ أَسِفًا قَالَ بِئْسَمَا خَلَفْتُمُونِي مِنْ بَعْدِي أَعَجِلْتُمْ أَمْرَ رَبِّكُمْ وَأَلْقَى الْأَلْوَاحَ وَأَخَذَ بِرَأْسِ أَخِيهِ يَجُرُّهُ إِلَيْهِ قَالَ ابْنَ أُمَّ إِنَّ الْقَوْمَ اسْتَضْعَفُونِي وَكَادُوا يَقْتُلُونَنِي فَلَا تُشْمِتْ بِيَ الْأَعْدَاءَ وَلَا تَجْعَلْنِي مَعَ الْقَوْمِ الظَّالِمِينَ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حيث يخاطبه بابن أمّ، فهما إذن إخوان بالنسب، أمّا علي فليس أخا رسول الله نسبيّاً بل ابن عمّه، ومع ذلك ففي حديث الإنذار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الآنف الذكر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أخي ووصيّي وخليفتي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وكأنّ الأخوّة النسبية بين هارون وموسي كانت تحمل معنى الأخوة في العمل المشترك من أجل تبليغ الدين إلى كافة الناس أيضاً، ولذلك جاءت هذه الأخوة في التناسب المذكور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المنزلة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شد الأزر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اشْدُدْ بِهِ أَزْرِي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الأعرابي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اشْدُدْ بِهِ أَزْرِي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جعل الأزر القوّة، قال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اشْدُدْ بِهِ أَزْرِي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اشدد به قوّتي، ومن جعله الظهر،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به ظهري، ومن جعله الضَّعف،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به ضعفي وقوِّ به ضعفي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عبّر تعالی شأنه عن هذه المؤازرة في موضع آخر بشدّ العضد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سَنَشُدُّ عَضُدَكَ بِأَخِيكَ وَنَجْعَلُ لَكُمَا سُلْطَانًا فَلَا يَصِلُونَ إِلَيْكُمَا بِآيَاتِنَا أَنْتُمَا وَمَنِ اتَّبَعَكُمَا الْغَالِبُونَ </w:t>
      </w:r>
      <w:r>
        <w:rPr>
          <w:rFonts w:eastAsia="Amiri" w:cs="Amiri" w:ascii="Amiri" w:hAnsi="Amiri"/>
          <w:color w:val="111111"/>
          <w:sz w:val="28"/>
          <w:szCs w:val="28"/>
          <w:rtl w:val="true"/>
          <w:lang w:bidi="ar-SA"/>
        </w:rPr>
        <w:t>»</w:t>
      </w:r>
      <w:r>
        <w:rPr>
          <w:rStyle w:val="FootnoteAnchor"/>
          <w:rtl w:val="true"/>
        </w:rPr>
        <w:footnoteReference w:id="95"/>
      </w:r>
      <w:r>
        <w:rPr>
          <w:rFonts w:ascii="Amiri" w:hAnsi="Amiri" w:eastAsia="Amiri" w:cs="Amiri"/>
          <w:color w:val="111111"/>
          <w:sz w:val="28"/>
          <w:sz w:val="28"/>
          <w:szCs w:val="28"/>
          <w:rtl w:val="true"/>
          <w:lang w:bidi="ar-SA"/>
        </w:rPr>
        <w:t>، لاحظ أنّ الخطاب في هذه الآيات ومثلها في مواضع أخرى بالتثنية ليبيّن المشاركة في الدعوة بوضوح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فأراد النبيّ موسى بهذا الدعاء أن يقوّيه ربّه بهارون، فيكون ظهيراً له، ومساندة يعتمد عليه، و يتقوّى به وكان له من الله ذلك، وبالتالي فقد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 الله تعالى أزر رسوله محمدصلی الله علیه و آله وسلم أيضاً بعليّ ٍ عليه السلام، فمواقفه في الدفاع عن رسول الله ودعوته بعدد مواقف الرسول طوال الدعوة المباركة، فهو الوحيد الذي لبّى دعوة الرسول في يوم الإنذار، حتّى صار أخا الرسول وخليفته، وكان يسير خلف النبيّ في مكّة، ليدفع عنه كيد الكائدين من مشركي قريش، وفدّي النبي بنفسه ليلة الهجرة، ليخرج صلی الله علیه و آله وسلم آمناً من قتلة قريش، ثمّ أدّى الأمانات المودعة عند الرسول وجمع الفواطم وذهب بهنّ إلى يثرب، وكان سيف الرسول وسيف الإسلام طوال عهد النبيّ في المدينة، فكان أحد الثلاثة الذين قتلوا فرسان قريش في بداية معركة بدر، وكان قتلاه من الأعداء ذلك اليوم يساوي قتلى سائر المسلمين، وكان الوحيد الذي ظلّ ثابتاً يدافع عن الرسول حينما هرب الجميع يوم اُحد، وكان الوحيد الذي ضرب بالسيف يوم الأحزاب، فقتل بطل أبطال العرب عمرو بن عبدودّ، وحمل اللواء في فتح مكة ليعلن بأمر الرسول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يوم المرحمة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وفتح الله على يديه خیبر بعد أن خاب الخليفتان، فحظي بكلمة النبيّ الخالدة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سأعطي الراية غداً رجلاً يحبّ الله ورسوله ويحبّه الله ورسوله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يوم المباهلة لم يصاحب النبيّ معه إلا الحسنين باعتبارهما الأبناء، وفاطمة بأنّها تمثّل النساء، وعلياً ليمثّل نفس النبيّ على ما في الآية الكريمة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حَاجَّكَ فِيهِ مِنْ بَعْدِ مَا جَاءَكَ مِنَ الْعِلْمِ فَقُلْ تَعَالَوْا نَدْعُ أَبْنَاءَنَا وَأَبْنَاءَكُمْ وَنِسَاءَنَا وَنِسَاءَكُمْ وَأَنْفُسَنَا وَأَنْفُسَكُمْ ثُمَّ نَبْتَهِلْ فَنَجْعَلْ لَعْنَتَ اللَّهِ عَلَى الْكَاذِبِينَ </w:t>
      </w:r>
      <w:r>
        <w:rPr>
          <w:rFonts w:eastAsia="Amiri" w:cs="Amiri" w:ascii="Amiri" w:hAnsi="Amiri"/>
          <w:color w:val="111111"/>
          <w:sz w:val="28"/>
          <w:szCs w:val="28"/>
          <w:rtl w:val="true"/>
          <w:lang w:bidi="ar-SA"/>
        </w:rPr>
        <w:t>»</w:t>
      </w:r>
      <w:r>
        <w:rPr>
          <w:rStyle w:val="FootnoteAnchor"/>
          <w:rtl w:val="true"/>
        </w:rPr>
        <w:footnoteReference w:id="96"/>
      </w:r>
      <w:r>
        <w:rPr>
          <w:rFonts w:ascii="Amiri" w:hAnsi="Amiri" w:eastAsia="Amiri" w:cs="Amiri"/>
          <w:color w:val="111111"/>
          <w:sz w:val="28"/>
          <w:sz w:val="28"/>
          <w:szCs w:val="28"/>
          <w:rtl w:val="true"/>
          <w:lang w:bidi="ar-SA"/>
        </w:rPr>
        <w:t>، إلى غير ذلك من المواقف العظيمة التي شدّ علي فيها أزر الرسول بنفسه وبسيفه وبكلّ ما أوتي من قوّة</w:t>
      </w:r>
      <w:r>
        <w:rPr>
          <w:rFonts w:eastAsia="Amiri" w:cs="Amiri" w:ascii="Amiri" w:hAnsi="Amiri"/>
          <w:color w:val="111111"/>
          <w:sz w:val="28"/>
          <w:szCs w:val="28"/>
          <w:rtl w:val="true"/>
          <w:lang w:bidi="ar-SA"/>
        </w:rPr>
        <w:t xml:space="preserve">. </w:t>
      </w:r>
      <w:bookmarkStart w:id="76" w:name="pg8095_81603"/>
    </w:p>
    <w:p>
      <w:pPr>
        <w:pStyle w:val="Heading3"/>
        <w:numPr>
          <w:ilvl w:val="2"/>
          <w:numId w:val="1"/>
        </w:numPr>
        <w:rPr/>
      </w:pPr>
      <w:bookmarkStart w:id="77" w:name="__RefHeading___Toc7912266_1051229030"/>
      <w:bookmarkStart w:id="78" w:name="_Toc26"/>
      <w:bookmarkEnd w:id="76"/>
      <w:bookmarkEnd w:id="77"/>
      <w:r>
        <w:rPr>
          <w:rtl w:val="true"/>
        </w:rPr>
        <w:t>ملاحظات على المشاركة في الدعوة</w:t>
      </w:r>
      <w:bookmarkEnd w:id="7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استجابة دعاء موسی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يخطر ببال البعض أنّ آيات سورة طه تبيّن دعاء موسی ربّه، لإعطاء الله تعالی له، ولكنّ الآية التي تلي تلك الآيات تبيّن أنّ الله قد وهبه كلّ ما أراد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قَدْ أُوتِيتَ سُؤْلَكَ يَا مُوسَى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فاستجاب الله تعالى كلّ ما طلبه موسی منه فجعل له وزيراً من أهله، هارون أخاه، وشدّ به أزره وأشركه في أمره، وبناءاً على المقارنة التي رسمها النبي صلی الله علیه و آله وسلم فقد جعل الله تعالى أخاه علياً وزيراً له وشدّ به أزره وأشركه في أمره، فسبّحا ربّهما كثيراً وذكراه كثيراً</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وإضافة إلى الآية المذكورة من سورة طه فقد أكّد تعالى هذا الأمر في سورة مريم أيضاً،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وَاذْكُرْ فِي الْكِتَابِ مُوسَى إِنَّهُ كَانَ مُخْلَصًا وَكَانَ رَسُولًا نَبِيًّا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وَنَادَيْنَاهُ مِنْ جَانِبِ الطُّورِ الْأَيْمَنِ وَقَرَّبْنَاهُ نَجِيًّا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وَوَهَبْنَا لَهُ مِنْ رَحْمَتِنَا أَخَاهُ هَارُونَ نَبِيًّا</w:t>
      </w:r>
      <w:r>
        <w:rPr>
          <w:rFonts w:eastAsia="Amiri" w:cs="Amiri" w:ascii="Amiri" w:hAnsi="Amiri"/>
          <w:color w:val="111111"/>
          <w:sz w:val="28"/>
          <w:szCs w:val="28"/>
          <w:rtl w:val="true"/>
          <w:lang w:bidi="ar-SA"/>
        </w:rPr>
        <w:t>»</w:t>
      </w:r>
      <w:r>
        <w:rPr>
          <w:rStyle w:val="FootnoteAnchor"/>
          <w:rtl w:val="true"/>
        </w:rPr>
        <w:footnoteReference w:id="97"/>
      </w:r>
      <w:r>
        <w:rPr>
          <w:rFonts w:ascii="Amiri" w:hAnsi="Amiri" w:eastAsia="Amiri" w:cs="Amiri"/>
          <w:color w:val="111111"/>
          <w:sz w:val="28"/>
          <w:sz w:val="28"/>
          <w:szCs w:val="28"/>
          <w:rtl w:val="true"/>
          <w:lang w:bidi="ar-SA"/>
        </w:rPr>
        <w:t xml:space="preserve">، ولم يستثن رسول الله من ذلك شيئا إلا النبوة المذكورة هنا في </w:t>
      </w:r>
    </w:p>
    <w:p>
      <w:pPr>
        <w:pStyle w:val="BookText"/>
        <w:rPr/>
      </w:pPr>
      <w:r>
        <w:rPr>
          <w:rFonts w:ascii="IRNazanin" w:hAnsi="IRNazanin" w:eastAsia="IRNazanin"/>
          <w:color w:val="111111"/>
          <w:sz w:val="28"/>
          <w:sz w:val="28"/>
          <w:szCs w:val="28"/>
          <w:rtl w:val="true"/>
          <w:lang w:bidi="fa-IR"/>
        </w:rPr>
        <w:t xml:space="preserve">الآية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فيعتبر هارون بالنسبة إلى موسی حسب هذه الآية، وكذلك علي بالنسبة إلى النبي موهبةً إلهيةً ورحمة من الله لنبيِّه، وأخاً الرسوله الكريم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الاستكبار في قبول الدعوة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الغريب في مقارنة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تعمّ الآخرين أيضاً، فنجد أنّ من واجهوا الرسولين بالرفض، قد تصرّفوا بدوافع متشابهة، فقد رفض العتاة من مردة قریش قبول دعوة الحقّ، استكباراً منهم وتعالياً، وذلك لأنّ الرسول كان يتيماً قليل المال رغم انتمائه إلى أشرف فخذ من قریش وهي بني هاشم، وتشير الآية التالية إلى هذا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وَقَالُوا لَوْلَا نُزِّلَ هَذَا الْقُرْآنُ عَلَى رَجُلٍ مِنَ الْقَرْيَتَيْنِ عَظِيمٍ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وتذكّر التفاسير أنّ 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الوليد بن المغيرة ذو الأموال الطائلة والأولاد الكثير، وقد استكبر هذا الوليد على رسول الله معتزّاً بالأموال والأولاد في مواجهة أمر الباري عزّ وجلّ، يقول تعالى في سورة المدّثّر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نُقِرَ فِي النَّاقُورِ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يَوْمَئِذٍ يَوْمٌ عَسِيرٌ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الْكَافِرِينَ غَيْرُ يَسِيرٍ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ذَرْنِي وَمَنْ خَلَقْتُ وَحِيدًا</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وَجَعَلْتُ لَهُ مَالًا مَمْدُودًا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وَبَنِينَ شُهُودًا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وَمَهَّدْتُ لَهُ تَمْهِيدًا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يَطْمَعُ أَنْ أَزِيدَ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 إِنَّهُ كَانَ لِآيَاتِنَا عَنِيدًا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سَأُرْهِقُهُ صَعُودًا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فَكَّرَ وَقَدَّرَ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فَقُتِلَ كَيْفَ 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قُتِلَ كَيْفَ 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عَبَسَ وَبَسَرَ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أَدْبَرَ وَاسْتَكْبَرَ </w:t>
      </w:r>
      <w:r>
        <w:rPr>
          <w:rFonts w:eastAsia="Amiri" w:cs="Amiri" w:ascii="Amiri" w:hAnsi="Amiri"/>
          <w:color w:val="111111"/>
          <w:sz w:val="28"/>
          <w:szCs w:val="28"/>
          <w:rtl w:val="true"/>
          <w:lang w:bidi="ar-SA"/>
        </w:rPr>
        <w:t>»</w:t>
      </w:r>
      <w:r>
        <w:rPr>
          <w:rStyle w:val="FootnoteAnchor"/>
          <w:rtl w:val="true"/>
        </w:rPr>
        <w:footnoteReference w:id="98"/>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وبنفس المعنی استكبر فرعون أمام موسی، فازدری موسى وقومه كما في سورة المؤمنون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أَرْسَلْنَا مُوسَى وَأَخَاهُ هَارُونَ بِآيَاتِنَا وَسُلْطَانٍ 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فِرْعَوْنَ وَمَلَئِهِ فَاسْتَكْبَرُوا وَكَانُوا قَوْمًا عَالِينَ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فَقَالُوا أَنُؤْمِنُ لِبَشَرَيْنِ مِثْلِنَا وَقَوْمُهُمَا لَنَا عَابِدُونَ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فَكَذَّبُوهُمَا فَكَانُوا مِنَ </w:t>
      </w:r>
    </w:p>
    <w:p>
      <w:pPr>
        <w:pStyle w:val="BookText"/>
        <w:rPr/>
      </w:pPr>
      <w:r>
        <w:rPr>
          <w:rFonts w:ascii="Amiri" w:hAnsi="Amiri" w:eastAsia="Amiri" w:cs="Amiri"/>
          <w:color w:val="111111"/>
          <w:sz w:val="28"/>
          <w:sz w:val="28"/>
          <w:szCs w:val="28"/>
          <w:rtl w:val="true"/>
          <w:lang w:bidi="ar-SA"/>
        </w:rPr>
        <w:t>الْمُهْلَكِينَ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ترفع فرعون علی موسی بأمواله وملكه، كما في سورة الزخرف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وَنَادَى فِرْعَوْنُ فِي قَوْمِهِ قَالَ يَا قَوْمِ أَلَيْسَ لِي مُلْكُ مِصْرَ وَهَذِهِ الْأَنْهَارُ تَجْرِي مِنْ تَحْتِي أَفَلَا تُبْصِرُونَ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أَنَا خَيْرٌ مِنْ هَذَا الَّذِي هُوَ مَهِينٌ وَلَا يَكَادُ يُبِينُ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 أُلْقِيَ عَلَيْهِ أَسْوِرَةٌ مِنْ ذَهَبٍ أَوْ جَاءَ مَعَهُ الْمَلَائِكَةُ مُقْتَرِنِينَ</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اتّهام الرسول بالسحر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والغريب أنّ الوليد بن المغيرة، قد قال في رسول الله نفس ما قاله فرعون في موسى، فقد ادّعى الوليد أنّ القرآن سحرٌ يسحر به النبيّ مستمعيه، اقرأ باقي آیات سورة المدّثّر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فَقَالَ إِنْ هَذَا إِلَّا سِحْرٌ يُؤْثَرُ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إِلَّا قَوْلُ الْبَشَرِ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سَأُصْلِيهِ سَقَرَ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أَدْرَاكَ مَا سَقَرُ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وادّعى فرعون أيضاً أنّ موسی ساحر، اقرأ قوله تعالى في سورة يونس</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بَعَثْنَا مِنْ بَعْدِهِمْ مُوسَى وَهَارُونَ إِلَى فِرْعَوْنَ وَمَلَئِهِ بِآيَاتِنَا فَاسْتَكْبَرُوا وَكَانُوا قَوْمًا مُجْرِمِينَ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جَاءَهُمُ الْحَقُّ مِنْ عِنْدِنَا قَالُوا إِنَّ هَذَا لَسِحْرٌ مُبِينٌ</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نزول الكتاب السماوي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آتَيْنَا مُوسَى وَهَارُونَ الْفُرْقَانَ وَضِيَاءً وَذِكْرًا لِلْمُتَّقِينَ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واضح أنّ الضياء الذي اُوتي موسى وهارون، هو التوراة التي تفرق بين الحقُّ والباطل، فهي فرقان تضيء الطريق أمام المتّقين وتذكّرهم بآيات الله، ولكنّ التوراة قد نزلت علی موسی خاصّة، فكيف يشارك هارون أخاه موسی في التوراة، حتّى يصحّ القول فيهما معاً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آتَيْنَا مُوسَى وَهَارُونَ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ولا أظنّ أن يكون المقصود أنّ أوامر التوراة ونواهيها وإرشاداتها تعمّهما معاً، لأنها تعمّ جميع الناس في زمنهما، فكان يجب أن يقول إذن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آتَينَا مُوسَى وقومه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إذن فقد أشرك الله هارون مع موسى في استقبال الوحي بالتوراة</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وأوضح من ذلك ما جاء في سورة الصافات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وَآتَيْنَاهُمَا الْكِتَابَ الْمُسْتَبِينَ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وَهَدَيْنَاهُمَا الصِّرَاطَ الْمُسْتَقِيمَ </w:t>
      </w:r>
      <w:r>
        <w:rPr>
          <w:rFonts w:eastAsia="Amiri" w:cs="Amiri" w:ascii="Amiri" w:hAnsi="Amiri"/>
          <w:color w:val="111111"/>
          <w:sz w:val="28"/>
          <w:szCs w:val="28"/>
          <w:rtl w:val="true"/>
          <w:lang w:bidi="ar-SA"/>
        </w:rPr>
        <w:t>»</w:t>
      </w:r>
      <w:r>
        <w:rPr>
          <w:rStyle w:val="FootnoteAnchor"/>
          <w:rtl w:val="true"/>
        </w:rPr>
        <w:footnoteReference w:id="101"/>
      </w:r>
      <w:r>
        <w:rPr>
          <w:rFonts w:ascii="IRNazanin" w:hAnsi="IRNazanin" w:eastAsia="IRNazanin"/>
          <w:color w:val="111111"/>
          <w:sz w:val="28"/>
          <w:sz w:val="28"/>
          <w:szCs w:val="28"/>
          <w:rtl w:val="true"/>
          <w:lang w:bidi="fa-IR"/>
        </w:rPr>
        <w:t>ولكنّنا لا نقول ذلك في علي علیه السلام، فالظاهر أن قوله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نبي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يستثني ذلك</w:t>
      </w:r>
      <w:r>
        <w:rPr>
          <w:rFonts w:eastAsia="IRNazanin" w:cs="IRNazanin"/>
          <w:color w:val="111111"/>
          <w:sz w:val="28"/>
          <w:szCs w:val="28"/>
          <w:rtl w:val="true"/>
          <w:lang w:bidi="fa-IR"/>
        </w:rPr>
        <w:t xml:space="preserve">. </w:t>
      </w:r>
      <w:bookmarkStart w:id="79" w:name="pg8095_81609"/>
    </w:p>
    <w:p>
      <w:pPr>
        <w:pStyle w:val="Heading2"/>
        <w:numPr>
          <w:ilvl w:val="1"/>
          <w:numId w:val="1"/>
        </w:numPr>
        <w:rPr/>
      </w:pPr>
      <w:bookmarkStart w:id="80" w:name="__RefHeading___Toc7912268_1051229030"/>
      <w:bookmarkStart w:id="81" w:name="_Toc27"/>
      <w:bookmarkEnd w:id="79"/>
      <w:bookmarkEnd w:id="80"/>
      <w:r>
        <w:rPr>
          <w:rtl w:val="true"/>
        </w:rPr>
        <w:t>الخلافة</w:t>
      </w:r>
      <w:bookmarkEnd w:id="81"/>
    </w:p>
    <w:p>
      <w:pPr>
        <w:pStyle w:val="Heading3"/>
        <w:numPr>
          <w:ilvl w:val="2"/>
          <w:numId w:val="1"/>
        </w:numPr>
        <w:rPr/>
      </w:pPr>
      <w:bookmarkStart w:id="82" w:name="__RefHeading___Toc7912270_1051229030"/>
      <w:bookmarkStart w:id="83" w:name="_Toc28"/>
      <w:bookmarkEnd w:id="82"/>
      <w:r>
        <w:rPr>
          <w:rtl w:val="true"/>
        </w:rPr>
        <w:t>اشارة</w:t>
      </w:r>
      <w:bookmarkEnd w:id="83"/>
    </w:p>
    <w:p>
      <w:pPr>
        <w:pStyle w:val="BookText"/>
        <w:rPr/>
      </w:pPr>
      <w:r>
        <w:rPr>
          <w:rFonts w:ascii="Amiri" w:hAnsi="Amiri" w:eastAsia="Amiri" w:cs="Amiri"/>
          <w:color w:val="111111"/>
          <w:sz w:val="28"/>
          <w:sz w:val="28"/>
          <w:szCs w:val="28"/>
          <w:rtl w:val="true"/>
          <w:lang w:bidi="ar-SA"/>
        </w:rPr>
        <w:t>لم يكن هارون مجرّد شريك للدعوة بحضور موسى، وإنّما كان خليفة له عند غيابه أيضاً، فقد استخلفه موسي عليه السلام عند ذهابه إلى لقاء ربّه،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وَوَاعَدْنَا مُوسَى ثَلَاثِينَ لَيْلَةً وَأَتْمَمْنَاهَا بِعَشْرٍ فَتَمَّ مِيقَاتُ رَبِّهِ أَرْبَعِينَ لَيْلَةً وَقَالَ مُوسَى لِأَخِيهِ هَارُونَ اخْلُفْنِي فِي قَوْمِي وَأَصْلِحْ وَلَا تَتَّبِعْ سَبِيلَ الْمُفْسِدِينَ </w:t>
      </w:r>
      <w:r>
        <w:rPr>
          <w:rFonts w:eastAsia="Amiri" w:cs="Amiri" w:ascii="Amiri" w:hAnsi="Amiri"/>
          <w:color w:val="111111"/>
          <w:sz w:val="28"/>
          <w:szCs w:val="28"/>
          <w:rtl w:val="true"/>
          <w:lang w:bidi="ar-SA"/>
        </w:rPr>
        <w:t>»</w:t>
      </w:r>
      <w:r>
        <w:rPr>
          <w:rStyle w:val="FootnoteAnchor"/>
          <w:rtl w:val="true"/>
        </w:rPr>
        <w:footnoteReference w:id="102"/>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يظّن البعض أنّ استخلاف عليٍّ علیه السلام يوم تبوك لا يدلّ إلا على أنّ علياً كان بطلاً شجاعاً يستطيع الدفاع عن المدينة في غياب جيشها، ولكنَّ النبيَّ يقارن بين استخلافه وبين استخلاف هارون، عند ذهاب موسى إلى ميعاد ربّه، ولم تكن هناك حرب ولا خطرٌ على قوم موسی، ولم يشتهر هارون بالبطولة في القتال، إذن فقد كان اختيار موسى لهارون لخلافته بنفس الدليل الذي اختار به هارون لمشاركته في الدعوة، وهو أنّ هارون كان أفضل أمّته، وكان يثق به تمام الثقة، وبالتالي فإنّ استخلاف علي عليه السلام في تبوك وقول النبيِّ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ترضی أن تكون منّي بمنزلة هارون من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أنّه كان أفضل أمّة النبي، وأنّه صلی الله علیه وآله وسلم يثق به تمام الثقة</w:t>
      </w:r>
      <w:r>
        <w:rPr>
          <w:rFonts w:eastAsia="IRNazanin" w:cs="IRNazanin"/>
          <w:color w:val="111111"/>
          <w:sz w:val="28"/>
          <w:szCs w:val="28"/>
          <w:rtl w:val="true"/>
          <w:lang w:bidi="fa-IR"/>
        </w:rPr>
        <w:t xml:space="preserve">. </w:t>
      </w:r>
      <w:bookmarkStart w:id="84" w:name="pg8095_81611"/>
    </w:p>
    <w:p>
      <w:pPr>
        <w:pStyle w:val="Heading3"/>
        <w:numPr>
          <w:ilvl w:val="2"/>
          <w:numId w:val="1"/>
        </w:numPr>
        <w:rPr/>
      </w:pPr>
      <w:bookmarkStart w:id="85" w:name="__RefHeading___Toc7912272_1051229030"/>
      <w:bookmarkStart w:id="86" w:name="_Toc29"/>
      <w:bookmarkEnd w:id="84"/>
      <w:bookmarkEnd w:id="85"/>
      <w:r>
        <w:rPr>
          <w:rtl w:val="true"/>
        </w:rPr>
        <w:t>ملاحظات على الخلافة</w:t>
      </w:r>
      <w:bookmarkEnd w:id="8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الخلافة تعني الولاية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يتبيّن من وصيّة موسى لهارون عند استخلافه اله، أنّ هذه الخلافة كانت ولاية على الناس حيث يقول له موسى في الآية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المذكورة آنفاً من سورة الأعراف بعد ما يأمره بالخلافة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وَأَصْلِحْ وَلَا تَتَّبِعْ سَبِيلَ الْمُفْسِدِينَ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ومثل هذه النصيحة تقال لمن يراد منه أن يتولّى أمر الناس، والدليل الآخر على ولاية هارون أنّ موسى عاتبه بعد رجوعه لما رأى من انحراف قومه وهذا يدلّ على أنّ هارون كان مسؤولاً تجاه أعمال القوم، اقرأ في سورة الأعراف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وَلَمَّا رَجَعَ مُوسَى إِلَى قَوْمِهِ غَضْبَانَ أَسِفًا قَالَ بِئْسَمَا خَلَفْتُمُونِي مِنْ بَعْدِي أَعَجِلْتُمْ أَمْرَ رَبِّكُمْ وَأَلْقَى الْأَلْوَاحَ وَأَخَذَ بِرَأْسِ أَخِيهِ يَجُرُّهُ إِلَيْهِ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نستنتج أنّ خلافة علي لرسول الله أيضاً كانت تعني الولاية، ولا تقتصر على أيّام غزوة تبوك، وإنّما هي ولاية عامّة في غياب الرسول، وخصوصاً أنّ الرسول قد كرّر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غير تبوك أيضاً، ليؤكّد أنّ تلك الولاية</w:t>
      </w:r>
    </w:p>
    <w:p>
      <w:pPr>
        <w:pStyle w:val="BookText"/>
        <w:rPr/>
      </w:pPr>
      <w:r>
        <w:rPr>
          <w:rFonts w:ascii="Amiri" w:hAnsi="Amiri" w:eastAsia="Amiri" w:cs="Amiri"/>
          <w:color w:val="111111"/>
          <w:sz w:val="28"/>
          <w:sz w:val="28"/>
          <w:szCs w:val="28"/>
          <w:rtl w:val="true"/>
          <w:lang w:bidi="ar-SA"/>
        </w:rPr>
        <w:t>عامة، لا تخصّ أيّام تبوك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رفض الناس لهذه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يعاند بنو إسرائيل هارون فور ذهاب موسى للقاء ربّه، والظاهر أنّهم كانوا خائفين من موسى، ومن مؤاخذته إيّاهم إذا رجع، واستمرّوا كذلك مدّة ثلاثين يوماً حيث وعد موسی بالعودة بعدها، ولكنّه تأخَر عنهم بأمر ربّه عشرة أيّام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وَوَاعَدْنَا مُوسَى ثَلَاثِينَ لَيْلَةً وَأَتْمَمْنَاهَا بِعَشْرٍ فَتَمَّ مِيقَاتُ رَبِّهِ أَرْبَعِينَ لَيْلَةً </w:t>
      </w:r>
      <w:r>
        <w:rPr>
          <w:rFonts w:eastAsia="Amiri" w:cs="Amiri" w:ascii="Amiri" w:hAnsi="Amiri"/>
          <w:color w:val="111111"/>
          <w:sz w:val="28"/>
          <w:szCs w:val="28"/>
          <w:rtl w:val="true"/>
          <w:lang w:bidi="ar-SA"/>
        </w:rPr>
        <w:t>»</w:t>
      </w:r>
      <w:r>
        <w:rPr>
          <w:rStyle w:val="FootnoteAnchor"/>
          <w:rtl w:val="true"/>
        </w:rPr>
        <w:footnoteReference w:id="103"/>
      </w:r>
      <w:r>
        <w:rPr>
          <w:rFonts w:ascii="Amiri" w:hAnsi="Amiri" w:eastAsia="Amiri" w:cs="Amiri"/>
          <w:color w:val="111111"/>
          <w:sz w:val="28"/>
          <w:sz w:val="28"/>
          <w:szCs w:val="28"/>
          <w:rtl w:val="true"/>
          <w:lang w:bidi="ar-SA"/>
        </w:rPr>
        <w:t>، فتمرّدوا على هارون ولم يهتمّوا بأوامره ولا بإرشاداته، يقول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قَالَ لَهُمْ هَارُونُ مِنْ قَبْلُ يَا قَوْمِ إِنَّمَا فُتِنْتُمْ بِهِ وَإِنَّ رَبَّكُمُ الرَّحْمَنُ فَاتَّبِعُونِي وَأَطِيعُوا أَمْرِي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لَنْ نَبْرَحَ عَلَيْهِ عَاكِفِينَ حَتَّى يَرْجِعَ إِلَيْنَا مُوسَى </w:t>
      </w:r>
      <w:r>
        <w:rPr>
          <w:rFonts w:eastAsia="Amiri" w:cs="Amiri" w:ascii="Amiri" w:hAnsi="Amiri"/>
          <w:color w:val="111111"/>
          <w:sz w:val="28"/>
          <w:szCs w:val="28"/>
          <w:rtl w:val="true"/>
          <w:lang w:bidi="ar-SA"/>
        </w:rPr>
        <w:t>»</w:t>
      </w:r>
      <w:r>
        <w:rPr>
          <w:rStyle w:val="FootnoteAnchor"/>
          <w:rtl w:val="true"/>
        </w:rPr>
        <w:footnoteReference w:id="104"/>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واقرأ الآن في سورة الأعراف ما فعل القوم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وَاتَّخَذَ قَوْمُ مُوسَى مِنْ بَعْدِهِ مِنْ حُلِيِّهِمْ عِجْلًا جَسَدًا لَهُ خُوَارٌ أَلَمْ يَرَوْا أَنَّهُ لَا يُكَلِّمُهُمْ وَلَا يَهْدِيهِمْ سَبِيلًا اتَّخَذُوهُ وَكَانُوا 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سُقِطَ فِي أَيْدِيهِمْ وَرَأَوْا أَنَّهُمْ قَدْ ضَلُّوا قَالُوا لَئِنْ لَمْ يَرْحَمْنَا رَبُّنَا وَيَغْفِرْ لَنَا لَنَكُونَنَّ </w:t>
      </w:r>
    </w:p>
    <w:p>
      <w:pPr>
        <w:pStyle w:val="BookText"/>
        <w:rPr/>
      </w:pPr>
      <w:r>
        <w:rPr>
          <w:rFonts w:ascii="Amiri" w:hAnsi="Amiri" w:eastAsia="Amiri" w:cs="Amiri"/>
          <w:color w:val="111111"/>
          <w:sz w:val="28"/>
          <w:sz w:val="28"/>
          <w:szCs w:val="28"/>
          <w:rtl w:val="true"/>
          <w:lang w:bidi="ar-SA"/>
        </w:rPr>
        <w:t xml:space="preserve">مِنَ الْخَاسِرِينَ </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وعاد موسی فرأى انحراف القوم وشرع في المؤاخذة فبدأ بأخيه، ولكن هارون بیّن له أنّ عدم مقدرته على أداء تلك المسؤولية لم تكن النقص فيه، إنّما لاستضعاف الناس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أُمَّ إِنَّ الْقَوْمَ اسْتَضْعَفُونِي وَكَادُوا يَقْتُلُونَنِي فَلَا تُشْمِتْ بِيَ الْأَعْدَاءَ وَلَا تَجْعَلْنِي مَعَ الْقَوْمِ الظَّالِمِينَ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رَبِّ اغْفِرْ لِي وَلِأَخِي وَأَدْخِلْنَا فِي رَحْمَتِكَ وَأَنْتَ أَرْحَمُ الرَّاحِمِينَ </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وقد استضعف الناس علياً بعد رسول الله صلی الله علیه وآله وسلم تاء وتركوه، ولكنّ المؤسف هو أنّ رسول الله لم يكن ليعود كما عاد موسی، و كان القوم يدركون ذلك، فلم ينتظروا ثلاثين يوماً كما انتظر بنو إسرائيل، بل لم يصبروا حتّى يُدفن رسول الله واحتجّوا بأوهن الحجج وهي أن النبوّة والخلافة لا تجتمعان في بيت واحد، ولكن مَن يقدر على مؤاخذتهم وقد تقمّصوها وتقلّدوها؟ اُنظر ما قالوا</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يذكر بأنّ عمران بن حصين وأبا بريدة قد نبَّها أبا بكر على بيعة الغدير، إذ قالا لأبي بكر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قد كنت يومئذٍ فيمن سلَّم على الإمام علي بإمرة المؤمنين، فهل تذكر ذلك اليوم أم نسيته؟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أذكره، فقال أبو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ينبغي على أحد من المسلمين أن يتأمّر على أمير المؤمنين؟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النبوّة والإمامة لا تجتمع في بيت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بريدة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يَحْسُدُونَ النَّاسَ عَلَى مَا آتَاهُمُ اللَّهُ مِنْ فَضْلِهِ فَقَدْ آتَيْنَا آلَ إِبْرَاهِيمَ الْكِتَابَ وَالْحِكْمَةَ وَآتَيْنَاهُمْ مُلْكًا عَظِيمًا </w:t>
      </w:r>
      <w:r>
        <w:rPr>
          <w:rFonts w:eastAsia="Amiri" w:cs="Amiri" w:ascii="Amiri" w:hAnsi="Amiri"/>
          <w:color w:val="111111"/>
          <w:sz w:val="28"/>
          <w:szCs w:val="28"/>
          <w:rtl w:val="true"/>
          <w:lang w:bidi="ar-SA"/>
        </w:rPr>
        <w:t>»</w:t>
      </w:r>
      <w:r>
        <w:rPr>
          <w:rStyle w:val="FootnoteAnchor"/>
          <w:rtl w:val="true"/>
        </w:rPr>
        <w:footnoteReference w:id="107"/>
      </w:r>
      <w:r>
        <w:rPr>
          <w:rFonts w:ascii="Amiri" w:hAnsi="Amiri" w:eastAsia="Amiri" w:cs="Amiri"/>
          <w:color w:val="111111"/>
          <w:sz w:val="28"/>
          <w:sz w:val="28"/>
          <w:szCs w:val="28"/>
          <w:rtl w:val="true"/>
          <w:lang w:bidi="ar-SA"/>
        </w:rPr>
        <w:t>، فقد جمع الله لهم النبوّة والملك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عمر وما زلنا نعرف من وجهه الغضب حتى مات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لعبدالله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قومكم كرهوا أن تجتمع لكم النبوّة والخلافة، فتذهبون في السماء بذخاً وشمخاً</w:t>
      </w:r>
      <w:r>
        <w:rPr>
          <w:rFonts w:eastAsia="Amiri" w:cs="Amiri" w:ascii="Amiri" w:hAnsi="Amiri"/>
          <w:color w:val="111111"/>
          <w:sz w:val="28"/>
          <w:szCs w:val="28"/>
          <w:rtl w:val="true"/>
          <w:lang w:bidi="ar-SA"/>
        </w:rPr>
        <w:t>.</w:t>
      </w:r>
      <w:r>
        <w:rPr>
          <w:rStyle w:val="FootnoteAnchor"/>
          <w:rtl w:val="true"/>
        </w:rPr>
        <w:footnoteReference w:id="109"/>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أن معاوية أقبل يوماً على بني هاشم،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هاشم إنّكم تريدون أن تستحقّوا الخلافة، كما استحققتم النبوّة ولا يجتمعان الأحد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w:t>
      </w:r>
    </w:p>
    <w:p>
      <w:pPr>
        <w:pStyle w:val="BookText"/>
        <w:rPr/>
      </w:pPr>
      <w:r>
        <w:rPr>
          <w:rFonts w:ascii="Amiri" w:hAnsi="Amiri" w:eastAsia="Amiri" w:cs="Amiri"/>
          <w:color w:val="111111"/>
          <w:sz w:val="28"/>
          <w:sz w:val="28"/>
          <w:szCs w:val="28"/>
          <w:rtl w:val="true"/>
          <w:lang w:bidi="ar-SA"/>
        </w:rPr>
        <w:t>نستحقّ الخلافة بالنبوّة، فإن لم نستحقّها بالنبوّة، فبمّ نستحقّها؟ 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النبوة والخلافة لا يجتمعان لأحد، فأین قول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آتَيْنَا آلَ إِبْرَاهِيمَ الْكِتَابَ وَالْحِكْمَةَ وَآتَيْنَاهُمْ مُلْكًا عَظِيمًا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النبوّة والحكمة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والملك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الخلافة، نحن آل إبراهيم، أمر الله فينا وفيهم واحد والسنّة لنا ولهم جارية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الصبر على النوائب خوفاً من تفرّق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استضعاف القوم لهارون عليه السلام إلا أنّ هارون لم يكن ذلك الإنسان الضعيف الذي يستسلم أمام اوّل نائبة تحدث له، ولكنّه خشي من اختلاف الأمّة و تفرّقها وبالتالي فنائها، وإذا حصل ذلك ضاعت كلّ أتعاب أخيه، ولم تقم الدين الله قائمة، فاضطرّ أن يصبر، وفي العين قذي، وفي الحلق شجا، يقول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يَا هَارُونُ مَا مَنَعَكَ إِذْ رَأَيْتَهُمْ ضَلُّوا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 تَتَّبِعَنِ أَفَعَصَيْتَ أَمْرِي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يَا ابْنَ أُمَّ لَا تَأْخُذْ بِلِحْيَتِي وَلَا بِرَأْسِي إِنِّي خَشِيتُ أَنْ تَقُولَ فَرَّقْتَ بَيْنَ بَنِي إِسْرَائِيلَ وَلَمْ تَرْقُبْ قَوْلِي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واقرأ الآن الشقشقة التي هدرت من صدر </w:t>
      </w:r>
    </w:p>
    <w:p>
      <w:pPr>
        <w:pStyle w:val="BookText"/>
        <w:rPr/>
      </w:pPr>
      <w:r>
        <w:rPr>
          <w:rFonts w:ascii="Amiri" w:hAnsi="Amiri" w:eastAsia="Amiri" w:cs="Amiri"/>
          <w:color w:val="111111"/>
          <w:sz w:val="28"/>
          <w:sz w:val="28"/>
          <w:szCs w:val="28"/>
          <w:rtl w:val="true"/>
          <w:lang w:bidi="ar-SA"/>
        </w:rPr>
        <w:t>على علیه السلام ثم قرَّت، وقارن بينها وبين ما قاساه هارون من بني إسرائيل، مع وجود الفارق العظيم وهو عودة النبي موسى علیه السلام وعدم عودة نبيّنا محمّد صلی الله علیه وآله وسلم  ، يقول علي عليه السلام في الخطبة الثالثة من خطب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وَ اللَّهِ لَقَدْ تَقَمَّصَهَا 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قُحَافَةَ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لَيَعْلَمُ أَنَّ مَحَلِّي مِنْهَا مَحَلُّ الْقُطْبِ مِنَ الرَّحَى، يَنْحَدِرُ عَنِّي السَّيْلُ وَ لَا يَرْقَى إِلَيَّ الطَّيْرُ، فَسَدَلْتُ دُونَهَا ثَوْباً وَ طَوَيْتُ عَنْهَا كَشْحاً وَ طَفِقْتُ أَرْتَئِي بَيْنَ أَنْ أَصُولَ بِيَدٍ جَذَّاءَ أَوْ أَصْبِرَ عَلَى طَخْيَةٍ عَمْيَاءَ، يَهْرَمُ فِيهَا الْكَبِيرُ وَ يَشِيبُ فِيهَا الصَّغِيرُ وَ يَكْدَحُ فِيهَا مُؤْمِنٌ حَتَّى يَلْقَى رَبَّهُ، فَرَأَيْتُ أَنَّ الصَّبْرَ عَلَى هَاتَا أَحْجَى فَصَبَرْتُ وَ فِي الْعَيْنِ قَذًى وَ فِي الْحَلْقِ شَجًا</w:t>
      </w:r>
      <w:r>
        <w:rPr>
          <w:rFonts w:eastAsia="Amiri" w:cs="Amiri" w:ascii="Amiri" w:hAnsi="Amiri"/>
          <w:color w:val="111111"/>
          <w:sz w:val="28"/>
          <w:szCs w:val="28"/>
          <w:rtl w:val="true"/>
          <w:lang w:bidi="ar-SA"/>
        </w:rPr>
        <w:t>»</w:t>
      </w:r>
      <w:r>
        <w:rPr>
          <w:rStyle w:val="FootnoteAnchor"/>
          <w:rtl w:val="true"/>
        </w:rPr>
        <w:footnoteReference w:id="111"/>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سبب صبر علي فاسمعه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كتاب أمير المؤمنین علیه السلام  إلى معاوية بن أبي سفيان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كان أبوك أتاني حین ولیّ الناس أبا بكر،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أحقّ بعد محمد صلی الله علیه و آله وسلم بهذا الأمر، وأنا زعيم لك بذلك على من خالف عليك، أبسط يدك أبايعك، فلم 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تعلم أنّ أباك قد كان قال ذلك وأراده حتی كنت أنا الذي أبيت، لقرب عهد الناس بالكفر، مخافة الفرقة بين أهل الإسلام</w:t>
      </w:r>
      <w:r>
        <w:rPr>
          <w:rFonts w:eastAsia="IRNazanin" w:cs="IRNazanin"/>
          <w:color w:val="111111"/>
          <w:sz w:val="28"/>
          <w:szCs w:val="28"/>
          <w:rtl w:val="true"/>
          <w:lang w:bidi="fa-IR"/>
        </w:rPr>
        <w:t>».</w:t>
      </w:r>
      <w:r>
        <w:rPr>
          <w:rStyle w:val="FootnoteAnchor"/>
          <w:rtl w:val="true"/>
        </w:rPr>
        <w:footnoteReference w:id="112"/>
      </w:r>
      <w:bookmarkStart w:id="87" w:name="pg8095_81617"/>
    </w:p>
    <w:p>
      <w:pPr>
        <w:pStyle w:val="Heading3"/>
        <w:numPr>
          <w:ilvl w:val="2"/>
          <w:numId w:val="1"/>
        </w:numPr>
        <w:rPr/>
      </w:pPr>
      <w:bookmarkStart w:id="88" w:name="__RefHeading___Toc7912274_1051229030"/>
      <w:bookmarkStart w:id="89" w:name="_Toc30"/>
      <w:bookmarkEnd w:id="87"/>
      <w:bookmarkEnd w:id="88"/>
      <w:r>
        <w:rPr>
          <w:rtl w:val="true"/>
        </w:rPr>
        <w:t>خلاصة الكلام</w:t>
      </w:r>
      <w:bookmarkEnd w:id="8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حديث المنزلة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الحديث النبوي الشريف الذي يقول النبي صلی الله علیه و آله وسلم فيه لأمير المؤمنين 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منّي بمنزلة هارون من موسى، إلا أنّه لا نبيّ بعدي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صحّة الحديث ومیزنه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المنزلة حدیث متواتر، ذكره معظم كتب الصحاح لدى أهل السنّة و كثير من الكتب الموثوقة عند</w:t>
      </w:r>
    </w:p>
    <w:p>
      <w:pPr>
        <w:pStyle w:val="BookText"/>
        <w:rPr/>
      </w:pPr>
      <w:r>
        <w:rPr>
          <w:rFonts w:ascii="IRNazanin" w:hAnsi="IRNazanin" w:eastAsia="IRNazanin"/>
          <w:color w:val="111111"/>
          <w:sz w:val="28"/>
          <w:sz w:val="28"/>
          <w:szCs w:val="28"/>
          <w:rtl w:val="true"/>
          <w:lang w:bidi="fa-IR"/>
        </w:rPr>
        <w:t>الشيعة، ويمتاز هذا الحديث على سائر الأحاديث بميزة هامّة، وهي أن النبيّ صلی الله علیه و آله وسلم قد کرّره في مواقف مختلفة ممّا يدلّ على اهتمامه به، وأشهر تلك المواقف عند الخروج لغزوة تبوك، حيث كان معظم الصحابة مجتمعين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الاستثناء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أنّه لا نبيّ بعدي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الحديث يدلّ على أنّ المقارنة صادقة في جميع الموارد على الإطلاق، ما عدا هذا الاستثناء، ولا ينقص الاستثناء من منزلة علي عليه السلام شيئاً، لأنّه لم يقل أنّ علياً لم يستطع في هذا المجال أن ينال منزلة معادلة لهارون، بل إنّ عدم نيل علي عليه السلام لهذه المرتبة كان لمجرّد أنّ النبوّة قد انتهت وخُتمت برسول الله صلی الله علیه و آله وسلم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الأفضلية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أن نبيّنا صلی الله علیه و آله وسلم أفضل من موسی عليه السلام، إذن فعلي عليه السلام أيضا أفضل من هارون علیه السلام، وبالتالي هو أفضل أيضاً من الأنبياء الذين يفوقهم هارون في الفضل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المشاركة في الدعوة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آيات كثيرة في القرآن الكريم، ومنها هذه الآيات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وَاجْعَلْ لِي وَزِيرًا مِنْ أَهْلِي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هَارُونَ أَخِي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اشْدُدْ بِهِ أَزْرِي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وَأَشْرِكْهُ فِي أَمْرِي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علیاً کان أخاً ووزيراً للنبيّ وشريكاً له في أمر إبلاغ الدعوة إلى الناس، وقد شدّ الله تعالى أزر النبيّ به، كما شدّ أزر موسی بهارون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هذه الآية الكريمة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مُوسَى لِأَخِيهِ هَارُونَ اخْلُفْنِي فِي قَوْمِي وَأَصْلِحْ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علياً هو خليفة الرسول، كما كان هارون خليفة موسى، وأنّ هذه الخلافة تعني الولاية العامّة وإن رفضها الناس</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فهرس المصادر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الاستيعاب في معرفة الصحابة، ابن عبدالبّر،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محمد البجاري، دار الجيل، بیروت،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اُسد الغابة في معرفة الصحابة، ابن الأثير، اسماعیلیان،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الإصابة في تمييز الصحابة، أحمد بن علي بن حجر العسقلاني،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أحمد عبدالموجود، دار الكتب العلمیہ، بیروت،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الشيخ الصدوق،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مركز الطباعة والنشر، قم،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الشيخ الطوسي، دار الثقافة للطباعة والنشر، قم،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الإمامة وأهل البيت، محمد بيومي مهران، مرکز الغدير للدراسات الإسلامية،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أنساب الأشراف، البلاذري،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باقر المحمودي، مؤسسة الأعلمي للمطبوعات، بیروت،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 العلامة المجلسي،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عبدالرحيم الرباني الشيرازي، دار إحياء التراث العربي،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البدء والتاريخ، مطهر بن طاهر المقدسي، باريس، </w:t>
      </w:r>
      <w:r>
        <w:rPr>
          <w:rFonts w:eastAsia="Amiri" w:cs="Amiri" w:ascii="Amiri" w:hAnsi="Amiri"/>
          <w:color w:val="111111"/>
          <w:sz w:val="28"/>
          <w:szCs w:val="28"/>
          <w:lang w:bidi="ar-SA"/>
        </w:rPr>
        <w:t>1899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الطبري، أبو جعفر محمد بن جرير الطبري، المطبعة بريل، لیدن، </w:t>
      </w:r>
      <w:r>
        <w:rPr>
          <w:rFonts w:eastAsia="IRNazanin" w:cs="IRNazanin"/>
          <w:color w:val="111111"/>
          <w:sz w:val="28"/>
          <w:szCs w:val="28"/>
          <w:lang w:bidi="fa-IR"/>
        </w:rPr>
        <w:t>1879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بغداد، أبوبكر أحمد بن علي الخطيب البغدادي،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عبدالقادر عطا، دار الكتب العلمية، بيروت،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مدينة دمشق، ابن عساکر،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شيري، دار الفکر، بیروت،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تحفة الأحوذي، المباركفوري،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الطبري، أبو جعفر محمد بن جرير الطبري، القاهرة، </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خصائص أمير المؤمنين علي بن ابیطالب، النسائي، بيروت،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جمع الجوامع، السيوطي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حياة محمد، محمد حسنين هيكل، الطبعة الأولي،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خاتم النبيين، أبو زهره، دار الفكر، القاهرة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خصائص أمير المؤمنين عليه السلام، النسائي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الخصال، الشيخ الصدوق، تصحیح و 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أكبر الغفاري، منشورات جامعة المدرسين، قم،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الدرّ المنثور، جلال الدين السيوطي، دار المعرفة </w:t>
      </w:r>
    </w:p>
    <w:p>
      <w:pPr>
        <w:pStyle w:val="BookText"/>
        <w:rPr/>
      </w:pPr>
      <w:r>
        <w:rPr>
          <w:rFonts w:ascii="Amiri" w:hAnsi="Amiri" w:eastAsia="Amiri" w:cs="Amiri"/>
          <w:color w:val="111111"/>
          <w:sz w:val="28"/>
          <w:sz w:val="28"/>
          <w:szCs w:val="28"/>
          <w:rtl w:val="true"/>
          <w:lang w:bidi="ar-SA"/>
        </w:rPr>
        <w:t>للطباعة والنشر،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ذخائر العقبي في مناقب ذوي القربى، أحمد بن عبدالله الطبري، مكتبة القدسي،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الرياض النضرة، المحبّ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القاهرة، </w:t>
      </w: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زاد المعاد في هدي خير العباد، ابن قيم الجوزية، بیروت،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ابن ماجه، محمد بن یزید القزويني،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فؤاد عبدالباقي، دار إحياء التراث العربي، بیروت،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الترمذي، أبو عيسى محمد بن عیسی الترمذي، إعداد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سعيد البخاري، دار إحياء التراث العربي، 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سيرة ابن هشام، أبو محمد عبدالملك بن هشام الحميدي،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السقاء، دار إحياء التراث العربي،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السيرة الحلبيه، الحلبي، دار المعرفة، بیروت،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السيرة النبوية، ابن کثیر،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عبدالواحد، دار المعرفة، بیروت،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البلاغه، ابن أبي الحديد،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أبو الفضل إبراهيم، دار إحياء الكتب العربية</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صحيح البخاري، أبو عبدالله محمد بن إسماعيل </w:t>
      </w:r>
    </w:p>
    <w:p>
      <w:pPr>
        <w:pStyle w:val="BookText"/>
        <w:rPr/>
      </w:pPr>
      <w:r>
        <w:rPr>
          <w:rFonts w:ascii="IRNazanin" w:hAnsi="IRNazanin" w:eastAsia="IRNazanin"/>
          <w:color w:val="111111"/>
          <w:sz w:val="28"/>
          <w:sz w:val="28"/>
          <w:szCs w:val="28"/>
          <w:rtl w:val="true"/>
          <w:lang w:bidi="fa-IR"/>
        </w:rPr>
        <w:t xml:space="preserve">البخاري، دار الفکر للطباعة والنشر والتوزيع،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الصحيح، أبو الحسن مسلم بن الحجاج النيسابوري، دار الحزم، بیروت،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الصواعق المحرقة، ابن حجر الهيتمي، بيروت،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الطبقات الكبري، محمد بن سعد، دار صادر،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العقد الفرید، ابن عبدربه، بیروت،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الشرائع، الشيخ الصدوق، تحقيق و 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محمد صادق بحر العلوم، منشورات المكتبة الحيدرية، النجف الأشرف،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فضائل الصحابة، أحمد بن حنبل، مكة المكرمة،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الكافي، الشيخ الكليني، تصحیح و 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أكبر الغفاري، دار الكتب الإسلامية، تهران،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الغمه، ابن أبي الفتح الإربلي، دار الأضواء، 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کمال الدین وتمام النعمة، الشيخ الصدوق،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أكبر الغفاري، مؤسسة النشر الإسلامي،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کنز العمّال، المتّقي الهندي، مؤسسة الرسالة، </w:t>
      </w:r>
    </w:p>
    <w:p>
      <w:p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الميزان، أحمد بن علي بن حجر العسقلاني، مؤسسة الأعلمي للمطبوعات، بیروت،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الهيثمي، دار الكتب العلمية، بیروت،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رسول الله، محمد الصادق عرجون، دمشق،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مختصر السيره، محمد بن عبدالوهاب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مروج الذهب ومعادن الجوهر، علي بن حسين المسعودي، بیروت،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المسند، أحمد بن حنبل، دار صادر،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مشکل الآثار، الطحاوي، حیدر آباد،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المفردات في غريب القرآن، الحسين بن محمّد الراغب الأصبهاني،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عدنان داودي، دار العلم، دمشق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مناقب آل أبي طالب، ابن شهر آشوب، المطبعة الحيدرية، النجف الأشرف،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المناقب، الموفق الخوارزمي، مؤسسة النشر الإسلامي، قم،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الميزان في تفسير القرآن، سید محمد حسین الطباطبائي، منشورات جماعة المدرسین،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وسائل الشیعه، الشيخ الحر العالمي،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علیه السلام لإحياء التراث، مهر، قم، </w:t>
      </w:r>
    </w:p>
    <w:p>
      <w:pPr>
        <w:pStyle w:val="BookText"/>
        <w:rPr/>
      </w:pP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وقعة صفين، نصر بن مزاحم المنقري،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عبدالسلام محمد هارون، المدني، مصر،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bookmarkStart w:id="90" w:name="pg8095_81625"/>
    </w:p>
    <w:p>
      <w:pPr>
        <w:pStyle w:val="Heading2"/>
        <w:numPr>
          <w:ilvl w:val="1"/>
          <w:numId w:val="1"/>
        </w:numPr>
        <w:rPr/>
      </w:pPr>
      <w:bookmarkStart w:id="91" w:name="__RefHeading___Toc7912276_1051229030"/>
      <w:bookmarkStart w:id="92" w:name="_Toc31"/>
      <w:bookmarkEnd w:id="90"/>
      <w:bookmarkEnd w:id="91"/>
      <w:r>
        <w:rPr>
          <w:rtl w:val="true"/>
        </w:rPr>
        <w:t>فهرس المطالب</w:t>
      </w:r>
      <w:bookmarkEnd w:id="92"/>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تکرار صدور الحديث عن النبي صلی الله علیه و آله وسلم </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غزوة تبوك أو 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رواة أهل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رواة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ملاحظات على حديث غزوة تبوك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المنزلة في غير تبوك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رواة أهل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رواة الشيعة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ملاحظات على الحديث في غير تبوك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تواتر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المقارنة والاستثناء في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ملاحظات على المقارنة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المتزلة في 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المشاركة في الدعوة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بعثة النبي العظيم موسى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استعانة موسی بهارون</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إشراك هارون مع موسی</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المقارنة بين علي وهارون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شدّ الأزر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ملاحظات على المشاركة في الدعوة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الخلافة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ملاحظات على الخلافة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خلاصة الكلام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المطالب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bookmarkStart w:id="93" w:name="pg8095_81627"/>
    </w:p>
    <w:p>
      <w:pPr>
        <w:pStyle w:val="Heading2"/>
        <w:numPr>
          <w:ilvl w:val="1"/>
          <w:numId w:val="1"/>
        </w:numPr>
        <w:rPr/>
      </w:pPr>
      <w:bookmarkStart w:id="94" w:name="__RefHeading___Toc7912278_1051229030"/>
      <w:bookmarkStart w:id="95" w:name="_Toc32"/>
      <w:bookmarkEnd w:id="93"/>
      <w:bookmarkEnd w:id="94"/>
      <w:r>
        <w:rPr>
          <w:rtl w:val="true"/>
        </w:rPr>
        <w:t>قائمة الكتب العربية الصادرة عن مؤسسة المعارف الاسلامية</w:t>
      </w:r>
      <w:bookmarkEnd w:id="95"/>
    </w:p>
    <w:p>
      <w:pPr>
        <w:pStyle w:val="BookText"/>
        <w:rPr/>
      </w:pPr>
      <w:r>
        <w:rPr>
          <w:rFonts w:ascii="IRNazanin" w:hAnsi="IRNazanin" w:eastAsia="IRNazanin"/>
          <w:color w:val="111111"/>
          <w:sz w:val="28"/>
          <w:sz w:val="28"/>
          <w:szCs w:val="28"/>
          <w:rtl w:val="true"/>
          <w:lang w:bidi="fa-IR"/>
        </w:rPr>
        <w:t>الصوره</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6322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8"/>
                        <a:stretch/>
                      </pic:blipFill>
                      <pic:spPr>
                        <a:xfrm>
                          <a:off x="0" y="0"/>
                          <a:ext cx="3632040" cy="6985080"/>
                        </a:xfrm>
                        <a:prstGeom prst="rect">
                          <a:avLst/>
                        </a:prstGeom>
                        <a:ln w="0">
                          <a:noFill/>
                        </a:ln>
                      </pic:spPr>
                    </pic:pic>
                  </a:graphicData>
                </a:graphic>
              </wp:inline>
            </w:drawing>
          </mc:Choice>
          <mc:Fallback>
            <w:pict>
              <v:shape id="shape_0" stroked="f" o:allowincell="f" style="position:absolute;margin-left:0pt;margin-top:-550.05pt;width:285.95pt;height:549.95pt;mso-wrap-style:none;v-text-anchor:middle;mso-position-horizontal:left;mso-position-vertical:top" type="_x0000_t75">
                <v:imagedata r:id="rId8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الصوره</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8354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91"/>
                        <a:stretch/>
                      </pic:blipFill>
                      <pic:spPr>
                        <a:xfrm>
                          <a:off x="0" y="0"/>
                          <a:ext cx="3835440" cy="6985080"/>
                        </a:xfrm>
                        <a:prstGeom prst="rect">
                          <a:avLst/>
                        </a:prstGeom>
                        <a:ln w="0">
                          <a:noFill/>
                        </a:ln>
                      </pic:spPr>
                    </pic:pic>
                  </a:graphicData>
                </a:graphic>
              </wp:inline>
            </w:drawing>
          </mc:Choice>
          <mc:Fallback>
            <w:pict>
              <v:shape id="shape_0" stroked="f" o:allowincell="f" style="position:absolute;margin-left:0pt;margin-top:-550.05pt;width:301.95pt;height:549.95pt;mso-wrap-style:none;v-text-anchor:middle;mso-position-horizontal:left;mso-position-vertical:top" type="_x0000_t75">
                <v:imagedata r:id="rId92"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9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کمال الدین و 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وسائل الشيعه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77/204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وأهل البيت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رَمِدَ العينُ رَمَداً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هاجت وانتفخت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صُمَّتا</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المتخلف عن القوم في الغزو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لأبي نعيم الأصفهاني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36488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في تمييز الصحابة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محمد بن علي الباقر علیه السلام</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أحرقني وأوجعني</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بمنزلة هارون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تبوك قرية بين وادي القرى والشام، بها عين ماء ونخل و کان لها حصن خرب، وإليها انتهى النبي صلی الله علیه و آله و سلم ومن في غزوته المنسوبة إليها، كان قد بلغه أنه تجمع إليها الروم ولخم وجذام، فوجدهم قد تفرّقوا ولم يلق کيداً، وأقام بها ثلاثة أيام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وإلّا فَصُمَّتا</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14242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في معرفة الأصحاب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211/34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جعفر بن محمد الصادق علیه السلام</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مضى وأسرع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خصائص أمير المؤمنين علي بن أبي طالب رضي الله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وهي الأحاديث الشريفة بأرقام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الأحوذي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اریخ بغداد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مشکل الآثار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التاریخ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السيرة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سيرة الرسول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 النبيّين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رسول الله صلی الله علیه و آله و 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والتأريخ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الأمور لا تقاس بالأعداد، ولكن يمكن الاستعانة بالأعداد لتقريب المعنى إلى الأذهان فقط، فلو فرضنا أنّ الهارون تسعين بالمائة من فضائل موسی، فلعلي أيضاً تسعون بالمائة من فضائل رسول الله، وحيث أنّ فضائل الرسول أكثر من فضائل موسى، فالتسعون بالمائة من فضائله أيضاً أكثر من التسعين بالمائة من فضائل موسی</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موضعين أحدهما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أَوْحَيْنَا إِلَيْكَ كَمَا أَوْحَيْنَا إِلَى نُوحٍ وَالنَّبِيِّينَ مِنْ بَعْدِهِ وَأَوْحَيْنَا إِلَى إِبْرَاهِيمَ وَإِسْمَاعِيلَ وَإِسْحَاقَ وَيَعْقُوبَ وَالْأَسْبَاطِ وَعِيسَى وَأَيُّوبَ وَيُونُسَ وَهَارُونَ وَسُلَيْمَانَ وَآتَيْنَا دَاوُودَ زَبُورًا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رأی موسی علیه السلام من جانب الطور نوراً فظنّ أنّه نار، والنار تدلُ على وجود أشخاص يعيشون هناك، فذهب إليهم ليأتي بنار يستضيؤون بها أو ليجد من يدلّه على الطريق، فلمّا أتی إلى الطور نودي من قبل ربّه، فأخبره تعالى أنّ المكان الذي يقف فيه إنما هو مكان مقدّس يجب خلع نعليه فيه، وأنبأه أنّه قد اختاره ليكون نبيّاً رسولاً يعبد الله ويدعو إليه، ولا يخاف الذين يصدّون عن سبيل الله، وأراه تعالی بعض آیاته الكبرى، منها استبدال العصا إلى حيّة عظيمة وخروج نور أبيض من يده</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غريب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القدح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إناءُ من آنية الطعام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الرواية صحّحها الطبري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ولكنّ علماء أهل السنّة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جميع الرواة ثقات إلا عبدالغفّار بن القاسم المكّنى بأبي مريم، فقد ضعّفوه لتشيّعه وبهذا أرادوا ردّ الرواية</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المجلد العشرين في ذيل هذه الآيات ما 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نُقِرَ فِي النَّاقُورِ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وحيداً فإنّها نزلت في الوليد بن المغيرة و كان شيخاً كبيراً مجرّباً من دهاة العرب، وكان من المستهزئین برسول الله 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رسول الله صلی الله علیه و آله وسلم یقعد في الحجر ويقرء القرآن، فاجتمعت قريش إلى الوليد بن المغيرة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عبد شمس ما هذا الذي يقول محمّد؟ أشعر هو، أم كهانة، أم خطب؟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دعوني أسمع كلامه، فدنا من رسول الله صلی الله علیه و آله وسلم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محمّد أنشدني من شعرك،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هو شعر، ولكنّه كلام الله الذي ارتضاه لملائكته وأنبيائه ورسله،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اتل عليّ منه شيئاً؛ فقرء عليه رسول الله صلی الله علیه و آله وسلم حم السجدة، فلمّا بلغ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فَإِنْ أَعْرَضُوا فَقُلْ أَنْذَرْتُكُمْ صَاعِقَةً مِثْلَ صَاعِقَةِ عَادٍ وَثَمُودَ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فاقشعر الوليد وقامت كلّ شعرة في رأسه ولحيته، ومرّ إلى بيته ولم يرجع إلى قريش من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فمشوا إلى أبي جهل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الحكم إنّ أبا عبد شمس صبا إلى دين محمّد، أما تراه لم يرجع إلينا، فغدا أبو جهل إلى الوليد،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عمّ نکست رؤوسنا وفضحتنا واشمت بنا عدوّنا وصبوت إلى دين محمّد،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صبوت إلى دينه ولكنّي سمعت كلاماً صعباً تقشعرّ منه الجلود، فقال له أبو 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أخطب هو؟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إنّ الخطب كلام متّصل وهذا كلام منثور ولا يشبه بعضه بعضاً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أفشعر هو؟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أما إنّي لقد سمعت أشعار العرب بسيطها ومديدها ورملها ورجزها وما هو بشعر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هو؟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دعني أفكر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كان من الغد، قالوا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عبد شمس ما تقول فيما قلناه؟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سحر؛ فإنّه آخذ بقلوب الناس، فأنزل على رسوله صلی الله علیه و آله وسلم في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ذَرْنِي وَمَنْ خَلَقْتُ وَحِيدًا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 الحاكم وصحّحه والبيهقي في 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عكرمة، 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الوليد بن المغيرة جاء إلى النبي صلی الله علیه و آله وسلم فقرأ عليه القرآن، فكأنّه رقّ له، فبلغ ذلك أبا جهل فأتاه،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عمّ إن قومك يريدون أن يجعلوا لك مالاّ ليعطوه لك، فإنّك أتيت محمّداً لتصيب ممّا عنده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علمت قريش أنّي من أكثرها مالاً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 فيه قولاً يبلغ قومك أنّك منكر أو أنّك كاره 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وماذا أقول، فوالله ما فيكم رجل أعلم بالشعر منّي، لا برجزه ولا بقصیده، ولا بأشعار الجنّ، والله ما يشبه الذي يقول شيئاً من هذا، و والله إنّ لقوله الذي يقوله حلاوة وإنّ عليه لطلاوة، وإنّه لمثمر أعلاه، ومغدق أسفله، وإنّه ليعلو ولا يعلى، وإنّه ليحطم ما تحته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يرضى عنك قومك حتّى تقول فيه،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دعني حتّى أفكر، فلمّا فکّر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هو إلا سحر يؤثر، يأثره عن غيره، فنزلت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ذَرْنِي وَمَنْ خَلَقْتُ وَحِيدًا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ابن شهر 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بَذَخَ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ارتفع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صبحي 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والعقد الفرید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image" Target="media/image3.jpeg"/><Relationship Id="rId89" Type="http://schemas.openxmlformats.org/officeDocument/2006/relationships/image" Target="media/image3.jpeg"/><Relationship Id="rId90" Type="http://schemas.openxmlformats.org/officeDocument/2006/relationships/footer" Target="footer83.xml"/><Relationship Id="rId91" Type="http://schemas.openxmlformats.org/officeDocument/2006/relationships/image" Target="media/image4.jpeg"/><Relationship Id="rId92" Type="http://schemas.openxmlformats.org/officeDocument/2006/relationships/image" Target="media/image4.jpeg"/><Relationship Id="rId93" Type="http://schemas.openxmlformats.org/officeDocument/2006/relationships/footer" Target="footer84.xml"/><Relationship Id="rId94" Type="http://schemas.openxmlformats.org/officeDocument/2006/relationships/image" Target="media/image2.jpeg"/><Relationship Id="rId95" Type="http://schemas.openxmlformats.org/officeDocument/2006/relationships/image" Target="media/image2.jpeg"/><Relationship Id="rId96" Type="http://schemas.openxmlformats.org/officeDocument/2006/relationships/footer" Target="footer85.xml"/><Relationship Id="rId97" Type="http://schemas.openxmlformats.org/officeDocument/2006/relationships/footnotes" Target="footnotes.xml"/><Relationship Id="rId98" Type="http://schemas.openxmlformats.org/officeDocument/2006/relationships/numbering" Target="numbering.xml"/><Relationship Id="rId99" Type="http://schemas.openxmlformats.org/officeDocument/2006/relationships/fontTable" Target="fontTable.xml"/><Relationship Id="rId100" Type="http://schemas.openxmlformats.org/officeDocument/2006/relationships/settings" Target="settings.xml"/><Relationship Id="rId10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88</Pages>
  <Words>11306</Words>
  <Characters>47955</Characters>
  <CharactersWithSpaces>58834</CharactersWithSpaces>
  <Paragraphs>641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2026-08-27T14:24:50Z</dcterms:created>
  <dc:creator>ghaemiyeh.com</dc:creator>
  <dc:description/>
  <dc:language>en-US</dc:language>
  <cp:lastModifiedBy/>
  <dcterms:modified xsi:type="dcterms:W3CDTF">2026-08-27T17:54:53Z</dcterms:modified>
  <cp:revision>1</cp:revision>
  <dc:subject/>
  <dc:title>حدیث المنزلة</dc:title>
</cp:coreProperties>
</file>

<file path=docProps/custom.xml><?xml version="1.0" encoding="utf-8"?>
<Properties xmlns="http://schemas.openxmlformats.org/officeDocument/2006/custom-properties" xmlns:vt="http://schemas.openxmlformats.org/officeDocument/2006/docPropsVTypes"/>
</file>