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جواز الاتّکال بقول النساء فی انتفاء موانع النکاح فیها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062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4063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40633_1051229030">
            <w:r>
              <w:rPr>
                <w:webHidden/>
                <w:rStyle w:val="IndexLink"/>
                <w:rtl w:val="true"/>
              </w:rPr>
              <w:t>مقدّمة التحقيق</w:t>
            </w:r>
            <w:r>
              <w:rPr>
                <w:rStyle w:val="IndexLink"/>
                <w:rtl w:val="true"/>
              </w:rPr>
              <w:tab/>
            </w:r>
            <w:r>
              <w:rPr>
                <w:rStyle w:val="IndexLink"/>
              </w:rPr>
              <w:t>8</w:t>
            </w:r>
          </w:hyperlink>
        </w:p>
        <w:p>
          <w:pPr>
            <w:pStyle w:val="Contents2"/>
            <w:tabs>
              <w:tab w:val="clear" w:pos="8743"/>
              <w:tab w:val="right" w:pos="9026" w:leader="dot"/>
            </w:tabs>
            <w:rPr/>
          </w:pPr>
          <w:hyperlink w:anchor="__RefHeading___Toc6740635_1051229030">
            <w:r>
              <w:rPr>
                <w:webHidden/>
                <w:rStyle w:val="IndexLink"/>
              </w:rPr>
              <w:t>1</w:t>
            </w:r>
            <w:r>
              <w:rPr>
                <w:rStyle w:val="IndexLink"/>
                <w:rtl w:val="true"/>
              </w:rPr>
              <w:t>-</w:t>
            </w:r>
            <w:r>
              <w:rPr>
                <w:rStyle w:val="IndexLink"/>
                <w:rtl w:val="true"/>
              </w:rPr>
              <w:t>لمحةٌ من حياة المؤلّف</w:t>
            </w:r>
            <w:r>
              <w:rPr>
                <w:rStyle w:val="IndexLink"/>
                <w:rtl w:val="true"/>
              </w:rPr>
              <w:tab/>
            </w:r>
            <w:r>
              <w:rPr>
                <w:rStyle w:val="IndexLink"/>
              </w:rPr>
              <w:t>8</w:t>
            </w:r>
          </w:hyperlink>
        </w:p>
        <w:p>
          <w:pPr>
            <w:pStyle w:val="Contents3"/>
            <w:tabs>
              <w:tab w:val="clear" w:pos="8459"/>
              <w:tab w:val="right" w:pos="9026" w:leader="dot"/>
            </w:tabs>
            <w:rPr/>
          </w:pPr>
          <w:hyperlink w:anchor="__RefHeading___Toc6740637_105122903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740639_1051229030">
            <w:r>
              <w:rPr>
                <w:webHidden/>
                <w:rStyle w:val="IndexLink"/>
                <w:rtl w:val="true"/>
              </w:rPr>
              <w:t>اسمه و نسبه</w:t>
            </w:r>
            <w:r>
              <w:rPr>
                <w:rStyle w:val="IndexLink"/>
                <w:rtl w:val="true"/>
              </w:rPr>
              <w:tab/>
            </w:r>
            <w:r>
              <w:rPr>
                <w:rStyle w:val="IndexLink"/>
              </w:rPr>
              <w:t>8</w:t>
            </w:r>
          </w:hyperlink>
        </w:p>
        <w:p>
          <w:pPr>
            <w:pStyle w:val="Contents3"/>
            <w:tabs>
              <w:tab w:val="clear" w:pos="8459"/>
              <w:tab w:val="right" w:pos="9026" w:leader="dot"/>
            </w:tabs>
            <w:rPr/>
          </w:pPr>
          <w:hyperlink w:anchor="__RefHeading___Toc6740641_1051229030">
            <w:r>
              <w:rPr>
                <w:webHidden/>
                <w:rStyle w:val="IndexLink"/>
                <w:rtl w:val="true"/>
              </w:rPr>
              <w:t>ولادته و نشأته</w:t>
            </w:r>
            <w:r>
              <w:rPr>
                <w:rStyle w:val="IndexLink"/>
                <w:rtl w:val="true"/>
              </w:rPr>
              <w:tab/>
            </w:r>
            <w:r>
              <w:rPr>
                <w:rStyle w:val="IndexLink"/>
              </w:rPr>
              <w:t>9</w:t>
            </w:r>
          </w:hyperlink>
        </w:p>
        <w:p>
          <w:pPr>
            <w:pStyle w:val="Contents3"/>
            <w:tabs>
              <w:tab w:val="clear" w:pos="8459"/>
              <w:tab w:val="right" w:pos="9026" w:leader="dot"/>
            </w:tabs>
            <w:rPr/>
          </w:pPr>
          <w:hyperlink w:anchor="__RefHeading___Toc6740643_1051229030">
            <w:r>
              <w:rPr>
                <w:webHidden/>
                <w:rStyle w:val="IndexLink"/>
                <w:rtl w:val="true"/>
              </w:rPr>
              <w:t>إطراء العلماء له</w:t>
            </w:r>
            <w:r>
              <w:rPr>
                <w:rStyle w:val="IndexLink"/>
                <w:rtl w:val="true"/>
              </w:rPr>
              <w:tab/>
            </w:r>
            <w:r>
              <w:rPr>
                <w:rStyle w:val="IndexLink"/>
              </w:rPr>
              <w:t>14</w:t>
            </w:r>
          </w:hyperlink>
        </w:p>
        <w:p>
          <w:pPr>
            <w:pStyle w:val="Contents3"/>
            <w:tabs>
              <w:tab w:val="clear" w:pos="8459"/>
              <w:tab w:val="right" w:pos="9026" w:leader="dot"/>
            </w:tabs>
            <w:rPr/>
          </w:pPr>
          <w:hyperlink w:anchor="__RefHeading___Toc6740645_1051229030">
            <w:r>
              <w:rPr>
                <w:webHidden/>
                <w:rStyle w:val="IndexLink"/>
                <w:rtl w:val="true"/>
              </w:rPr>
              <w:t>زهده و عبادته</w:t>
            </w:r>
            <w:r>
              <w:rPr>
                <w:rStyle w:val="IndexLink"/>
                <w:rtl w:val="true"/>
              </w:rPr>
              <w:tab/>
            </w:r>
            <w:r>
              <w:rPr>
                <w:rStyle w:val="IndexLink"/>
              </w:rPr>
              <w:t>17</w:t>
            </w:r>
          </w:hyperlink>
        </w:p>
        <w:p>
          <w:pPr>
            <w:pStyle w:val="Contents3"/>
            <w:tabs>
              <w:tab w:val="clear" w:pos="8459"/>
              <w:tab w:val="right" w:pos="9026" w:leader="dot"/>
            </w:tabs>
            <w:rPr/>
          </w:pPr>
          <w:hyperlink w:anchor="__RefHeading___Toc6740647_1051229030">
            <w:r>
              <w:rPr>
                <w:webHidden/>
                <w:rStyle w:val="IndexLink"/>
                <w:rtl w:val="true"/>
              </w:rPr>
              <w:t>إقامته الحدود الشرعيّة</w:t>
            </w:r>
            <w:r>
              <w:rPr>
                <w:rStyle w:val="IndexLink"/>
                <w:rtl w:val="true"/>
              </w:rPr>
              <w:tab/>
            </w:r>
            <w:r>
              <w:rPr>
                <w:rStyle w:val="IndexLink"/>
              </w:rPr>
              <w:t>17</w:t>
            </w:r>
          </w:hyperlink>
        </w:p>
        <w:p>
          <w:pPr>
            <w:pStyle w:val="Contents3"/>
            <w:tabs>
              <w:tab w:val="clear" w:pos="8459"/>
              <w:tab w:val="right" w:pos="9026" w:leader="dot"/>
            </w:tabs>
            <w:rPr/>
          </w:pPr>
          <w:hyperlink w:anchor="__RefHeading___Toc6740649_1051229030">
            <w:r>
              <w:rPr>
                <w:webHidden/>
                <w:rStyle w:val="IndexLink"/>
                <w:rtl w:val="true"/>
              </w:rPr>
              <w:t>مشايخ روايته</w:t>
            </w:r>
            <w:r>
              <w:rPr>
                <w:rStyle w:val="IndexLink"/>
                <w:rtl w:val="true"/>
              </w:rPr>
              <w:tab/>
            </w:r>
            <w:r>
              <w:rPr>
                <w:rStyle w:val="IndexLink"/>
              </w:rPr>
              <w:t>18</w:t>
            </w:r>
          </w:hyperlink>
        </w:p>
        <w:p>
          <w:pPr>
            <w:pStyle w:val="Contents3"/>
            <w:tabs>
              <w:tab w:val="clear" w:pos="8459"/>
              <w:tab w:val="right" w:pos="9026" w:leader="dot"/>
            </w:tabs>
            <w:rPr/>
          </w:pPr>
          <w:hyperlink w:anchor="__RefHeading___Toc6740651_1051229030">
            <w:r>
              <w:rPr>
                <w:webHidden/>
                <w:rStyle w:val="IndexLink"/>
                <w:rtl w:val="true"/>
              </w:rPr>
              <w:t>تلامذته</w:t>
            </w:r>
            <w:r>
              <w:rPr>
                <w:rStyle w:val="IndexLink"/>
                <w:rtl w:val="true"/>
              </w:rPr>
              <w:tab/>
            </w:r>
            <w:r>
              <w:rPr>
                <w:rStyle w:val="IndexLink"/>
              </w:rPr>
              <w:t>19</w:t>
            </w:r>
          </w:hyperlink>
        </w:p>
        <w:p>
          <w:pPr>
            <w:pStyle w:val="Contents3"/>
            <w:tabs>
              <w:tab w:val="clear" w:pos="8459"/>
              <w:tab w:val="right" w:pos="9026" w:leader="dot"/>
            </w:tabs>
            <w:rPr/>
          </w:pPr>
          <w:hyperlink w:anchor="__RefHeading___Toc6740653_1051229030">
            <w:r>
              <w:rPr>
                <w:webHidden/>
                <w:rStyle w:val="IndexLink"/>
                <w:rtl w:val="true"/>
              </w:rPr>
              <w:t>أولاده</w:t>
            </w:r>
            <w:r>
              <w:rPr>
                <w:rStyle w:val="IndexLink"/>
                <w:rtl w:val="true"/>
              </w:rPr>
              <w:tab/>
            </w:r>
            <w:r>
              <w:rPr>
                <w:rStyle w:val="IndexLink"/>
              </w:rPr>
              <w:t>20</w:t>
            </w:r>
          </w:hyperlink>
        </w:p>
        <w:p>
          <w:pPr>
            <w:pStyle w:val="Contents3"/>
            <w:tabs>
              <w:tab w:val="clear" w:pos="8459"/>
              <w:tab w:val="right" w:pos="9026" w:leader="dot"/>
            </w:tabs>
            <w:rPr/>
          </w:pPr>
          <w:hyperlink w:anchor="__RefHeading___Toc6740655_1051229030">
            <w:r>
              <w:rPr>
                <w:webHidden/>
                <w:rStyle w:val="IndexLink"/>
                <w:rtl w:val="true"/>
              </w:rPr>
              <w:t>تآليفه القيّمة</w:t>
            </w:r>
            <w:r>
              <w:rPr>
                <w:rStyle w:val="IndexLink"/>
                <w:rtl w:val="true"/>
              </w:rPr>
              <w:tab/>
            </w:r>
            <w:r>
              <w:rPr>
                <w:rStyle w:val="IndexLink"/>
              </w:rPr>
              <w:t>23</w:t>
            </w:r>
          </w:hyperlink>
        </w:p>
        <w:p>
          <w:pPr>
            <w:pStyle w:val="Contents3"/>
            <w:tabs>
              <w:tab w:val="clear" w:pos="8459"/>
              <w:tab w:val="right" w:pos="9026" w:leader="dot"/>
            </w:tabs>
            <w:rPr/>
          </w:pPr>
          <w:hyperlink w:anchor="__RefHeading___Toc6740657_1051229030">
            <w:r>
              <w:rPr>
                <w:webHidden/>
                <w:rStyle w:val="IndexLink"/>
                <w:rtl w:val="true"/>
              </w:rPr>
              <w:t xml:space="preserve">« </w:t>
            </w:r>
            <w:r>
              <w:rPr>
                <w:rStyle w:val="IndexLink"/>
                <w:rtl w:val="true"/>
              </w:rPr>
              <w:t xml:space="preserve">الكتب والرسائل الفقهيّة </w:t>
            </w:r>
            <w:r>
              <w:rPr>
                <w:rStyle w:val="IndexLink"/>
                <w:rtl w:val="true"/>
              </w:rPr>
              <w:t>»</w:t>
              <w:tab/>
            </w:r>
            <w:r>
              <w:rPr>
                <w:rStyle w:val="IndexLink"/>
              </w:rPr>
              <w:t>23</w:t>
            </w:r>
          </w:hyperlink>
        </w:p>
        <w:p>
          <w:pPr>
            <w:pStyle w:val="Contents3"/>
            <w:tabs>
              <w:tab w:val="clear" w:pos="8459"/>
              <w:tab w:val="right" w:pos="9026" w:leader="dot"/>
            </w:tabs>
            <w:rPr/>
          </w:pPr>
          <w:hyperlink w:anchor="__RefHeading___Toc6740659_1051229030">
            <w:r>
              <w:rPr>
                <w:webHidden/>
                <w:rStyle w:val="IndexLink"/>
                <w:rtl w:val="true"/>
              </w:rPr>
              <w:t xml:space="preserve">« </w:t>
            </w:r>
            <w:r>
              <w:rPr>
                <w:rStyle w:val="IndexLink"/>
                <w:rtl w:val="true"/>
              </w:rPr>
              <w:t xml:space="preserve">الكتب والرسائل الحديثيّة </w:t>
            </w:r>
            <w:r>
              <w:rPr>
                <w:rStyle w:val="IndexLink"/>
                <w:rtl w:val="true"/>
              </w:rPr>
              <w:t>»</w:t>
              <w:tab/>
            </w:r>
            <w:r>
              <w:rPr>
                <w:rStyle w:val="IndexLink"/>
              </w:rPr>
              <w:t>39</w:t>
            </w:r>
          </w:hyperlink>
        </w:p>
        <w:p>
          <w:pPr>
            <w:pStyle w:val="Contents3"/>
            <w:tabs>
              <w:tab w:val="clear" w:pos="8459"/>
              <w:tab w:val="right" w:pos="9026" w:leader="dot"/>
            </w:tabs>
            <w:rPr/>
          </w:pPr>
          <w:hyperlink w:anchor="__RefHeading___Toc6740661_1051229030">
            <w:r>
              <w:rPr>
                <w:webHidden/>
                <w:rStyle w:val="IndexLink"/>
                <w:rtl w:val="true"/>
              </w:rPr>
              <w:t xml:space="preserve">« </w:t>
            </w:r>
            <w:r>
              <w:rPr>
                <w:rStyle w:val="IndexLink"/>
                <w:rtl w:val="true"/>
              </w:rPr>
              <w:t xml:space="preserve">الكتب والرسائل الأصوليّة </w:t>
            </w:r>
            <w:r>
              <w:rPr>
                <w:rStyle w:val="IndexLink"/>
                <w:rtl w:val="true"/>
              </w:rPr>
              <w:t>»</w:t>
              <w:tab/>
            </w:r>
            <w:r>
              <w:rPr>
                <w:rStyle w:val="IndexLink"/>
              </w:rPr>
              <w:t>40</w:t>
            </w:r>
          </w:hyperlink>
        </w:p>
        <w:p>
          <w:pPr>
            <w:pStyle w:val="Contents3"/>
            <w:tabs>
              <w:tab w:val="clear" w:pos="8459"/>
              <w:tab w:val="right" w:pos="9026" w:leader="dot"/>
            </w:tabs>
            <w:rPr/>
          </w:pPr>
          <w:hyperlink w:anchor="__RefHeading___Toc6740663_1051229030">
            <w:r>
              <w:rPr>
                <w:webHidden/>
                <w:rStyle w:val="IndexLink"/>
                <w:rtl w:val="true"/>
              </w:rPr>
              <w:t xml:space="preserve">« </w:t>
            </w:r>
            <w:r>
              <w:rPr>
                <w:rStyle w:val="IndexLink"/>
                <w:rtl w:val="true"/>
              </w:rPr>
              <w:t xml:space="preserve">الكتب والرسائل الرجاليّة </w:t>
            </w:r>
            <w:r>
              <w:rPr>
                <w:rStyle w:val="IndexLink"/>
                <w:rtl w:val="true"/>
              </w:rPr>
              <w:t>»</w:t>
              <w:tab/>
            </w:r>
            <w:r>
              <w:rPr>
                <w:rStyle w:val="IndexLink"/>
              </w:rPr>
              <w:t>43</w:t>
            </w:r>
          </w:hyperlink>
        </w:p>
        <w:p>
          <w:pPr>
            <w:pStyle w:val="Contents3"/>
            <w:tabs>
              <w:tab w:val="clear" w:pos="8459"/>
              <w:tab w:val="right" w:pos="9026" w:leader="dot"/>
            </w:tabs>
            <w:rPr/>
          </w:pPr>
          <w:hyperlink w:anchor="__RefHeading___Toc6740665_1051229030">
            <w:r>
              <w:rPr>
                <w:webHidden/>
                <w:rStyle w:val="IndexLink"/>
                <w:rtl w:val="true"/>
              </w:rPr>
              <w:t xml:space="preserve">« </w:t>
            </w:r>
            <w:r>
              <w:rPr>
                <w:rStyle w:val="IndexLink"/>
                <w:rtl w:val="true"/>
              </w:rPr>
              <w:t xml:space="preserve">الكتب والرسائل المتفرّقة </w:t>
            </w:r>
            <w:r>
              <w:rPr>
                <w:rStyle w:val="IndexLink"/>
                <w:rtl w:val="true"/>
              </w:rPr>
              <w:t>»</w:t>
              <w:tab/>
            </w:r>
            <w:r>
              <w:rPr>
                <w:rStyle w:val="IndexLink"/>
              </w:rPr>
              <w:t>46</w:t>
            </w:r>
          </w:hyperlink>
        </w:p>
        <w:p>
          <w:pPr>
            <w:pStyle w:val="Contents3"/>
            <w:tabs>
              <w:tab w:val="clear" w:pos="8459"/>
              <w:tab w:val="right" w:pos="9026" w:leader="dot"/>
            </w:tabs>
            <w:rPr/>
          </w:pPr>
          <w:hyperlink w:anchor="__RefHeading___Toc6740667_1051229030">
            <w:r>
              <w:rPr>
                <w:webHidden/>
                <w:rStyle w:val="IndexLink"/>
                <w:rtl w:val="true"/>
              </w:rPr>
              <w:t>وفاته و مرقده</w:t>
            </w:r>
            <w:r>
              <w:rPr>
                <w:rStyle w:val="IndexLink"/>
                <w:rtl w:val="true"/>
              </w:rPr>
              <w:tab/>
            </w:r>
            <w:r>
              <w:rPr>
                <w:rStyle w:val="IndexLink"/>
              </w:rPr>
              <w:t>47</w:t>
            </w:r>
          </w:hyperlink>
        </w:p>
        <w:p>
          <w:pPr>
            <w:pStyle w:val="Contents2"/>
            <w:tabs>
              <w:tab w:val="clear" w:pos="8743"/>
              <w:tab w:val="right" w:pos="9026" w:leader="dot"/>
            </w:tabs>
            <w:rPr/>
          </w:pPr>
          <w:hyperlink w:anchor="__RefHeading___Toc6740669_1051229030">
            <w:r>
              <w:rPr>
                <w:webHidden/>
                <w:rStyle w:val="IndexLink"/>
              </w:rPr>
              <w:t>2</w:t>
            </w:r>
            <w:r>
              <w:rPr>
                <w:rStyle w:val="IndexLink"/>
                <w:rtl w:val="true"/>
              </w:rPr>
              <w:t xml:space="preserve">- </w:t>
            </w:r>
            <w:r>
              <w:rPr>
                <w:rStyle w:val="IndexLink"/>
                <w:rtl w:val="true"/>
              </w:rPr>
              <w:t>بين يدي الكتاب</w:t>
            </w:r>
            <w:r>
              <w:rPr>
                <w:rStyle w:val="IndexLink"/>
                <w:rtl w:val="true"/>
              </w:rPr>
              <w:tab/>
            </w:r>
            <w:r>
              <w:rPr>
                <w:rStyle w:val="IndexLink"/>
              </w:rPr>
              <w:t>50</w:t>
            </w:r>
          </w:hyperlink>
        </w:p>
        <w:p>
          <w:pPr>
            <w:pStyle w:val="Contents2"/>
            <w:tabs>
              <w:tab w:val="clear" w:pos="8743"/>
              <w:tab w:val="right" w:pos="9026" w:leader="dot"/>
            </w:tabs>
            <w:rPr/>
          </w:pPr>
          <w:hyperlink w:anchor="__RefHeading___Toc6740671_1051229030">
            <w:r>
              <w:rPr>
                <w:webHidden/>
                <w:rStyle w:val="IndexLink"/>
              </w:rPr>
              <w:t>3</w:t>
            </w:r>
            <w:r>
              <w:rPr>
                <w:rStyle w:val="IndexLink"/>
                <w:rtl w:val="true"/>
              </w:rPr>
              <w:t xml:space="preserve">- </w:t>
            </w:r>
            <w:r>
              <w:rPr>
                <w:rStyle w:val="IndexLink"/>
                <w:rtl w:val="true"/>
              </w:rPr>
              <w:t>منهجنا في التحقيق</w:t>
            </w:r>
            <w:r>
              <w:rPr>
                <w:rStyle w:val="IndexLink"/>
                <w:rtl w:val="true"/>
              </w:rPr>
              <w:tab/>
            </w:r>
            <w:r>
              <w:rPr>
                <w:rStyle w:val="IndexLink"/>
              </w:rPr>
              <w:t>52</w:t>
            </w:r>
          </w:hyperlink>
        </w:p>
        <w:p>
          <w:pPr>
            <w:pStyle w:val="Contents2"/>
            <w:tabs>
              <w:tab w:val="clear" w:pos="8743"/>
              <w:tab w:val="right" w:pos="9026" w:leader="dot"/>
            </w:tabs>
            <w:rPr/>
          </w:pPr>
          <w:hyperlink w:anchor="__RefHeading___Toc6740673_1051229030">
            <w:r>
              <w:rPr>
                <w:webHidden/>
                <w:rStyle w:val="IndexLink"/>
                <w:rtl w:val="true"/>
              </w:rPr>
              <w:t>رسالة في جواز الاتّكال بقول النساء في انتفاء موانع النكاح فيها</w:t>
            </w:r>
            <w:r>
              <w:rPr>
                <w:rStyle w:val="IndexLink"/>
                <w:rtl w:val="true"/>
              </w:rPr>
              <w:tab/>
            </w:r>
            <w:r>
              <w:rPr>
                <w:rStyle w:val="IndexLink"/>
              </w:rPr>
              <w:t>54</w:t>
            </w:r>
          </w:hyperlink>
        </w:p>
        <w:p>
          <w:pPr>
            <w:pStyle w:val="Contents2"/>
            <w:tabs>
              <w:tab w:val="clear" w:pos="8743"/>
              <w:tab w:val="right" w:pos="9026" w:leader="dot"/>
            </w:tabs>
            <w:rPr/>
          </w:pPr>
          <w:hyperlink w:anchor="__RefHeading___Toc6740675_1051229030">
            <w:r>
              <w:rPr>
                <w:webHidden/>
                <w:rStyle w:val="IndexLink"/>
                <w:rtl w:val="true"/>
              </w:rPr>
              <w:t xml:space="preserve">[ </w:t>
            </w:r>
            <w:r>
              <w:rPr>
                <w:rStyle w:val="IndexLink"/>
                <w:rtl w:val="true"/>
              </w:rPr>
              <w:t xml:space="preserve">الكلام في تعيين طبقة أحمد بن محمّد بن خالد البرقي </w:t>
            </w:r>
            <w:r>
              <w:rPr>
                <w:rStyle w:val="IndexLink"/>
                <w:rtl w:val="true"/>
              </w:rPr>
              <w:t>]</w:t>
              <w:tab/>
            </w:r>
            <w:r>
              <w:rPr>
                <w:rStyle w:val="IndexLink"/>
              </w:rPr>
              <w:t>65</w:t>
            </w:r>
          </w:hyperlink>
        </w:p>
        <w:p>
          <w:pPr>
            <w:pStyle w:val="Contents2"/>
            <w:tabs>
              <w:tab w:val="clear" w:pos="8743"/>
              <w:tab w:val="right" w:pos="9026" w:leader="dot"/>
            </w:tabs>
            <w:rPr/>
          </w:pPr>
          <w:hyperlink w:anchor="__RefHeading___Toc6740677_1051229030">
            <w:r>
              <w:rPr>
                <w:webHidden/>
                <w:rStyle w:val="IndexLink"/>
                <w:rtl w:val="true"/>
              </w:rPr>
              <w:t xml:space="preserve">[ </w:t>
            </w:r>
            <w:r>
              <w:rPr>
                <w:rStyle w:val="IndexLink"/>
                <w:rtl w:val="true"/>
              </w:rPr>
              <w:t xml:space="preserve">الكلام في حال أحمد بن محمّد بن خالد البرقي </w:t>
            </w:r>
            <w:r>
              <w:rPr>
                <w:rStyle w:val="IndexLink"/>
                <w:rtl w:val="true"/>
              </w:rPr>
              <w:t>]</w:t>
              <w:tab/>
            </w:r>
            <w:r>
              <w:rPr>
                <w:rStyle w:val="IndexLink"/>
              </w:rPr>
              <w:t>72</w:t>
            </w:r>
          </w:hyperlink>
        </w:p>
        <w:p>
          <w:pPr>
            <w:pStyle w:val="Contents2"/>
            <w:tabs>
              <w:tab w:val="clear" w:pos="8743"/>
              <w:tab w:val="right" w:pos="9026" w:leader="dot"/>
            </w:tabs>
            <w:rPr/>
          </w:pPr>
          <w:hyperlink w:anchor="__RefHeading___Toc6740679_1051229030">
            <w:r>
              <w:rPr>
                <w:webHidden/>
                <w:rStyle w:val="IndexLink"/>
                <w:rtl w:val="true"/>
              </w:rPr>
              <w:t>فهرس مصادر التحقيق</w:t>
            </w:r>
            <w:r>
              <w:rPr>
                <w:rStyle w:val="IndexLink"/>
                <w:rtl w:val="true"/>
              </w:rPr>
              <w:tab/>
            </w:r>
            <w:r>
              <w:rPr>
                <w:rStyle w:val="IndexLink"/>
              </w:rPr>
              <w:t>84</w:t>
            </w:r>
          </w:hyperlink>
        </w:p>
        <w:p>
          <w:pPr>
            <w:pStyle w:val="Contents2"/>
            <w:tabs>
              <w:tab w:val="clear" w:pos="8743"/>
              <w:tab w:val="right" w:pos="9026" w:leader="dot"/>
            </w:tabs>
            <w:rPr/>
          </w:pPr>
          <w:hyperlink w:anchor="__RefHeading___Toc6740681_1051229030">
            <w:r>
              <w:rPr>
                <w:webHidden/>
                <w:rStyle w:val="IndexLink"/>
                <w:rtl w:val="true"/>
              </w:rPr>
              <w:t>فهرس المحتويات</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43_78301"/>
      <w:bookmarkStart w:id="1" w:name="pg7943_78301"/>
      <w:bookmarkEnd w:id="1"/>
    </w:p>
    <w:p>
      <w:pPr>
        <w:pStyle w:val="Heading2"/>
        <w:numPr>
          <w:ilvl w:val="1"/>
          <w:numId w:val="1"/>
        </w:numPr>
        <w:rPr/>
      </w:pPr>
      <w:bookmarkStart w:id="2" w:name="pg7943_78301"/>
      <w:bookmarkStart w:id="3" w:name="__RefHeading___Toc6740629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رسالة في جواز الاتّكال بقول النساء في انتفاء موانع النكاح فيها</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والمحقّق المتتبّع الحاجّ السيّد محمّد باقر الشفتيّ الجيلانيّ</w:t>
      </w:r>
    </w:p>
    <w:p>
      <w:pPr>
        <w:pStyle w:val="BookText"/>
        <w:rPr/>
      </w:pPr>
      <w:r>
        <w:rPr>
          <w:rFonts w:ascii="Amiri" w:hAnsi="Amiri" w:eastAsia="Amiri" w:cs="Amiri"/>
          <w:color w:val="111111"/>
          <w:sz w:val="28"/>
          <w:sz w:val="28"/>
          <w:szCs w:val="28"/>
          <w:rtl w:val="true"/>
          <w:lang w:bidi="ar-SA"/>
        </w:rPr>
        <w:t>المشهور بحجّة الإسلام على الإطلاق</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063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43_78305"/>
      <w:bookmarkStart w:id="8" w:name="pg7943_78305"/>
      <w:bookmarkEnd w:id="8"/>
    </w:p>
    <w:p>
      <w:pPr>
        <w:pStyle w:val="Heading2"/>
        <w:numPr>
          <w:ilvl w:val="1"/>
          <w:numId w:val="1"/>
        </w:numPr>
        <w:rPr/>
      </w:pPr>
      <w:bookmarkStart w:id="9" w:name="pg7943_78305"/>
      <w:bookmarkStart w:id="10" w:name="__RefHeading___Toc6740633_1051229030"/>
      <w:bookmarkStart w:id="11" w:name="_Toc3"/>
      <w:bookmarkEnd w:id="9"/>
      <w:bookmarkEnd w:id="10"/>
      <w:r>
        <w:rPr>
          <w:rtl w:val="true"/>
        </w:rPr>
        <w:t>مقدّمة التحقيق</w:t>
      </w:r>
      <w:bookmarkEnd w:id="11"/>
    </w:p>
    <w:p>
      <w:pPr>
        <w:pStyle w:val="Heading2"/>
        <w:numPr>
          <w:ilvl w:val="1"/>
          <w:numId w:val="1"/>
        </w:numPr>
        <w:rPr/>
      </w:pPr>
      <w:bookmarkStart w:id="12" w:name="__RefHeading___Toc6740635_1051229030"/>
      <w:bookmarkStart w:id="13" w:name="_Toc4"/>
      <w:bookmarkEnd w:id="12"/>
      <w:r>
        <w:rPr/>
        <w:t>1</w:t>
      </w:r>
      <w:r>
        <w:rPr>
          <w:rtl w:val="true"/>
        </w:rPr>
        <w:t>-</w:t>
      </w:r>
      <w:r>
        <w:rPr>
          <w:rtl w:val="true"/>
        </w:rPr>
        <w:t>لمحةٌ من حياة المؤلّف</w:t>
      </w:r>
      <w:bookmarkEnd w:id="13"/>
    </w:p>
    <w:p>
      <w:pPr>
        <w:pStyle w:val="Heading3"/>
        <w:numPr>
          <w:ilvl w:val="2"/>
          <w:numId w:val="1"/>
        </w:numPr>
        <w:rPr/>
      </w:pPr>
      <w:bookmarkStart w:id="14" w:name="__RefHeading___Toc6740637_1051229030"/>
      <w:bookmarkStart w:id="15" w:name="_Toc5"/>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لمحةٌ من حياة المؤلّف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
      </w:r>
    </w:p>
    <w:p>
      <w:pPr>
        <w:pStyle w:val="Heading3"/>
        <w:numPr>
          <w:ilvl w:val="2"/>
          <w:numId w:val="1"/>
        </w:numPr>
        <w:rPr/>
      </w:pPr>
      <w:bookmarkStart w:id="16" w:name="__RefHeading___Toc6740639_1051229030"/>
      <w:bookmarkStart w:id="17" w:name="_Toc6"/>
      <w:bookmarkEnd w:id="16"/>
      <w:r>
        <w:rPr>
          <w:rtl w:val="true"/>
        </w:rPr>
        <w:t>اسمه و نسبه</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محمّد باقر بن السيّد محمّد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النسب، الشفتي الرشتيّ الجيلانيّ الأصل واللقب، الغرويّ الحائريّ الكاظميّ العلم والأدب، </w:t>
      </w:r>
      <w:bookmarkStart w:id="18" w:name="pg7943_78306"/>
    </w:p>
    <w:p>
      <w:pPr>
        <w:pStyle w:val="BookText"/>
        <w:rPr/>
      </w:pPr>
      <w:bookmarkEnd w:id="18"/>
      <w:r>
        <w:rPr>
          <w:rFonts w:ascii="Amiri" w:hAnsi="Amiri" w:eastAsia="Amiri" w:cs="Amiri"/>
          <w:color w:val="111111"/>
          <w:sz w:val="28"/>
          <w:sz w:val="28"/>
          <w:szCs w:val="28"/>
          <w:rtl w:val="true"/>
          <w:lang w:bidi="ar-SA"/>
        </w:rPr>
        <w:t xml:space="preserve">العراقي، الأصفهاني البيدآبادي المنشأ والموطن والمدفن والمآب، الشهير في الآفاق بحجّة الإسلام على الإطلاق، من فحول علماء الإمامية في القرنين الثاني عشر والثالث عشر، و من كبار زعماء الدين وأعلام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نسبه الشريف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نقي بن محمّد زكي بن محمّد تقي بن شاه قاسم بن مير أشرف بن شاه قاسم بن شاه هدايت بن الأمير هاشم بن السلطان السيّد علي قاضي بن السيّد علي بن السيّد محمّد بن السيّد علي بن السيّد محمّد بن السيّد موسى بن السيّد جعفر بن السيّد إسماعيل بن السيّد أحمد بن السيّد محمّد بن السيّد أحمد بن السيّد محمّد بن السيّد أبي القاسم بن السيّد حمزة بن الإمام موسى الكاظم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6740641_1051229030"/>
      <w:bookmarkStart w:id="20" w:name="_Toc7"/>
      <w:bookmarkEnd w:id="19"/>
      <w:r>
        <w:rPr>
          <w:rtl w:val="true"/>
        </w:rPr>
        <w:t>ولادته و نشأته</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على أصحّ القولين في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
      </w:r>
      <w:r>
        <w:rPr>
          <w:rFonts w:ascii="Amiri" w:hAnsi="Amiri" w:eastAsia="Amiri" w:cs="Amiri"/>
          <w:color w:val="111111"/>
          <w:sz w:val="28"/>
          <w:sz w:val="28"/>
          <w:szCs w:val="28"/>
          <w:rtl w:val="true"/>
          <w:lang w:bidi="ar-SA"/>
        </w:rPr>
        <w:t xml:space="preserve">في قرية من قرى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طارم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 إلى شفت و هو ابن سبع سنين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هاجر إلى العراق لطلب العلوم الدينيّة والكمالات النفسانيّة في حدود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قريبًا من ذلک، و هو ابن ستّ أو سبع عشرة سنة </w:t>
      </w:r>
      <w:r>
        <w:rPr>
          <w:rStyle w:val="FootnoteAnchor"/>
          <w:rtl w:val="true"/>
        </w:rPr>
        <w:footnoteReference w:id="6"/>
      </w:r>
      <w:r>
        <w:rPr>
          <w:rFonts w:ascii="Amiri" w:hAnsi="Amiri" w:eastAsia="Amiri" w:cs="Amiri"/>
          <w:color w:val="111111"/>
          <w:sz w:val="28"/>
          <w:sz w:val="28"/>
          <w:szCs w:val="28"/>
          <w:rtl w:val="true"/>
          <w:lang w:bidi="ar-SA"/>
        </w:rPr>
        <w:t>، فحضر في أوّل</w:t>
      </w:r>
    </w:p>
    <w:p>
      <w:pPr>
        <w:pStyle w:val="BookText"/>
        <w:rPr/>
      </w:pPr>
      <w:r>
        <w:rPr>
          <w:rFonts w:ascii="Amiri" w:hAnsi="Amiri" w:eastAsia="Amiri" w:cs="Amiri"/>
          <w:color w:val="111111"/>
          <w:sz w:val="28"/>
          <w:sz w:val="28"/>
          <w:szCs w:val="28"/>
          <w:rtl w:val="true"/>
          <w:lang w:bidi="ar-SA"/>
        </w:rPr>
        <w:t xml:space="preserve">أمره على الأستاذ الأكبر الآقا محمّد باقر الوحيد البهبهاني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Style w:val="FootnoteAnchor"/>
          <w:rtl w:val="true"/>
        </w:rPr>
        <w:footnoteReference w:id="7"/>
      </w:r>
      <w:r>
        <w:rPr>
          <w:rFonts w:ascii="Amiri" w:hAnsi="Amiri" w:eastAsia="Amiri" w:cs="Amiri"/>
          <w:color w:val="111111"/>
          <w:sz w:val="28"/>
          <w:sz w:val="28"/>
          <w:szCs w:val="28"/>
          <w:rtl w:val="true"/>
          <w:lang w:bidi="ar-SA"/>
        </w:rPr>
        <w:t>، ثمّ</w:t>
      </w:r>
    </w:p>
    <w:p>
      <w:pPr>
        <w:pStyle w:val="BookText"/>
        <w:rPr/>
      </w:pPr>
      <w:r>
        <w:rPr>
          <w:rFonts w:ascii="Amiri" w:hAnsi="Amiri" w:eastAsia="Amiri" w:cs="Amiri"/>
          <w:color w:val="111111"/>
          <w:sz w:val="28"/>
          <w:sz w:val="28"/>
          <w:szCs w:val="28"/>
          <w:rtl w:val="true"/>
          <w:lang w:bidi="ar-SA"/>
        </w:rPr>
        <w:t xml:space="preserve">على أستاذه العلّامة المير سيّد عليّ الطباطبائيّ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رحل إلى النجف الأشرف وأقام فيها سبع سنين، وحضر فيها على العلّامة الطباطبائيّ بحرالعلوم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والشيخ الأكبر صاحب كشف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إلى الكاظميّة، فحضر فيها على السيّد المحقّق المُحسن البغداديّ المقدّس الأعرجي ؛ قليلاً، فقد قرأ عليه القضاء والشهادات، وأقام عنده مدّة من الزمان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حلّت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تمّ بها على المترجم في العراق ثمان سنين بلغ فيها درجة سامية و مكانة عالية، رجع إلى ديار العجم </w:t>
      </w:r>
      <w:r>
        <w:rPr>
          <w:rStyle w:val="FootnoteAnchor"/>
          <w:rtl w:val="true"/>
        </w:rPr>
        <w:footnoteReference w:id="8"/>
      </w:r>
      <w:r>
        <w:rPr>
          <w:rFonts w:ascii="Amiri" w:hAnsi="Amiri" w:eastAsia="Amiri" w:cs="Amiri"/>
          <w:color w:val="111111"/>
          <w:sz w:val="28"/>
          <w:sz w:val="28"/>
          <w:szCs w:val="28"/>
          <w:rtl w:val="true"/>
          <w:lang w:bidi="ar-SA"/>
        </w:rPr>
        <w:t xml:space="preserve">و توطّن في أصفهان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مع الحاجّ محمّد ابراهيم الكلباسي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وكانا صديقين رفيقين شفيقين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 له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الارتحال من أصفهان إلى قم أيّام زعامة المحقّق القمّي ؛، فحضر مجلسه بما ينيف على ستّة أشهر </w:t>
      </w:r>
      <w:r>
        <w:rPr>
          <w:rStyle w:val="FootnoteAnchor"/>
          <w:rtl w:val="true"/>
        </w:rPr>
        <w:footnoteReference w:id="10"/>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لنفسي الترقّي الكامل في هذه المدّة القليلة بقدر تمام ما حصل لي في مدّة مقامي بالعتبات العاليات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فكتب له الميرزا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مبسوطة مضبوطة كان يغتنمبها من ذلک السفر المبارک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سافر بعدها إلى كاشان، فحضر على المولى محمّد مهدي النراقي ؛، وتلمّذ عليه مدّة قليلة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من بعض المشايخ أنّه بعد وروده إلى أصفهان ليس له شيء من الكتب إلّا مجلّدًا واحدًا من المدارک، و كان مجرّدًا من الأموال، قليل البضاعة، بل عديمها، </w:t>
      </w:r>
    </w:p>
    <w:p>
      <w:pPr>
        <w:pStyle w:val="BookText"/>
        <w:rPr/>
      </w:pPr>
      <w:r>
        <w:rPr>
          <w:rFonts w:ascii="Amiri" w:hAnsi="Amiri" w:eastAsia="Amiri" w:cs="Amiri"/>
          <w:color w:val="111111"/>
          <w:sz w:val="28"/>
          <w:sz w:val="28"/>
          <w:szCs w:val="28"/>
          <w:rtl w:val="true"/>
          <w:lang w:bidi="ar-SA"/>
        </w:rPr>
        <w:t xml:space="preserve">إلّا منديلاً لمحلّ الخبز، ويسمّى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سكن في مدرسة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 بابه إلى چهارباغ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في اصفهان بمدرسة چهارباغ، واجتمع الطلّاب والمشتغلون عنده للتحصيل والتعليم، و أخرجه المدرّس من المدرسة و لم يتعرّض له و لم يعارضه، فإذا اطّلع على أنّه أمر بالخروج، خرج من غير إظهار للكراهة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قليل من الزمان اجتمع عليه أهل العلم والمحصّلون، وانتقلت إليه رياسة الإماميّة في أغلب الأقطار بعد ذهاب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مرجعًا للفتوى، و أقبلت له الدنيا بحيث انتهت إليه الرياسة الدينيّة والدنيويّة، وملكت أموالاً كثيرة من النقود والعروض والعقار والقرى والدور الكثيرة في محلّة بيدآباد، و كان له أموال كثيرة في التجارة إلى بلدة رشت يدور من اصفهان إلى رشت، و يربح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الباعث على ترويج أمره في أصفهان و في غيره من البلاد، العالم الربّاني والمحقّق الصمداني ميرزا أبوالقاسم الجيلاني القمّي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المقبول قوله عند العوام والخواص، و عند السلطان والرعيّة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يقدّمه العالم الزعيم الحاج محمّد إبراهيم الكرباسي ؛ في المشي والحكم و غيرهما، فكلّ هذه الأمور كانت ترفع شأنه، إلّا أنّ يده تعالى فوق </w:t>
      </w:r>
    </w:p>
    <w:p>
      <w:pPr>
        <w:pStyle w:val="BookText"/>
        <w:rPr/>
      </w:pPr>
      <w:r>
        <w:rPr>
          <w:rFonts w:ascii="Amiri" w:hAnsi="Amiri" w:eastAsia="Amiri" w:cs="Amiri"/>
          <w:color w:val="111111"/>
          <w:sz w:val="28"/>
          <w:sz w:val="28"/>
          <w:szCs w:val="28"/>
          <w:rtl w:val="true"/>
          <w:lang w:bidi="ar-SA"/>
        </w:rPr>
        <w:t xml:space="preserve">الأيدي، ترفع و تضع طبق المصالح الربّانيّة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بينه و بين الحاج محمّد إبراهيم المذكور صلة متينة و صداقة تامّة من بدء أمرهما، فقد كانا زميلين كريمين في النجف، تجمع بينهما معاهد العلم، وشاء الله أن تنمو هذه المودّة شيئًا فشيئًا، و يبلغ كلّ منهما في الزعامة مبلغًا لم يكن يحدث له في البال، وأن يسكنا معًا بلدة أصفهان، ويتزعّما بها في وقت واحد، ولم تكن الرياسة لتكدّر صفو ذلک الودّ الخالص، أو تؤثّر مثقال ذرّة، فكلّما زادت سطوة أحدهما زاد اتّصالاً و رغبة بصاحبه، فاعتبروا يا أولى الأبصار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حجّ بيت الله الحرام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6"/>
      </w:r>
      <w:r>
        <w:rPr>
          <w:rFonts w:ascii="IRNazanin" w:hAnsi="IRNazanin" w:eastAsia="IRNazanin"/>
          <w:color w:val="111111"/>
          <w:sz w:val="28"/>
          <w:sz w:val="28"/>
          <w:szCs w:val="28"/>
          <w:rtl w:val="true"/>
          <w:lang w:bidi="fa-IR"/>
        </w:rPr>
        <w:t xml:space="preserve">من طريق البحر، و كان ذلک أيّام محمّد علي باشا المصريّ، وكانت له زيارة خاصّة له، فأخذ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وكفّل بها سادات المدينة </w:t>
      </w:r>
      <w:r>
        <w:rPr>
          <w:rStyle w:val="FootnoteAnchor"/>
          <w:rtl w:val="true"/>
        </w:rPr>
        <w:footnoteReference w:id="17"/>
      </w:r>
      <w:r>
        <w:rPr>
          <w:rFonts w:ascii="IRNazanin" w:hAnsi="IRNazanin" w:eastAsia="IRNazanin"/>
          <w:color w:val="111111"/>
          <w:sz w:val="28"/>
          <w:sz w:val="28"/>
          <w:szCs w:val="28"/>
          <w:rtl w:val="true"/>
          <w:lang w:bidi="fa-IR"/>
        </w:rPr>
        <w:t xml:space="preserve">؛ و كذلک حدّد المطاف على مذهب الشيعة للمسلمين في مكّة المكرّمة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أخذ في بناء المسجد الأعظم باصبهان </w:t>
      </w:r>
      <w:r>
        <w:rPr>
          <w:rStyle w:val="FootnoteAnchor"/>
          <w:rtl w:val="true"/>
        </w:rPr>
        <w:footnoteReference w:id="20"/>
      </w:r>
      <w:r>
        <w:rPr>
          <w:rFonts w:ascii="Amiri" w:hAnsi="Amiri" w:eastAsia="Amiri" w:cs="Amiri"/>
          <w:color w:val="111111"/>
          <w:sz w:val="28"/>
          <w:sz w:val="28"/>
          <w:szCs w:val="28"/>
          <w:rtl w:val="true"/>
          <w:lang w:bidi="ar-SA"/>
        </w:rPr>
        <w:t xml:space="preserve">و أنفق عليه ما </w:t>
      </w:r>
      <w:bookmarkStart w:id="21" w:name="pg7943_78311"/>
    </w:p>
    <w:p>
      <w:pPr>
        <w:pStyle w:val="BookText"/>
        <w:rPr/>
      </w:pPr>
      <w:bookmarkEnd w:id="21"/>
      <w:r>
        <w:rPr>
          <w:rFonts w:ascii="Amiri" w:hAnsi="Amiri" w:eastAsia="Amiri" w:cs="Amiri"/>
          <w:color w:val="111111"/>
          <w:sz w:val="28"/>
          <w:sz w:val="28"/>
          <w:szCs w:val="28"/>
          <w:rtl w:val="true"/>
          <w:lang w:bidi="ar-SA"/>
        </w:rPr>
        <w:t xml:space="preserve">يقرب من مائة ألف دينار شرعيّ تقريبًا من أمواله الخالصة، و مال بقبلته إلى يمين قبلة سائر المساجد يسيرًا، و جعل له مدارس و حجرات للطلبة، و أسّس أساسًا لم يعهد مثله من أحد العلماء والمجتهدين، و بنى فيه قبّة لمدفن نفسه، و هي الآن بمنزلة مشهد من مشاهد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مطاف للخلائق في خمسةأوقات الصلوات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740643_1051229030"/>
      <w:bookmarkStart w:id="23" w:name="_Toc8"/>
      <w:bookmarkEnd w:id="22"/>
      <w:r>
        <w:rPr>
          <w:rtl w:val="true"/>
        </w:rPr>
        <w:t>إطراء العلماء له</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المحقّق ميرزا أبوالقاسم القمّي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هو من أساتذته و مشايخه، قال في إجازته الكبيرة 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استجازني الولد الأعزّ الأمجد، والخل الأسعد الأرشد العالم العامل الزكي الذكي، والفاضل الكامل الألمعيّ اللوذعيّ، بل المحقّق المدقّق التقي النقي، ابن المرحوم المبرور السيّد محمّد نقي محمّد باقر الموسويّ الجيلانيّ، أسبل الله عليه نواله و كثّر في الفرقة الناجية أمثاله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 المولى علي النوري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هو من أساتذته، قد أطرى عليه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العهد، فقيه العصر، حجّة الطائفة المحقّة، قبلة الكرام البررة، الفريد الدهريّ، والوحيد العصريّ، مطاع، واجب الاتّباع، معظّم، مجموعة المناقب والمفاخر، آقا سيّد محمّد باقر، دامت بركات فضائله الإنسيّة و شمائله القدسيّة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الحاج محمّد إبراهيم الكرباسي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أطرى على صاحب الترجمة بقوله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لكون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فضله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أركان المحقّقين، وأساطين الفقهاء الراسخين، فضلاً عن مجرّد كونه من المجتهدين الّذين يجب إطاعة أمرهم و امضاء حكمهم،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تأييده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ذلک و من أعلام الطائفة و أركانها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محمّد شفيع الجابلقي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قد وصفه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الطرق الشفيعيّة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والركن المعتمد، الإمام الأجلّ الأعظم، النحرير الذاخر، والسحاب الماطر، الفائق على الأوائل و الأواخر، الحاج السيّد محمّد باقر بن محمّد نقي الرشتي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أزهد أهل زمانه و أعبدهم وأسماهم، فلذا أقبلت له الدنيا بحيث انتهت الرياسة الدينيّة و الدنيويّة إليه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العلّامة المحقّق السيّد أسد الله الشفتي </w:t>
      </w:r>
      <w:r>
        <w:rPr>
          <w:rFonts w:eastAsia="Amiri" w:cs="Amiri" w:ascii="Amiri" w:hAnsi="Amiri"/>
          <w:color w:val="111111"/>
          <w:sz w:val="28"/>
          <w:szCs w:val="28"/>
          <w:lang w:bidi="ar-SA"/>
        </w:rPr>
        <w:t>1</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الوالد العلّامة والفقيه الفهامة رأس الفضل و رئيس الفضلاء، عماد الدين و عمود الملّة البيضاء، صاحب الكرامات الظاهرة والمعجزات الباهرة، فخر أهل العلم و أولى الافضال الّذي لا أظنّ وجود مثله في علم الرجال، بل هو أبو عذره، و هو السابق ميدان السبق على زعم العنود الحسود، جعلني الله فداه و في كلتا الدارين علاه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4" w:name="pg7943_78314"/>
    </w:p>
    <w:p>
      <w:pPr>
        <w:pStyle w:val="Heading3"/>
        <w:numPr>
          <w:ilvl w:val="2"/>
          <w:numId w:val="1"/>
        </w:numPr>
        <w:rPr/>
      </w:pPr>
      <w:bookmarkStart w:id="25" w:name="__RefHeading___Toc6740645_1051229030"/>
      <w:bookmarkStart w:id="26" w:name="_Toc9"/>
      <w:bookmarkEnd w:id="24"/>
      <w:bookmarkEnd w:id="25"/>
      <w:r>
        <w:rPr>
          <w:rtl w:val="true"/>
        </w:rPr>
        <w:t>زهده و عبادته</w:t>
      </w:r>
      <w:bookmarkEnd w:id="26"/>
    </w:p>
    <w:p>
      <w:pPr>
        <w:pStyle w:val="BookText"/>
        <w:rPr/>
      </w:pPr>
      <w:r>
        <w:rPr>
          <w:rFonts w:ascii="Amiri" w:hAnsi="Amiri" w:eastAsia="Amiri" w:cs="Amiri"/>
          <w:color w:val="111111"/>
          <w:sz w:val="28"/>
          <w:sz w:val="28"/>
          <w:szCs w:val="28"/>
          <w:rtl w:val="true"/>
          <w:lang w:bidi="ar-SA"/>
        </w:rPr>
        <w:t xml:space="preserve">قال المحدّث القمّي ؛ في الفوائد الرضويّة، نقلاً عن صاحب التكملة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السيّد محمّد باقر كان عالمًا ربّانيًّا روحانيًّا ممّن عرف حلال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حرامهم، و شيّد أحكامهم، وخالف هواه، واتّبع أمر مولاه، كان دائم المراقبة لربّه، لايشغله شيء عن الحضور والمراقبة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 أنّ آماق عين السيّد كانت مجروحة من كثرة بكائه في تهجّده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بعض خواصّه،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معه إلى بعض قراه، فبتنا في الطريق،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مضجعي فظنّ أني نمت، فقام يصلّي، فوالله إنّي رأيت فرائصه وأعضائه يرتعد بحيث كان يكرّر الكلمة مرارًا من شدّة حركة فكّيه وأعضائه، حتّى ينطق بها صحيحة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6740647_1051229030"/>
      <w:bookmarkStart w:id="28" w:name="_Toc10"/>
      <w:bookmarkEnd w:id="27"/>
      <w:r>
        <w:rPr>
          <w:rtl w:val="true"/>
        </w:rPr>
        <w:t>إقامته الحدود الشرعيّة</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السيّد حجّة الإسلام أنّ إقامة الحدود واجبة على الفقيه الجامع لشرائط الفتوى في عصر الغيبة عند التمكّن من الإقامة والأمن من مضرّة أهل الفساد، </w:t>
      </w:r>
      <w:bookmarkStart w:id="29" w:name="pg7943_78315"/>
    </w:p>
    <w:p>
      <w:pPr>
        <w:pStyle w:val="BookText"/>
        <w:rPr/>
      </w:pPr>
      <w:bookmarkEnd w:id="29"/>
      <w:r>
        <w:rPr>
          <w:rFonts w:ascii="Amiri" w:hAnsi="Amiri" w:eastAsia="Amiri" w:cs="Amiri"/>
          <w:color w:val="111111"/>
          <w:sz w:val="28"/>
          <w:sz w:val="28"/>
          <w:szCs w:val="28"/>
          <w:rtl w:val="true"/>
          <w:lang w:bidi="ar-SA"/>
        </w:rPr>
        <w:t xml:space="preserve">وألّف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هذا الاعتقاد رسالة ؛ و بهذا كان يقيم الحدود الشرعيّة ويجريها بيده أو يد من يأمره بلا خشية و لا 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الروضات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يقدم إلى إجرائه بالمباشرة أو الأمر، بحيث بلغ عدد من قتله ؛ في سبيل ربّه تبارک و تعالى من الجناة والجفاة أو الزناة أو المحاربين اللاطين زمن رئاسته ثمانين أو تسعين،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 عشرين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740649_1051229030"/>
      <w:bookmarkStart w:id="31" w:name="_Toc11"/>
      <w:bookmarkEnd w:id="30"/>
      <w:r>
        <w:rPr>
          <w:rtl w:val="true"/>
        </w:rPr>
        <w:t>مشايخ روايته</w:t>
      </w:r>
      <w:bookmarkEnd w:id="31"/>
    </w:p>
    <w:p>
      <w:pPr>
        <w:pStyle w:val="BookText"/>
        <w:rPr/>
      </w:pPr>
      <w:r>
        <w:rPr>
          <w:rFonts w:ascii="IRNazanin" w:hAnsi="IRNazanin" w:eastAsia="IRNazanin"/>
          <w:color w:val="111111"/>
          <w:sz w:val="28"/>
          <w:sz w:val="28"/>
          <w:szCs w:val="28"/>
          <w:rtl w:val="true"/>
          <w:lang w:bidi="fa-IR"/>
        </w:rPr>
        <w:t xml:space="preserve">يروي عن عدّة من أعلام الأمّة، وإليک سرد ما نصّ عليه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إجازاته، أو نبّه عليه 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السيّد علي الطباطبائي الحائري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أبوالقاسم الجيلاني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كتب خطّى كتابخانه‌هاى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المفاخر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2" w:name="pg7943_78316"/>
    </w:p>
    <w:p>
      <w:pPr>
        <w:pStyle w:val="BookText"/>
        <w:rPr/>
      </w:pPr>
      <w:bookmarkEnd w:id="3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معتوق العاملي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الأعرجي البغدادي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الأكبر الشيخ جعفر كاشف الغطاء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مهدي الموسوي الشهرستاني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740651_1051229030"/>
      <w:bookmarkStart w:id="34" w:name="_Toc12"/>
      <w:bookmarkEnd w:id="33"/>
      <w:r>
        <w:rPr>
          <w:rtl w:val="true"/>
        </w:rPr>
        <w:t>تلامذته</w:t>
      </w:r>
      <w:bookmarkEnd w:id="34"/>
    </w:p>
    <w:p>
      <w:pPr>
        <w:pStyle w:val="BookText"/>
        <w:rPr/>
      </w:pPr>
      <w:r>
        <w:rPr>
          <w:rFonts w:ascii="Amiri" w:hAnsi="Amiri" w:eastAsia="Amiri" w:cs="Amiri"/>
          <w:color w:val="111111"/>
          <w:sz w:val="28"/>
          <w:sz w:val="28"/>
          <w:szCs w:val="28"/>
          <w:rtl w:val="true"/>
          <w:lang w:bidi="ar-SA"/>
        </w:rPr>
        <w:t xml:space="preserve">قد خرج من عالي مجلس تدريسه أكثر من مائة و خمسين مجتهد، من أكابرهم وأعاظمهم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آقا بزرک الحسيني القاضي عسكر الأصفهاني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محمّد جعفر بن محمّد صفي الآباده‌اي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أحمد بن علي أكبر التربتي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علي أكبر بن إبراهيم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ملّا عبد الباقي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عبدالوهّاب الشريف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محمّد إبراهيم القزويني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الموسوي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روضات الجنّات</w:t>
      </w:r>
      <w:r>
        <w:rPr>
          <w:rFonts w:eastAsia="Amiri" w:cs="Amiri" w:ascii="Amiri" w:hAnsi="Amiri"/>
          <w:color w:val="111111"/>
          <w:sz w:val="28"/>
          <w:szCs w:val="28"/>
          <w:rtl w:val="true"/>
          <w:lang w:bidi="ar-SA"/>
        </w:rPr>
        <w:t xml:space="preserve">). </w:t>
      </w:r>
      <w:bookmarkStart w:id="35" w:name="pg7943_78317"/>
    </w:p>
    <w:p>
      <w:pPr>
        <w:pStyle w:val="BookText"/>
        <w:rPr/>
      </w:pPr>
      <w:bookmarkEnd w:id="3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آقا محمّد بن محمّد إبراهيم الكرباسي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بن محمّد مهدي المازندراني الشهير بالحاج الأشرفي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 من الأعلام لم نذكرهم رومًا للاختصار، و مَن أراد أن تطّلع على أسمائهم و ترجمتهم فليراجع الجزء الأوّل من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المرحوم السيّد مصلح الدّين المهدوي، وغيره من كتب التراجم والسير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740653_1051229030"/>
      <w:bookmarkStart w:id="37" w:name="_Toc13"/>
      <w:bookmarkEnd w:id="36"/>
      <w:r>
        <w:rPr>
          <w:rtl w:val="true"/>
        </w:rPr>
        <w:t>أولاده</w:t>
      </w:r>
      <w:bookmarkEnd w:id="37"/>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متعدّدون، كلّهم علماء أجلّاء، و سادة فضلاء، انتهت إليهم الرياسة الدينيّة والعلميّة بعد أبيهم في أصفهان، و هم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قال الإمام السيّد عبدالحسين شرف الدين في ترجمة والده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ولده الأبرّ الأغرّ، الفقيه الأصولي، المحقّق البحّاثة، العلّامة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 على شاكلة أبيه في العلم والعمل والجهاد لنفسه والمراقبة عليها آناء الليل، و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انتهت إليه رئاسة الدين في ايران، وانقادت لأمره عامّة الناس و خاصّتها حتّى السلطان ناصرالدين شاه </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مهدي </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عاشوراء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7"/>
      </w:r>
      <w:bookmarkStart w:id="38" w:name="pg7943_78320"/>
    </w:p>
    <w:p>
      <w:pPr>
        <w:pStyle w:val="Heading3"/>
        <w:numPr>
          <w:ilvl w:val="2"/>
          <w:numId w:val="1"/>
        </w:numPr>
        <w:rPr/>
      </w:pPr>
      <w:bookmarkStart w:id="39" w:name="__RefHeading___Toc6740655_1051229030"/>
      <w:bookmarkStart w:id="40" w:name="_Toc14"/>
      <w:bookmarkEnd w:id="38"/>
      <w:bookmarkEnd w:id="39"/>
      <w:r>
        <w:rPr>
          <w:rtl w:val="true"/>
        </w:rPr>
        <w:t>تآليفه القيّمة</w:t>
      </w:r>
      <w:bookmarkEnd w:id="40"/>
    </w:p>
    <w:p>
      <w:pPr>
        <w:pStyle w:val="BookText"/>
        <w:rPr/>
      </w:pPr>
      <w:r>
        <w:rPr>
          <w:rFonts w:ascii="IRNazanin" w:hAnsi="IRNazanin" w:eastAsia="IRNazanin"/>
          <w:color w:val="111111"/>
          <w:sz w:val="28"/>
          <w:sz w:val="28"/>
          <w:szCs w:val="28"/>
          <w:rtl w:val="true"/>
          <w:lang w:bidi="fa-IR"/>
        </w:rPr>
        <w:t xml:space="preserve">له مؤلّفات كثيرة، و رسائل متعدّدة، كلّها تفصح عن تضلّعه في شتّى العلوم المختلفة خصوصًا الفقه والرجال، و تظهر منها جامعيّته من المعقول والمنقول، وإليک أسماء بعضها والإشادة بأبعادها </w:t>
      </w:r>
      <w:r>
        <w:rPr>
          <w:rFonts w:eastAsia="IRNazanin" w:cs="IRNazanin"/>
          <w:color w:val="111111"/>
          <w:sz w:val="28"/>
          <w:szCs w:val="28"/>
          <w:rtl w:val="true"/>
          <w:lang w:bidi="fa-IR"/>
        </w:rPr>
        <w:t>:</w:t>
      </w:r>
    </w:p>
    <w:p>
      <w:pPr>
        <w:pStyle w:val="Heading3"/>
        <w:numPr>
          <w:ilvl w:val="2"/>
          <w:numId w:val="1"/>
        </w:numPr>
        <w:rPr/>
      </w:pPr>
      <w:bookmarkStart w:id="41" w:name="__RefHeading___Toc6740657_1051229030"/>
      <w:bookmarkStart w:id="42" w:name="_Toc15"/>
      <w:bookmarkEnd w:id="41"/>
      <w:r>
        <w:rPr>
          <w:rtl w:val="true"/>
        </w:rPr>
        <w:t xml:space="preserve">« </w:t>
      </w:r>
      <w:r>
        <w:rPr>
          <w:rtl w:val="true"/>
        </w:rPr>
        <w:t xml:space="preserve">الكتب والرسائل الفقهيّة </w:t>
      </w:r>
      <w:r>
        <w:rPr>
          <w:rtl w:val="true"/>
        </w:rPr>
        <w:t>»</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الأنوار المقتبسة من آثار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لكتاب شرائع الإسلام، لم يخرج منه غير مقاصد كتاب الصلاة إلى آخر أحكام صلاة الأموات في ستّة مجلّدات، إلّا أنّه مشتمل على أغلب قواعد الفقه وضوابطه الكلّيّات، بل محتو على معظم المسائل المتفرّقة من الطهارة إلى الديات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بالطبع الأفست، و قد قامت بطبعه مكتبة مسجد السيّد حجّة الإسلام الشفتي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بأصفهان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الأبرار الملتقط من آثار الأئمّة الأطهار لتنوير قلوب الأخيار</w:t>
      </w:r>
    </w:p>
    <w:p>
      <w:pPr>
        <w:pStyle w:val="BookText"/>
        <w:rPr/>
      </w:pPr>
      <w:r>
        <w:rPr>
          <w:rFonts w:ascii="IRNazanin" w:hAnsi="IRNazanin" w:eastAsia="IRNazanin"/>
          <w:color w:val="111111"/>
          <w:sz w:val="28"/>
          <w:sz w:val="28"/>
          <w:szCs w:val="28"/>
          <w:rtl w:val="true"/>
          <w:lang w:bidi="fa-IR"/>
        </w:rPr>
        <w:t xml:space="preserve">رسالة فارسية مبسوطة، يتعرّض فيها للأدلّة غالبًا، و هي في خصوص الصلاة، مرتّبة على مقدّمة في مسائل الاجتهاد والتقليد، وأبواب ثلاثة ذات مباحث، وخاتمة في الخلل وأحكام الشكوک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والخاتمة رسالة كبيرة جدًّا، سيأتي الكلام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دون خاتمتها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مجلّدتين كبيرتين بتحقيق الحجّة الحاج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w:t>
      </w:r>
    </w:p>
    <w:p>
      <w:pPr>
        <w:pStyle w:val="BookText"/>
        <w:rPr/>
      </w:pPr>
      <w:r>
        <w:rPr>
          <w:rFonts w:ascii="Amiri" w:hAnsi="Amiri" w:eastAsia="Amiri" w:cs="Amiri"/>
          <w:color w:val="111111"/>
          <w:sz w:val="28"/>
          <w:sz w:val="28"/>
          <w:szCs w:val="28"/>
          <w:rtl w:val="true"/>
          <w:lang w:bidi="ar-SA"/>
        </w:rPr>
        <w:t xml:space="preserve">قال مؤلّفه في مفتتح المجلّد الأوّل من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في فضل الصلاة، ما لفظه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تكلّمنا في هذا الحديث في المصباح الشارقة بما قد بلغ التطويل والإطناب في الغاية، و أبرزنا فيه كثيرًا من الإشكالات المتوجّهة إليه، وعقّبنا كلاًّ منها بما يزيله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والجواب</w:t>
      </w:r>
    </w:p>
    <w:p>
      <w:pPr>
        <w:pStyle w:val="BookText"/>
        <w:rPr/>
      </w:pPr>
      <w:r>
        <w:rPr>
          <w:rFonts w:ascii="IRNazanin" w:hAnsi="IRNazanin" w:eastAsia="IRNazanin"/>
          <w:color w:val="111111"/>
          <w:sz w:val="28"/>
          <w:sz w:val="28"/>
          <w:szCs w:val="28"/>
          <w:rtl w:val="true"/>
          <w:lang w:bidi="fa-IR"/>
        </w:rPr>
        <w:t xml:space="preserve">فارسي و عربي، و هو أجوبة مسائله المعروفة في مجلّدين كبيرين، تشتمل على أربعين كتابًا من الكتب الفقهيّة، و رسائل متعدّدة في مسائل متبدّدة،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في الأوقاف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إقامة الحدود في زمن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ذلک من الرسائل الّتي نذكر كلاًّ منها بعنوان مستقلّ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والشهادات</w:t>
      </w:r>
    </w:p>
    <w:p>
      <w:pPr>
        <w:pStyle w:val="BookText"/>
        <w:rPr/>
      </w:pPr>
      <w:r>
        <w:rPr>
          <w:rFonts w:ascii="Amiri" w:hAnsi="Amiri" w:eastAsia="Amiri" w:cs="Amiri"/>
          <w:color w:val="111111"/>
          <w:sz w:val="28"/>
          <w:sz w:val="28"/>
          <w:szCs w:val="28"/>
          <w:rtl w:val="true"/>
          <w:lang w:bidi="ar-SA"/>
        </w:rPr>
        <w:t xml:space="preserve">قال في الروضات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تصنيفاته الفائقة أيضًا كتاب ألّفه في القضاء والشهادات بطريق الاستدلال التامّ زمن قراءته في تلک المباحث على شيخه السيّد محسن المرحوم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مناسک الحجّ</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فارسي، ذكر فيه واجبات الحجّ ومستحبّاته، ورتّبه على مقدّمة، وثلاثة مقاصد، وخاتمة ؛ صرّح في أواسطه بأنّه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توجّهه إلى بيت الله الحرام من طريق البحر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آداب صلاة الليل و فضلها</w:t>
      </w:r>
    </w:p>
    <w:p>
      <w:pPr>
        <w:pStyle w:val="BookText"/>
        <w:rPr/>
      </w:pPr>
      <w:r>
        <w:rPr>
          <w:rFonts w:ascii="Amiri" w:hAnsi="Amiri" w:eastAsia="Amiri" w:cs="Amiri"/>
          <w:color w:val="111111"/>
          <w:sz w:val="28"/>
          <w:sz w:val="28"/>
          <w:szCs w:val="28"/>
          <w:rtl w:val="true"/>
          <w:lang w:bidi="ar-SA"/>
        </w:rPr>
        <w:t xml:space="preserve">هي مدرّجة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إبراء الوليّ مدّة المتعة عن المولّى عليه</w:t>
      </w:r>
    </w:p>
    <w:p>
      <w:pPr>
        <w:pStyle w:val="BookText"/>
        <w:rPr/>
      </w:pPr>
      <w:r>
        <w:rPr>
          <w:rFonts w:ascii="Amiri" w:hAnsi="Amiri" w:eastAsia="Amiri" w:cs="Amiri"/>
          <w:color w:val="111111"/>
          <w:sz w:val="28"/>
          <w:sz w:val="28"/>
          <w:szCs w:val="28"/>
          <w:rtl w:val="true"/>
          <w:lang w:bidi="ar-SA"/>
        </w:rPr>
        <w:t xml:space="preserve">قال صاحب الذريعة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هبة الولي مدّة الزوجة المنقطعة للمولّى عليه،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للسيّد محمّد باقر بن محمّد نقي الشفتي الاصفهاني، اختار فيها الجواز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مدرّجة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حرمة محارم الموطوء على الواطي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رسالة متوسّطة مدرّجة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 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لمن أبدع السماوات والأرضين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رسالة تعيين السلام الأخير في النوافل</w:t>
      </w:r>
    </w:p>
    <w:p>
      <w:pPr>
        <w:pStyle w:val="BookText"/>
        <w:rPr/>
      </w:pPr>
      <w:r>
        <w:rPr>
          <w:rFonts w:ascii="Amiri" w:hAnsi="Amiri" w:eastAsia="Amiri" w:cs="Amiri"/>
          <w:color w:val="111111"/>
          <w:sz w:val="28"/>
          <w:sz w:val="28"/>
          <w:szCs w:val="28"/>
          <w:rtl w:val="true"/>
          <w:lang w:bidi="ar-SA"/>
        </w:rPr>
        <w:t xml:space="preserve">كتبه في الردّ على رسالة المولى علي أكبر الإيجهي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ردّ المولى الإيجهي ؛</w:t>
      </w:r>
    </w:p>
    <w:p>
      <w:pPr>
        <w:pStyle w:val="BookText"/>
        <w:rPr/>
      </w:pPr>
      <w:r>
        <w:rPr>
          <w:rFonts w:ascii="Amiri" w:hAnsi="Amiri" w:eastAsia="Amiri" w:cs="Amiri"/>
          <w:color w:val="111111"/>
          <w:sz w:val="28"/>
          <w:sz w:val="28"/>
          <w:szCs w:val="28"/>
          <w:rtl w:val="true"/>
          <w:lang w:bidi="ar-SA"/>
        </w:rPr>
        <w:t xml:space="preserve">أيضًا 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كتبه ثانيًا بعد ردّ المولى الإيجهي ؛ الردّ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مع الرسالة السابقة والرسالتين للمولى الإيجهي في مجلّد واحد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رسائل فقهيّة حول مسألة سلام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والدي المحقّق سماحة حجّة الإسلام والمسلمين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في زمن الغيبة</w:t>
      </w:r>
    </w:p>
    <w:p>
      <w:pPr>
        <w:pStyle w:val="BookText"/>
        <w:rPr/>
      </w:pPr>
      <w:r>
        <w:rPr>
          <w:rFonts w:ascii="Amiri" w:hAnsi="Amiri" w:eastAsia="Amiri" w:cs="Amiri"/>
          <w:color w:val="111111"/>
          <w:sz w:val="28"/>
          <w:sz w:val="28"/>
          <w:szCs w:val="28"/>
          <w:rtl w:val="true"/>
          <w:lang w:bidi="ar-SA"/>
        </w:rPr>
        <w:t xml:space="preserve">هي رسالة كبيرة استدلاليّة، مدرّجة في كتابه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باصفهان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 يد الواقف كافٍ في القبض لو كان هو المتولّي</w:t>
      </w:r>
    </w:p>
    <w:p>
      <w:pPr>
        <w:pStyle w:val="BookText"/>
        <w:rPr/>
      </w:pPr>
      <w:r>
        <w:rPr>
          <w:rFonts w:ascii="Amiri" w:hAnsi="Amiri" w:eastAsia="Amiri" w:cs="Amiri"/>
          <w:color w:val="111111"/>
          <w:sz w:val="28"/>
          <w:sz w:val="28"/>
          <w:szCs w:val="28"/>
          <w:rtl w:val="true"/>
          <w:lang w:bidi="ar-SA"/>
        </w:rPr>
        <w:t xml:space="preserve">هي رسالة استدلاليّة مفصّلة، مدرّجة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كتبها في الردّ على المولى أحمد النراقي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بتحقيق الحجّة الدكتور السيّد أحمد التويسركاني ؛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الغُسالة</w:t>
      </w:r>
    </w:p>
    <w:p>
      <w:pPr>
        <w:pStyle w:val="BookText"/>
        <w:rPr/>
      </w:pPr>
      <w:r>
        <w:rPr>
          <w:rFonts w:ascii="Amiri" w:hAnsi="Amiri" w:eastAsia="Amiri" w:cs="Amiri"/>
          <w:color w:val="111111"/>
          <w:sz w:val="28"/>
          <w:sz w:val="28"/>
          <w:szCs w:val="28"/>
          <w:rtl w:val="true"/>
          <w:lang w:bidi="ar-SA"/>
        </w:rPr>
        <w:t xml:space="preserve">ذكرها ولده العلّامة الحاج السيّد أسد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الكبير على شرائع الإسلام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مسألة الغسالة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تطهير البدن والثياب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منها موجودة في مكتبة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بأصفهان 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تطهير العجين بالماء النجس بتخبيزه و عدمه</w:t>
      </w:r>
    </w:p>
    <w:p>
      <w:pPr>
        <w:pStyle w:val="BookText"/>
        <w:rPr/>
      </w:pP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تطهير العجين بتخبيزه و عدمه، للسيّد حجّة الإسلام الشفتيّ الرشتيّ، ضمن مجموعة في موقوفة مدرسة البروجردي في النجف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w:t>
      </w:r>
    </w:p>
    <w:p>
      <w:pPr>
        <w:pStyle w:val="BookText"/>
        <w:rPr/>
      </w:pPr>
      <w:r>
        <w:rPr>
          <w:rFonts w:ascii="IRNazanin" w:hAnsi="IRNazanin" w:eastAsia="IRNazanin"/>
          <w:color w:val="111111"/>
          <w:sz w:val="28"/>
          <w:sz w:val="28"/>
          <w:szCs w:val="28"/>
          <w:rtl w:val="true"/>
          <w:lang w:bidi="fa-IR"/>
        </w:rPr>
        <w:t xml:space="preserve">ذكرها العلّامة السيّد محمّد هاشم الچهارسوقي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إجازته الّتي كتبها لميرزا عبدالوهّاب الهمداني ؛ </w:t>
      </w:r>
      <w:r>
        <w:rPr>
          <w:rStyle w:val="FootnoteAnchor"/>
          <w:rtl w:val="true"/>
        </w:rPr>
        <w:footnoteReference w:id="45"/>
      </w:r>
      <w:r>
        <w:rPr>
          <w:rFonts w:ascii="Amiri" w:hAnsi="Amiri" w:eastAsia="Amiri" w:cs="Amiri"/>
          <w:color w:val="111111"/>
          <w:sz w:val="28"/>
          <w:sz w:val="28"/>
          <w:szCs w:val="28"/>
          <w:rtl w:val="true"/>
          <w:lang w:bidi="ar-SA"/>
        </w:rPr>
        <w:t xml:space="preserve">، قال فيها ما هذا لفظه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رسالته القِدرية في طهارة الدم الّذي يلقى في القِدر فيغلى حتّى يستحيل، كما ورد في بعض الصحاح، و لعلّها لا تخلو عن قوّة، إلّا أنّ ظاهر أكثر الأصحاب الإعراض عنها، و إعراضهم من أقوىالموهنات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حكم أكل التربة الحسينيّة و تعيين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تحقيق أبرزناه فيما كتبناه في تحقيق الدم الّذي يقع في القدر ثمّ يغلي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اللبن المضروب بماء نجس هل يطهر بطبخه آجرًا أو خزفًا، أم لا ؟</w:t>
      </w:r>
    </w:p>
    <w:p>
      <w:p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الأراضي الخراجيّة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رسالة استدلاليّة كبيرة، كتبها في جواب مسألة سئل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توجد نسخة خطيّة منها ضمن مجموعة في المكتبة الخاصّة للدكتور السيّد أحمد التويسركاني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أحكام الشکّ والسهو في الصلاة</w:t>
      </w:r>
    </w:p>
    <w:p>
      <w:pPr>
        <w:pStyle w:val="BookText"/>
        <w:rPr/>
      </w:pPr>
      <w:r>
        <w:rPr>
          <w:rFonts w:ascii="Amiri" w:hAnsi="Amiri" w:eastAsia="Amiri" w:cs="Amiri"/>
          <w:color w:val="111111"/>
          <w:sz w:val="28"/>
          <w:sz w:val="28"/>
          <w:szCs w:val="28"/>
          <w:rtl w:val="true"/>
          <w:lang w:bidi="ar-SA"/>
        </w:rPr>
        <w:t xml:space="preserve">رسالة كبيرة جدًّا، حسنة الوضع والتفريع، جعلها تتمّة لكتابه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صاحب الذريعة و عبّر عنها بالشكيّات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بتحقيق حفيده الحجّة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طهارة عرق الجنب من الحرام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في جواب مسألة سئل عنها ؛ توجد نسخة منها ناقصة الآخر ضمن مجموعة لطيفة من رسائل المصنّف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مكتبة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بأصفهان 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w:t>
      </w:r>
    </w:p>
    <w:p>
      <w:pPr>
        <w:pStyle w:val="BookText"/>
        <w:rPr/>
      </w:pPr>
      <w:r>
        <w:rPr>
          <w:rFonts w:ascii="Amiri" w:hAnsi="Amiri" w:eastAsia="Amiri" w:cs="Amiri"/>
          <w:color w:val="111111"/>
          <w:sz w:val="28"/>
          <w:sz w:val="28"/>
          <w:szCs w:val="28"/>
          <w:rtl w:val="true"/>
          <w:lang w:bidi="ar-SA"/>
        </w:rPr>
        <w:t xml:space="preserve">صرّح بها نفسه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اختار فيها وجوبها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العقد على أخت الزوجة المطلّقة</w:t>
      </w:r>
    </w:p>
    <w:p>
      <w:pPr>
        <w:pStyle w:val="BookText"/>
        <w:rPr/>
      </w:pPr>
      <w:r>
        <w:rPr>
          <w:rFonts w:ascii="IRNazanin" w:hAnsi="IRNazanin" w:eastAsia="IRNazanin"/>
          <w:color w:val="111111"/>
          <w:sz w:val="28"/>
          <w:sz w:val="28"/>
          <w:szCs w:val="28"/>
          <w:rtl w:val="true"/>
          <w:lang w:bidi="fa-IR"/>
        </w:rPr>
        <w:t xml:space="preserve">كتبها في جواب سائل سأله عن ذلک، مدرّجة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صلح حقّ الرجوع في الطلاق الرجعيّ</w:t>
      </w:r>
    </w:p>
    <w:p>
      <w:pPr>
        <w:pStyle w:val="BookText"/>
        <w:rPr/>
      </w:pPr>
      <w:r>
        <w:rPr>
          <w:rFonts w:ascii="Amiri" w:hAnsi="Amiri" w:eastAsia="Amiri" w:cs="Amiri"/>
          <w:color w:val="111111"/>
          <w:sz w:val="28"/>
          <w:sz w:val="28"/>
          <w:szCs w:val="28"/>
          <w:rtl w:val="true"/>
          <w:lang w:bidi="ar-SA"/>
        </w:rPr>
        <w:t xml:space="preserve">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في جواب مسألة سئل عنها، فرغ منها في مزرعة تندران من مزارع كرون من محالّ أصفهان في يوم الاثنين السابع من جمادي الآخرة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جواز الاتّكال بقول النساء في انتفاء موانع النكاح فيها</w:t>
      </w:r>
    </w:p>
    <w:p>
      <w:pPr>
        <w:pStyle w:val="BookText"/>
        <w:rPr/>
      </w:pPr>
      <w:r>
        <w:rPr>
          <w:rFonts w:ascii="IRNazanin" w:hAnsi="IRNazanin" w:eastAsia="IRNazanin"/>
          <w:color w:val="111111"/>
          <w:sz w:val="28"/>
          <w:sz w:val="28"/>
          <w:szCs w:val="28"/>
          <w:rtl w:val="true"/>
          <w:lang w:bidi="fa-IR"/>
        </w:rPr>
        <w:t xml:space="preserve">و هي الّتي بين يديک، و سيأتي الكلام عنها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يدي الكتاب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الصلاة في جلد الميتة المدبوغ</w:t>
      </w:r>
    </w:p>
    <w:p>
      <w:pPr>
        <w:pStyle w:val="BookText"/>
        <w:rPr/>
      </w:pPr>
      <w:r>
        <w:rPr>
          <w:rFonts w:ascii="Amiri" w:hAnsi="Amiri" w:eastAsia="Amiri" w:cs="Amiri"/>
          <w:color w:val="111111"/>
          <w:sz w:val="28"/>
          <w:sz w:val="28"/>
          <w:szCs w:val="28"/>
          <w:rtl w:val="true"/>
          <w:lang w:bidi="ar-SA"/>
        </w:rPr>
        <w:t xml:space="preserve">هي رسالة كبيرة استدلاليّة، كتبها في جواب السؤال عن حكم الصلاة في جلد الميتة المدبوغ، مدرّجة في كتابه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ثبوت الزنا واللواط بالإقرار</w:t>
      </w:r>
    </w:p>
    <w:p>
      <w:pPr>
        <w:pStyle w:val="BookText"/>
        <w:rPr/>
      </w:pPr>
      <w:r>
        <w:rPr>
          <w:rFonts w:ascii="Amiri" w:hAnsi="Amiri" w:eastAsia="Amiri" w:cs="Amiri"/>
          <w:color w:val="111111"/>
          <w:sz w:val="28"/>
          <w:sz w:val="28"/>
          <w:szCs w:val="28"/>
          <w:rtl w:val="true"/>
          <w:lang w:bidi="ar-SA"/>
        </w:rPr>
        <w:t xml:space="preserve">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في جواب مسألة سئل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جواب المحقّق القمّي ؛</w:t>
      </w:r>
    </w:p>
    <w:p>
      <w:pPr>
        <w:pStyle w:val="BookText"/>
        <w:rPr/>
      </w:pPr>
      <w:r>
        <w:rPr>
          <w:rFonts w:ascii="Amiri" w:hAnsi="Amiri" w:eastAsia="Amiri" w:cs="Amiri"/>
          <w:color w:val="111111"/>
          <w:sz w:val="28"/>
          <w:sz w:val="28"/>
          <w:szCs w:val="28"/>
          <w:rtl w:val="true"/>
          <w:lang w:bidi="ar-SA"/>
        </w:rPr>
        <w:t xml:space="preserve">شَرَح فيها جوابه عن مسألة في الطلاق في حياته و حسب أمره ؛ يذكر فيها جوابه، ثمّ إيضاح الجواب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يعبّر عنه أيضًا برسالة في طلاق مدّعى الوكالة عن الزوج مع إنكار الزوج، ورسالة في تقديم اليد على الاستصحاب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أحكام القناة</w:t>
      </w:r>
    </w:p>
    <w:p>
      <w:pPr>
        <w:pStyle w:val="BookText"/>
        <w:rPr/>
      </w:pPr>
      <w:r>
        <w:rPr>
          <w:rFonts w:ascii="Amiri" w:hAnsi="Amiri" w:eastAsia="Amiri" w:cs="Amiri"/>
          <w:color w:val="111111"/>
          <w:sz w:val="28"/>
          <w:sz w:val="28"/>
          <w:szCs w:val="28"/>
          <w:rtl w:val="true"/>
          <w:lang w:bidi="ar-SA"/>
        </w:rPr>
        <w:t xml:space="preserve">هي رسالة فارسيّة، كتبها في جواب مسائل بعض أهالي يزد، مدرّجة في كتابه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ولاية الحاكم على البالغة غير الرشيدة</w:t>
      </w:r>
    </w:p>
    <w:p>
      <w:pPr>
        <w:pStyle w:val="BookText"/>
        <w:rPr/>
      </w:pPr>
      <w:r>
        <w:rPr>
          <w:rFonts w:ascii="Amiri" w:hAnsi="Amiri" w:eastAsia="Amiri" w:cs="Amiri"/>
          <w:color w:val="111111"/>
          <w:sz w:val="28"/>
          <w:sz w:val="28"/>
          <w:szCs w:val="28"/>
          <w:rtl w:val="true"/>
          <w:lang w:bidi="ar-SA"/>
        </w:rPr>
        <w:t xml:space="preserve">كتبها في جواب مَن سأله عن المسألة، 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الصلاة عن الميّت</w:t>
      </w:r>
    </w:p>
    <w:p>
      <w:pPr>
        <w:pStyle w:val="BookText"/>
        <w:rPr/>
      </w:pPr>
      <w:r>
        <w:rPr>
          <w:rFonts w:ascii="Amiri" w:hAnsi="Amiri" w:eastAsia="Amiri" w:cs="Amiri"/>
          <w:color w:val="111111"/>
          <w:sz w:val="28"/>
          <w:sz w:val="28"/>
          <w:szCs w:val="28"/>
          <w:rtl w:val="true"/>
          <w:lang w:bidi="ar-SA"/>
        </w:rPr>
        <w:t xml:space="preserve">كتبها في جواب مسألة سئل عنها، 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تحديد آية الكرسي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جواب مَن سأل عن تحديد هذه الآية، مدرّجة في السؤال والجواب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كيفيّة زيارة عاشوراء</w:t>
      </w:r>
    </w:p>
    <w:p>
      <w:pPr>
        <w:pStyle w:val="BookText"/>
        <w:rPr/>
      </w:pPr>
      <w:r>
        <w:rPr>
          <w:rFonts w:ascii="Amiri" w:hAnsi="Amiri" w:eastAsia="Amiri" w:cs="Amiri"/>
          <w:color w:val="111111"/>
          <w:sz w:val="28"/>
          <w:sz w:val="28"/>
          <w:szCs w:val="28"/>
          <w:rtl w:val="true"/>
          <w:lang w:bidi="ar-SA"/>
        </w:rPr>
        <w:t xml:space="preserve">مدرّجة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كتبها في جواب مَن سأله عن كيفيّة الزيارة و صلاتها، فأدرج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صلاتها ركعتان، لا أكثر، تفعلهما بعد الفراغ من اللعن والسلام والدعاء والسجدة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الرسالة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مع رسالة أخرى في هذا الموضوع لولده العلّامة السيّد أسد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واحد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نينوا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قامت بطبعها مكتبة مسجد السيّد حجّة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أكل التربة الحسينيّة و تعيين الحائر</w:t>
      </w:r>
    </w:p>
    <w:p>
      <w:pPr>
        <w:pStyle w:val="BookText"/>
        <w:rPr/>
      </w:pPr>
      <w:r>
        <w:rPr>
          <w:rFonts w:ascii="Amiri" w:hAnsi="Amiri" w:eastAsia="Amiri" w:cs="Amiri"/>
          <w:color w:val="111111"/>
          <w:sz w:val="28"/>
          <w:sz w:val="28"/>
          <w:szCs w:val="28"/>
          <w:rtl w:val="true"/>
          <w:lang w:bidi="ar-SA"/>
        </w:rPr>
        <w:t xml:space="preserve">مدرّجة في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كتبها في جواب مسألتين سئل عنهما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هذه الرسالة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مع رسالة أخرى في هذا الموضوع لولده العلّامة السيّد أسد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واحد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نينوا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قامت بطبعها مكتبة مسجد السيّد حجّة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باصفهان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صيغ النكاح</w:t>
      </w:r>
    </w:p>
    <w:p>
      <w:pPr>
        <w:pStyle w:val="BookText"/>
        <w:rPr/>
      </w:pPr>
      <w:r>
        <w:rPr>
          <w:rFonts w:ascii="Amiri" w:hAnsi="Amiri" w:eastAsia="Amiri" w:cs="Amiri"/>
          <w:color w:val="111111"/>
          <w:sz w:val="28"/>
          <w:sz w:val="28"/>
          <w:szCs w:val="28"/>
          <w:rtl w:val="true"/>
          <w:lang w:bidi="ar-SA"/>
        </w:rPr>
        <w:t xml:space="preserve">هي رسالة فارسية في بيان أنحاء إجراء الصيغة و أنواع تغييراته ؛ ذكر فيها أربع عشرة صورة لصيغة النكاح ؛ و هي أيضًا 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العصير العنبيّ والزبيبيّ والتمريّ</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مجموعة لطيفة من رسائل المصنّف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منها موجودة في مكتبة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بأصفهان 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نجاسة المخالفين و عدمها</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أنّه هل يجوز نيّة الوجوب في الوضوء قبل دخول الوقت مع اشتغال الذمّة بالقضاء و عدم ارادة الإتيان بها بذلک الوضوء، أم لا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تعريف البيع و أقسامه و شروطه</w:t>
      </w:r>
    </w:p>
    <w:p>
      <w:pPr>
        <w:pStyle w:val="BookText"/>
        <w:rPr/>
      </w:pPr>
      <w:r>
        <w:rPr>
          <w:rFonts w:ascii="Amiri" w:hAnsi="Amiri" w:eastAsia="Amiri" w:cs="Amiri"/>
          <w:color w:val="111111"/>
          <w:sz w:val="28"/>
          <w:sz w:val="28"/>
          <w:szCs w:val="28"/>
          <w:rtl w:val="true"/>
          <w:lang w:bidi="ar-SA"/>
        </w:rPr>
        <w:t xml:space="preserve">و هي ناقصة، توجد نسخة منها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حقيقة البيع و بيان أقسامه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توكيل الصبيّ المميّز</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أنّه هل ينفسخ المبايعة الخياريّة بمجرّد ردّ مثل الثمن وإرادة الفسخ من غير أن يتلفّظ بصيغة الفسخ، أم لا ؟</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أنّه إذا وقع عقد النكاح من الأب وكالة للإبن المريض فمات قبل الدخول ما حكمه من العدّة والصداق والميراث و تزويج المرأة في العدّة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الرسائل ونخبة المسائل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أنّه إذا انهدم بنيان لمالكين، هل يجوز لمالک بناء التحت بعد الإحياء منع مالک الفوق من الإحياء، أم لا ؟</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أنّه إذا قتل عبد حرًّا ما حكمه</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الرسائل و نخبة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ميراث الغائب و بيان زمان التربّص</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جواز الوصل بين اسطوانين أو أسطوانات المسجد لجدار ضعيف البنيان لمصلحة إقامة الجماعة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bookmarkStart w:id="43" w:name="pg7943_78336"/>
    </w:p>
    <w:p>
      <w:pPr>
        <w:pStyle w:val="BookText"/>
        <w:rPr/>
      </w:pPr>
      <w:bookmarkEnd w:id="43"/>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سلام التحيّة في الصلاة</w:t>
      </w:r>
    </w:p>
    <w:p>
      <w:pPr>
        <w:pStyle w:val="BookText"/>
        <w:rPr/>
      </w:pPr>
      <w:r>
        <w:rPr>
          <w:rFonts w:ascii="Amiri" w:hAnsi="Amiri" w:eastAsia="Amiri" w:cs="Amiri"/>
          <w:color w:val="111111"/>
          <w:sz w:val="28"/>
          <w:sz w:val="28"/>
          <w:szCs w:val="28"/>
          <w:rtl w:val="true"/>
          <w:lang w:bidi="ar-SA"/>
        </w:rPr>
        <w:t xml:space="preserve">و هي ناقصة، توجد ضمن مجموعة لطيفة من رسائل المصنّف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توجد نسخة منها ناقصة الآخر في مكتبة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بأصفهان 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أعدّ لعباده دار السلام و جعل تحيّتهم فيها سلام، والصلاة والسلام على من أرشد إلى طريق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العمليّة</w:t>
      </w:r>
    </w:p>
    <w:p>
      <w:pPr>
        <w:pStyle w:val="BookText"/>
        <w:rPr/>
      </w:pPr>
      <w:r>
        <w:rPr>
          <w:rFonts w:ascii="Amiri" w:hAnsi="Amiri" w:eastAsia="Amiri" w:cs="Amiri"/>
          <w:color w:val="111111"/>
          <w:sz w:val="28"/>
          <w:sz w:val="28"/>
          <w:szCs w:val="28"/>
          <w:rtl w:val="true"/>
          <w:lang w:bidi="ar-SA"/>
        </w:rPr>
        <w:t xml:space="preserve">بالفارسيّة، في أوّلها أصول الدين إجمالاً ؛ توجد نسخة منه في مكتبة مجلس الشورى بطهران برقم </w:t>
      </w:r>
      <w:r>
        <w:rPr>
          <w:rFonts w:eastAsia="Amiri" w:cs="Amiri" w:ascii="Amiri" w:hAnsi="Amiri"/>
          <w:color w:val="111111"/>
          <w:sz w:val="28"/>
          <w:szCs w:val="28"/>
          <w:lang w:bidi="ar-SA"/>
        </w:rPr>
        <w:t>15224</w:t>
      </w:r>
      <w:r>
        <w:rPr>
          <w:rFonts w:eastAsia="Amiri" w:cs="Amiri" w:ascii="Amiri" w:hAnsi="Amiri"/>
          <w:color w:val="111111"/>
          <w:sz w:val="28"/>
          <w:szCs w:val="28"/>
          <w:rtl w:val="true"/>
          <w:lang w:bidi="ar-SA"/>
        </w:rPr>
        <w:t xml:space="preserve"> .</w:t>
      </w:r>
    </w:p>
    <w:p>
      <w:pPr>
        <w:pStyle w:val="Heading3"/>
        <w:numPr>
          <w:ilvl w:val="2"/>
          <w:numId w:val="1"/>
        </w:numPr>
        <w:rPr/>
      </w:pPr>
      <w:bookmarkStart w:id="44" w:name="__RefHeading___Toc6740659_1051229030"/>
      <w:bookmarkStart w:id="45" w:name="_Toc16"/>
      <w:bookmarkEnd w:id="44"/>
      <w:r>
        <w:rPr>
          <w:rtl w:val="true"/>
        </w:rPr>
        <w:t xml:space="preserve">« </w:t>
      </w:r>
      <w:r>
        <w:rPr>
          <w:rtl w:val="true"/>
        </w:rPr>
        <w:t xml:space="preserve">الكتب والرسائل الحديثيّة </w:t>
      </w:r>
      <w:r>
        <w:rPr>
          <w:rtl w:val="true"/>
        </w:rPr>
        <w:t>»</w:t>
      </w:r>
      <w:bookmarkEnd w:id="45"/>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الكافي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حواشي قليلة على كتاب الفروع من الكافي، من الطهارة إلى الحجّ</w:t>
      </w:r>
      <w:r>
        <w:rPr>
          <w:rFonts w:eastAsia="Amiri" w:cs="Amiri" w:ascii="Amiri" w:hAnsi="Amiri"/>
          <w:color w:val="111111"/>
          <w:sz w:val="28"/>
          <w:szCs w:val="28"/>
          <w:rtl w:val="true"/>
          <w:lang w:bidi="ar-SA"/>
        </w:rPr>
        <w:t xml:space="preserve">. </w:t>
      </w:r>
      <w:bookmarkStart w:id="46" w:name="pg7943_78337"/>
    </w:p>
    <w:p>
      <w:pPr>
        <w:pStyle w:val="BookText"/>
        <w:rPr/>
      </w:pPr>
      <w:bookmarkEnd w:id="46"/>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الوافي</w:t>
      </w:r>
    </w:p>
    <w:p>
      <w:pPr>
        <w:pStyle w:val="BookText"/>
        <w:rPr/>
      </w:pPr>
      <w:r>
        <w:rPr>
          <w:rFonts w:ascii="Amiri" w:hAnsi="Amiri" w:eastAsia="Amiri" w:cs="Amiri"/>
          <w:color w:val="111111"/>
          <w:sz w:val="28"/>
          <w:sz w:val="28"/>
          <w:szCs w:val="28"/>
          <w:rtl w:val="true"/>
          <w:lang w:bidi="ar-SA"/>
        </w:rPr>
        <w:t xml:space="preserve">نصّ عليها المؤلّف نفسه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الحديثين المرويّين عن العترة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قوله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سوّد اسمه في ديوان ولد سابع حشره الله يوم القيامة خنزيرًا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والحديث الثاني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اثنا عشر هكذا حول عرش ربّنا</w:t>
      </w:r>
    </w:p>
    <w:p>
      <w:pPr>
        <w:pStyle w:val="BookText"/>
        <w:rPr/>
      </w:pPr>
      <w:r>
        <w:rPr>
          <w:rFonts w:ascii="Amiri" w:hAnsi="Amiri" w:eastAsia="Amiri" w:cs="Amiri"/>
          <w:color w:val="111111"/>
          <w:sz w:val="28"/>
          <w:sz w:val="28"/>
          <w:szCs w:val="28"/>
          <w:rtl w:val="true"/>
          <w:lang w:bidi="ar-SA"/>
        </w:rPr>
        <w:t xml:space="preserve">عزّوجلّ وفي مبتدأ خلقنا، أوّلنا محمّد وأوسطنا محمّد وآخرنا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توجد نسخة منها ضمن مجموعة في المكتبة الملّيّة بطهران برقم </w:t>
      </w:r>
      <w:r>
        <w:rPr>
          <w:rFonts w:eastAsia="Amiri" w:cs="Amiri" w:ascii="Amiri" w:hAnsi="Amiri"/>
          <w:color w:val="111111"/>
          <w:sz w:val="28"/>
          <w:szCs w:val="28"/>
          <w:lang w:bidi="ar-SA"/>
        </w:rPr>
        <w:t>4133088</w:t>
      </w:r>
      <w:r>
        <w:rPr>
          <w:rFonts w:eastAsia="Amiri" w:cs="Amiri" w:ascii="Amiri" w:hAnsi="Amiri"/>
          <w:color w:val="111111"/>
          <w:sz w:val="28"/>
          <w:szCs w:val="28"/>
          <w:rtl w:val="true"/>
          <w:lang w:bidi="ar-SA"/>
        </w:rPr>
        <w:t xml:space="preserve"> .</w:t>
      </w:r>
    </w:p>
    <w:p>
      <w:pPr>
        <w:pStyle w:val="Heading3"/>
        <w:numPr>
          <w:ilvl w:val="2"/>
          <w:numId w:val="1"/>
        </w:numPr>
        <w:rPr/>
      </w:pPr>
      <w:bookmarkStart w:id="47" w:name="__RefHeading___Toc6740661_1051229030"/>
      <w:bookmarkStart w:id="48" w:name="_Toc17"/>
      <w:bookmarkEnd w:id="47"/>
      <w:r>
        <w:rPr>
          <w:rtl w:val="true"/>
        </w:rPr>
        <w:t xml:space="preserve">« </w:t>
      </w:r>
      <w:r>
        <w:rPr>
          <w:rtl w:val="true"/>
        </w:rPr>
        <w:t xml:space="preserve">الكتب والرسائل الأصوليّة </w:t>
      </w:r>
      <w:r>
        <w:rPr>
          <w:rtl w:val="true"/>
        </w:rPr>
        <w:t>»</w:t>
      </w:r>
      <w:bookmarkEnd w:id="48"/>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البارقة لمعرفة أحوال المجاز والحقيقة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مشتمل على جمّ غفير من المسائل الأصوليّة والعربيّة و مباحث الألفاظ </w:t>
      </w:r>
    </w:p>
    <w:p>
      <w:pPr>
        <w:pStyle w:val="BookText"/>
        <w:rPr/>
      </w:pPr>
      <w:r>
        <w:rPr>
          <w:rFonts w:ascii="Amiri" w:hAnsi="Amiri" w:eastAsia="Amiri" w:cs="Amiri"/>
          <w:color w:val="111111"/>
          <w:sz w:val="28"/>
          <w:sz w:val="28"/>
          <w:szCs w:val="28"/>
          <w:rtl w:val="true"/>
          <w:lang w:bidi="ar-SA"/>
        </w:rPr>
        <w:t xml:space="preserve">والمبادئ اللغويّة، في نحوٍ من ثمانية آلاف 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أوّلاً بعد وفاته بأمر تلميذه و صهره الآقا محمّد مهدي بن محمّد إبراهيم الكرباسي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 أخيرًا بتحقيقي في كربلاء سنة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مجلّدين، و قد قام بمراجعته و طبعه العتبة العبّاسيّة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الاستصحاب</w:t>
      </w:r>
    </w:p>
    <w:p>
      <w:pPr>
        <w:pStyle w:val="BookText"/>
        <w:rPr/>
      </w:pPr>
      <w:r>
        <w:rPr>
          <w:rFonts w:ascii="Amiri" w:hAnsi="Amiri" w:eastAsia="Amiri" w:cs="Amiri"/>
          <w:color w:val="111111"/>
          <w:sz w:val="28"/>
          <w:sz w:val="28"/>
          <w:szCs w:val="28"/>
          <w:rtl w:val="true"/>
          <w:lang w:bidi="ar-SA"/>
        </w:rPr>
        <w:t xml:space="preserve">نصّ عليها المؤلّف نفسه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مطالع الأنوار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عامّ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تهذيب الوصول</w:t>
      </w:r>
    </w:p>
    <w:p>
      <w:pPr>
        <w:pStyle w:val="BookText"/>
        <w:rPr/>
      </w:pPr>
      <w:r>
        <w:rPr>
          <w:rFonts w:ascii="Amiri" w:hAnsi="Amiri" w:eastAsia="Amiri" w:cs="Amiri"/>
          <w:color w:val="111111"/>
          <w:sz w:val="28"/>
          <w:sz w:val="28"/>
          <w:szCs w:val="28"/>
          <w:rtl w:val="true"/>
          <w:lang w:bidi="ar-SA"/>
        </w:rPr>
        <w:t xml:space="preserve">هي حاشية علميّة مفصّلة على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تآليف آية الله العلّامة الحلّي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ذكرها المؤلّف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البارقة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نسخة منها في مكتبة مجلس الشورى بطهران برقم </w:t>
      </w:r>
      <w:r>
        <w:rPr>
          <w:rFonts w:eastAsia="Amiri" w:cs="Amiri" w:ascii="Amiri" w:hAnsi="Amiri"/>
          <w:color w:val="111111"/>
          <w:sz w:val="28"/>
          <w:szCs w:val="28"/>
          <w:lang w:bidi="ar-SA"/>
        </w:rPr>
        <w:t>18449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أصول معالم الدين</w:t>
      </w:r>
    </w:p>
    <w:p>
      <w:pPr>
        <w:pStyle w:val="BookText"/>
        <w:rPr/>
      </w:pPr>
      <w:r>
        <w:rPr>
          <w:rFonts w:ascii="Amiri" w:hAnsi="Amiri" w:eastAsia="Amiri" w:cs="Amiri"/>
          <w:color w:val="111111"/>
          <w:sz w:val="28"/>
          <w:sz w:val="28"/>
          <w:szCs w:val="28"/>
          <w:rtl w:val="true"/>
          <w:lang w:bidi="ar-SA"/>
        </w:rPr>
        <w:t xml:space="preserve">هي تعليقات مدوّنة بمنزلة شرح مبسوط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ابن الشهيد الثاني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ذكرها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توجد نسخة منها في مكتبة آية الله الحكيم العامّة في النجف الأشرف برقم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الاجتهاد والتقليد</w:t>
      </w:r>
    </w:p>
    <w:p>
      <w:pPr>
        <w:pStyle w:val="BookText"/>
        <w:rPr/>
      </w:pPr>
      <w:r>
        <w:rPr>
          <w:rFonts w:ascii="Amiri" w:hAnsi="Amiri" w:eastAsia="Amiri" w:cs="Amiri"/>
          <w:color w:val="111111"/>
          <w:sz w:val="28"/>
          <w:sz w:val="28"/>
          <w:szCs w:val="28"/>
          <w:rtl w:val="true"/>
          <w:lang w:bidi="ar-SA"/>
        </w:rPr>
        <w:t xml:space="preserve">قال المحقّق الطهراني ؛ في الذريعة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التقليد في مسائل التقليد، لحجّة الإسلام الحاج السيّد محمّد باقر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بها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ينقل عباراتها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رآها الميرزا عبدالوهّاب القزوينيّ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كتب في ردّها 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المسترشدين في حكم التقليد للعوام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49" w:name="pg7943_78340"/>
    </w:p>
    <w:p>
      <w:pPr>
        <w:pStyle w:val="Heading3"/>
        <w:numPr>
          <w:ilvl w:val="2"/>
          <w:numId w:val="1"/>
        </w:numPr>
        <w:rPr/>
      </w:pPr>
      <w:bookmarkStart w:id="50" w:name="__RefHeading___Toc6740663_1051229030"/>
      <w:bookmarkStart w:id="51" w:name="_Toc18"/>
      <w:bookmarkEnd w:id="49"/>
      <w:bookmarkEnd w:id="50"/>
      <w:r>
        <w:rPr>
          <w:rtl w:val="true"/>
        </w:rPr>
        <w:t xml:space="preserve">« </w:t>
      </w:r>
      <w:r>
        <w:rPr>
          <w:rtl w:val="true"/>
        </w:rPr>
        <w:t xml:space="preserve">الكتب والرسائل الرجاليّة </w:t>
      </w:r>
      <w:r>
        <w:rPr>
          <w:rtl w:val="true"/>
        </w:rPr>
        <w:t>»</w:t>
      </w:r>
      <w:bookmarkEnd w:id="51"/>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الرجال</w:t>
      </w:r>
    </w:p>
    <w:p>
      <w:pPr>
        <w:pStyle w:val="BookText"/>
        <w:rPr/>
      </w:pPr>
      <w:r>
        <w:rPr>
          <w:rFonts w:ascii="Amiri" w:hAnsi="Amiri" w:eastAsia="Amiri" w:cs="Amiri"/>
          <w:color w:val="111111"/>
          <w:sz w:val="28"/>
          <w:sz w:val="28"/>
          <w:szCs w:val="28"/>
          <w:rtl w:val="true"/>
          <w:lang w:bidi="ar-SA"/>
        </w:rPr>
        <w:t xml:space="preserve">هي تعليقات مختصرة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نسخة منها في مكتبة آية الله المرعشي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المقدّسة برقم </w:t>
      </w: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الفهرست</w:t>
      </w:r>
    </w:p>
    <w:p>
      <w:pPr>
        <w:pStyle w:val="BookText"/>
        <w:rPr/>
      </w:pPr>
      <w:r>
        <w:rPr>
          <w:rFonts w:ascii="Amiri" w:hAnsi="Amiri" w:eastAsia="Amiri" w:cs="Amiri"/>
          <w:color w:val="111111"/>
          <w:sz w:val="28"/>
          <w:sz w:val="28"/>
          <w:szCs w:val="28"/>
          <w:rtl w:val="true"/>
          <w:lang w:bidi="ar-SA"/>
        </w:rPr>
        <w:t xml:space="preserve">انّها تعليقات مختصرة غير مدوّنة على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نسخة منها في مكتبة آية الله المرعشي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المقدّسة برقم </w:t>
      </w: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خلاصة الأقوال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بها في حاشية المجلّد الثاني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أبان بن عثمان و أصحاب الإجماع</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رسالتان في تحقيق حال إبراهيم بن هاشم القمّي </w:t>
      </w:r>
      <w:r>
        <w:rPr>
          <w:rStyle w:val="FootnoteAnchor"/>
          <w:rtl w:val="true"/>
        </w:rPr>
        <w:footnoteReference w:id="63"/>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الخبير البصير إلى تحقيق الحال في أبي بصير</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أحمد بن محمّد بن خالد البرقي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أحمد بن محمّد بن عيسى الأشعري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تحقيق حال إسحاق بن عمّار الساباطي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حسين بن خالد</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حماد بن عيسى الجهني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سهل بن زياد الآدمي الرازي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شهاب بن عبد ربّه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عبدالحميد بن سالم العطّار وولده محمّد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تحقيق حال عمر بن يزيد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تعيين محمّد بن اسماعيل الواقع في صدر بعض أسانيد</w:t>
      </w:r>
    </w:p>
    <w:p>
      <w:p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64"/>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محمّد بن أحمد الراوي عن العمركي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محمّد بن خالد البرقي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تحقيق حال محمّد بن سنان</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محمّد بن الفضيل</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محمّد بن عيسى اليقطيني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بيان أشخاص الّذين لقّبوا بما جيلويه</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الحال في معاوية بن شريح و معاوية بن ميسر وأنّهما واحد</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بيان العدّة المتكرّرة في أسانيد الكافي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أكثر هذه الرسائل في مجلّد واحد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الحجّة الحاج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الشفتي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بأصفهان </w:t>
      </w:r>
      <w:r>
        <w:rPr>
          <w:rFonts w:eastAsia="Amiri" w:cs="Amiri" w:ascii="Amiri" w:hAnsi="Amiri"/>
          <w:color w:val="111111"/>
          <w:sz w:val="28"/>
          <w:szCs w:val="28"/>
          <w:rtl w:val="true"/>
          <w:lang w:bidi="ar-SA"/>
        </w:rPr>
        <w:t xml:space="preserve">. </w:t>
      </w:r>
      <w:bookmarkStart w:id="52" w:name="pg7943_78343"/>
    </w:p>
    <w:p>
      <w:pPr>
        <w:pStyle w:val="Heading3"/>
        <w:numPr>
          <w:ilvl w:val="2"/>
          <w:numId w:val="1"/>
        </w:numPr>
        <w:rPr/>
      </w:pPr>
      <w:bookmarkStart w:id="53" w:name="__RefHeading___Toc6740665_1051229030"/>
      <w:bookmarkStart w:id="54" w:name="_Toc19"/>
      <w:bookmarkEnd w:id="52"/>
      <w:bookmarkEnd w:id="53"/>
      <w:r>
        <w:rPr>
          <w:rtl w:val="true"/>
        </w:rPr>
        <w:t xml:space="preserve">« </w:t>
      </w:r>
      <w:r>
        <w:rPr>
          <w:rtl w:val="true"/>
        </w:rPr>
        <w:t xml:space="preserve">الكتب والرسائل المتفرّقة </w:t>
      </w:r>
      <w:r>
        <w:rPr>
          <w:rtl w:val="true"/>
        </w:rPr>
        <w:t>»</w:t>
      </w:r>
      <w:bookmarkEnd w:id="54"/>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أصول الدين</w:t>
      </w:r>
    </w:p>
    <w:p>
      <w:pPr>
        <w:pStyle w:val="BookText"/>
        <w:rPr/>
      </w:pPr>
      <w:r>
        <w:rPr>
          <w:rFonts w:ascii="Amiri" w:hAnsi="Amiri" w:eastAsia="Amiri" w:cs="Amiri"/>
          <w:color w:val="111111"/>
          <w:sz w:val="28"/>
          <w:sz w:val="28"/>
          <w:szCs w:val="28"/>
          <w:rtl w:val="true"/>
          <w:lang w:bidi="ar-SA"/>
        </w:rPr>
        <w:t xml:space="preserve">فارسية، في عدّة أبواب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w:t>
      </w:r>
    </w:p>
    <w:p>
      <w:pPr>
        <w:pStyle w:val="BookText"/>
        <w:rPr/>
      </w:pPr>
      <w:r>
        <w:rPr>
          <w:rFonts w:ascii="Amiri" w:hAnsi="Amiri" w:eastAsia="Amiri" w:cs="Amiri"/>
          <w:color w:val="111111"/>
          <w:sz w:val="28"/>
          <w:sz w:val="28"/>
          <w:szCs w:val="28"/>
          <w:rtl w:val="true"/>
          <w:lang w:bidi="ar-SA"/>
        </w:rPr>
        <w:t xml:space="preserve">الفارسي، عن بعض عقائد الشيخيّة، طبع أوّلاً بعد وفاته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كما ذكره صاحب الذريعة </w:t>
      </w:r>
      <w:r>
        <w:rPr>
          <w:rStyle w:val="FootnoteAnchor"/>
          <w:rtl w:val="true"/>
        </w:rPr>
        <w:footnoteReference w:id="66"/>
      </w:r>
      <w:r>
        <w:rPr>
          <w:rFonts w:ascii="Amiri" w:hAnsi="Amiri" w:eastAsia="Amiri" w:cs="Amiri"/>
          <w:color w:val="111111"/>
          <w:sz w:val="28"/>
          <w:sz w:val="28"/>
          <w:szCs w:val="28"/>
          <w:rtl w:val="true"/>
          <w:lang w:bidi="ar-SA"/>
        </w:rPr>
        <w:t xml:space="preserve">؛ و قد طبع ثانيًا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طباعة حروفيّة محقّقة، قامت بتحقيقه و طبعه مكتبة مسجد السيّد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أنّ المراد من الطعام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طعام الّذين أوتوا الكتاب 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في جواب مسألة سئل عنها، توجد ضمن مجموعة لطيفة من رسائل </w:t>
      </w:r>
      <w:bookmarkStart w:id="55" w:name="pg7943_78344"/>
    </w:p>
    <w:p>
      <w:pPr>
        <w:pStyle w:val="BookText"/>
        <w:rPr/>
      </w:pPr>
      <w:bookmarkEnd w:id="55"/>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جمع بعض تلامذته ؛ نسخة منها موجودة في مكتبة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بأصفهان 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اللامعة للبهجة المرضيّة</w:t>
      </w:r>
    </w:p>
    <w:p>
      <w:pPr>
        <w:pStyle w:val="BookText"/>
        <w:rPr/>
      </w:pPr>
      <w:r>
        <w:rPr>
          <w:rFonts w:ascii="Amiri" w:hAnsi="Amiri" w:eastAsia="Amiri" w:cs="Amiri"/>
          <w:color w:val="111111"/>
          <w:sz w:val="28"/>
          <w:sz w:val="28"/>
          <w:szCs w:val="28"/>
          <w:rtl w:val="true"/>
          <w:lang w:bidi="ar-SA"/>
        </w:rPr>
        <w:t xml:space="preserve">هي تعليقات مدوّنة بمنزلة شرح مبسوط على شرح الفاضل السيوطي على ألفيّة النحو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ألّفها في جزءين، قامت بطبع الجزء الأوّل منها مكتبة مسجد السيّد باصفهان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740667_1051229030"/>
      <w:bookmarkStart w:id="57" w:name="_Toc20"/>
      <w:bookmarkEnd w:id="56"/>
      <w:r>
        <w:rPr>
          <w:rtl w:val="true"/>
        </w:rPr>
        <w:t>وفاته و مرقده</w:t>
      </w:r>
      <w:bookmarkEnd w:id="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تقريبًا، ثمّ أجاب دعوة الإلهيّة في عصيرة يوم الأحد، الثاني من شهر ربيع الثاني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w:t>
      </w:r>
    </w:p>
    <w:p>
      <w:pPr>
        <w:pStyle w:val="BookText"/>
        <w:rPr/>
      </w:pPr>
      <w:r>
        <w:rPr>
          <w:rFonts w:ascii="IRNazanin" w:hAnsi="IRNazanin" w:eastAsia="IRNazanin"/>
          <w:color w:val="111111"/>
          <w:sz w:val="28"/>
          <w:sz w:val="28"/>
          <w:szCs w:val="28"/>
          <w:rtl w:val="true"/>
          <w:lang w:bidi="fa-IR"/>
        </w:rPr>
        <w:t xml:space="preserve">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دفن بعد ثلاثة أيّام من وفاته في البقعة الّتي بناها لنفسه في جانب مسجده الكبير باصبهان، و هي الآن مشهد معروف و مزار متبرّک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الچهارسوقي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الروضات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مثل يوم وفاته، يوم عظيم، ملأت زقاق البلد من أفواج الأنام رجالاً ونساءًا، يبكون عليه بكاء الفاقد والده الرحيم و مشفقه الكريم، بحيث كان همهمة الخلايق تسمع من وراء البلد، و غسل في بيته الشريف، ثمّ أتى به إلى المسجد، فصلّى عليه ولده الأفضل وخلفه الأسعد الأرشد والفقيه الأوحد والحبرالمؤيّد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 سيّدنا السيّد أسد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العجائب اتّفاق فراغه من التحصيل و مراجعته من النجف الأشرف بإصرار والده الجليل في سنة وفاته، و مسارعة روحه المطهّر إلى جنّاته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أنشدت قصيدة طويلة في مرثيته بالعربيّة، و مطلعها كما يمرّ بالنظر الفاتر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العزاء و هذه الزفرات ما هي في الزمر تبكي السماء و في الأرض الفساد به ظهر</w:t>
      </w:r>
    </w:p>
    <w:p>
      <w:pPr>
        <w:pStyle w:val="BookText"/>
        <w:rPr/>
      </w:pPr>
      <w:r>
        <w:rPr>
          <w:rFonts w:ascii="Amiri" w:hAnsi="Amiri" w:eastAsia="Amiri" w:cs="Amiri"/>
          <w:color w:val="111111"/>
          <w:sz w:val="28"/>
          <w:sz w:val="28"/>
          <w:szCs w:val="28"/>
          <w:rtl w:val="true"/>
          <w:lang w:bidi="ar-SA"/>
        </w:rPr>
        <w:t>و جرت عيون الدمع من صمّ الجبال و حاولت لتزول وانشقّت جيوب الصبر واشتمل الضرر</w:t>
      </w:r>
    </w:p>
    <w:p>
      <w:pPr>
        <w:pStyle w:val="BookText"/>
        <w:rPr/>
      </w:pPr>
      <w:r>
        <w:rPr>
          <w:rFonts w:ascii="Amiri" w:hAnsi="Amiri" w:eastAsia="Amiri" w:cs="Amiri"/>
          <w:color w:val="111111"/>
          <w:sz w:val="28"/>
          <w:sz w:val="28"/>
          <w:szCs w:val="28"/>
          <w:rtl w:val="true"/>
          <w:lang w:bidi="ar-SA"/>
        </w:rPr>
        <w:t>واغبرّت الآفاق واختلّ السياق بأسره و تغيّرت شمس المشارق منه وانخسف القمر</w:t>
      </w:r>
    </w:p>
    <w:p>
      <w:pPr>
        <w:pStyle w:val="BookText"/>
        <w:rPr/>
      </w:pPr>
      <w:r>
        <w:rPr>
          <w:rFonts w:ascii="Amiri" w:hAnsi="Amiri" w:eastAsia="Amiri" w:cs="Amiri"/>
          <w:color w:val="111111"/>
          <w:sz w:val="28"/>
          <w:sz w:val="28"/>
          <w:szCs w:val="28"/>
          <w:rtl w:val="true"/>
          <w:lang w:bidi="ar-SA"/>
        </w:rPr>
        <w:t>ما أكثر الحزن الجديد و أكبر الهول الشديد و أعظم الرزء المفخّم في الخلائق للبشر</w:t>
      </w:r>
    </w:p>
    <w:p>
      <w:pPr>
        <w:pStyle w:val="BookText"/>
        <w:rPr/>
      </w:pPr>
      <w:r>
        <w:rPr>
          <w:rFonts w:ascii="Amiri" w:hAnsi="Amiri" w:eastAsia="Amiri" w:cs="Amiri"/>
          <w:color w:val="111111"/>
          <w:sz w:val="28"/>
          <w:sz w:val="28"/>
          <w:szCs w:val="28"/>
          <w:rtl w:val="true"/>
          <w:lang w:bidi="ar-SA"/>
        </w:rPr>
        <w:t>من فقد سيّدنا الإمام الباقر العلم الّذي جلّت عن العدّ المحامد منه و الكرامات الكبر</w:t>
      </w:r>
    </w:p>
    <w:p>
      <w:pPr>
        <w:pStyle w:val="BookText"/>
        <w:rPr/>
      </w:pPr>
      <w:r>
        <w:rPr>
          <w:rFonts w:ascii="Amiri" w:hAnsi="Amiri" w:eastAsia="Amiri" w:cs="Amiri"/>
          <w:color w:val="111111"/>
          <w:sz w:val="28"/>
          <w:sz w:val="28"/>
          <w:szCs w:val="28"/>
          <w:rtl w:val="true"/>
          <w:lang w:bidi="ar-SA"/>
        </w:rPr>
        <w:t>بكّاء جوف الليل من خوف الإله و مقتدى طول النهار على نيابته الإمام المنتظر</w:t>
      </w:r>
    </w:p>
    <w:p>
      <w:pPr>
        <w:pStyle w:val="BookText"/>
        <w:rPr/>
      </w:pPr>
      <w:r>
        <w:rPr>
          <w:rFonts w:ascii="Amiri" w:hAnsi="Amiri" w:eastAsia="Amiri" w:cs="Amiri"/>
          <w:color w:val="111111"/>
          <w:sz w:val="28"/>
          <w:sz w:val="28"/>
          <w:szCs w:val="28"/>
          <w:rtl w:val="true"/>
          <w:lang w:bidi="ar-SA"/>
        </w:rPr>
        <w:t xml:space="preserve">إلى تمام ثمانين بيتًا تقريبًا، و يقول في آخرها مؤرّخًا لوفاته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 طبعي القرم عن تأريخ رحلته فجرّ ذيلاً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أنزله كريم المستقرّ </w:t>
      </w:r>
      <w:r>
        <w:rPr>
          <w:rFonts w:eastAsia="Amiri" w:cs="Amiri" w:ascii="Amiri" w:hAnsi="Amiri"/>
          <w:color w:val="111111"/>
          <w:sz w:val="28"/>
          <w:szCs w:val="28"/>
          <w:rtl w:val="true"/>
          <w:lang w:bidi="ar-SA"/>
        </w:rPr>
        <w:t>»</w:t>
      </w:r>
      <w:r>
        <w:rPr>
          <w:rStyle w:val="FootnoteAnchor"/>
          <w:rtl w:val="true"/>
        </w:rPr>
        <w:footnoteReference w:id="69"/>
      </w:r>
      <w:bookmarkStart w:id="58" w:name="pg7943_78347"/>
    </w:p>
    <w:p>
      <w:pPr>
        <w:pStyle w:val="Heading2"/>
        <w:numPr>
          <w:ilvl w:val="1"/>
          <w:numId w:val="1"/>
        </w:numPr>
        <w:rPr/>
      </w:pPr>
      <w:bookmarkStart w:id="59" w:name="__RefHeading___Toc6740669_1051229030"/>
      <w:bookmarkStart w:id="60" w:name="_Toc21"/>
      <w:bookmarkEnd w:id="58"/>
      <w:bookmarkEnd w:id="59"/>
      <w:r>
        <w:rPr/>
        <w:t>2</w:t>
      </w:r>
      <w:r>
        <w:rPr>
          <w:rtl w:val="true"/>
        </w:rPr>
        <w:t xml:space="preserve">- </w:t>
      </w:r>
      <w:r>
        <w:rPr>
          <w:rtl w:val="true"/>
        </w:rPr>
        <w:t>بين يدي الكتاب</w:t>
      </w:r>
      <w:bookmarkEnd w:id="60"/>
    </w:p>
    <w:p>
      <w:pPr>
        <w:pStyle w:val="BookText"/>
        <w:rPr/>
      </w:pPr>
      <w:r>
        <w:rPr>
          <w:rFonts w:ascii="Amiri" w:hAnsi="Amiri" w:eastAsia="Amiri" w:cs="Amiri"/>
          <w:color w:val="111111"/>
          <w:sz w:val="28"/>
          <w:sz w:val="28"/>
          <w:szCs w:val="28"/>
          <w:rtl w:val="true"/>
          <w:lang w:bidi="ar-SA"/>
        </w:rPr>
        <w:t xml:space="preserve">كتابنا الحاضر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جواز الاتّكال بقول النساء في انتفاء موانع النكاح فيها، كما سمّاه به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صريحًا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شکّ في أنّ مصنّف هذه الرسالة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الفقيه الحاجّ السيّد محمّد باقر بن محمّد نقي الشفتيّ، المعروف بحجّة الإسلام ؛، فقد صرّح بها المؤلّف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في مطالع أنواره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وثاقته، كما حقّقناه في رسالتنا الموضوعة في جواز الاتّكال بقول المرأة في خلوّها عن موانع النكاح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لم تختلف المصادر و لا المفهرسون في نسبة هذه الرسالة إليه ؛، فقد ذكرها المحقّق الطهراني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ذريعته بقوله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الاتّكال على قول النساء في انتفاء موانع النكاح، للسيّد محمّد باقر حجّة الإسلام الرشتيّ الاصفهانيّ المتوفّى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رسالة مندرّجة </w:t>
      </w:r>
    </w:p>
    <w:p>
      <w:pPr>
        <w:pStyle w:val="BookText"/>
        <w:rPr/>
      </w:pPr>
      <w:r>
        <w:rPr>
          <w:rFonts w:ascii="Amiri" w:hAnsi="Amiri" w:eastAsia="Amiri" w:cs="Amiri"/>
          <w:color w:val="111111"/>
          <w:sz w:val="28"/>
          <w:sz w:val="28"/>
          <w:szCs w:val="28"/>
          <w:rtl w:val="true"/>
          <w:lang w:bidi="ar-SA"/>
        </w:rPr>
        <w:t xml:space="preserve">في السؤال والجواب له المطبوع في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عنها السيّد الأمين في أعيانه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رسالة في قبول قول النساء بالخلوّ عن موانع النكاح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رسالة استدلاليّة، بيّن المؤلّف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حكم المسألة بجميع شؤونها مع فروع حسنة تتعلّق بها، وأدرج فيها تحقيقات رشيقة و فوائد نافعة مفيدة تنبئ عن دقّة نظره و غوره، واستوفى فيها إنصافًا حقّ الاستدلال والتحليل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الأسف ما عثرنا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كاملة من الرسالة في المكتبات، والنسختان الموجودتان منها كانتا ناقصتين ؛ ولعلّ المؤلّف ؛ لم يتمّها، والله العالم </w:t>
      </w:r>
      <w:r>
        <w:rPr>
          <w:rFonts w:eastAsia="Amiri" w:cs="Amiri" w:ascii="Amiri" w:hAnsi="Amiri"/>
          <w:color w:val="111111"/>
          <w:sz w:val="28"/>
          <w:szCs w:val="28"/>
          <w:rtl w:val="true"/>
          <w:lang w:bidi="ar-SA"/>
        </w:rPr>
        <w:t xml:space="preserve">. </w:t>
      </w:r>
      <w:bookmarkStart w:id="61" w:name="pg7943_78349"/>
    </w:p>
    <w:p>
      <w:pPr>
        <w:pStyle w:val="Heading2"/>
        <w:numPr>
          <w:ilvl w:val="1"/>
          <w:numId w:val="1"/>
        </w:numPr>
        <w:rPr/>
      </w:pPr>
      <w:bookmarkStart w:id="62" w:name="__RefHeading___Toc6740671_1051229030"/>
      <w:bookmarkStart w:id="63" w:name="_Toc22"/>
      <w:bookmarkEnd w:id="61"/>
      <w:bookmarkEnd w:id="62"/>
      <w:r>
        <w:rPr/>
        <w:t>3</w:t>
      </w:r>
      <w:r>
        <w:rPr>
          <w:rtl w:val="true"/>
        </w:rPr>
        <w:t xml:space="preserve">- </w:t>
      </w:r>
      <w:r>
        <w:rPr>
          <w:rtl w:val="true"/>
        </w:rPr>
        <w:t>منهجنا في التحقيق</w:t>
      </w:r>
      <w:bookmarkEnd w:id="63"/>
    </w:p>
    <w:p>
      <w:pPr>
        <w:pStyle w:val="BookText"/>
        <w:rPr/>
      </w:pPr>
      <w:r>
        <w:rPr>
          <w:rFonts w:ascii="IRNazanin" w:hAnsi="IRNazanin" w:eastAsia="IRNazanin"/>
          <w:color w:val="111111"/>
          <w:sz w:val="28"/>
          <w:sz w:val="28"/>
          <w:szCs w:val="28"/>
          <w:rtl w:val="true"/>
          <w:lang w:bidi="fa-IR"/>
        </w:rPr>
        <w:t xml:space="preserve">مع الأسف لا توجد من هذه الرسالة إلّا نسختان ناقصتان، إليک وصفهما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مكتبة مدرسة الشهيد المطهّري في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2357</w:t>
      </w:r>
      <w:r>
        <w:rPr>
          <w:rFonts w:ascii="IRNazanin" w:hAnsi="IRNazanin" w:eastAsia="IRNazanin"/>
          <w:color w:val="111111"/>
          <w:sz w:val="28"/>
          <w:sz w:val="28"/>
          <w:szCs w:val="28"/>
          <w:rtl w:val="true"/>
          <w:lang w:bidi="fa-IR"/>
        </w:rPr>
        <w:t xml:space="preserve">، و هي في ضمن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آية الله الحكيم العامّة في النجف الأشرف برقم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و هي أيضًا في ضمن مجموعة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فاعتمدنا في التحقيق عليهما، و كان منهج التحقيق وفق المراحل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 النصّ و تقويمه و ترقيمه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الآيات القرآنيّة والأحاديث الشريفة و كلمات الفقهاء الّتي نقلها المؤلّف من مصادرها الّتي ذكرها إن وجدت، و إلّا فمن مصادر أخرى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النصّ إلى فقرات و مقاطع مع إضافة بعض العناوين المناسبة بين قوسين معقوفين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المواضع المشكلة والعبارات المبهمة، و شرح بعض اللغات الغريبة الواردة في المتن مع الاستعانة بكتب اللغة و معاجم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بذلنا قصارى جهدنا في تحقيق هذا السفر القيّم وإخراجه إلى عالم النور، فما وجد فيه من خلل أو خطأ، فهو عن قصور، لا 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نسأل الله تعالى أن يتقبّل منّا هذا القليل بقبول حسن، و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يوفّقنا لإحياء تراث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علمائنا الأبرار، خصوصًا بقيّة آثار جدّنا الأمجد الأسعد العلّامة المحقّق الفقيه الأصوليّ الأوحد السيّد محمّد باقر الشفتيّ، المعروف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لجزيل خدماته المباركة في إحياء الشريعة الغرّاء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والصلاة والسلام على محمّد وأهل بيته الطيّبين الطاهرين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السيّد محمّد الرضا الشفتيّ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صانها الله عن الحدثان </w:t>
      </w:r>
      <w:r>
        <w:rPr>
          <w:rFonts w:eastAsia="IRNazanin" w:cs="IRNazanin"/>
          <w:color w:val="111111"/>
          <w:sz w:val="28"/>
          <w:szCs w:val="28"/>
          <w:rtl w:val="true"/>
          <w:lang w:bidi="fa-IR"/>
        </w:rPr>
        <w:t xml:space="preserve">- </w:t>
      </w:r>
      <w:bookmarkStart w:id="64" w:name="pg7943_78351"/>
    </w:p>
    <w:p>
      <w:pPr>
        <w:pStyle w:val="Heading2"/>
        <w:numPr>
          <w:ilvl w:val="1"/>
          <w:numId w:val="1"/>
        </w:numPr>
        <w:rPr/>
      </w:pPr>
      <w:bookmarkStart w:id="65" w:name="__RefHeading___Toc6740673_1051229030"/>
      <w:bookmarkStart w:id="66" w:name="_Toc23"/>
      <w:bookmarkEnd w:id="64"/>
      <w:bookmarkEnd w:id="65"/>
      <w:r>
        <w:rPr>
          <w:rtl w:val="true"/>
        </w:rPr>
        <w:t>رسالة في جواز الاتّكال بقول النساء في انتفاء موانع النكاح فيها</w:t>
      </w:r>
      <w:bookmarkEnd w:id="66"/>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الفقيه والمحقّق المتتبّع</w:t>
      </w:r>
    </w:p>
    <w:p>
      <w:pPr>
        <w:pStyle w:val="BookText"/>
        <w:rPr/>
      </w:pPr>
      <w:r>
        <w:rPr>
          <w:rFonts w:ascii="Amiri" w:hAnsi="Amiri" w:eastAsia="Amiri" w:cs="Amiri"/>
          <w:color w:val="111111"/>
          <w:sz w:val="28"/>
          <w:sz w:val="28"/>
          <w:szCs w:val="28"/>
          <w:rtl w:val="true"/>
          <w:lang w:bidi="ar-SA"/>
        </w:rPr>
        <w:t xml:space="preserve">الحاجّ السيّد محمّد باقر الشفتي الجيلانيّ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المشهور بحجّة الإسلام على الإطلاق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هذه رسالة في جواز الاتّكال بقول النساء في انتفاء موانع النكاح فيها،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النساء على ضربين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لم يعلم اقترانهنّ بموانع النكاح ؛ والآخر خلافه، فعلم انّهنّ كنّ مقترنات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ريب في جواز التعويل على قولها في ذلک، فلا يجب الفحص والسؤال عن حالها، فيجوز تزويجهنّ من غير 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ذات بعل، أو ذات عدّة، فلابدّ فيه من السؤال، فلو أخبرن برفع موانع النكاح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كموت الزوج، أو تحقّق الطلاق، أو انقضاء العدّة، أو تخلّل 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من غير بيّنة، لكن مع إمكانه و لو كان بعيدًا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فالظاهر أنّه محلّ وفاق، لكن يستحبّ السؤال فيما إذا كانت </w:t>
      </w:r>
    </w:p>
    <w:p>
      <w:pPr>
        <w:pStyle w:val="BookText"/>
        <w:rPr/>
      </w:pPr>
      <w:r>
        <w:rPr>
          <w:rFonts w:ascii="Amiri" w:hAnsi="Amiri" w:eastAsia="Amiri" w:cs="Amiri"/>
          <w:color w:val="111111"/>
          <w:sz w:val="28"/>
          <w:sz w:val="28"/>
          <w:szCs w:val="28"/>
          <w:rtl w:val="true"/>
          <w:lang w:bidi="ar-SA"/>
        </w:rPr>
        <w:t xml:space="preserve">متّهمة، فها أنا أورد ما وصل إلينا من كلمات العلماء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أسكنهم الله في غرفات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الطائفة في النهاية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بأس أن يتمتّع الرجل بالفاجرة، إلّا أنّه يمنعها بعد العقد من الفجور ؛ وليس على الرجل أن يسألها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لها زوج، أم لا ؟ لأنّ ذلک لا يمكن أن يقوم </w:t>
      </w:r>
      <w:r>
        <w:rPr>
          <w:rStyle w:val="FootnoteAnchor"/>
          <w:rtl w:val="true"/>
        </w:rPr>
        <w:footnoteReference w:id="73"/>
      </w:r>
      <w:r>
        <w:rPr>
          <w:rFonts w:ascii="IRNazanin" w:hAnsi="IRNazanin" w:eastAsia="IRNazanin"/>
          <w:color w:val="111111"/>
          <w:sz w:val="28"/>
          <w:sz w:val="28"/>
          <w:szCs w:val="28"/>
          <w:rtl w:val="true"/>
          <w:lang w:bidi="fa-IR"/>
        </w:rPr>
        <w:t xml:space="preserve">له به بيّنة، فإن اتّهمها في ذلک، احتاط في التفتيش عن أمرها، وإن لم يفعل، فليس عليه شيء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أراد الرجل تزويج المتعة، فليس عليه التفتيش عنها، بل يصدّقها في قولها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المهذّب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نكاح المتعة شروطه </w:t>
      </w:r>
      <w:r>
        <w:rPr>
          <w:rStyle w:val="FootnoteAnchor"/>
          <w:rtl w:val="true"/>
        </w:rPr>
        <w:footnoteReference w:id="76"/>
      </w:r>
      <w:r>
        <w:rPr>
          <w:rFonts w:ascii="Amiri" w:hAnsi="Amiri" w:eastAsia="Amiri" w:cs="Amiri"/>
          <w:color w:val="111111"/>
          <w:sz w:val="28"/>
          <w:sz w:val="28"/>
          <w:szCs w:val="28"/>
          <w:rtl w:val="true"/>
          <w:lang w:bidi="ar-SA"/>
        </w:rPr>
        <w:t xml:space="preserve">على ضربين،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ذكره في حال العقد،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والأفضل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الواجب فهو تعيين الأجر </w:t>
      </w:r>
    </w:p>
    <w:p>
      <w:pPr>
        <w:pStyle w:val="BookText"/>
        <w:rPr/>
      </w:pPr>
      <w:r>
        <w:rPr>
          <w:rFonts w:ascii="IRNazanin" w:hAnsi="IRNazanin" w:eastAsia="IRNazanin"/>
          <w:color w:val="111111"/>
          <w:sz w:val="28"/>
          <w:sz w:val="28"/>
          <w:szCs w:val="28"/>
          <w:rtl w:val="true"/>
          <w:lang w:bidi="fa-IR"/>
        </w:rPr>
        <w:t xml:space="preserve">والأجل ؛ و أمّا ما لا يجب وإن كان الأفضل ذكره، فهو سؤال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لها زوج، أو هي في عدّة منه، أو معها حمل، أم ليس معها ذلک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هذا العقد فينبغي له أن يطلب امرأة صحيحة الولاية على نفسها عفيفة مؤمنة معتقدة للحقّ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لم يجد امرأة على الصفة الّتي قدّمنا ذكرها و وجد مستضعفة، جاز له أن يعقد عليها، و يجوز عقد المتعة على اليهوديّة والنصرانيّة، و من عقد على واحدة من هؤلاء فليمنعها من شرب الخمر و أكل لحم الخنزير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يجب على الرجل سؤالها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لها زوج، أم لا ؟ لأنّ ذلک لا يمكن أن يقوم له به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في الديانة سؤالها عن ذلک إن كانت مصدّقة </w:t>
      </w:r>
    </w:p>
    <w:p>
      <w:pPr>
        <w:pStyle w:val="BookText"/>
        <w:rPr/>
      </w:pPr>
      <w:r>
        <w:rPr>
          <w:rFonts w:ascii="IRNazanin" w:hAnsi="IRNazanin" w:eastAsia="IRNazanin"/>
          <w:color w:val="111111"/>
          <w:sz w:val="28"/>
          <w:sz w:val="28"/>
          <w:szCs w:val="28"/>
          <w:rtl w:val="true"/>
          <w:lang w:bidi="fa-IR"/>
        </w:rPr>
        <w:t xml:space="preserve">على نفسها، فإن اتّهمها </w:t>
      </w:r>
      <w:r>
        <w:rPr>
          <w:rStyle w:val="FootnoteAnchor"/>
          <w:rtl w:val="true"/>
        </w:rPr>
        <w:footnoteReference w:id="78"/>
      </w:r>
      <w:r>
        <w:rPr>
          <w:rFonts w:ascii="IRNazanin" w:hAnsi="IRNazanin" w:eastAsia="IRNazanin"/>
          <w:color w:val="111111"/>
          <w:sz w:val="28"/>
          <w:sz w:val="28"/>
          <w:szCs w:val="28"/>
          <w:rtl w:val="true"/>
          <w:lang w:bidi="fa-IR"/>
        </w:rPr>
        <w:t xml:space="preserve">في ذلک احتاط في التفتيش عن أمرها استحبابًا، لا إيجابًا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على مريد التمتّع </w:t>
      </w:r>
      <w:r>
        <w:rPr>
          <w:rStyle w:val="FootnoteAnchor"/>
          <w:rtl w:val="true"/>
        </w:rPr>
        <w:footnoteReference w:id="80"/>
      </w:r>
      <w:r>
        <w:rPr>
          <w:rFonts w:ascii="Amiri" w:hAnsi="Amiri" w:eastAsia="Amiri" w:cs="Amiri"/>
          <w:color w:val="111111"/>
          <w:sz w:val="28"/>
          <w:sz w:val="28"/>
          <w:szCs w:val="28"/>
          <w:rtl w:val="true"/>
          <w:lang w:bidi="ar-SA"/>
        </w:rPr>
        <w:t xml:space="preserve">التفتيش عن حال المرأة، و لا يمكنها إقامة البيّنة على أن لا زوج لها، فإن عقد عليها ثمّ بان لها زوج، بطل العقد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تكون عفيفة، و أن يسألها عن حالها مع التهمة، و ليس شرطًا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أن تكون زانية، فإن فعلها فليمنعها من الفجور، و ليس شرطًا في الصحّة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النافع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اختيار المؤمنة العفيفة، و أن يسألها عن حالها مع التهمة، </w:t>
      </w:r>
    </w:p>
    <w:p>
      <w:pPr>
        <w:pStyle w:val="BookText"/>
        <w:rPr/>
      </w:pPr>
      <w:r>
        <w:rPr>
          <w:rFonts w:ascii="Amiri" w:hAnsi="Amiri" w:eastAsia="Amiri" w:cs="Amiri"/>
          <w:color w:val="111111"/>
          <w:sz w:val="28"/>
          <w:sz w:val="28"/>
          <w:szCs w:val="28"/>
          <w:rtl w:val="true"/>
          <w:lang w:bidi="ar-SA"/>
        </w:rPr>
        <w:t xml:space="preserve">وليس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بالزانية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رياض المسائل في شرح العبارة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هي ذات بعل وعفيفة،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بالبعل و عدم العفّة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الجواز إجماعًا، بل و لا واجبًا، للأصل، وحمل تصرّف المسلم على الصحّة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شرح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اختيار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العفيفة، و أن يسألها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ذات بعل، أو في عدّة،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بالبعل والعدّة،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الجواز إجماعًا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التحرير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يستحبّ أن يكون </w:t>
      </w:r>
      <w:r>
        <w:rPr>
          <w:rStyle w:val="FootnoteAnchor"/>
          <w:rtl w:val="true"/>
        </w:rPr>
        <w:footnoteReference w:id="86"/>
      </w:r>
      <w:r>
        <w:rPr>
          <w:rFonts w:ascii="Amiri" w:hAnsi="Amiri" w:eastAsia="Amiri" w:cs="Amiri"/>
          <w:color w:val="111111"/>
          <w:sz w:val="28"/>
          <w:sz w:val="28"/>
          <w:szCs w:val="28"/>
          <w:rtl w:val="true"/>
          <w:lang w:bidi="ar-SA"/>
        </w:rPr>
        <w:t xml:space="preserve">المرأة عفيفة، و يكره التمتّع بالزانية، فإن فعل منعها من الفجور، و ليس شرطًا في الصحّة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له أن يسألها عن حالها مع التهمة، فإن كان لها زوجٌ تركها، و لا يجب عليها السؤال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والمستند في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إطباقهم عليه الظاهر من تصفّح مقالاتهم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المستفيضة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المروي في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مصدّقة على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الكافي عن العدّة، عن أحمد بن محمّد بن عيسى، عن الحسين بن سعيد، عن فضالة، عن ميسر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ألقى المرأة بالفلاة الّتي ليس فيها أحد، فأقول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زوج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فأتزوّجها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هي المصدّقة على نفسها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كلام في السند إلّا من جهة الراوي، لكن حكى الكشّي عن عليّ بن الحسن بن عليّ توثيقه،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ميسر بن عبدالعزيز كان كوفيًّا و كان ثقة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حكى عن إبراهيم الموصلي، عن يونس، عن حيّان </w:t>
      </w:r>
      <w:r>
        <w:rPr>
          <w:rStyle w:val="FootnoteAnchor"/>
          <w:rtl w:val="true"/>
        </w:rPr>
        <w:footnoteReference w:id="91"/>
      </w:r>
      <w:r>
        <w:rPr>
          <w:rFonts w:ascii="Amiri" w:hAnsi="Amiri" w:eastAsia="Amiri" w:cs="Amiri"/>
          <w:color w:val="111111"/>
          <w:sz w:val="28"/>
          <w:sz w:val="28"/>
          <w:szCs w:val="28"/>
          <w:rtl w:val="true"/>
          <w:lang w:bidi="ar-SA"/>
        </w:rPr>
        <w:t xml:space="preserve">وابن مسكان، عن ميسر،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جماعة، فذكروا صلة الرحم والقرابة، فقال أبو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ميسر </w:t>
      </w:r>
      <w:r>
        <w:rPr>
          <w:rStyle w:val="FootnoteAnchor"/>
          <w:rtl w:val="true"/>
        </w:rPr>
        <w:footnoteReference w:id="92"/>
      </w:r>
      <w:r>
        <w:rPr>
          <w:rFonts w:ascii="IRNazanin" w:hAnsi="IRNazanin" w:eastAsia="IRNazanin"/>
          <w:color w:val="111111"/>
          <w:sz w:val="28"/>
          <w:sz w:val="28"/>
          <w:szCs w:val="28"/>
          <w:rtl w:val="true"/>
          <w:lang w:bidi="fa-IR"/>
        </w:rPr>
        <w:t xml:space="preserve">أما أنّه قد حضر أجلک غير مرّة و لا مرّتين، كلّ ذلک يؤخّر الله تعالى لصلتک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العلّامة في الخلاصة عن العقيقي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اثنى عليه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ممّن يجاهد </w:t>
      </w:r>
      <w:r>
        <w:rPr>
          <w:rStyle w:val="FootnoteAnchor"/>
          <w:rtl w:val="true"/>
        </w:rPr>
        <w:footnoteReference w:id="94"/>
      </w:r>
      <w:r>
        <w:rPr>
          <w:rFonts w:ascii="Amiri" w:hAnsi="Amiri" w:eastAsia="Amiri" w:cs="Amiri"/>
          <w:color w:val="111111"/>
          <w:sz w:val="28"/>
          <w:sz w:val="28"/>
          <w:szCs w:val="28"/>
          <w:rtl w:val="true"/>
          <w:lang w:bidi="ar-SA"/>
        </w:rPr>
        <w:t xml:space="preserve">في الرجعة، انتهى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ممّن يجاهد 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احتمالان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يجاهد و يباحث مع العامّة بإثبات الرجعة، لإنكارهم إيّاها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يرجع في زمان مولانا القائم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يجاهد الكفّار في ركابه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لو لم يكن صحيحًا، لا شبهة في حسنه، مضافًا إلى أنّ الراوي المذكور فضالة، و هو من أصحاب الإجماع، والسند إليه صحيح، فلا يقدح مقدوحيّة من قبله على تسليمه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ثقة الإسلام رواه أيضًا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التزويج بغير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الحسين بن سعيد، عن فضالة بن أيّوب، عن عمر بن أبان الكلبي، عن ميسر </w:t>
      </w: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ألقي المرأة بالفلاة الّتي ليس فيها أحد، إلى آخره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تفاوت في السند في المقامين، إلّا أنّه في هذا الموضع روى عن محمّد بن يحيى، و في الأوّل روى عن العدّة، و هو من جملتهم ؛ و في هذا الموضع روى فضالة عن ميسر بواسطة عمر بن أبان الكلبي، و في الأوّل روى عنه من غير واسطة ؛ و هو غير مضرّ، لإمكان الأخذ عنه بواسطة أوّلاً، ثمّ لقيه فسمع منه من غير واسطة، فضبطه في كتابه على الوجهين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على فرض تسليم عدم الدرک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الإرسال في الأوّل غير مضرّ، </w:t>
      </w:r>
    </w:p>
    <w:p>
      <w:pPr>
        <w:pStyle w:val="BookText"/>
        <w:rPr/>
      </w:pPr>
      <w:r>
        <w:rPr>
          <w:rFonts w:ascii="Amiri" w:hAnsi="Amiri" w:eastAsia="Amiri" w:cs="Amiri"/>
          <w:color w:val="111111"/>
          <w:sz w:val="28"/>
          <w:sz w:val="28"/>
          <w:szCs w:val="28"/>
          <w:rtl w:val="true"/>
          <w:lang w:bidi="ar-SA"/>
        </w:rPr>
        <w:t xml:space="preserve">لوثاقة الواسطة، إذ النجاشي قد وثّق عمر بن أبان الكلبي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الباب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مصدّقة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عدّة من أصحابنا، عن أحمد بن محمّد بن خالد، عن محمّد بن عليّ، عن محمّد بن مسلم </w:t>
      </w:r>
      <w:r>
        <w:rPr>
          <w:rStyle w:val="FootnoteAnchor"/>
          <w:rtl w:val="true"/>
        </w:rPr>
        <w:footnoteReference w:id="99"/>
      </w:r>
      <w:r>
        <w:rPr>
          <w:rFonts w:ascii="Amiri" w:hAnsi="Amiri" w:eastAsia="Amiri" w:cs="Amiri"/>
          <w:color w:val="111111"/>
          <w:sz w:val="28"/>
          <w:sz w:val="28"/>
          <w:szCs w:val="28"/>
          <w:rtl w:val="true"/>
          <w:lang w:bidi="ar-SA"/>
        </w:rPr>
        <w:t xml:space="preserve">، عن إبراهيم بن الفضيل </w:t>
      </w:r>
      <w:r>
        <w:rPr>
          <w:rStyle w:val="FootnoteAnchor"/>
          <w:rtl w:val="true"/>
        </w:rPr>
        <w:footnoteReference w:id="100"/>
      </w:r>
      <w:r>
        <w:rPr>
          <w:rFonts w:ascii="IRNazanin" w:hAnsi="IRNazanin" w:eastAsia="IRNazanin"/>
          <w:color w:val="111111"/>
          <w:sz w:val="28"/>
          <w:sz w:val="28"/>
          <w:szCs w:val="28"/>
          <w:rtl w:val="true"/>
          <w:lang w:bidi="fa-IR"/>
        </w:rPr>
        <w:t xml:space="preserve">،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أكون في بعض الطرقات، فأرى المرأة الحسناء و لا آمن أن تكون ذات بعل، أو من العواهر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عليک، إنّما عليک أن تصدّقها في نفسها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تحقيق العدّة في المقاصد يطلب فيما أبرزناه في الرجال </w:t>
      </w:r>
      <w:r>
        <w:rPr>
          <w:rStyle w:val="FootnoteAnchor"/>
          <w:rtl w:val="true"/>
        </w:rPr>
        <w:footnoteReference w:id="102"/>
      </w:r>
      <w:r>
        <w:rPr>
          <w:rFonts w:ascii="IRNazanin" w:hAnsi="IRNazanin" w:eastAsia="IRNazanin"/>
          <w:color w:val="111111"/>
          <w:sz w:val="28"/>
          <w:sz w:val="28"/>
          <w:szCs w:val="28"/>
          <w:rtl w:val="true"/>
          <w:lang w:bidi="fa-IR"/>
        </w:rPr>
        <w:t xml:space="preserve">؛ و 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العدّة الراوي عن 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ووثاقته لا تكاد تخفى على أحد من أهل الفنّ </w:t>
      </w:r>
      <w:r>
        <w:rPr>
          <w:rFonts w:eastAsia="Amiri" w:cs="Amiri" w:ascii="Amiri" w:hAnsi="Amiri"/>
          <w:color w:val="111111"/>
          <w:sz w:val="28"/>
          <w:szCs w:val="28"/>
          <w:rtl w:val="true"/>
          <w:lang w:bidi="ar-SA"/>
        </w:rPr>
        <w:t xml:space="preserve">. </w:t>
      </w:r>
      <w:bookmarkStart w:id="67" w:name="pg7943_78362"/>
    </w:p>
    <w:p>
      <w:pPr>
        <w:pStyle w:val="Heading2"/>
        <w:numPr>
          <w:ilvl w:val="1"/>
          <w:numId w:val="1"/>
        </w:numPr>
        <w:rPr/>
      </w:pPr>
      <w:bookmarkStart w:id="68" w:name="__RefHeading___Toc6740675_1051229030"/>
      <w:bookmarkStart w:id="69" w:name="_Toc24"/>
      <w:bookmarkEnd w:id="67"/>
      <w:bookmarkEnd w:id="68"/>
      <w:r>
        <w:rPr>
          <w:rtl w:val="true"/>
        </w:rPr>
        <w:t xml:space="preserve">[ </w:t>
      </w:r>
      <w:r>
        <w:rPr>
          <w:rtl w:val="true"/>
        </w:rPr>
        <w:t xml:space="preserve">الكلام في تعيين طبقة أحمد بن محمّد بن خالد البرقي </w:t>
      </w:r>
      <w:r>
        <w:rPr>
          <w:rtl w:val="true"/>
        </w:rPr>
        <w:t>]</w:t>
      </w:r>
      <w:bookmarkEnd w:id="69"/>
    </w:p>
    <w:p>
      <w:pPr>
        <w:pStyle w:val="BookText"/>
        <w:rPr/>
      </w:pPr>
      <w:r>
        <w:rPr>
          <w:rFonts w:ascii="IRNazanin" w:hAnsi="IRNazanin" w:eastAsia="IRNazanin"/>
          <w:color w:val="111111"/>
          <w:sz w:val="28"/>
          <w:sz w:val="28"/>
          <w:szCs w:val="28"/>
          <w:rtl w:val="true"/>
          <w:lang w:bidi="fa-IR"/>
        </w:rPr>
        <w:t xml:space="preserve">و أمّا أحمد بن محمّد بن خالد </w:t>
      </w:r>
      <w:r>
        <w:rPr>
          <w:rStyle w:val="FootnoteAnchor"/>
          <w:rtl w:val="true"/>
        </w:rPr>
        <w:footnoteReference w:id="103"/>
      </w:r>
      <w:r>
        <w:rPr>
          <w:rFonts w:ascii="Amiri" w:hAnsi="Amiri" w:eastAsia="Amiri" w:cs="Amiri"/>
          <w:color w:val="111111"/>
          <w:sz w:val="28"/>
          <w:sz w:val="28"/>
          <w:szCs w:val="28"/>
          <w:rtl w:val="true"/>
          <w:lang w:bidi="ar-SA"/>
        </w:rPr>
        <w:t xml:space="preserve">، فقد ذكره شيخ الطائفة في أصحاب سيّدينا الجواد والهادي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لم أورده في أصحاب مولانا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مقتضاه أنّه لم يعثر بروايته عنه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أصول الكافي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سلاح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روايته عنه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حيث روى في الباب المذكور عن أحمد بن محمّد و محمّد بن يحيى، عن محمّد ابن الحسن، عن محمّد بن عيسى، عن أحمد بن أبي عبدالله، عن أبي الحسن الرضا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ذي الفقار سيف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به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وكانت حليته من فضّة، و هو عندي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أحمد بن أبي عبدالله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البرقي، و قد روى الحديث المذكور عن مولانا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استحالة في ذلک، لكون روايته عن والده محمّد بن خالد أكثر من أن تحصى ؛ و قد عدّه شيخ الطائفة من أصحاب مولانا الكاظم والرضا والجواد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مماته في حياة أحمد بن محمّد بن عيسى، على ما يظهر ممّا حكي عن ابن الغضائريّ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أحمد بن محمّد بن عيسى أبعده عن قم، ثمّ أعاده إليها واعتذر إليه، و لمّا توفّى مشى في جنازته حافيًا حاسرًا ليبرأ نفسه ممّا قذفه به، انتهى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 شيخ الطائفة أحمد بن محمّد بن عيسى من أصحاب مولانا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 إن لم تكن مستحيلة، لكن يرد في المقام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المذكور مرويّ في روضة الكافي، والراوي فيه صفوان بن يحيى، عنه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حكى عن عليّ بن محمّد ماجيلويه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أحمد بن خالد في سنة ثمانين و مائتين، بعد أن حكى عن أحمد بن الحسين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أربع و سبعين و مائتين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الأوّل تكون وفاته بعد انتقال الروح المطهّر لمولانا العسكريّ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أعلى غرفات الجنان بعشرين سنة، و هو ينافي روايته عن مولانا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روايته حديث واحد بسندين ليست من الأمور المستحيلة، و لا من الأمور البعيدة، فكم من حديثٍ واحدٍ روي بأسانيد متعدّدة فضلاً عن سندين ؛ و كم من مطلبٍ واحدٍ يسأله أشخاص متعدّدة فضلاً عن سائلين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أذكر السندين مع الحديث في المقام دفعًا لتطرّق الشبهة عن الأفهام،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السند في الباب المذكور فقد عرفته، و أمّا في الروضة فقد أورده قبل حديث نوح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محمّد بن أشيم، 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ذي الفقار سيف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وكانت حلقته فضّة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في المتن سؤالاً و جوابًا من الاختلاف، أمّا في السؤال فلما عرفت أنّ الموجود في السؤال عن أحمد بن 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يوجد في سؤال صفوان بن يحيى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في الجواب، فلما عرفت من أنّ الموجود في آخر جوابه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كتاب الحجّة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عندي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يوجد ذلک في الروضة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أنّ الموجود على ما في كتاب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حلية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ما في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حلقته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المنافاة، إذ شهادة مولانا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و مائتين، فالمدّة المتخلّلة بينها و بين تاريخ وفاة أحمد بن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w:t>
      </w:r>
    </w:p>
    <w:p>
      <w:pPr>
        <w:pStyle w:val="BookText"/>
        <w:rPr/>
      </w:pPr>
      <w:r>
        <w:rPr>
          <w:rFonts w:ascii="IRNazanin" w:hAnsi="IRNazanin" w:eastAsia="IRNazanin"/>
          <w:color w:val="111111"/>
          <w:sz w:val="28"/>
          <w:sz w:val="28"/>
          <w:szCs w:val="28"/>
          <w:rtl w:val="true"/>
          <w:lang w:bidi="fa-IR"/>
        </w:rPr>
        <w:t xml:space="preserve">ماجيلويه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 سبعين سنة ؛ و لو فرض أنّ عمر أحمد بن محمّد بن خالد وقت شهادته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عشرة سنة، يكون مدّة عمره ثلاثًا و تسعين سنة، فأيّ استبعاد في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عرفت أنّ المستفاد من كلام ابن الغضائريّ أنّ وفاة أحمد البرقيّ في حياة ابن عيسى الأشعريّ، و قد عدّ ذلک من أصحاب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علمت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ما وجد في الباب المذكور من كتاب الحجّة، رواية أحمد بن محمّد بن خالد البرقي عن مولانا الرضا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قد علمت ممّا بيّناه أنّه لا داعي لصرفه عن ظاهره، فلابدّ من المصير إلى مقتضاه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يورده في أصحابه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والأمر فيه سهل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المقام شيء آخر ينبغي التنبيه عليه،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وجد في بعض الأسانيد رواية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كلامنا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فقد روى شيخنا الصدوق في المجلس الثامن والثمانين من مجالسه، عن أحمد بن هارون المقامي، عن أحمد بن عبدالله الحميري، عن أبيه، عن أحمد بن محمّد بن </w:t>
      </w:r>
    </w:p>
    <w:p>
      <w:pPr>
        <w:pStyle w:val="BookText"/>
        <w:rPr/>
      </w:pPr>
      <w:r>
        <w:rPr>
          <w:rFonts w:ascii="Amiri" w:hAnsi="Amiri" w:eastAsia="Amiri" w:cs="Amiri"/>
          <w:color w:val="111111"/>
          <w:sz w:val="28"/>
          <w:sz w:val="28"/>
          <w:szCs w:val="28"/>
          <w:rtl w:val="true"/>
          <w:lang w:bidi="ar-SA"/>
        </w:rPr>
        <w:t xml:space="preserve">خالد البرقي، عن أبي عبدالله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سبحان الله، غرس الله له بها شجرة في الجنّة ؛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غرس الله بها شجرة في الجنّة ؛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غرس الله بها شجرة في الجنّة ؛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غرس الله بها شجرة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رجل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 شجرنا في الجنّة لكثير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 إيّاكم أن ترسلوا عليها نيرانًا فتحرقوها، و ذلک لأنّ الله عزّوجلّ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أطيعوا الله و أطيعوا الرسول و لا تبطلوا أعمالكم </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و صلّى</w:t>
      </w:r>
    </w:p>
    <w:p>
      <w:pPr>
        <w:pStyle w:val="BookText"/>
        <w:rPr/>
      </w:pPr>
      <w:r>
        <w:rPr>
          <w:rFonts w:ascii="Amiri" w:hAnsi="Amiri" w:eastAsia="Amiri" w:cs="Amiri"/>
          <w:color w:val="111111"/>
          <w:sz w:val="28"/>
          <w:sz w:val="28"/>
          <w:szCs w:val="28"/>
          <w:rtl w:val="true"/>
          <w:lang w:bidi="ar-SA"/>
        </w:rPr>
        <w:t xml:space="preserve">الله على محمّد و آل محمّد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ما في رواية أحمد بن محمّد بن خالد عن مولانا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الغرابة ؛ والظاهر القريب من القطع أنّها غير صحيحة، إذ رواية والده محمّد بن خالد عنه غير ثابتة، فضلاً عن رواية ابنه عنه، فالظاهر أنّه مرسل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شيخنا الصدوق روى هذا الحديث في ثواب الأعمال بسند اشتمل على أحمد بن أبي عبدالله المذكور، و هو يروي الحديث بثلاثة وسائط عن مولانا الباقر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عن عمّه محمّد بن </w:t>
      </w:r>
    </w:p>
    <w:p>
      <w:pPr>
        <w:pStyle w:val="BookText"/>
        <w:rPr/>
      </w:pPr>
      <w:r>
        <w:rPr>
          <w:rFonts w:ascii="Amiri" w:hAnsi="Amiri" w:eastAsia="Amiri" w:cs="Amiri"/>
          <w:color w:val="111111"/>
          <w:sz w:val="28"/>
          <w:sz w:val="28"/>
          <w:szCs w:val="28"/>
          <w:rtl w:val="true"/>
          <w:lang w:bidi="ar-SA"/>
        </w:rPr>
        <w:t xml:space="preserve">أبي القاسم، عن أحمد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سنان، عن أبي الجارود، عن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سبحان الله والحمد لله، الحديث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 يمكن القطع بعدم ثبوت روايته عن مولانا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بل و لا عن مولانا الكاظم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الرواية عن مولانا الرضا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فقد عرفت الحال في ذلک، فهو من أصحاب موالينا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والجواد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عرفت من تاريخ وفاته أنّه مات بعد انقضاء برهة عن غيبته الصغرى </w:t>
      </w:r>
      <w:r>
        <w:rPr>
          <w:rFonts w:eastAsia="IRNazanin" w:cs="IRNazanin"/>
          <w:color w:val="111111"/>
          <w:sz w:val="28"/>
          <w:szCs w:val="28"/>
          <w:rtl w:val="true"/>
          <w:lang w:bidi="fa-IR"/>
        </w:rPr>
        <w:t xml:space="preserve">. </w:t>
      </w:r>
      <w:bookmarkStart w:id="70" w:name="pg7943_78369"/>
    </w:p>
    <w:p>
      <w:pPr>
        <w:pStyle w:val="Heading2"/>
        <w:numPr>
          <w:ilvl w:val="1"/>
          <w:numId w:val="1"/>
        </w:numPr>
        <w:rPr/>
      </w:pPr>
      <w:bookmarkStart w:id="71" w:name="__RefHeading___Toc6740677_1051229030"/>
      <w:bookmarkStart w:id="72" w:name="_Toc25"/>
      <w:bookmarkEnd w:id="70"/>
      <w:bookmarkEnd w:id="71"/>
      <w:r>
        <w:rPr>
          <w:rtl w:val="true"/>
        </w:rPr>
        <w:t xml:space="preserve">[ </w:t>
      </w:r>
      <w:r>
        <w:rPr>
          <w:rtl w:val="true"/>
        </w:rPr>
        <w:t xml:space="preserve">الكلام في حال أحمد بن محمّد بن خالد البرقي </w:t>
      </w:r>
      <w:r>
        <w:rPr>
          <w:rtl w:val="true"/>
        </w:rPr>
        <w:t>]</w:t>
      </w:r>
      <w:bookmarkEnd w:id="72"/>
    </w:p>
    <w:p>
      <w:pPr>
        <w:pStyle w:val="BookText"/>
        <w:rPr/>
      </w:pPr>
      <w:r>
        <w:rPr>
          <w:rFonts w:ascii="Amiri" w:hAnsi="Amiri" w:eastAsia="Amiri" w:cs="Amiri"/>
          <w:color w:val="111111"/>
          <w:sz w:val="28"/>
          <w:sz w:val="28"/>
          <w:szCs w:val="28"/>
          <w:rtl w:val="true"/>
          <w:lang w:bidi="ar-SA"/>
        </w:rPr>
        <w:t xml:space="preserve">هذا كلّه من طبقته، و أمّا حاله فقد قال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ثقة في نفسه، يروي عن الضعفاء، واعتمد المراسيل، و صنّف كتبًا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بجميع كتبه الحسين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أبو غالب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مؤدبي عليّ بن الحسين السعدآبادي أبوالحسن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البرقي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بن الحسين ؛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أحمد بن أبي عبدالله البرقي في سنة أربع و سبعين و مائتين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شيخ الطائفة في الفهرست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ثقة في نفسه، غير أنّه أكثر الرواية عن الضعفاء والمراسيل، وصنّف كتبًا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بعد استقصاء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بهذه الكتب كلّها و بجميع رواياته عدّة من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محمّد بن محمّد بن النعمان، و أبو عبدالله الحسين بن عبيد الله، و أحمد بن عبدون، و غيرهم، عن أحمد بن محمّد بن سليمان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مؤدبي عليّ بن الحسين السعدآبادي أبوالحسن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هؤلاء الثلاثة عن الحسن بن حمزة العلوي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ابن بنت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أحمد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هؤلاء الّا الشيخ المفيد و غيرهم، عن أبي المفضّل الشيباني، عن محمّد بن جعفر بن بطة، عن أحمد بن أبي عبدالله بجميع كتبه ورواياته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 ابن أبي جيد، عن محمّد بن الحسن بن الوليد، عن سعد بن </w:t>
      </w:r>
    </w:p>
    <w:p>
      <w:pPr>
        <w:pStyle w:val="BookText"/>
        <w:rPr/>
      </w:pPr>
      <w:r>
        <w:rPr>
          <w:rFonts w:ascii="Amiri" w:hAnsi="Amiri" w:eastAsia="Amiri" w:cs="Amiri"/>
          <w:color w:val="111111"/>
          <w:sz w:val="28"/>
          <w:sz w:val="28"/>
          <w:szCs w:val="28"/>
          <w:rtl w:val="true"/>
          <w:lang w:bidi="ar-SA"/>
        </w:rPr>
        <w:t xml:space="preserve">عبدالله، عن أحمد بن أبي عبدالله بجميع كتبه و رواياته </w:t>
      </w:r>
      <w:r>
        <w:rPr>
          <w:rStyle w:val="FootnoteAnchor"/>
          <w:rtl w:val="true"/>
        </w:rPr>
        <w:footnoteReference w:id="116"/>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صريحٌ في توثيقه و إن ذكره في رجاله في أصحاب مولانا الجواد والهادي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تعرّض بمدح و لا قدح أصلا ؛ قال في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بن خالد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أبي عبدالله البرقي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في 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خالد بن عبدالرحمن بن محمّد بن عليّ البرقي، منسوبة إلى برقة قم، أبو جعفر، أصله كوفيّ، ثقة، غير أنّه أكثر الرواية عن الضعفاء واعتمد المراسيل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عندي أنّ روايته مقبولة، انتهى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أيضًا أنّه في آخر الخلاصة قد صحّح طريق الصدوق ؛ إلى جماعة، و قد اشتمل السند على أحمد بن محمّد بن خالد، و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إلى إسماعيل بن رياح،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بكر بن محمّد الأزديّ صحيح، و كذا عن إسماعيل بن رياح الكوفيّ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فيه عن إسماعيل بن رياح </w:t>
      </w:r>
      <w:r>
        <w:rPr>
          <w:rStyle w:val="FootnoteAnchor"/>
          <w:rtl w:val="true"/>
        </w:rPr>
        <w:footnoteReference w:id="121"/>
      </w:r>
      <w:r>
        <w:rPr>
          <w:rFonts w:ascii="Amiri" w:hAnsi="Amiri" w:eastAsia="Amiri" w:cs="Amiri"/>
          <w:color w:val="111111"/>
          <w:sz w:val="28"/>
          <w:sz w:val="28"/>
          <w:szCs w:val="28"/>
          <w:rtl w:val="true"/>
          <w:lang w:bidi="ar-SA"/>
        </w:rPr>
        <w:t xml:space="preserve">، فقد رويته عن محمّد بن عليّ ماجيلويه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أبيه، عن أحمد بن أبي عبدالله البرقيّ، عن أبيه، عن محمّد بن أبي عمير، عن إسماعيل بن رياح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إلى الحارث بن المغيرة البصري،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خالد بن نجيح الجوان صحيح، و كذا عن الحسن بن السري، وكذا عن الحارث بن المغيرة البصري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فيه عن الحارث بن المغيرة البصري </w:t>
      </w:r>
      <w:r>
        <w:rPr>
          <w:rStyle w:val="FootnoteAnchor"/>
          <w:rtl w:val="true"/>
        </w:rPr>
        <w:footnoteReference w:id="124"/>
      </w:r>
      <w:r>
        <w:rPr>
          <w:rFonts w:ascii="Amiri" w:hAnsi="Amiri" w:eastAsia="Amiri" w:cs="Amiri"/>
          <w:color w:val="111111"/>
          <w:sz w:val="28"/>
          <w:sz w:val="28"/>
          <w:szCs w:val="28"/>
          <w:rtl w:val="true"/>
          <w:lang w:bidi="ar-SA"/>
        </w:rPr>
        <w:t>، فقد رويته عن محمّد</w:t>
      </w:r>
    </w:p>
    <w:p>
      <w:pPr>
        <w:pStyle w:val="BookText"/>
        <w:rPr/>
      </w:pPr>
      <w:r>
        <w:rPr>
          <w:rFonts w:ascii="Amiri" w:hAnsi="Amiri" w:eastAsia="Amiri" w:cs="Amiri"/>
          <w:color w:val="111111"/>
          <w:sz w:val="28"/>
          <w:sz w:val="28"/>
          <w:szCs w:val="28"/>
          <w:rtl w:val="true"/>
          <w:lang w:bidi="ar-SA"/>
        </w:rPr>
        <w:t xml:space="preserve">بن عليّ ماجيلويه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أبيه، عن أحمد بن أبي عبدالله، عن أبيه، عن يونس بن عبدالرحمن و محمّد بن أبي عمير جميعًا عن الحارث بن المغيرة البصريّ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إلى حفص بن غياث، قال في نقد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صحيح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الصدوق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فيه عن حفص بن غياث، فقد رويته عن أبي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سعد بن </w:t>
      </w:r>
    </w:p>
    <w:p>
      <w:pPr>
        <w:pStyle w:val="BookText"/>
        <w:rPr/>
      </w:pPr>
      <w:r>
        <w:rPr>
          <w:rFonts w:ascii="Amiri" w:hAnsi="Amiri" w:eastAsia="Amiri" w:cs="Amiri"/>
          <w:color w:val="111111"/>
          <w:sz w:val="28"/>
          <w:sz w:val="28"/>
          <w:szCs w:val="28"/>
          <w:rtl w:val="true"/>
          <w:lang w:bidi="ar-SA"/>
        </w:rPr>
        <w:t xml:space="preserve">عبدالله، عن أحمد بن أبي عبدالله، عن أبيه، عن حفص بن غياث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إليه طريقان آخران ضعيفان، فالتصحيح إنّما هو نظر إلى الطريق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إلى حكم بن حكيم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عليّ الحلبي صحيح، و كذا عن عبدالله بن أبي يعفور، وكذا عن حكم بن حكيم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فيه عن حكم بن حكيم بن أبي خلّاد، فقد رويته عن أبي ومحمّد بن الحسن رضي الله عنهما، عن سعد بن عبدالله و عبدالله بن جعفر الحميري، عن أحمد بن أبي عبدالله البرقي، عن أبيه، عن محمّد بن أبي عمير، عن حكم بن حكيم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من كونه منسوبًا إلى برقة قم هو الّذي يظهر من شيخ الطائفة في الفهرست، كصاحب القاموس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الفهرست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جدّه محمّد بن عليّ حبسه يوسف بن عمر والي العراق بعد قتل زيد بن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ثمّ قتله، و كان خالد صغير السنّ، فهرب مع أبيه عبدالرحمن إلى برقة قم، فأقاموا بها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الدهشة، و قرية بقم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ذكره النجاشي أنّ القرية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رود،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جدّه محمّد بن عليّ حبسه يوسف بن عمر والي العراق بعد قتل زيد بن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ثمّ قتله، و كان خالد صغير السنّ، فهرب مع أبيه عبدالرحمن إلى برق رود، و كان ثقة ؛ إلى آخر ما سلف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كلمات هؤلاء العظام صريحةٌ في توثيق هذا الرجل، و لم نجد منهم مَن يتأمّل في ذلک، إلّا أنّ ابن داود أورده في البابين، لكن صرّح في القسم الأوّل بتوثيقه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ذكرته في الضعفاء لطعن ابن الغضائريّ فيه، و يقوى عندي ثقته، مشي أحمد بن محمّد بن عيسى في جنازته حافيًا حاسرًا، تخلّصًا </w:t>
      </w:r>
      <w:r>
        <w:rPr>
          <w:rStyle w:val="FootnoteAnchor"/>
          <w:rtl w:val="true"/>
        </w:rPr>
        <w:footnoteReference w:id="133"/>
      </w:r>
      <w:r>
        <w:rPr>
          <w:rFonts w:ascii="Amiri" w:hAnsi="Amiri" w:eastAsia="Amiri" w:cs="Amiri"/>
          <w:color w:val="111111"/>
          <w:sz w:val="28"/>
          <w:sz w:val="28"/>
          <w:szCs w:val="28"/>
          <w:rtl w:val="true"/>
          <w:lang w:bidi="ar-SA"/>
        </w:rPr>
        <w:t xml:space="preserve">ممّا قذفه به، انتهى كلامه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خبير بأنّ ابن الغضائريّ لم يطعن فيه، بل دفع الطعن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الطعن فيه، انّما الطعن في مَن يروي عنه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وافقهم في التوثيق الشارح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مكّنه الله تعالى في المكان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شرحه على الدراية عند شرح المتّفق والمفترق في الشخص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كرواية الشيخ ؛ و من سبقه من المشايخ، عن أحمد بن محمّد و يطلق، فإنّ هذا الاسم مشترکٌ بين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وأحمد بن محمّد بن خالد، و أحمد بن محمّد بن أبي نصر، و أحمد بن محمّد بن الوليد، و جماعة آخرون من أفاضل أصحابنا في تلک </w:t>
      </w:r>
    </w:p>
    <w:p>
      <w:pPr>
        <w:pStyle w:val="BookText"/>
        <w:rPr/>
      </w:pPr>
      <w:r>
        <w:rPr>
          <w:rFonts w:ascii="IRNazanin" w:hAnsi="IRNazanin" w:eastAsia="IRNazanin"/>
          <w:color w:val="111111"/>
          <w:sz w:val="28"/>
          <w:sz w:val="28"/>
          <w:szCs w:val="28"/>
          <w:rtl w:val="true"/>
          <w:lang w:bidi="fa-IR"/>
        </w:rPr>
        <w:t>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يتميّز عن الإطلاق بقرائن الزمان، فإنّ المرويّ عنه إن كان من الشيخ في أوّل السند أو ما قاربه، فهو أحمد بن محمّد بن الوليد ؛ وإن كان في آخره مقارنًا للرضا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فهو أحمد بن محمّد بن أبي نصر ؛ و إن كان في الوسط، فالأغلب أن يريد به أحمد بن محمّد بن عيسى، و لا يراد به غيره، و يحتاج في ذلک إلى فضل قوّة و تمييز و اطّلاع على الرجال ومراتبهم، ولكنّه مع الجهل لا يضرّ، لأنّ جميعهم ثقاة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شيخنا البهائي ؛ قال في مشرق الشمسين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مشترکٌ بين جماعة يزيدون على الثلاثين، لكن أكثرهم إطلاقًا و تكرارًا في الأسانيد أربعة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القمّي، وابن عيسى الأشعريّ، وابن خالد البرقيّ، وابن نصير البزنطىّ ؛ والأوّل يذكر في أوائل السند، والأوسطان في أواسطه، والأخير في أواخره، و أكثر ما يقع الاشتباه بين الأوسطين، و لكن حيث انّهما معًا ثقتان، لم يكن في البحث عن تعيينه فائدة يعتدّ بها </w:t>
      </w:r>
      <w:r>
        <w:rPr>
          <w:rStyle w:val="FootnoteAnchor"/>
          <w:rtl w:val="true"/>
        </w:rPr>
        <w:footnoteReference w:id="13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كذا العلّامة السميّ المجلسيّ، قال في الوجيزة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خالد البرقي ثقة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جملة ما يدلّ على مدحه ما ذكره شيخنا الصدوق ؛ في الفقيه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ما فيه مستخرج من كتب مشهورة، عليها المعوّل و إليها المرجع،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حريز بن عبدالله السجستاني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كتب المحاسن لأحمد بن أبي عبدالله البرقي، و رسالة أبي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معلومٌ أنّ التعويل على الكتاب إنّما هو للتعويل على مصنّفه، فهذا الكلام يدلّ على كمال المدح،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كلمات هؤلاء الأعاظم صريحةٌ في مدح البرقيّ و توثيقه، وليس في المقام ما يتوهّم منه المنافاة عدا أمور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إكثاره الرواية عن الضعفاء و اعتماده المراسيل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شيء منهما لا يوجب القدح، إذ على تقدير القدح إمّا يكون ذلک قدحًا لنفس الرجل و لما يرويه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كلاهما غير مسلّم، أمّا الأوّل فلأنّا نفرض من استقرّت عادته لجمع كلّ ما روي عن المعصوم، سواء كان الراوي ضعيفًا، أو لا ؛ و لا يكون الداعي لذلک إلّا الجمع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هنا ما عثرنا عليه من النسخ الخطّية، ولم نظفر على نسخة أكمل منهاو لعلّ الله تعالى يحدث بعد ذلک أمرًا </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943_78381"/>
      <w:bookmarkStart w:id="74" w:name="pg7943_78381"/>
      <w:bookmarkEnd w:id="74"/>
    </w:p>
    <w:p>
      <w:pPr>
        <w:pStyle w:val="Heading2"/>
        <w:numPr>
          <w:ilvl w:val="1"/>
          <w:numId w:val="1"/>
        </w:numPr>
        <w:rPr/>
      </w:pPr>
      <w:bookmarkStart w:id="75" w:name="pg7943_78381"/>
      <w:bookmarkStart w:id="76" w:name="__RefHeading___Toc6740679_1051229030"/>
      <w:bookmarkStart w:id="77" w:name="_Toc26"/>
      <w:bookmarkEnd w:id="75"/>
      <w:bookmarkEnd w:id="76"/>
      <w:r>
        <w:rPr>
          <w:rtl w:val="true"/>
        </w:rPr>
        <w:t>فهرس مصادر التحقيق</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الراغبين في سلسلة آل شرف الدين، للإمام السيّد عبدالحسين شرف الدين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المطبوعة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السيّد عبدالحسين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العلوم والثقافة الإسلاميّة، دار المؤرّخ العربي، بيروت،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للسيّد مصلح الدّين المهدوي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مسجد السيّد، اصفهان،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الأبرار، للحاج السيّد محمّد باقر حجّة الإسلام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مسجد السيّد باصفهان، مطبعة سيّد الشهداء،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فيما جاء من الحكم والمواعظ عن آل الرسول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علي أكبر الغفّاريّ، مؤسّسة النشر الإسلامي،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القبور، للشيخ عبد الكريم الجزي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مآثر الباقريّة، ميرزا محمّد على زوّاره‌اى </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حسين مسجدى، سازمان تفريحى فرهنگى شهردارى،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أمل الآمل، للسيّد حسن الصدر الكاظميني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على محفوظ وعبدالكريم و عدنان الدبّاغ، دار المؤرخ العربي،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 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 عقاب الأعمال ،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مهدي السيّد حسن الخرسان، منشورات الشريف الرضي،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للشرائع، لنجيب الدّين يحيى بن أحمد بن سعيد الحلّي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بإشراف الشيخ السبحاني، المطبعة العلمية،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الكبير، لأبي الحسن عليّ بن محمّد بن حبيب الماوردي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اللامعة للبهجة المرضيّة، للعلّامة المحقّق الحاجّ السيّد محمّد باقر بن محمّد نقي الموسويّ الجيلانيّ الشفتيّ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مكتبة مسجد السيّد بأصفهان، شب افروز، الطبعة الأولى، تهران،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النشر الإسلامي،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الخراساني والسيّد جواد الشهرستاني والشيخ مهدي نجف،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للسيّد مصلح الدين المهدوي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گلدسته، اصفهان،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لابن الغضائري أحمد بن حسين بن عبيدالله الغضائري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w:t>
      </w:r>
    </w:p>
    <w:p>
      <w:pPr>
        <w:pStyle w:val="BookText"/>
        <w:rPr/>
      </w:pPr>
      <w:r>
        <w:rPr>
          <w:rFonts w:ascii="IRNazanin" w:hAnsi="IRNazanin" w:eastAsia="IRNazanin"/>
          <w:color w:val="111111"/>
          <w:sz w:val="28"/>
          <w:sz w:val="28"/>
          <w:szCs w:val="28"/>
          <w:rtl w:val="true"/>
          <w:lang w:bidi="fa-IR"/>
        </w:rPr>
        <w:t xml:space="preserve">ضمن مجمع الرجال للقهپائي، مؤسّسة إسماعيليان ،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لأحمد بن محمّد بن خالد البرقي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 لتقي الدّين الحسن بن عليّ بن داود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المطبعة الحيدريّة، النجف الأشرف،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 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الإصفهاني، مؤسسة النشر الإسلامي التابعة لجماعة المدرسين،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مصنّفي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العبّاس أحمد بن عليّ بن أحمد بن العبّاس النجاشي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موسى الشبيري الزنجاني، نشر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الرجاليّة ، للسيّد محمّد باقر بن محمّد نقي الشفتي المشهور بحجّة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مسجد السيّد بإصفهان،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في علم الدراية، للشهيد الثاني زين الدّين بن علىّ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عبدالحسين محمّد علي بقال، مكتبة آية الله المرعشي،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في أحوال العلماء والسادات، للسيّد محمّد باقر الموسوي الچهارسوقي، مؤسّسة اسماعيليان،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 للشهيد الثاني زين الدّين بن علىّ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جامعة النجف الدينيّة،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الطرق الشفيعيّة، للسيّد محمّد شفيع بن علي أكبر الجاپلقي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 الحجري، تهران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في تحقيق الأحكام بالدلائل ، 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لميرزا محمّد علي المدرّس، خيام، تهران، الطبعة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 لمحمّد بن منصور بن أحمد بن إدريس العجلي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في مسائل الحلال والحرام، للمحقّق الحلّي الشيخ أبي القاسم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تعليق السيّد صادق الشيرازي، نشر انتشارات الاستقلال،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الصغير، 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آية الله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بن عبدالغفور عطار،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للشيخ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اسماعيليان، قم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في معرفة طبقات الرجال ، للسيّد علي أصغر بن محمّد شفيع الجابلقي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مكتبة آية الله المرعشي،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من شعراء الشيعة، للشيخ محمّد السماوي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كامل سلمان الجبوري، دار المؤرّخ العربي،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 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لأبي طاهر مجد الدّين محمّد بن يعقوب الفيروزآبادي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دار العلم، بيروت،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العلماء، لميرزا محمّد بن سليمان التنكابني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قبل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علميّه إسلاميّه،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في معرفة الحلال والحرام ،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لأبي جعفر ثقة الإسلام 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نشر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البررة، للشيخ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للشيخ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تهران،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لجمال الدّين محمّد بن مكرم بن منظور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في فقه الإماميّة ، للشهيد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عليّ الكوراني، دار الفكر،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 حاضرها، للشيخ جعفر الشيخ باقر آل محبوبة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محمّد سعيد آل محبوبه، دار الاضواء،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الكشفي، نشر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و مطلع النيّرين ، للشيخ فخر الدّين محمّد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النافع ، للمحقّق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القمي، نشر مؤسّسة البعثة، 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طبع دار التقريب، 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في أحكام الشريعة ، للعلّامة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مؤسسة النشر الإسلامي التابعة لجماعة المدرسين،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الأحكام في شرح شرائع الإسلام ، للسيّد محمّد بن عليّ الموسويّ العامليّ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نشر 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الكتب، ثقة الإسلام التبريزي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قم، </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الشمسين و إكسير السعادتين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بهاء الدّين محمّد بن الحسين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تعليقات العلّامة محمّد إسماعيل الخواجوئي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مهدي الرجائي، نشر مجمع البحوث الإسلاميّة، مشهد،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الأنوار، للحاجّ السيّد محمّد باقر الشفتي، المعروف بحجّة الإسلام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الأفست، مكتبة مسجد السيّد، نشاط، اصفهان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 ، و</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في فهرست كتب الشيعة و أسماء المصنّفين منهم قديمًا وحديثًا، لأبي جعفر محمّد بن علي 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الفقاهة،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عمر رضا كحالة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بيروت، بدون 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محمّد عليّ المعلّم حبيب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انجمن كتابخانه‌هاى عمومى اصفهان،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 للقاضي إبن البرّاج أبي القاسم عبدالعزيز بن نحرير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جعفر السبحاني، نشر جامعة المدرّسين،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في القرن الرابع عشر، للشيخ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 للسيّد مصطفى بن الحسين الحسيني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مجرّد الفقه والفتاوي ،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الأندلس،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في الرجال، للعلّامة محمّد باقر المجلسيّ، تحقيق محمّد كاظم رحمان ستايش، وزارة الثقافة والارشاد الاسلامي، تهران،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7943_78395"/>
      <w:bookmarkStart w:id="79" w:name="pg7943_78395"/>
      <w:bookmarkEnd w:id="79"/>
    </w:p>
    <w:p>
      <w:pPr>
        <w:pStyle w:val="Heading2"/>
        <w:numPr>
          <w:ilvl w:val="1"/>
          <w:numId w:val="1"/>
        </w:numPr>
        <w:rPr/>
      </w:pPr>
      <w:bookmarkStart w:id="80" w:name="pg7943_78395"/>
      <w:bookmarkStart w:id="81" w:name="__RefHeading___Toc6740681_1051229030"/>
      <w:bookmarkStart w:id="82" w:name="_Toc27"/>
      <w:bookmarkEnd w:id="80"/>
      <w:bookmarkEnd w:id="81"/>
      <w:r>
        <w:rPr>
          <w:rtl w:val="true"/>
        </w:rPr>
        <w:t>فهرس المحتويات</w:t>
      </w:r>
      <w:bookmarkEnd w:id="82"/>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لمحةٌ من حياة المؤلّف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اسمه و نسبه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ولادته و نشأته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إطراء العلماء له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زهده و عبادته </w:t>
      </w:r>
      <w:r>
        <w:rPr>
          <w:rFonts w:eastAsia="IRNazanin" w:cs="IRNazanin"/>
          <w:color w:val="111111"/>
          <w:sz w:val="28"/>
          <w:szCs w:val="28"/>
          <w:lang w:bidi="fa-IR"/>
        </w:rPr>
        <w:t>14</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إقامته الحدود الشرعيّة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مشايخ روايته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تآليفه القيّمة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الكتب والرسائل الفقهيّة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الكتب والرسائل الحديثيّة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الكتب والرسائل الأصوليّة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الكتب والرسائل الرجاليّة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الكتب والرسائل المتفرّقة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وفاته و مرقده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يدي الكتاب </w:t>
      </w:r>
      <w:r>
        <w:rPr>
          <w:rFonts w:eastAsia="Amiri" w:cs="Amiri" w:ascii="Amiri" w:hAnsi="Amiri"/>
          <w:color w:val="111111"/>
          <w:sz w:val="28"/>
          <w:szCs w:val="28"/>
          <w:lang w:bidi="ar-SA"/>
        </w:rPr>
        <w:t>47</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منهجنا في التحقيق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جواز الاتّكال بقول النساء في انتفاء موانع النكاح فيها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الكلام في تعيين طبقة أحمد بن محمّد بن خالد البرقي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الكلام في حال أحمد بن محمّد بن خالد البرقي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81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والثاني؛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ومشاهير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صاحب الترجمة في ديباجة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صاحب الترجمة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إجازاته،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المولى الساطع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فزنا بالاستفادة من جنابه في أوائل التحصيل في علم الأصول، و قرأنا عليه من مصنّفاتهما هو مشهور بالفوائد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حواشي بعض إجازاته،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مجاورةالعتبات العاليات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وانتقلنا منها إلى ديار العجم فيسنة خمس ومائتين بعد الألف، وكان مولانا مولى الكلّ آقا محمّد باقر البهبهاني في الحيات،ثمّ انتقل إلى الفردوس الأعلى في سنة ستّ ومائتين بعد الألف قدّس الله تعالى روحه السعيد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المترجم 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بعض إجازاته ما هذا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ميرعبدالباقي إلى دار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ورودي في اصبهان في سنة سبعو مائتين بعد الألف 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سيّدنا المترجم ؛ في حاشية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اتّفق لي فيسنة مائتين وخمس عشر بعد الألف الارتحال من اصبهان إلى بلدة قم، و مكثت فيها أربعةأشهر أو أكثر، و كنت مشتغلاً بكتابة هذا المجلّد من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مناسكه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بذلک الميرزا حبيب الله نيّر ؛ ضمن مرثيته للمترجم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أولاد الزهراء استرد لهممن غاصبي فدک في طوفه الحرما</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التاريخ معاصره الأديب الفاضل الميرزا محمّد علي الطباطبائي الزوّاري،المتخلّص بوفا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تذكرته الموسومة بالمآثر الباقريّة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الّتيجمع فيها بعض من القصائد والمقطّعات الّتي أنشدها الشعراء في مدح حجّة الإسلام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ووصف مسجده الأعظم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محلّات أصفهان العظيمة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أحكام القناة للمترجم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أحكام 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للعلّامة المحقّق السيّد أسد الله الشفتي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إجازة كبيرة مبسوطة، تاريخها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عيد الفطر سنة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أوّلها بعد البسملة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والصلوة على رسول الله و على آله أولياء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طبعت مصوّرتها بتمامها في</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لبابالألقاب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نجومالسماء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معاصرين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بزرگان ودانشمنداناصفهان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دانشمندان وبزرگاناصفهان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الفكروالأدب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ملّى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الميرزا أبوالقاسم بن محمّد مهدي النراقي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ملخّصالمقال في دفع القيل والقال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الردّ على هذه الرسالة إجابة لسؤال أخيه المولى أحمدالمذكور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المخطوطة منه موجودة في المكتبة المرعشيّة برقم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مذكورة فيفهرسها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مخطوط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في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العلّامة السيّد محمّد صادق بن زينالعابدين 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مقدّمة مناهج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ضياء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نينوا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مضافًا إلى الوجوه الّتي أبرزناها في مقام ترجيح أقربالمجازات على غيره فيما علّقناه في أصول المعالم في مباحث المجمل والمبيّن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الميرزا عبدالوهّاب الشريف ابن محمّد علي القزوينيّ، من أكابر تلامذته والمجازين منهبإجازة كبيرة مبسوطة، ذكر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ألّف أوّلاً رسالة فارسيّةمختصرة، وأخرى عربيّة في مسائل التقليد، ثمّ بعد ما رأى رسالة حجّة الإسلام في التقليدوإيجابه على المقلّد العدول إلى المجتهد الحيّ بعد موت من كان يقلّده، كتب هذه الرسالة ناقلاًلعين عبارات حجّة الإسلام، ثمّ الردّ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والكرامالبررة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السيّد حجّة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الرسالة الثانية بأنّه كتب في تحقيق أحواله رسالتان، حيثقال في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كتبت في سالف الزمان رسالة في تحقيق الحال في إبراهيم بن هاشموأغفلت فيها بعض ما ينبغي التنبيه عليه، أبرزت هذه الكلمات في ذلک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بن اسماعيل الواقع في صدر بعض أسانيد الكافي،للسيّد حجّة الإسلام الاصفهاني، طبعت مع رسائله، فرغ من أصله سنة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ثمّ بعد مدّةكتب عليه حاشية منه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مكتبة كليّة الإلهيّات في 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مطابق لما كتبه صاحب الروضات ؛ في بياضه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النهريّة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مطابق لما كتبه العلّامة الشيخ محمّد جعفر بن محمّد إبراهيم الكرباسي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ظهر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في شرح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 مخطوطاتمكتبة مركز إحياء التراث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كذلک العالم الفاضل الشاعررضا قليخان هما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اول حمل و دويم ربيع دويمزدامگاه جهان شد بسوى دار سلامبلفظ تازى تاريخ رحلتش گفتمچو بشمرى مأتين است و ألف و ستّين عام</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تقوم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نكاح المتعة و شروطه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متّهمة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ذلک يؤخّر بصلتک قرابتک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يجاهر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ميسرة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الرسائل الرجاليّة، للمصنّف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رسالة المصنّف ؛ في تحقيق الحال فيه، الّتي طبعت ضمن رسائله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أضاف عن ابن الغضائريّأنّه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كتابًا فيه وساطة بين أحمد بن محمّد بن عيسى و أحمد بن محمّد بن خالد،ولمّا توّفي مشى أحمد بن محمّد بن عيسى في جنازته، إلى آخره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النصريّ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النصريّ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13825</Words>
  <Characters>52163</Characters>
  <CharactersWithSpaces>65354</CharactersWithSpaces>
  <Paragraphs>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2026-08-27T13:36:19Z</dcterms:created>
  <dc:creator>ghaemiyeh.com</dc:creator>
  <dc:description/>
  <dc:language>en-US</dc:language>
  <cp:lastModifiedBy/>
  <dcterms:modified xsi:type="dcterms:W3CDTF">2026-08-27T17:06:22Z</dcterms:modified>
  <cp:revision>1</cp:revision>
  <dc:subject/>
  <dc:title>رسالة فی جواز الاتّکال بقول النساء فی انتفاء موانع النکاح فیها</dc:title>
</cp:coreProperties>
</file>

<file path=docProps/custom.xml><?xml version="1.0" encoding="utf-8"?>
<Properties xmlns="http://schemas.openxmlformats.org/officeDocument/2006/custom-properties" xmlns:vt="http://schemas.openxmlformats.org/officeDocument/2006/docPropsVTypes"/>
</file>