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بحوث فی الفقه المقالات العشر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55105_105122903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6355107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355109_1051229030">
            <w:r>
              <w:rPr>
                <w:webHidden/>
                <w:rStyle w:val="IndexLink"/>
                <w:rtl w:val="true"/>
              </w:rPr>
              <w:t>محتویات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6355111_1051229030">
            <w:r>
              <w:rPr>
                <w:webHidden/>
                <w:rStyle w:val="IndexLink"/>
                <w:rtl w:val="true"/>
              </w:rPr>
              <w:t>الإهداء</w:t>
            </w:r>
            <w:r>
              <w:rPr>
                <w:rStyle w:val="IndexLink"/>
                <w:rtl w:val="true"/>
              </w:rPr>
              <w:tab/>
            </w:r>
            <w:r>
              <w:rPr>
                <w:rStyle w:val="IndexLink"/>
              </w:rPr>
              <w:t>21</w:t>
            </w:r>
          </w:hyperlink>
        </w:p>
        <w:p>
          <w:pPr>
            <w:pStyle w:val="Contents2"/>
            <w:tabs>
              <w:tab w:val="clear" w:pos="8743"/>
              <w:tab w:val="right" w:pos="9026" w:leader="dot"/>
            </w:tabs>
            <w:rPr/>
          </w:pPr>
          <w:hyperlink w:anchor="__RefHeading___Toc6355113_1051229030">
            <w:r>
              <w:rPr>
                <w:webHidden/>
                <w:rStyle w:val="IndexLink"/>
                <w:rtl w:val="true"/>
              </w:rPr>
              <w:t>المقدّمة</w:t>
            </w:r>
            <w:r>
              <w:rPr>
                <w:rStyle w:val="IndexLink"/>
                <w:rtl w:val="true"/>
              </w:rPr>
              <w:tab/>
            </w:r>
            <w:r>
              <w:rPr>
                <w:rStyle w:val="IndexLink"/>
              </w:rPr>
              <w:t>25</w:t>
            </w:r>
          </w:hyperlink>
        </w:p>
        <w:p>
          <w:pPr>
            <w:pStyle w:val="Contents2"/>
            <w:tabs>
              <w:tab w:val="clear" w:pos="8743"/>
              <w:tab w:val="right" w:pos="9026" w:leader="dot"/>
            </w:tabs>
            <w:rPr/>
          </w:pPr>
          <w:hyperlink w:anchor="__RefHeading___Toc6355115_1051229030">
            <w:r>
              <w:rPr>
                <w:webHidden/>
                <w:rStyle w:val="IndexLink"/>
                <w:rtl w:val="true"/>
              </w:rPr>
              <w:t>المقالة الاُولی</w:t>
            </w:r>
            <w:r>
              <w:rPr>
                <w:rStyle w:val="IndexLink"/>
                <w:rtl w:val="true"/>
              </w:rPr>
              <w:t>:</w:t>
            </w:r>
            <w:r>
              <w:rPr>
                <w:rStyle w:val="IndexLink"/>
                <w:rtl w:val="true"/>
              </w:rPr>
              <w:t>في كفاية الغسل عن الوضوء وعدمها</w:t>
            </w:r>
            <w:r>
              <w:rPr>
                <w:rStyle w:val="IndexLink"/>
                <w:rtl w:val="true"/>
              </w:rPr>
              <w:tab/>
            </w:r>
            <w:r>
              <w:rPr>
                <w:rStyle w:val="IndexLink"/>
              </w:rPr>
              <w:t>27</w:t>
            </w:r>
          </w:hyperlink>
        </w:p>
        <w:p>
          <w:pPr>
            <w:pStyle w:val="Contents2"/>
            <w:tabs>
              <w:tab w:val="clear" w:pos="8743"/>
              <w:tab w:val="right" w:pos="9026" w:leader="dot"/>
            </w:tabs>
            <w:rPr/>
          </w:pPr>
          <w:hyperlink w:anchor="__RefHeading___Toc6355117_1051229030">
            <w:r>
              <w:rPr>
                <w:webHidden/>
                <w:rStyle w:val="IndexLink"/>
                <w:rtl w:val="true"/>
              </w:rPr>
              <w:t>بيان أقوال المسئلة</w:t>
            </w:r>
            <w:r>
              <w:rPr>
                <w:rStyle w:val="IndexLink"/>
                <w:rtl w:val="true"/>
              </w:rPr>
              <w:t>:</w:t>
              <w:tab/>
            </w:r>
            <w:r>
              <w:rPr>
                <w:rStyle w:val="IndexLink"/>
              </w:rPr>
              <w:t>31</w:t>
            </w:r>
          </w:hyperlink>
        </w:p>
        <w:p>
          <w:pPr>
            <w:pStyle w:val="Contents2"/>
            <w:tabs>
              <w:tab w:val="clear" w:pos="8743"/>
              <w:tab w:val="right" w:pos="9026" w:leader="dot"/>
            </w:tabs>
            <w:rPr/>
          </w:pPr>
          <w:hyperlink w:anchor="__RefHeading___Toc6355119_1051229030">
            <w:r>
              <w:rPr>
                <w:webHidden/>
                <w:rStyle w:val="IndexLink"/>
                <w:rtl w:val="true"/>
              </w:rPr>
              <w:t>ما هو مقتضی القاعدة في المقام؟</w:t>
            </w:r>
            <w:r>
              <w:rPr>
                <w:rStyle w:val="IndexLink"/>
                <w:rtl w:val="true"/>
              </w:rPr>
              <w:tab/>
            </w:r>
            <w:r>
              <w:rPr>
                <w:rStyle w:val="IndexLink"/>
              </w:rPr>
              <w:t>35</w:t>
            </w:r>
          </w:hyperlink>
        </w:p>
        <w:p>
          <w:pPr>
            <w:pStyle w:val="Contents2"/>
            <w:tabs>
              <w:tab w:val="clear" w:pos="8743"/>
              <w:tab w:val="right" w:pos="9026" w:leader="dot"/>
            </w:tabs>
            <w:rPr/>
          </w:pPr>
          <w:hyperlink w:anchor="__RefHeading___Toc6355121_1051229030">
            <w:r>
              <w:rPr>
                <w:webHidden/>
                <w:rStyle w:val="IndexLink"/>
                <w:rtl w:val="true"/>
              </w:rPr>
              <w:t>الكلام في أدلّة الأقوال</w:t>
            </w:r>
            <w:r>
              <w:rPr>
                <w:rStyle w:val="IndexLink"/>
                <w:rtl w:val="true"/>
              </w:rPr>
              <w:t>:</w:t>
              <w:tab/>
            </w:r>
            <w:r>
              <w:rPr>
                <w:rStyle w:val="IndexLink"/>
              </w:rPr>
              <w:t>38</w:t>
            </w:r>
          </w:hyperlink>
        </w:p>
        <w:p>
          <w:pPr>
            <w:pStyle w:val="Contents2"/>
            <w:tabs>
              <w:tab w:val="clear" w:pos="8743"/>
              <w:tab w:val="right" w:pos="9026" w:leader="dot"/>
            </w:tabs>
            <w:rPr/>
          </w:pPr>
          <w:hyperlink w:anchor="__RefHeading___Toc6355123_1051229030">
            <w:r>
              <w:rPr>
                <w:webHidden/>
                <w:rStyle w:val="IndexLink"/>
                <w:rtl w:val="true"/>
              </w:rPr>
              <w:t>الرّأی المختار في المقام</w:t>
            </w:r>
            <w:r>
              <w:rPr>
                <w:rStyle w:val="IndexLink"/>
                <w:rtl w:val="true"/>
              </w:rPr>
              <w:t>:</w:t>
              <w:tab/>
            </w:r>
            <w:r>
              <w:rPr>
                <w:rStyle w:val="IndexLink"/>
              </w:rPr>
              <w:t>54</w:t>
            </w:r>
          </w:hyperlink>
        </w:p>
        <w:p>
          <w:pPr>
            <w:pStyle w:val="Contents2"/>
            <w:tabs>
              <w:tab w:val="clear" w:pos="8743"/>
              <w:tab w:val="right" w:pos="9026" w:leader="dot"/>
            </w:tabs>
            <w:rPr/>
          </w:pPr>
          <w:hyperlink w:anchor="__RefHeading___Toc6355125_1051229030">
            <w:r>
              <w:rPr>
                <w:webHidden/>
                <w:rStyle w:val="IndexLink"/>
                <w:rtl w:val="true"/>
              </w:rPr>
              <w:t>بقی هنا فروعٌ</w:t>
            </w:r>
            <w:r>
              <w:rPr>
                <w:rStyle w:val="IndexLink"/>
                <w:rtl w:val="true"/>
              </w:rPr>
              <w:t>:</w:t>
              <w:tab/>
            </w:r>
            <w:r>
              <w:rPr>
                <w:rStyle w:val="IndexLink"/>
              </w:rPr>
              <w:t>56</w:t>
            </w:r>
          </w:hyperlink>
        </w:p>
        <w:p>
          <w:pPr>
            <w:pStyle w:val="Contents2"/>
            <w:tabs>
              <w:tab w:val="clear" w:pos="8743"/>
              <w:tab w:val="right" w:pos="9026" w:leader="dot"/>
            </w:tabs>
            <w:rPr/>
          </w:pPr>
          <w:hyperlink w:anchor="__RefHeading___Toc6355127_1051229030">
            <w:r>
              <w:rPr>
                <w:webHidden/>
                <w:rStyle w:val="IndexLink"/>
                <w:rtl w:val="true"/>
              </w:rPr>
              <w:t>الفرع الأوّل</w:t>
            </w:r>
            <w:r>
              <w:rPr>
                <w:rStyle w:val="IndexLink"/>
                <w:rtl w:val="true"/>
              </w:rPr>
              <w:t xml:space="preserve">: </w:t>
            </w:r>
            <w:r>
              <w:rPr>
                <w:rStyle w:val="IndexLink"/>
                <w:rtl w:val="true"/>
              </w:rPr>
              <w:t>في حدوث الحدث الأصغر أثناء غُسل الجنابة</w:t>
            </w:r>
            <w:r>
              <w:rPr>
                <w:rStyle w:val="IndexLink"/>
                <w:rtl w:val="true"/>
              </w:rPr>
              <w:t>:</w:t>
              <w:tab/>
            </w:r>
            <w:r>
              <w:rPr>
                <w:rStyle w:val="IndexLink"/>
              </w:rPr>
              <w:t>56</w:t>
            </w:r>
          </w:hyperlink>
        </w:p>
        <w:p>
          <w:pPr>
            <w:pStyle w:val="Contents2"/>
            <w:tabs>
              <w:tab w:val="clear" w:pos="8743"/>
              <w:tab w:val="right" w:pos="9026" w:leader="dot"/>
            </w:tabs>
            <w:rPr/>
          </w:pPr>
          <w:hyperlink w:anchor="__RefHeading___Toc6355129_1051229030">
            <w:r>
              <w:rPr>
                <w:webHidden/>
                <w:rStyle w:val="IndexLink"/>
                <w:rtl w:val="true"/>
              </w:rPr>
              <w:t>الفرع الثانی</w:t>
            </w:r>
            <w:r>
              <w:rPr>
                <w:rStyle w:val="IndexLink"/>
                <w:rtl w:val="true"/>
              </w:rPr>
              <w:t xml:space="preserve">: </w:t>
            </w:r>
            <w:r>
              <w:rPr>
                <w:rStyle w:val="IndexLink"/>
                <w:rtl w:val="true"/>
              </w:rPr>
              <w:t>في الجمع بين الغُسل والوضوء</w:t>
            </w:r>
            <w:r>
              <w:rPr>
                <w:rStyle w:val="IndexLink"/>
                <w:rtl w:val="true"/>
              </w:rPr>
              <w:tab/>
            </w:r>
            <w:r>
              <w:rPr>
                <w:rStyle w:val="IndexLink"/>
              </w:rPr>
              <w:t>60</w:t>
            </w:r>
          </w:hyperlink>
        </w:p>
        <w:p>
          <w:pPr>
            <w:pStyle w:val="Contents2"/>
            <w:tabs>
              <w:tab w:val="clear" w:pos="8743"/>
              <w:tab w:val="right" w:pos="9026" w:leader="dot"/>
            </w:tabs>
            <w:rPr/>
          </w:pPr>
          <w:hyperlink w:anchor="__RefHeading___Toc6355131_1051229030">
            <w:r>
              <w:rPr>
                <w:webHidden/>
                <w:rStyle w:val="IndexLink"/>
                <w:rtl w:val="true"/>
              </w:rPr>
              <w:t>بقی هنا شیء</w:t>
            </w:r>
            <w:r>
              <w:rPr>
                <w:rStyle w:val="IndexLink"/>
                <w:rtl w:val="true"/>
              </w:rPr>
              <w:t>:</w:t>
              <w:tab/>
            </w:r>
            <w:r>
              <w:rPr>
                <w:rStyle w:val="IndexLink"/>
              </w:rPr>
              <w:t>65</w:t>
            </w:r>
          </w:hyperlink>
        </w:p>
        <w:p>
          <w:pPr>
            <w:pStyle w:val="Contents2"/>
            <w:tabs>
              <w:tab w:val="clear" w:pos="8743"/>
              <w:tab w:val="right" w:pos="9026" w:leader="dot"/>
            </w:tabs>
            <w:rPr/>
          </w:pPr>
          <w:hyperlink w:anchor="__RefHeading___Toc6355133_1051229030">
            <w:r>
              <w:rPr>
                <w:webHidden/>
                <w:rStyle w:val="IndexLink"/>
                <w:rtl w:val="true"/>
              </w:rPr>
              <w:t>الفرع الثالث</w:t>
            </w:r>
            <w:r>
              <w:rPr>
                <w:rStyle w:val="IndexLink"/>
                <w:rtl w:val="true"/>
              </w:rPr>
              <w:t xml:space="preserve">: </w:t>
            </w:r>
            <w:r>
              <w:rPr>
                <w:rStyle w:val="IndexLink"/>
                <w:rtl w:val="true"/>
              </w:rPr>
              <w:t>كفاية الغُسل عن الوضوء في سائر الأغسال إذا اتّحدت مع الجنابة</w:t>
            </w:r>
            <w:r>
              <w:rPr>
                <w:rStyle w:val="IndexLink"/>
                <w:rtl w:val="true"/>
              </w:rPr>
              <w:t>:</w:t>
              <w:tab/>
            </w:r>
            <w:r>
              <w:rPr>
                <w:rStyle w:val="IndexLink"/>
              </w:rPr>
              <w:t>66</w:t>
            </w:r>
          </w:hyperlink>
        </w:p>
        <w:p>
          <w:pPr>
            <w:pStyle w:val="Contents2"/>
            <w:tabs>
              <w:tab w:val="clear" w:pos="8743"/>
              <w:tab w:val="right" w:pos="9026" w:leader="dot"/>
            </w:tabs>
            <w:rPr/>
          </w:pPr>
          <w:hyperlink w:anchor="__RefHeading___Toc6355135_1051229030">
            <w:r>
              <w:rPr>
                <w:webHidden/>
                <w:rStyle w:val="IndexLink"/>
                <w:rtl w:val="true"/>
              </w:rPr>
              <w:t>الفرع الرابع</w:t>
            </w:r>
            <w:r>
              <w:rPr>
                <w:rStyle w:val="IndexLink"/>
                <w:rtl w:val="true"/>
              </w:rPr>
              <w:t xml:space="preserve">: </w:t>
            </w:r>
            <w:r>
              <w:rPr>
                <w:rStyle w:val="IndexLink"/>
                <w:rtl w:val="true"/>
              </w:rPr>
              <w:t>في الأغسال المسنونة ومصاديقها</w:t>
            </w:r>
            <w:r>
              <w:rPr>
                <w:rStyle w:val="IndexLink"/>
                <w:rtl w:val="true"/>
              </w:rPr>
              <w:t>:</w:t>
              <w:tab/>
            </w:r>
            <w:r>
              <w:rPr>
                <w:rStyle w:val="IndexLink"/>
              </w:rPr>
              <w:t>68</w:t>
            </w:r>
          </w:hyperlink>
        </w:p>
        <w:p>
          <w:pPr>
            <w:pStyle w:val="Contents2"/>
            <w:tabs>
              <w:tab w:val="clear" w:pos="8743"/>
              <w:tab w:val="right" w:pos="9026" w:leader="dot"/>
            </w:tabs>
            <w:rPr/>
          </w:pPr>
          <w:hyperlink w:anchor="__RefHeading___Toc6355137_1051229030">
            <w:r>
              <w:rPr>
                <w:webHidden/>
                <w:rStyle w:val="IndexLink"/>
                <w:rtl w:val="true"/>
              </w:rPr>
              <w:t>أمّا الزّمانيّة فأغسال</w:t>
            </w:r>
            <w:r>
              <w:rPr>
                <w:rStyle w:val="IndexLink"/>
                <w:rtl w:val="true"/>
              </w:rPr>
              <w:t>:</w:t>
              <w:tab/>
            </w:r>
            <w:r>
              <w:rPr>
                <w:rStyle w:val="IndexLink"/>
              </w:rPr>
              <w:t>70</w:t>
            </w:r>
          </w:hyperlink>
        </w:p>
        <w:p>
          <w:pPr>
            <w:pStyle w:val="Contents2"/>
            <w:tabs>
              <w:tab w:val="clear" w:pos="8743"/>
              <w:tab w:val="right" w:pos="9026" w:leader="dot"/>
            </w:tabs>
            <w:rPr/>
          </w:pPr>
          <w:hyperlink w:anchor="__RefHeading___Toc6355139_1051229030">
            <w:r>
              <w:rPr>
                <w:webHidden/>
                <w:rStyle w:val="IndexLink"/>
                <w:rtl w:val="true"/>
              </w:rPr>
              <w:t>الأولی</w:t>
            </w:r>
            <w:r>
              <w:rPr>
                <w:rStyle w:val="IndexLink"/>
                <w:rtl w:val="true"/>
              </w:rPr>
              <w:t xml:space="preserve">: </w:t>
            </w:r>
            <w:r>
              <w:rPr>
                <w:rStyle w:val="IndexLink"/>
                <w:rtl w:val="true"/>
              </w:rPr>
              <w:t>غُسل الجمعة</w:t>
            </w:r>
            <w:r>
              <w:rPr>
                <w:rStyle w:val="IndexLink"/>
                <w:rtl w:val="true"/>
              </w:rPr>
              <w:t>:</w:t>
              <w:tab/>
            </w:r>
            <w:r>
              <w:rPr>
                <w:rStyle w:val="IndexLink"/>
              </w:rPr>
              <w:t>70</w:t>
            </w:r>
          </w:hyperlink>
        </w:p>
        <w:p>
          <w:pPr>
            <w:pStyle w:val="Contents2"/>
            <w:tabs>
              <w:tab w:val="clear" w:pos="8743"/>
              <w:tab w:val="right" w:pos="9026" w:leader="dot"/>
            </w:tabs>
            <w:rPr/>
          </w:pPr>
          <w:hyperlink w:anchor="__RefHeading___Toc6355141_1051229030">
            <w:r>
              <w:rPr>
                <w:webHidden/>
                <w:rStyle w:val="IndexLink"/>
                <w:rtl w:val="true"/>
              </w:rPr>
              <w:t>والثّانية والثّالثة</w:t>
            </w:r>
            <w:r>
              <w:rPr>
                <w:rStyle w:val="IndexLink"/>
                <w:rtl w:val="true"/>
              </w:rPr>
              <w:t xml:space="preserve">: </w:t>
            </w:r>
            <w:r>
              <w:rPr>
                <w:rStyle w:val="IndexLink"/>
                <w:rtl w:val="true"/>
              </w:rPr>
              <w:t>غُسل العيدين</w:t>
            </w:r>
            <w:r>
              <w:rPr>
                <w:rStyle w:val="IndexLink"/>
                <w:rtl w:val="true"/>
              </w:rPr>
              <w:t>:</w:t>
              <w:tab/>
            </w:r>
            <w:r>
              <w:rPr>
                <w:rStyle w:val="IndexLink"/>
              </w:rPr>
              <w:t>79</w:t>
            </w:r>
          </w:hyperlink>
        </w:p>
        <w:p>
          <w:pPr>
            <w:pStyle w:val="Contents2"/>
            <w:tabs>
              <w:tab w:val="clear" w:pos="8743"/>
              <w:tab w:val="right" w:pos="9026" w:leader="dot"/>
            </w:tabs>
            <w:rPr/>
          </w:pPr>
          <w:hyperlink w:anchor="__RefHeading___Toc6355143_1051229030">
            <w:r>
              <w:rPr>
                <w:webHidden/>
                <w:rStyle w:val="IndexLink"/>
                <w:rtl w:val="true"/>
              </w:rPr>
              <w:t>بقي هنا شیءٌ</w:t>
            </w:r>
            <w:r>
              <w:rPr>
                <w:rStyle w:val="IndexLink"/>
                <w:rtl w:val="true"/>
              </w:rPr>
              <w:t>:</w:t>
              <w:tab/>
            </w:r>
            <w:r>
              <w:rPr>
                <w:rStyle w:val="IndexLink"/>
              </w:rPr>
              <w:t>81</w:t>
            </w:r>
          </w:hyperlink>
        </w:p>
        <w:p>
          <w:pPr>
            <w:pStyle w:val="Contents2"/>
            <w:tabs>
              <w:tab w:val="clear" w:pos="8743"/>
              <w:tab w:val="right" w:pos="9026" w:leader="dot"/>
            </w:tabs>
            <w:rPr/>
          </w:pPr>
          <w:hyperlink w:anchor="__RefHeading___Toc6355145_1051229030">
            <w:r>
              <w:rPr>
                <w:webHidden/>
                <w:rStyle w:val="IndexLink"/>
                <w:rtl w:val="true"/>
              </w:rPr>
              <w:t>والرابعة</w:t>
            </w:r>
            <w:r>
              <w:rPr>
                <w:rStyle w:val="IndexLink"/>
                <w:rtl w:val="true"/>
              </w:rPr>
              <w:t xml:space="preserve">: </w:t>
            </w:r>
            <w:r>
              <w:rPr>
                <w:rStyle w:val="IndexLink"/>
                <w:rtl w:val="true"/>
              </w:rPr>
              <w:t>أغسال ليالی شهر رمضان</w:t>
            </w:r>
            <w:r>
              <w:rPr>
                <w:rStyle w:val="IndexLink"/>
                <w:rtl w:val="true"/>
              </w:rPr>
              <w:t>:</w:t>
              <w:tab/>
            </w:r>
            <w:r>
              <w:rPr>
                <w:rStyle w:val="IndexLink"/>
              </w:rPr>
              <w:t>83</w:t>
            </w:r>
          </w:hyperlink>
        </w:p>
        <w:p>
          <w:pPr>
            <w:pStyle w:val="Contents2"/>
            <w:tabs>
              <w:tab w:val="clear" w:pos="8743"/>
              <w:tab w:val="right" w:pos="9026" w:leader="dot"/>
            </w:tabs>
            <w:rPr/>
          </w:pPr>
          <w:hyperlink w:anchor="__RefHeading___Toc6355147_1051229030">
            <w:r>
              <w:rPr>
                <w:webHidden/>
                <w:rStyle w:val="IndexLink"/>
                <w:rtl w:val="true"/>
              </w:rPr>
              <w:t>وقت فعل الغسل في اللیالي المبارکة من شهر الصیام</w:t>
            </w:r>
            <w:r>
              <w:rPr>
                <w:rStyle w:val="IndexLink"/>
                <w:rtl w:val="true"/>
              </w:rPr>
              <w:t>:</w:t>
              <w:tab/>
            </w:r>
            <w:r>
              <w:rPr>
                <w:rStyle w:val="IndexLink"/>
              </w:rPr>
              <w:t>89</w:t>
            </w:r>
          </w:hyperlink>
        </w:p>
        <w:p>
          <w:pPr>
            <w:pStyle w:val="Contents2"/>
            <w:tabs>
              <w:tab w:val="clear" w:pos="8743"/>
              <w:tab w:val="right" w:pos="9026" w:leader="dot"/>
            </w:tabs>
            <w:rPr/>
          </w:pPr>
          <w:hyperlink w:anchor="__RefHeading___Toc6355149_1051229030">
            <w:r>
              <w:rPr>
                <w:webHidden/>
                <w:rStyle w:val="IndexLink"/>
                <w:rtl w:val="true"/>
              </w:rPr>
              <w:t>والخامسة والسّادسة</w:t>
            </w:r>
            <w:r>
              <w:rPr>
                <w:rStyle w:val="IndexLink"/>
                <w:rtl w:val="true"/>
              </w:rPr>
              <w:t xml:space="preserve">: </w:t>
            </w:r>
            <w:r>
              <w:rPr>
                <w:rStyle w:val="IndexLink"/>
                <w:rtl w:val="true"/>
              </w:rPr>
              <w:t>غُسل يومي التّروية وعرفة وهما الثّامن والتّاسع من ذی الحجّة</w:t>
            </w:r>
            <w:r>
              <w:rPr>
                <w:rStyle w:val="IndexLink"/>
                <w:rtl w:val="true"/>
              </w:rPr>
              <w:t>:</w:t>
              <w:tab/>
            </w:r>
            <w:r>
              <w:rPr>
                <w:rStyle w:val="IndexLink"/>
              </w:rPr>
              <w:t>91</w:t>
            </w:r>
          </w:hyperlink>
        </w:p>
        <w:p>
          <w:pPr>
            <w:pStyle w:val="Contents2"/>
            <w:tabs>
              <w:tab w:val="clear" w:pos="8743"/>
              <w:tab w:val="right" w:pos="9026" w:leader="dot"/>
            </w:tabs>
            <w:rPr/>
          </w:pPr>
          <w:hyperlink w:anchor="__RefHeading___Toc6355151_1051229030">
            <w:r>
              <w:rPr>
                <w:webHidden/>
                <w:rStyle w:val="IndexLink"/>
                <w:rtl w:val="true"/>
              </w:rPr>
              <w:t>والسّابعة</w:t>
            </w:r>
            <w:r>
              <w:rPr>
                <w:rStyle w:val="IndexLink"/>
                <w:rtl w:val="true"/>
              </w:rPr>
              <w:t xml:space="preserve">: </w:t>
            </w:r>
            <w:r>
              <w:rPr>
                <w:rStyle w:val="IndexLink"/>
                <w:rtl w:val="true"/>
              </w:rPr>
              <w:t>غُسل يوم المباهلة</w:t>
            </w:r>
            <w:r>
              <w:rPr>
                <w:rStyle w:val="IndexLink"/>
                <w:rtl w:val="true"/>
              </w:rPr>
              <w:t>:</w:t>
              <w:tab/>
            </w:r>
            <w:r>
              <w:rPr>
                <w:rStyle w:val="IndexLink"/>
              </w:rPr>
              <w:t>91</w:t>
            </w:r>
          </w:hyperlink>
        </w:p>
        <w:p>
          <w:pPr>
            <w:pStyle w:val="Contents2"/>
            <w:tabs>
              <w:tab w:val="clear" w:pos="8743"/>
              <w:tab w:val="right" w:pos="9026" w:leader="dot"/>
            </w:tabs>
            <w:rPr/>
          </w:pPr>
          <w:hyperlink w:anchor="__RefHeading___Toc6355153_1051229030">
            <w:r>
              <w:rPr>
                <w:webHidden/>
                <w:rStyle w:val="IndexLink"/>
                <w:rtl w:val="true"/>
              </w:rPr>
              <w:t>والثّامنة</w:t>
            </w:r>
            <w:r>
              <w:rPr>
                <w:rStyle w:val="IndexLink"/>
                <w:rtl w:val="true"/>
              </w:rPr>
              <w:t xml:space="preserve">: </w:t>
            </w:r>
            <w:r>
              <w:rPr>
                <w:rStyle w:val="IndexLink"/>
                <w:rtl w:val="true"/>
              </w:rPr>
              <w:t>غسل ليلة النّصف من شعبان</w:t>
            </w:r>
            <w:r>
              <w:rPr>
                <w:rStyle w:val="IndexLink"/>
                <w:rtl w:val="true"/>
              </w:rPr>
              <w:t>:</w:t>
              <w:tab/>
            </w:r>
            <w:r>
              <w:rPr>
                <w:rStyle w:val="IndexLink"/>
              </w:rPr>
              <w:t>93</w:t>
            </w:r>
          </w:hyperlink>
        </w:p>
        <w:p>
          <w:pPr>
            <w:pStyle w:val="Contents2"/>
            <w:tabs>
              <w:tab w:val="clear" w:pos="8743"/>
              <w:tab w:val="right" w:pos="9026" w:leader="dot"/>
            </w:tabs>
            <w:rPr/>
          </w:pPr>
          <w:hyperlink w:anchor="__RefHeading___Toc6355155_1051229030">
            <w:r>
              <w:rPr>
                <w:webHidden/>
                <w:rStyle w:val="IndexLink"/>
                <w:rtl w:val="true"/>
              </w:rPr>
              <w:t>والتّاسعة</w:t>
            </w:r>
            <w:r>
              <w:rPr>
                <w:rStyle w:val="IndexLink"/>
                <w:rtl w:val="true"/>
              </w:rPr>
              <w:t xml:space="preserve">: </w:t>
            </w:r>
            <w:r>
              <w:rPr>
                <w:rStyle w:val="IndexLink"/>
                <w:rtl w:val="true"/>
              </w:rPr>
              <w:t>غسل يوم الغدير</w:t>
            </w:r>
            <w:r>
              <w:rPr>
                <w:rStyle w:val="IndexLink"/>
                <w:rtl w:val="true"/>
              </w:rPr>
              <w:t>:</w:t>
              <w:tab/>
            </w:r>
            <w:r>
              <w:rPr>
                <w:rStyle w:val="IndexLink"/>
              </w:rPr>
              <w:t>93</w:t>
            </w:r>
          </w:hyperlink>
        </w:p>
        <w:p>
          <w:pPr>
            <w:pStyle w:val="Contents2"/>
            <w:tabs>
              <w:tab w:val="clear" w:pos="8743"/>
              <w:tab w:val="right" w:pos="9026" w:leader="dot"/>
            </w:tabs>
            <w:rPr/>
          </w:pPr>
          <w:hyperlink w:anchor="__RefHeading___Toc6355157_1051229030">
            <w:r>
              <w:rPr>
                <w:webHidden/>
                <w:rStyle w:val="IndexLink"/>
                <w:rtl w:val="true"/>
              </w:rPr>
              <w:t>وأمّا الأغسال المكانيّة</w:t>
            </w:r>
            <w:r>
              <w:rPr>
                <w:rStyle w:val="IndexLink"/>
                <w:rtl w:val="true"/>
              </w:rPr>
              <w:t>:</w:t>
              <w:tab/>
            </w:r>
            <w:r>
              <w:rPr>
                <w:rStyle w:val="IndexLink"/>
              </w:rPr>
              <w:t>95</w:t>
            </w:r>
          </w:hyperlink>
        </w:p>
        <w:p>
          <w:pPr>
            <w:pStyle w:val="Contents2"/>
            <w:tabs>
              <w:tab w:val="clear" w:pos="8743"/>
              <w:tab w:val="right" w:pos="9026" w:leader="dot"/>
            </w:tabs>
            <w:rPr/>
          </w:pPr>
          <w:hyperlink w:anchor="__RefHeading___Toc6355159_1051229030">
            <w:r>
              <w:rPr>
                <w:webHidden/>
                <w:rStyle w:val="IndexLink"/>
              </w:rPr>
              <w:t>1</w:t>
            </w:r>
            <w:r>
              <w:rPr>
                <w:rStyle w:val="IndexLink"/>
                <w:rtl w:val="true"/>
              </w:rPr>
              <w:t>)</w:t>
            </w:r>
            <w:r>
              <w:rPr>
                <w:rStyle w:val="IndexLink"/>
                <w:rtl w:val="true"/>
              </w:rPr>
              <w:t>غُسل الإحرام</w:t>
            </w:r>
            <w:r>
              <w:rPr>
                <w:rStyle w:val="IndexLink"/>
                <w:rtl w:val="true"/>
              </w:rPr>
              <w:t>:</w:t>
              <w:tab/>
            </w:r>
            <w:r>
              <w:rPr>
                <w:rStyle w:val="IndexLink"/>
              </w:rPr>
              <w:t>98</w:t>
            </w:r>
          </w:hyperlink>
        </w:p>
        <w:p>
          <w:pPr>
            <w:pStyle w:val="Contents2"/>
            <w:tabs>
              <w:tab w:val="clear" w:pos="8743"/>
              <w:tab w:val="right" w:pos="9026" w:leader="dot"/>
            </w:tabs>
            <w:rPr/>
          </w:pPr>
          <w:hyperlink w:anchor="__RefHeading___Toc6355161_1051229030">
            <w:r>
              <w:rPr>
                <w:webHidden/>
                <w:rStyle w:val="IndexLink"/>
              </w:rPr>
              <w:t>2</w:t>
            </w:r>
            <w:r>
              <w:rPr>
                <w:rStyle w:val="IndexLink"/>
                <w:rtl w:val="true"/>
              </w:rPr>
              <w:t xml:space="preserve">) </w:t>
            </w:r>
            <w:r>
              <w:rPr>
                <w:rStyle w:val="IndexLink"/>
                <w:rtl w:val="true"/>
              </w:rPr>
              <w:t>غُسل الطّواف</w:t>
            </w:r>
            <w:r>
              <w:rPr>
                <w:rStyle w:val="IndexLink"/>
                <w:rtl w:val="true"/>
              </w:rPr>
              <w:t>:</w:t>
              <w:tab/>
            </w:r>
            <w:r>
              <w:rPr>
                <w:rStyle w:val="IndexLink"/>
              </w:rPr>
              <w:t>100</w:t>
            </w:r>
          </w:hyperlink>
        </w:p>
        <w:p>
          <w:pPr>
            <w:pStyle w:val="Contents2"/>
            <w:tabs>
              <w:tab w:val="clear" w:pos="8743"/>
              <w:tab w:val="right" w:pos="9026" w:leader="dot"/>
            </w:tabs>
            <w:rPr/>
          </w:pPr>
          <w:hyperlink w:anchor="__RefHeading___Toc6355163_1051229030">
            <w:r>
              <w:rPr>
                <w:webHidden/>
                <w:rStyle w:val="IndexLink"/>
              </w:rPr>
              <w:t>3</w:t>
            </w:r>
            <w:r>
              <w:rPr>
                <w:rStyle w:val="IndexLink"/>
                <w:rtl w:val="true"/>
              </w:rPr>
              <w:t xml:space="preserve">) </w:t>
            </w:r>
            <w:r>
              <w:rPr>
                <w:rStyle w:val="IndexLink"/>
                <w:rtl w:val="true"/>
              </w:rPr>
              <w:t xml:space="preserve">غُسل زيارة النّبیّ والأئمّة المعصومين علیهم السلام </w:t>
            </w:r>
            <w:r>
              <w:rPr>
                <w:rStyle w:val="IndexLink"/>
                <w:rtl w:val="true"/>
              </w:rPr>
              <w:t>:</w:t>
              <w:tab/>
            </w:r>
            <w:r>
              <w:rPr>
                <w:rStyle w:val="IndexLink"/>
              </w:rPr>
              <w:t>101</w:t>
            </w:r>
          </w:hyperlink>
        </w:p>
        <w:p>
          <w:pPr>
            <w:pStyle w:val="Contents2"/>
            <w:tabs>
              <w:tab w:val="clear" w:pos="8743"/>
              <w:tab w:val="right" w:pos="9026" w:leader="dot"/>
            </w:tabs>
            <w:rPr/>
          </w:pPr>
          <w:hyperlink w:anchor="__RefHeading___Toc6355165_1051229030">
            <w:r>
              <w:rPr>
                <w:webHidden/>
                <w:rStyle w:val="IndexLink"/>
              </w:rPr>
              <w:t>4</w:t>
            </w:r>
            <w:r>
              <w:rPr>
                <w:rStyle w:val="IndexLink"/>
                <w:rtl w:val="true"/>
              </w:rPr>
              <w:t xml:space="preserve"> </w:t>
            </w:r>
            <w:r>
              <w:rPr>
                <w:rStyle w:val="IndexLink"/>
                <w:rtl w:val="true"/>
              </w:rPr>
              <w:t>و</w:t>
            </w:r>
            <w:r>
              <w:rPr>
                <w:rStyle w:val="IndexLink"/>
              </w:rPr>
              <w:t>5</w:t>
            </w:r>
            <w:r>
              <w:rPr>
                <w:rStyle w:val="IndexLink"/>
                <w:rtl w:val="true"/>
              </w:rPr>
              <w:t xml:space="preserve">) </w:t>
            </w:r>
            <w:r>
              <w:rPr>
                <w:rStyle w:val="IndexLink"/>
                <w:rtl w:val="true"/>
              </w:rPr>
              <w:t>غسل صلاتي الحاجة والاستخارة</w:t>
            </w:r>
            <w:r>
              <w:rPr>
                <w:rStyle w:val="IndexLink"/>
                <w:rtl w:val="true"/>
              </w:rPr>
              <w:t>:</w:t>
              <w:tab/>
            </w:r>
            <w:r>
              <w:rPr>
                <w:rStyle w:val="IndexLink"/>
              </w:rPr>
              <w:t>104</w:t>
            </w:r>
          </w:hyperlink>
        </w:p>
        <w:p>
          <w:pPr>
            <w:pStyle w:val="Contents2"/>
            <w:tabs>
              <w:tab w:val="clear" w:pos="8743"/>
              <w:tab w:val="right" w:pos="9026" w:leader="dot"/>
            </w:tabs>
            <w:rPr/>
          </w:pPr>
          <w:hyperlink w:anchor="__RefHeading___Toc6355167_1051229030">
            <w:r>
              <w:rPr>
                <w:webHidden/>
                <w:rStyle w:val="IndexLink"/>
              </w:rPr>
              <w:t>6</w:t>
            </w:r>
            <w:r>
              <w:rPr>
                <w:rStyle w:val="IndexLink"/>
                <w:rtl w:val="true"/>
              </w:rPr>
              <w:t xml:space="preserve">) </w:t>
            </w:r>
            <w:r>
              <w:rPr>
                <w:rStyle w:val="IndexLink"/>
                <w:rtl w:val="true"/>
              </w:rPr>
              <w:t>غسل صلاة الاستسقاء</w:t>
            </w:r>
            <w:r>
              <w:rPr>
                <w:rStyle w:val="IndexLink"/>
                <w:rtl w:val="true"/>
              </w:rPr>
              <w:t>:</w:t>
              <w:tab/>
            </w:r>
            <w:r>
              <w:rPr>
                <w:rStyle w:val="IndexLink"/>
              </w:rPr>
              <w:t>105</w:t>
            </w:r>
          </w:hyperlink>
        </w:p>
        <w:p>
          <w:pPr>
            <w:pStyle w:val="Contents2"/>
            <w:tabs>
              <w:tab w:val="clear" w:pos="8743"/>
              <w:tab w:val="right" w:pos="9026" w:leader="dot"/>
            </w:tabs>
            <w:rPr/>
          </w:pPr>
          <w:hyperlink w:anchor="__RefHeading___Toc6355169_1051229030">
            <w:r>
              <w:rPr>
                <w:webHidden/>
                <w:rStyle w:val="IndexLink"/>
              </w:rPr>
              <w:t>7</w:t>
            </w:r>
            <w:r>
              <w:rPr>
                <w:rStyle w:val="IndexLink"/>
                <w:rtl w:val="true"/>
              </w:rPr>
              <w:t xml:space="preserve">) </w:t>
            </w:r>
            <w:r>
              <w:rPr>
                <w:rStyle w:val="IndexLink"/>
                <w:rtl w:val="true"/>
              </w:rPr>
              <w:t>غسل المفرّط في صلاة الكسوفين مع احتراق القرص إذا أراد قضاءها</w:t>
            </w:r>
            <w:r>
              <w:rPr>
                <w:rStyle w:val="IndexLink"/>
                <w:rtl w:val="true"/>
              </w:rPr>
              <w:t>:</w:t>
              <w:tab/>
            </w:r>
            <w:r>
              <w:rPr>
                <w:rStyle w:val="IndexLink"/>
              </w:rPr>
              <w:t>106</w:t>
            </w:r>
          </w:hyperlink>
        </w:p>
        <w:p>
          <w:pPr>
            <w:pStyle w:val="Contents2"/>
            <w:tabs>
              <w:tab w:val="clear" w:pos="8743"/>
              <w:tab w:val="right" w:pos="9026" w:leader="dot"/>
            </w:tabs>
            <w:rPr/>
          </w:pPr>
          <w:hyperlink w:anchor="__RefHeading___Toc6355171_1051229030">
            <w:r>
              <w:rPr>
                <w:webHidden/>
                <w:rStyle w:val="IndexLink"/>
              </w:rPr>
              <w:t>8</w:t>
            </w:r>
            <w:r>
              <w:rPr>
                <w:rStyle w:val="IndexLink"/>
                <w:rtl w:val="true"/>
              </w:rPr>
              <w:t xml:space="preserve">) </w:t>
            </w:r>
            <w:r>
              <w:rPr>
                <w:rStyle w:val="IndexLink"/>
                <w:rtl w:val="true"/>
              </w:rPr>
              <w:t>غسل التّوبة سواء كان عن فسق أو كفر</w:t>
            </w:r>
            <w:r>
              <w:rPr>
                <w:rStyle w:val="IndexLink"/>
                <w:rtl w:val="true"/>
              </w:rPr>
              <w:t>:</w:t>
              <w:tab/>
            </w:r>
            <w:r>
              <w:rPr>
                <w:rStyle w:val="IndexLink"/>
              </w:rPr>
              <w:t>108</w:t>
            </w:r>
          </w:hyperlink>
        </w:p>
        <w:p>
          <w:pPr>
            <w:pStyle w:val="Contents2"/>
            <w:tabs>
              <w:tab w:val="clear" w:pos="8743"/>
              <w:tab w:val="right" w:pos="9026" w:leader="dot"/>
            </w:tabs>
            <w:rPr/>
          </w:pPr>
          <w:hyperlink w:anchor="__RefHeading___Toc6355173_1051229030">
            <w:r>
              <w:rPr>
                <w:webHidden/>
                <w:rStyle w:val="IndexLink"/>
                <w:rtl w:val="true"/>
              </w:rPr>
              <w:t>المقالة الثانية</w:t>
            </w:r>
            <w:r>
              <w:rPr>
                <w:rStyle w:val="IndexLink"/>
                <w:rtl w:val="true"/>
              </w:rPr>
              <w:t xml:space="preserve">: </w:t>
            </w:r>
            <w:r>
              <w:rPr>
                <w:rStyle w:val="IndexLink"/>
                <w:rtl w:val="true"/>
              </w:rPr>
              <w:t>في مفهوم الوطن الأصلی والمُستجدّ أو الإتّخاذی والوطن الشرعی التعبدی</w:t>
            </w:r>
            <w:r>
              <w:rPr>
                <w:rStyle w:val="IndexLink"/>
                <w:rtl w:val="true"/>
              </w:rPr>
              <w:t>:</w:t>
              <w:tab/>
            </w:r>
            <w:r>
              <w:rPr>
                <w:rStyle w:val="IndexLink"/>
              </w:rPr>
              <w:t>110</w:t>
            </w:r>
          </w:hyperlink>
        </w:p>
        <w:p>
          <w:pPr>
            <w:pStyle w:val="Contents2"/>
            <w:tabs>
              <w:tab w:val="clear" w:pos="8743"/>
              <w:tab w:val="right" w:pos="9026" w:leader="dot"/>
            </w:tabs>
            <w:rPr/>
          </w:pPr>
          <w:hyperlink w:anchor="__RefHeading___Toc6355175_1051229030">
            <w:r>
              <w:rPr>
                <w:webHidden/>
                <w:rStyle w:val="IndexLink"/>
                <w:rtl w:val="true"/>
              </w:rPr>
              <w:t>عناوين فروعات المسألة إجمالاً</w:t>
            </w:r>
            <w:r>
              <w:rPr>
                <w:rStyle w:val="IndexLink"/>
                <w:rtl w:val="true"/>
              </w:rPr>
              <w:t>:</w:t>
              <w:tab/>
            </w:r>
            <w:r>
              <w:rPr>
                <w:rStyle w:val="IndexLink"/>
              </w:rPr>
              <w:t>115</w:t>
            </w:r>
          </w:hyperlink>
        </w:p>
        <w:p>
          <w:pPr>
            <w:pStyle w:val="Contents2"/>
            <w:tabs>
              <w:tab w:val="clear" w:pos="8743"/>
              <w:tab w:val="right" w:pos="9026" w:leader="dot"/>
            </w:tabs>
            <w:rPr/>
          </w:pPr>
          <w:hyperlink w:anchor="__RefHeading___Toc6355177_1051229030">
            <w:r>
              <w:rPr>
                <w:webHidden/>
                <w:rStyle w:val="IndexLink"/>
                <w:rtl w:val="true"/>
              </w:rPr>
              <w:t>أمّا الفرع الأول</w:t>
            </w:r>
            <w:r>
              <w:rPr>
                <w:rStyle w:val="IndexLink"/>
                <w:rtl w:val="true"/>
              </w:rPr>
              <w:t xml:space="preserve">: </w:t>
            </w:r>
            <w:r>
              <w:rPr>
                <w:rStyle w:val="IndexLink"/>
                <w:rtl w:val="true"/>
              </w:rPr>
              <w:t xml:space="preserve">تعريف </w:t>
            </w:r>
            <w:r>
              <w:rPr>
                <w:rStyle w:val="IndexLink"/>
                <w:rtl w:val="true"/>
              </w:rPr>
              <w:t>«</w:t>
            </w:r>
            <w:r>
              <w:rPr>
                <w:rStyle w:val="IndexLink"/>
                <w:rtl w:val="true"/>
              </w:rPr>
              <w:t>الوطن</w:t>
            </w:r>
            <w:r>
              <w:rPr>
                <w:rStyle w:val="IndexLink"/>
                <w:rtl w:val="true"/>
              </w:rPr>
              <w:t xml:space="preserve">» </w:t>
            </w:r>
            <w:r>
              <w:rPr>
                <w:rStyle w:val="IndexLink"/>
                <w:rtl w:val="true"/>
              </w:rPr>
              <w:t>عند أهل اللغة و فقهاء الفريقين</w:t>
            </w:r>
            <w:r>
              <w:rPr>
                <w:rStyle w:val="IndexLink"/>
                <w:rtl w:val="true"/>
              </w:rPr>
              <w:t>:</w:t>
              <w:tab/>
            </w:r>
            <w:r>
              <w:rPr>
                <w:rStyle w:val="IndexLink"/>
              </w:rPr>
              <w:t>116</w:t>
            </w:r>
          </w:hyperlink>
        </w:p>
        <w:p>
          <w:pPr>
            <w:pStyle w:val="Contents2"/>
            <w:tabs>
              <w:tab w:val="clear" w:pos="8743"/>
              <w:tab w:val="right" w:pos="9026" w:leader="dot"/>
            </w:tabs>
            <w:rPr/>
          </w:pPr>
          <w:hyperlink w:anchor="__RefHeading___Toc6355179_1051229030">
            <w:r>
              <w:rPr>
                <w:webHidden/>
                <w:rStyle w:val="IndexLink"/>
                <w:rtl w:val="true"/>
              </w:rPr>
              <w:t xml:space="preserve">أقوال فقهاء الفريقين في بيان معنی </w:t>
            </w:r>
            <w:r>
              <w:rPr>
                <w:rStyle w:val="IndexLink"/>
                <w:rtl w:val="true"/>
              </w:rPr>
              <w:t>«</w:t>
            </w:r>
            <w:r>
              <w:rPr>
                <w:rStyle w:val="IndexLink"/>
                <w:rtl w:val="true"/>
              </w:rPr>
              <w:t>الوطن</w:t>
            </w:r>
            <w:r>
              <w:rPr>
                <w:rStyle w:val="IndexLink"/>
                <w:rtl w:val="true"/>
              </w:rPr>
              <w:t>»:</w:t>
              <w:tab/>
            </w:r>
            <w:r>
              <w:rPr>
                <w:rStyle w:val="IndexLink"/>
              </w:rPr>
              <w:t>118</w:t>
            </w:r>
          </w:hyperlink>
        </w:p>
        <w:p>
          <w:pPr>
            <w:pStyle w:val="Contents2"/>
            <w:tabs>
              <w:tab w:val="clear" w:pos="8743"/>
              <w:tab w:val="right" w:pos="9026" w:leader="dot"/>
            </w:tabs>
            <w:rPr/>
          </w:pPr>
          <w:hyperlink w:anchor="__RefHeading___Toc6355181_1051229030">
            <w:r>
              <w:rPr>
                <w:webHidden/>
                <w:rStyle w:val="IndexLink"/>
                <w:rtl w:val="true"/>
              </w:rPr>
              <w:t>الكلام في أدلّة الأقوال</w:t>
            </w:r>
            <w:r>
              <w:rPr>
                <w:rStyle w:val="IndexLink"/>
                <w:rtl w:val="true"/>
              </w:rPr>
              <w:t>:</w:t>
              <w:tab/>
            </w:r>
            <w:r>
              <w:rPr>
                <w:rStyle w:val="IndexLink"/>
              </w:rPr>
              <w:t>129</w:t>
            </w:r>
          </w:hyperlink>
        </w:p>
        <w:p>
          <w:pPr>
            <w:pStyle w:val="Contents2"/>
            <w:tabs>
              <w:tab w:val="clear" w:pos="8743"/>
              <w:tab w:val="right" w:pos="9026" w:leader="dot"/>
            </w:tabs>
            <w:rPr/>
          </w:pPr>
          <w:hyperlink w:anchor="__RefHeading___Toc6355183_1051229030">
            <w:r>
              <w:rPr>
                <w:webHidden/>
                <w:rStyle w:val="IndexLink"/>
                <w:rtl w:val="true"/>
              </w:rPr>
              <w:t>أمّا الفرع الثانی</w:t>
            </w:r>
            <w:r>
              <w:rPr>
                <w:rStyle w:val="IndexLink"/>
                <w:rtl w:val="true"/>
              </w:rPr>
              <w:t xml:space="preserve">: </w:t>
            </w:r>
            <w:r>
              <w:rPr>
                <w:rStyle w:val="IndexLink"/>
                <w:rtl w:val="true"/>
              </w:rPr>
              <w:t>تقسيم الوطن إلی الأصلی، والمستجدّ أو الإتخاذی، والشرعی التعبدی</w:t>
            </w:r>
            <w:r>
              <w:rPr>
                <w:rStyle w:val="IndexLink"/>
                <w:rtl w:val="true"/>
              </w:rPr>
              <w:t>:</w:t>
              <w:tab/>
            </w:r>
            <w:r>
              <w:rPr>
                <w:rStyle w:val="IndexLink"/>
              </w:rPr>
              <w:t>139</w:t>
            </w:r>
          </w:hyperlink>
        </w:p>
        <w:p>
          <w:pPr>
            <w:pStyle w:val="Contents2"/>
            <w:tabs>
              <w:tab w:val="clear" w:pos="8743"/>
              <w:tab w:val="right" w:pos="9026" w:leader="dot"/>
            </w:tabs>
            <w:rPr/>
          </w:pPr>
          <w:hyperlink w:anchor="__RefHeading___Toc6355185_1051229030">
            <w:r>
              <w:rPr>
                <w:webHidden/>
                <w:rStyle w:val="IndexLink"/>
                <w:rtl w:val="true"/>
              </w:rPr>
              <w:t>أمّا الفرع الثالث</w:t>
            </w:r>
            <w:r>
              <w:rPr>
                <w:rStyle w:val="IndexLink"/>
                <w:rtl w:val="true"/>
              </w:rPr>
              <w:t xml:space="preserve">: </w:t>
            </w:r>
            <w:r>
              <w:rPr>
                <w:rStyle w:val="IndexLink"/>
                <w:rtl w:val="true"/>
              </w:rPr>
              <w:t xml:space="preserve">هل يعتبر في صدق عنوان </w:t>
            </w:r>
            <w:r>
              <w:rPr>
                <w:rStyle w:val="IndexLink"/>
                <w:rtl w:val="true"/>
              </w:rPr>
              <w:t>«</w:t>
            </w:r>
            <w:r>
              <w:rPr>
                <w:rStyle w:val="IndexLink"/>
                <w:rtl w:val="true"/>
              </w:rPr>
              <w:t>الوطن</w:t>
            </w:r>
            <w:r>
              <w:rPr>
                <w:rStyle w:val="IndexLink"/>
                <w:rtl w:val="true"/>
              </w:rPr>
              <w:t xml:space="preserve">» </w:t>
            </w:r>
            <w:r>
              <w:rPr>
                <w:rStyle w:val="IndexLink"/>
                <w:rtl w:val="true"/>
              </w:rPr>
              <w:t>أن يكون له فيه ملك؟</w:t>
            </w:r>
            <w:r>
              <w:rPr>
                <w:rStyle w:val="IndexLink"/>
                <w:rtl w:val="true"/>
              </w:rPr>
              <w:tab/>
            </w:r>
            <w:r>
              <w:rPr>
                <w:rStyle w:val="IndexLink"/>
              </w:rPr>
              <w:t>148</w:t>
            </w:r>
          </w:hyperlink>
        </w:p>
        <w:p>
          <w:pPr>
            <w:pStyle w:val="Contents2"/>
            <w:tabs>
              <w:tab w:val="clear" w:pos="8743"/>
              <w:tab w:val="right" w:pos="9026" w:leader="dot"/>
            </w:tabs>
            <w:rPr/>
          </w:pPr>
          <w:hyperlink w:anchor="__RefHeading___Toc6355187_1051229030">
            <w:r>
              <w:rPr>
                <w:webHidden/>
                <w:rStyle w:val="IndexLink"/>
                <w:rtl w:val="true"/>
              </w:rPr>
              <w:t>أمّا الفرع الرابع</w:t>
            </w:r>
            <w:r>
              <w:rPr>
                <w:rStyle w:val="IndexLink"/>
                <w:rtl w:val="true"/>
              </w:rPr>
              <w:t xml:space="preserve">: </w:t>
            </w:r>
            <w:r>
              <w:rPr>
                <w:rStyle w:val="IndexLink"/>
                <w:rtl w:val="true"/>
              </w:rPr>
              <w:t>هل ملاك الإتمام كونه غير مسافر أو كونه متوطّناً؟</w:t>
            </w:r>
            <w:r>
              <w:rPr>
                <w:rStyle w:val="IndexLink"/>
                <w:rtl w:val="true"/>
              </w:rPr>
              <w:tab/>
            </w:r>
            <w:r>
              <w:rPr>
                <w:rStyle w:val="IndexLink"/>
              </w:rPr>
              <w:t>153</w:t>
            </w:r>
          </w:hyperlink>
        </w:p>
        <w:p>
          <w:pPr>
            <w:pStyle w:val="Contents2"/>
            <w:tabs>
              <w:tab w:val="clear" w:pos="8743"/>
              <w:tab w:val="right" w:pos="9026" w:leader="dot"/>
            </w:tabs>
            <w:rPr/>
          </w:pPr>
          <w:hyperlink w:anchor="__RefHeading___Toc6355189_1051229030">
            <w:r>
              <w:rPr>
                <w:webHidden/>
                <w:rStyle w:val="IndexLink"/>
                <w:rtl w:val="true"/>
              </w:rPr>
              <w:t>أمّا الفرع الخامس</w:t>
            </w:r>
            <w:r>
              <w:rPr>
                <w:rStyle w:val="IndexLink"/>
                <w:rtl w:val="true"/>
              </w:rPr>
              <w:t xml:space="preserve">: </w:t>
            </w:r>
            <w:r>
              <w:rPr>
                <w:rStyle w:val="IndexLink"/>
                <w:rtl w:val="true"/>
              </w:rPr>
              <w:t>كيف يصدق الإعراض عن الوطن الأصلی والمستجدّ والشرعی التعبّدی؟</w:t>
            </w:r>
            <w:r>
              <w:rPr>
                <w:rStyle w:val="IndexLink"/>
                <w:rtl w:val="true"/>
              </w:rPr>
              <w:tab/>
            </w:r>
            <w:r>
              <w:rPr>
                <w:rStyle w:val="IndexLink"/>
              </w:rPr>
              <w:t>156</w:t>
            </w:r>
          </w:hyperlink>
        </w:p>
        <w:p>
          <w:pPr>
            <w:pStyle w:val="Contents2"/>
            <w:tabs>
              <w:tab w:val="clear" w:pos="8743"/>
              <w:tab w:val="right" w:pos="9026" w:leader="dot"/>
            </w:tabs>
            <w:rPr/>
          </w:pPr>
          <w:hyperlink w:anchor="__RefHeading___Toc6355191_1051229030">
            <w:r>
              <w:rPr>
                <w:webHidden/>
                <w:rStyle w:val="IndexLink"/>
                <w:rtl w:val="true"/>
              </w:rPr>
              <w:t>أمّا الفرع السادس</w:t>
            </w:r>
            <w:r>
              <w:rPr>
                <w:rStyle w:val="IndexLink"/>
                <w:rtl w:val="true"/>
              </w:rPr>
              <w:t xml:space="preserve">: </w:t>
            </w:r>
            <w:r>
              <w:rPr>
                <w:rStyle w:val="IndexLink"/>
                <w:rtl w:val="true"/>
              </w:rPr>
              <w:t xml:space="preserve">ما هو حكم عبادتي الصوم والصلاة لو تردّد في بقاء صدق عنوان </w:t>
            </w:r>
            <w:r>
              <w:rPr>
                <w:rStyle w:val="IndexLink"/>
                <w:rtl w:val="true"/>
              </w:rPr>
              <w:t>«</w:t>
            </w:r>
            <w:r>
              <w:rPr>
                <w:rStyle w:val="IndexLink"/>
                <w:rtl w:val="true"/>
              </w:rPr>
              <w:t>الوطن</w:t>
            </w:r>
            <w:r>
              <w:rPr>
                <w:rStyle w:val="IndexLink"/>
                <w:rtl w:val="true"/>
              </w:rPr>
              <w:t xml:space="preserve">» </w:t>
            </w:r>
            <w:r>
              <w:rPr>
                <w:rStyle w:val="IndexLink"/>
                <w:rtl w:val="true"/>
              </w:rPr>
              <w:t>و زواله إذا مرّ به ولم ينو إقامة عشرأيّام؟</w:t>
            </w:r>
            <w:r>
              <w:rPr>
                <w:rStyle w:val="IndexLink"/>
                <w:rtl w:val="true"/>
              </w:rPr>
              <w:tab/>
            </w:r>
            <w:r>
              <w:rPr>
                <w:rStyle w:val="IndexLink"/>
              </w:rPr>
              <w:t>161</w:t>
            </w:r>
          </w:hyperlink>
        </w:p>
        <w:p>
          <w:pPr>
            <w:pStyle w:val="Contents2"/>
            <w:tabs>
              <w:tab w:val="clear" w:pos="8743"/>
              <w:tab w:val="right" w:pos="9026" w:leader="dot"/>
            </w:tabs>
            <w:rPr/>
          </w:pPr>
          <w:hyperlink w:anchor="__RefHeading___Toc6355193_1051229030">
            <w:r>
              <w:rPr>
                <w:webHidden/>
                <w:rStyle w:val="IndexLink"/>
                <w:rtl w:val="true"/>
              </w:rPr>
              <w:t>المقالة الثالثة</w:t>
            </w:r>
            <w:r>
              <w:rPr>
                <w:rStyle w:val="IndexLink"/>
                <w:rtl w:val="true"/>
              </w:rPr>
              <w:t>:</w:t>
              <w:tab/>
            </w:r>
            <w:r>
              <w:rPr>
                <w:rStyle w:val="IndexLink"/>
              </w:rPr>
              <w:t>164</w:t>
            </w:r>
          </w:hyperlink>
        </w:p>
        <w:p>
          <w:pPr>
            <w:pStyle w:val="Contents2"/>
            <w:tabs>
              <w:tab w:val="clear" w:pos="8743"/>
              <w:tab w:val="right" w:pos="9026" w:leader="dot"/>
            </w:tabs>
            <w:rPr/>
          </w:pPr>
          <w:hyperlink w:anchor="__RefHeading___Toc6355195_1051229030">
            <w:r>
              <w:rPr>
                <w:webHidden/>
                <w:rStyle w:val="IndexLink"/>
                <w:rtl w:val="true"/>
              </w:rPr>
              <w:t>هل للطواف حدّ سائغ فمن يخرج عنه لم يكن طائفاً؟</w:t>
            </w:r>
            <w:r>
              <w:rPr>
                <w:rStyle w:val="IndexLink"/>
                <w:rtl w:val="true"/>
              </w:rPr>
              <w:tab/>
            </w:r>
            <w:r>
              <w:rPr>
                <w:rStyle w:val="IndexLink"/>
              </w:rPr>
              <w:t>166</w:t>
            </w:r>
          </w:hyperlink>
        </w:p>
        <w:p>
          <w:pPr>
            <w:pStyle w:val="Contents2"/>
            <w:tabs>
              <w:tab w:val="clear" w:pos="8743"/>
              <w:tab w:val="right" w:pos="9026" w:leader="dot"/>
            </w:tabs>
            <w:rPr/>
          </w:pPr>
          <w:hyperlink w:anchor="__RefHeading___Toc6355197_1051229030">
            <w:r>
              <w:rPr>
                <w:webHidden/>
                <w:rStyle w:val="IndexLink"/>
                <w:rtl w:val="true"/>
              </w:rPr>
              <w:t>بيان الأقوال المسئلة وهي إجمالاً ثلاثة</w:t>
            </w:r>
            <w:r>
              <w:rPr>
                <w:rStyle w:val="IndexLink"/>
                <w:rtl w:val="true"/>
              </w:rPr>
              <w:t>:</w:t>
              <w:tab/>
            </w:r>
            <w:r>
              <w:rPr>
                <w:rStyle w:val="IndexLink"/>
              </w:rPr>
              <w:t>166</w:t>
            </w:r>
          </w:hyperlink>
        </w:p>
        <w:p>
          <w:pPr>
            <w:pStyle w:val="Contents2"/>
            <w:tabs>
              <w:tab w:val="clear" w:pos="8743"/>
              <w:tab w:val="right" w:pos="9026" w:leader="dot"/>
            </w:tabs>
            <w:rPr/>
          </w:pPr>
          <w:hyperlink w:anchor="__RefHeading___Toc6355199_1051229030">
            <w:r>
              <w:rPr>
                <w:webHidden/>
                <w:rStyle w:val="IndexLink"/>
                <w:rtl w:val="true"/>
              </w:rPr>
              <w:t>أدلّة الأقوال</w:t>
            </w:r>
            <w:r>
              <w:rPr>
                <w:rStyle w:val="IndexLink"/>
                <w:rtl w:val="true"/>
              </w:rPr>
              <w:t>:</w:t>
              <w:tab/>
            </w:r>
            <w:r>
              <w:rPr>
                <w:rStyle w:val="IndexLink"/>
              </w:rPr>
              <w:t>171</w:t>
            </w:r>
          </w:hyperlink>
        </w:p>
        <w:p>
          <w:pPr>
            <w:pStyle w:val="Contents2"/>
            <w:tabs>
              <w:tab w:val="clear" w:pos="8743"/>
              <w:tab w:val="right" w:pos="9026" w:leader="dot"/>
            </w:tabs>
            <w:rPr/>
          </w:pPr>
          <w:hyperlink w:anchor="__RefHeading___Toc6355201_1051229030">
            <w:r>
              <w:rPr>
                <w:webHidden/>
                <w:rStyle w:val="IndexLink"/>
                <w:rtl w:val="true"/>
              </w:rPr>
              <w:t>في إمكان الجمع بين الأدلّة</w:t>
            </w:r>
            <w:r>
              <w:rPr>
                <w:rStyle w:val="IndexLink"/>
                <w:rtl w:val="true"/>
              </w:rPr>
              <w:t>:</w:t>
              <w:tab/>
            </w:r>
            <w:r>
              <w:rPr>
                <w:rStyle w:val="IndexLink"/>
              </w:rPr>
              <w:t>179</w:t>
            </w:r>
          </w:hyperlink>
        </w:p>
        <w:p>
          <w:pPr>
            <w:pStyle w:val="Contents2"/>
            <w:tabs>
              <w:tab w:val="clear" w:pos="8743"/>
              <w:tab w:val="right" w:pos="9026" w:leader="dot"/>
            </w:tabs>
            <w:rPr/>
          </w:pPr>
          <w:hyperlink w:anchor="__RefHeading___Toc6355203_1051229030">
            <w:r>
              <w:rPr>
                <w:webHidden/>
                <w:rStyle w:val="IndexLink"/>
                <w:rtl w:val="true"/>
              </w:rPr>
              <w:t>بقی هنا شيئان</w:t>
            </w:r>
            <w:r>
              <w:rPr>
                <w:rStyle w:val="IndexLink"/>
                <w:rtl w:val="true"/>
              </w:rPr>
              <w:t>:</w:t>
              <w:tab/>
            </w:r>
            <w:r>
              <w:rPr>
                <w:rStyle w:val="IndexLink"/>
              </w:rPr>
              <w:t>182</w:t>
            </w:r>
          </w:hyperlink>
        </w:p>
        <w:p>
          <w:pPr>
            <w:pStyle w:val="Contents2"/>
            <w:tabs>
              <w:tab w:val="clear" w:pos="8743"/>
              <w:tab w:val="right" w:pos="9026" w:leader="dot"/>
            </w:tabs>
            <w:rPr/>
          </w:pPr>
          <w:hyperlink w:anchor="__RefHeading___Toc6355205_1051229030">
            <w:r>
              <w:rPr>
                <w:webHidden/>
                <w:rStyle w:val="IndexLink"/>
                <w:rtl w:val="true"/>
              </w:rPr>
              <w:t>هاهنا فروعٌ</w:t>
            </w:r>
            <w:r>
              <w:rPr>
                <w:rStyle w:val="IndexLink"/>
                <w:rtl w:val="true"/>
              </w:rPr>
              <w:t xml:space="preserve">: </w:t>
            </w:r>
            <w:r>
              <w:rPr>
                <w:rStyle w:val="IndexLink"/>
                <w:rtl w:val="true"/>
              </w:rPr>
              <w:t>الأوّل</w:t>
            </w:r>
            <w:r>
              <w:rPr>
                <w:rStyle w:val="IndexLink"/>
                <w:rtl w:val="true"/>
              </w:rPr>
              <w:t xml:space="preserve">: </w:t>
            </w:r>
            <w:r>
              <w:rPr>
                <w:rStyle w:val="IndexLink"/>
                <w:rtl w:val="true"/>
              </w:rPr>
              <w:t>ما هو ماهيّة مقام إبراهيم علیه السلام وحقيقته؟</w:t>
            </w:r>
            <w:r>
              <w:rPr>
                <w:rStyle w:val="IndexLink"/>
                <w:rtl w:val="true"/>
              </w:rPr>
              <w:tab/>
            </w:r>
            <w:r>
              <w:rPr>
                <w:rStyle w:val="IndexLink"/>
              </w:rPr>
              <w:t>184</w:t>
            </w:r>
          </w:hyperlink>
        </w:p>
        <w:p>
          <w:pPr>
            <w:pStyle w:val="Contents2"/>
            <w:tabs>
              <w:tab w:val="clear" w:pos="8743"/>
              <w:tab w:val="right" w:pos="9026" w:leader="dot"/>
            </w:tabs>
            <w:rPr/>
          </w:pPr>
          <w:hyperlink w:anchor="__RefHeading___Toc6355207_1051229030">
            <w:r>
              <w:rPr>
                <w:webHidden/>
                <w:rStyle w:val="IndexLink"/>
                <w:rtl w:val="true"/>
              </w:rPr>
              <w:t>الثّانی</w:t>
            </w:r>
            <w:r>
              <w:rPr>
                <w:rStyle w:val="IndexLink"/>
                <w:rtl w:val="true"/>
              </w:rPr>
              <w:t>:</w:t>
              <w:tab/>
            </w:r>
            <w:r>
              <w:rPr>
                <w:rStyle w:val="IndexLink"/>
              </w:rPr>
              <w:t>186</w:t>
            </w:r>
          </w:hyperlink>
        </w:p>
        <w:p>
          <w:pPr>
            <w:pStyle w:val="Contents2"/>
            <w:tabs>
              <w:tab w:val="clear" w:pos="8743"/>
              <w:tab w:val="right" w:pos="9026" w:leader="dot"/>
            </w:tabs>
            <w:rPr/>
          </w:pPr>
          <w:hyperlink w:anchor="__RefHeading___Toc6355209_1051229030">
            <w:r>
              <w:rPr>
                <w:webHidden/>
                <w:rStyle w:val="IndexLink"/>
                <w:rtl w:val="true"/>
              </w:rPr>
              <w:t>الثّالث</w:t>
            </w:r>
            <w:r>
              <w:rPr>
                <w:rStyle w:val="IndexLink"/>
                <w:rtl w:val="true"/>
              </w:rPr>
              <w:t xml:space="preserve">: </w:t>
            </w:r>
            <w:r>
              <w:rPr>
                <w:rStyle w:val="IndexLink"/>
                <w:rtl w:val="true"/>
              </w:rPr>
              <w:t>حِجر إسماعيل علیه السلام من البيت أو خارج عنه؟</w:t>
            </w:r>
            <w:r>
              <w:rPr>
                <w:rStyle w:val="IndexLink"/>
                <w:rtl w:val="true"/>
              </w:rPr>
              <w:tab/>
            </w:r>
            <w:r>
              <w:rPr>
                <w:rStyle w:val="IndexLink"/>
              </w:rPr>
              <w:t>189</w:t>
            </w:r>
          </w:hyperlink>
        </w:p>
        <w:p>
          <w:pPr>
            <w:pStyle w:val="Contents2"/>
            <w:tabs>
              <w:tab w:val="clear" w:pos="8743"/>
              <w:tab w:val="right" w:pos="9026" w:leader="dot"/>
            </w:tabs>
            <w:rPr/>
          </w:pPr>
          <w:hyperlink w:anchor="__RefHeading___Toc6355211_1051229030">
            <w:r>
              <w:rPr>
                <w:webHidden/>
                <w:rStyle w:val="IndexLink"/>
                <w:rtl w:val="true"/>
              </w:rPr>
              <w:t>الرابع</w:t>
            </w:r>
            <w:r>
              <w:rPr>
                <w:rStyle w:val="IndexLink"/>
                <w:rtl w:val="true"/>
              </w:rPr>
              <w:t xml:space="preserve">: </w:t>
            </w:r>
            <w:r>
              <w:rPr>
                <w:rStyle w:val="IndexLink"/>
                <w:rtl w:val="true"/>
              </w:rPr>
              <w:t>إحتساب الحدّ في جانب الحجر من الحجر أو من البيت؟</w:t>
            </w:r>
            <w:r>
              <w:rPr>
                <w:rStyle w:val="IndexLink"/>
                <w:rtl w:val="true"/>
              </w:rPr>
              <w:tab/>
            </w:r>
            <w:r>
              <w:rPr>
                <w:rStyle w:val="IndexLink"/>
              </w:rPr>
              <w:t>195</w:t>
            </w:r>
          </w:hyperlink>
        </w:p>
        <w:p>
          <w:pPr>
            <w:pStyle w:val="Contents2"/>
            <w:tabs>
              <w:tab w:val="clear" w:pos="8743"/>
              <w:tab w:val="right" w:pos="9026" w:leader="dot"/>
            </w:tabs>
            <w:rPr/>
          </w:pPr>
          <w:hyperlink w:anchor="__RefHeading___Toc6355213_1051229030">
            <w:r>
              <w:rPr>
                <w:webHidden/>
                <w:rStyle w:val="IndexLink"/>
                <w:rtl w:val="true"/>
              </w:rPr>
              <w:t>الخامس</w:t>
            </w:r>
            <w:r>
              <w:rPr>
                <w:rStyle w:val="IndexLink"/>
                <w:rtl w:val="true"/>
              </w:rPr>
              <w:t xml:space="preserve">: </w:t>
            </w:r>
            <w:r>
              <w:rPr>
                <w:rStyle w:val="IndexLink"/>
                <w:rtl w:val="true"/>
              </w:rPr>
              <w:t>عدم جواز الطّواف علی أساس البيت المسمّی ب</w:t>
            </w:r>
            <w:r>
              <w:rPr>
                <w:rStyle w:val="IndexLink"/>
                <w:rtl w:val="true"/>
              </w:rPr>
              <w:t>- «</w:t>
            </w:r>
            <w:r>
              <w:rPr>
                <w:rStyle w:val="IndexLink"/>
                <w:rtl w:val="true"/>
              </w:rPr>
              <w:t>شاذروان</w:t>
            </w:r>
            <w:r>
              <w:rPr>
                <w:rStyle w:val="IndexLink"/>
                <w:rtl w:val="true"/>
              </w:rPr>
              <w:t>»:</w:t>
              <w:tab/>
            </w:r>
            <w:r>
              <w:rPr>
                <w:rStyle w:val="IndexLink"/>
              </w:rPr>
              <w:t>199</w:t>
            </w:r>
          </w:hyperlink>
        </w:p>
        <w:p>
          <w:pPr>
            <w:pStyle w:val="Contents2"/>
            <w:tabs>
              <w:tab w:val="clear" w:pos="8743"/>
              <w:tab w:val="right" w:pos="9026" w:leader="dot"/>
            </w:tabs>
            <w:rPr/>
          </w:pPr>
          <w:hyperlink w:anchor="__RefHeading___Toc6355215_1051229030">
            <w:r>
              <w:rPr>
                <w:webHidden/>
                <w:rStyle w:val="IndexLink"/>
                <w:rtl w:val="true"/>
              </w:rPr>
              <w:t>السادس</w:t>
            </w:r>
            <w:r>
              <w:rPr>
                <w:rStyle w:val="IndexLink"/>
                <w:rtl w:val="true"/>
              </w:rPr>
              <w:t>:</w:t>
              <w:tab/>
            </w:r>
            <w:r>
              <w:rPr>
                <w:rStyle w:val="IndexLink"/>
              </w:rPr>
              <w:t>203</w:t>
            </w:r>
          </w:hyperlink>
        </w:p>
        <w:p>
          <w:pPr>
            <w:pStyle w:val="Contents2"/>
            <w:tabs>
              <w:tab w:val="clear" w:pos="8743"/>
              <w:tab w:val="right" w:pos="9026" w:leader="dot"/>
            </w:tabs>
            <w:rPr/>
          </w:pPr>
          <w:hyperlink w:anchor="__RefHeading___Toc6355217_1051229030">
            <w:r>
              <w:rPr>
                <w:webHidden/>
                <w:rStyle w:val="IndexLink"/>
                <w:rtl w:val="true"/>
              </w:rPr>
              <w:t>السابع</w:t>
            </w:r>
            <w:r>
              <w:rPr>
                <w:rStyle w:val="IndexLink"/>
                <w:rtl w:val="true"/>
              </w:rPr>
              <w:t xml:space="preserve">: </w:t>
            </w:r>
            <w:r>
              <w:rPr>
                <w:rStyle w:val="IndexLink"/>
                <w:rtl w:val="true"/>
              </w:rPr>
              <w:t>موضع المقام في عهد النّبیّ الأعظ صَلَّى اَللَّهُ عَلَيْهِ وَ آلِهِ وَ سَلَّمْ وموضعه اليوم</w:t>
            </w:r>
            <w:r>
              <w:rPr>
                <w:rStyle w:val="IndexLink"/>
                <w:rtl w:val="true"/>
              </w:rPr>
              <w:t>:</w:t>
              <w:tab/>
            </w:r>
            <w:r>
              <w:rPr>
                <w:rStyle w:val="IndexLink"/>
              </w:rPr>
              <w:t>205</w:t>
            </w:r>
          </w:hyperlink>
        </w:p>
        <w:p>
          <w:pPr>
            <w:pStyle w:val="Contents2"/>
            <w:tabs>
              <w:tab w:val="clear" w:pos="8743"/>
              <w:tab w:val="right" w:pos="9026" w:leader="dot"/>
            </w:tabs>
            <w:rPr/>
          </w:pPr>
          <w:hyperlink w:anchor="__RefHeading___Toc6355219_1051229030">
            <w:r>
              <w:rPr>
                <w:webHidden/>
                <w:rStyle w:val="IndexLink"/>
                <w:rtl w:val="true"/>
              </w:rPr>
              <w:t>الثامن</w:t>
            </w:r>
            <w:r>
              <w:rPr>
                <w:rStyle w:val="IndexLink"/>
                <w:rtl w:val="true"/>
              </w:rPr>
              <w:t xml:space="preserve">: </w:t>
            </w:r>
            <w:r>
              <w:rPr>
                <w:rStyle w:val="IndexLink"/>
                <w:rtl w:val="true"/>
              </w:rPr>
              <w:t>في التّدانی من البيت حال الطّواف</w:t>
            </w:r>
            <w:r>
              <w:rPr>
                <w:rStyle w:val="IndexLink"/>
                <w:rtl w:val="true"/>
              </w:rPr>
              <w:t>:</w:t>
              <w:tab/>
            </w:r>
            <w:r>
              <w:rPr>
                <w:rStyle w:val="IndexLink"/>
              </w:rPr>
              <w:t>207</w:t>
            </w:r>
          </w:hyperlink>
        </w:p>
        <w:p>
          <w:pPr>
            <w:pStyle w:val="Contents2"/>
            <w:tabs>
              <w:tab w:val="clear" w:pos="8743"/>
              <w:tab w:val="right" w:pos="9026" w:leader="dot"/>
            </w:tabs>
            <w:rPr/>
          </w:pPr>
          <w:hyperlink w:anchor="__RefHeading___Toc6355221_1051229030">
            <w:r>
              <w:rPr>
                <w:webHidden/>
                <w:rStyle w:val="IndexLink"/>
                <w:rtl w:val="true"/>
              </w:rPr>
              <w:t>التاسع</w:t>
            </w:r>
            <w:r>
              <w:rPr>
                <w:rStyle w:val="IndexLink"/>
                <w:rtl w:val="true"/>
              </w:rPr>
              <w:t xml:space="preserve">: </w:t>
            </w:r>
            <w:r>
              <w:rPr>
                <w:rStyle w:val="IndexLink"/>
                <w:rtl w:val="true"/>
              </w:rPr>
              <w:t>في جواز الطّواف فوق المطاف أو تحته</w:t>
            </w:r>
            <w:r>
              <w:rPr>
                <w:rStyle w:val="IndexLink"/>
                <w:rtl w:val="true"/>
              </w:rPr>
              <w:t>:</w:t>
              <w:tab/>
            </w:r>
            <w:r>
              <w:rPr>
                <w:rStyle w:val="IndexLink"/>
              </w:rPr>
              <w:t>209</w:t>
            </w:r>
          </w:hyperlink>
        </w:p>
        <w:p>
          <w:pPr>
            <w:pStyle w:val="Contents2"/>
            <w:tabs>
              <w:tab w:val="clear" w:pos="8743"/>
              <w:tab w:val="right" w:pos="9026" w:leader="dot"/>
            </w:tabs>
            <w:rPr/>
          </w:pPr>
          <w:hyperlink w:anchor="__RefHeading___Toc6355223_1051229030">
            <w:r>
              <w:rPr>
                <w:webHidden/>
                <w:rStyle w:val="IndexLink"/>
                <w:rtl w:val="true"/>
              </w:rPr>
              <w:t>المقالة الرابعة</w:t>
            </w:r>
            <w:r>
              <w:rPr>
                <w:rStyle w:val="IndexLink"/>
                <w:rtl w:val="true"/>
              </w:rPr>
              <w:t>:</w:t>
            </w:r>
            <w:r>
              <w:rPr>
                <w:rStyle w:val="IndexLink"/>
                <w:rtl w:val="true"/>
              </w:rPr>
              <w:t>إثبات الهلال عند العامة مع عدم إثباته أو العلم بخلافه عندنا في جواز الإفطار وكفاية الحجّ</w:t>
            </w:r>
            <w:r>
              <w:rPr>
                <w:rStyle w:val="IndexLink"/>
                <w:rtl w:val="true"/>
              </w:rPr>
              <w:t>:</w:t>
              <w:tab/>
            </w:r>
            <w:r>
              <w:rPr>
                <w:rStyle w:val="IndexLink"/>
              </w:rPr>
              <w:t>212</w:t>
            </w:r>
          </w:hyperlink>
        </w:p>
        <w:p>
          <w:pPr>
            <w:pStyle w:val="Contents2"/>
            <w:tabs>
              <w:tab w:val="clear" w:pos="8743"/>
              <w:tab w:val="right" w:pos="9026" w:leader="dot"/>
            </w:tabs>
            <w:rPr/>
          </w:pPr>
          <w:hyperlink w:anchor="__RefHeading___Toc6355225_1051229030">
            <w:r>
              <w:rPr>
                <w:webHidden/>
                <w:rStyle w:val="IndexLink"/>
                <w:rtl w:val="true"/>
              </w:rPr>
              <w:t>زمان الوقوف بعرفات</w:t>
            </w:r>
            <w:r>
              <w:rPr>
                <w:rStyle w:val="IndexLink"/>
                <w:rtl w:val="true"/>
              </w:rPr>
              <w:t>:</w:t>
              <w:tab/>
            </w:r>
            <w:r>
              <w:rPr>
                <w:rStyle w:val="IndexLink"/>
              </w:rPr>
              <w:t>217</w:t>
            </w:r>
          </w:hyperlink>
        </w:p>
        <w:p>
          <w:pPr>
            <w:pStyle w:val="Contents2"/>
            <w:tabs>
              <w:tab w:val="clear" w:pos="8743"/>
              <w:tab w:val="right" w:pos="9026" w:leader="dot"/>
            </w:tabs>
            <w:rPr/>
          </w:pPr>
          <w:hyperlink w:anchor="__RefHeading___Toc6355227_1051229030">
            <w:r>
              <w:rPr>
                <w:webHidden/>
                <w:rStyle w:val="IndexLink"/>
                <w:rtl w:val="true"/>
              </w:rPr>
              <w:t>طرق إثبات الهلال ومحل الكلام منها</w:t>
            </w:r>
            <w:r>
              <w:rPr>
                <w:rStyle w:val="IndexLink"/>
                <w:rtl w:val="true"/>
              </w:rPr>
              <w:t>:</w:t>
              <w:tab/>
            </w:r>
            <w:r>
              <w:rPr>
                <w:rStyle w:val="IndexLink"/>
              </w:rPr>
              <w:t>218</w:t>
            </w:r>
          </w:hyperlink>
        </w:p>
        <w:p>
          <w:pPr>
            <w:pStyle w:val="Contents2"/>
            <w:tabs>
              <w:tab w:val="clear" w:pos="8743"/>
              <w:tab w:val="right" w:pos="9026" w:leader="dot"/>
            </w:tabs>
            <w:rPr/>
          </w:pPr>
          <w:hyperlink w:anchor="__RefHeading___Toc6355229_1051229030">
            <w:r>
              <w:rPr>
                <w:webHidden/>
                <w:rStyle w:val="IndexLink"/>
                <w:rtl w:val="true"/>
              </w:rPr>
              <w:t>إثبات الهلال بحكم الحاكم عند الإماميّة</w:t>
            </w:r>
            <w:r>
              <w:rPr>
                <w:rStyle w:val="IndexLink"/>
                <w:rtl w:val="true"/>
              </w:rPr>
              <w:t>:</w:t>
              <w:tab/>
            </w:r>
            <w:r>
              <w:rPr>
                <w:rStyle w:val="IndexLink"/>
              </w:rPr>
              <w:t>222</w:t>
            </w:r>
          </w:hyperlink>
        </w:p>
        <w:p>
          <w:pPr>
            <w:pStyle w:val="Contents2"/>
            <w:tabs>
              <w:tab w:val="clear" w:pos="8743"/>
              <w:tab w:val="right" w:pos="9026" w:leader="dot"/>
            </w:tabs>
            <w:rPr/>
          </w:pPr>
          <w:hyperlink w:anchor="__RefHeading___Toc6355231_1051229030">
            <w:r>
              <w:rPr>
                <w:webHidden/>
                <w:rStyle w:val="IndexLink"/>
                <w:rtl w:val="true"/>
              </w:rPr>
              <w:t>أدلّة إثبات الهلال وعدمه بحكم الحاكم عند الإماميّة</w:t>
            </w:r>
            <w:r>
              <w:rPr>
                <w:rStyle w:val="IndexLink"/>
                <w:rtl w:val="true"/>
              </w:rPr>
              <w:t>:</w:t>
              <w:tab/>
            </w:r>
            <w:r>
              <w:rPr>
                <w:rStyle w:val="IndexLink"/>
              </w:rPr>
              <w:t>229</w:t>
            </w:r>
          </w:hyperlink>
        </w:p>
        <w:p>
          <w:pPr>
            <w:pStyle w:val="Contents2"/>
            <w:tabs>
              <w:tab w:val="clear" w:pos="8743"/>
              <w:tab w:val="right" w:pos="9026" w:leader="dot"/>
            </w:tabs>
            <w:rPr/>
          </w:pPr>
          <w:hyperlink w:anchor="__RefHeading___Toc6355233_1051229030">
            <w:r>
              <w:rPr>
                <w:webHidden/>
                <w:rStyle w:val="IndexLink"/>
                <w:rtl w:val="true"/>
              </w:rPr>
              <w:t>هل الحجّ مع مراعاة التّقية في الصّورة الأخيرة مجزیء عمّا هو واجب عليه من الحجّ أم لا؟</w:t>
            </w:r>
            <w:r>
              <w:rPr>
                <w:rStyle w:val="IndexLink"/>
                <w:rtl w:val="true"/>
              </w:rPr>
              <w:tab/>
            </w:r>
            <w:r>
              <w:rPr>
                <w:rStyle w:val="IndexLink"/>
              </w:rPr>
              <w:t>250</w:t>
            </w:r>
          </w:hyperlink>
        </w:p>
        <w:p>
          <w:pPr>
            <w:pStyle w:val="Contents2"/>
            <w:tabs>
              <w:tab w:val="clear" w:pos="8743"/>
              <w:tab w:val="right" w:pos="9026" w:leader="dot"/>
            </w:tabs>
            <w:rPr/>
          </w:pPr>
          <w:hyperlink w:anchor="__RefHeading___Toc6355235_1051229030">
            <w:r>
              <w:rPr>
                <w:webHidden/>
                <w:rStyle w:val="IndexLink"/>
                <w:rtl w:val="true"/>
              </w:rPr>
              <w:t>المقالة الخامسة</w:t>
            </w:r>
            <w:r>
              <w:rPr>
                <w:rStyle w:val="IndexLink"/>
                <w:rtl w:val="true"/>
              </w:rPr>
              <w:t xml:space="preserve">: </w:t>
            </w:r>
            <w:r>
              <w:rPr>
                <w:rStyle w:val="IndexLink"/>
                <w:rtl w:val="true"/>
              </w:rPr>
              <w:t>في العجز عن الهدی في الحجّ وبيان بدله وشرائطه</w:t>
            </w:r>
            <w:r>
              <w:rPr>
                <w:rStyle w:val="IndexLink"/>
                <w:rtl w:val="true"/>
              </w:rPr>
              <w:tab/>
            </w:r>
            <w:r>
              <w:rPr>
                <w:rStyle w:val="IndexLink"/>
              </w:rPr>
              <w:t>260</w:t>
            </w:r>
          </w:hyperlink>
        </w:p>
        <w:p>
          <w:pPr>
            <w:pStyle w:val="Contents2"/>
            <w:tabs>
              <w:tab w:val="clear" w:pos="8743"/>
              <w:tab w:val="right" w:pos="9026" w:leader="dot"/>
            </w:tabs>
            <w:rPr/>
          </w:pPr>
          <w:hyperlink w:anchor="__RefHeading___Toc6355237_1051229030">
            <w:r>
              <w:rPr>
                <w:webHidden/>
                <w:rStyle w:val="IndexLink"/>
                <w:rtl w:val="true"/>
              </w:rPr>
              <w:t>أدلّة كون الصوم بدلاً عن الهدی عند العجز عنه</w:t>
            </w:r>
            <w:r>
              <w:rPr>
                <w:rStyle w:val="IndexLink"/>
                <w:rtl w:val="true"/>
              </w:rPr>
              <w:t>:</w:t>
              <w:tab/>
            </w:r>
            <w:r>
              <w:rPr>
                <w:rStyle w:val="IndexLink"/>
              </w:rPr>
              <w:t>267</w:t>
            </w:r>
          </w:hyperlink>
        </w:p>
        <w:p>
          <w:pPr>
            <w:pStyle w:val="Contents2"/>
            <w:tabs>
              <w:tab w:val="clear" w:pos="8743"/>
              <w:tab w:val="right" w:pos="9026" w:leader="dot"/>
            </w:tabs>
            <w:rPr/>
          </w:pPr>
          <w:hyperlink w:anchor="__RefHeading___Toc6355239_1051229030">
            <w:r>
              <w:rPr>
                <w:webHidden/>
                <w:rStyle w:val="IndexLink"/>
                <w:rtl w:val="true"/>
              </w:rPr>
              <w:t>أمّا الاستدلال بالكتاب</w:t>
            </w:r>
            <w:r>
              <w:rPr>
                <w:rStyle w:val="IndexLink"/>
                <w:rtl w:val="true"/>
              </w:rPr>
              <w:t>:</w:t>
              <w:tab/>
            </w:r>
            <w:r>
              <w:rPr>
                <w:rStyle w:val="IndexLink"/>
              </w:rPr>
              <w:t>267</w:t>
            </w:r>
          </w:hyperlink>
        </w:p>
        <w:p>
          <w:pPr>
            <w:pStyle w:val="Contents2"/>
            <w:tabs>
              <w:tab w:val="clear" w:pos="8743"/>
              <w:tab w:val="right" w:pos="9026" w:leader="dot"/>
            </w:tabs>
            <w:rPr/>
          </w:pPr>
          <w:hyperlink w:anchor="__RefHeading___Toc6355241_1051229030">
            <w:r>
              <w:rPr>
                <w:webHidden/>
                <w:rStyle w:val="IndexLink"/>
                <w:rtl w:val="true"/>
              </w:rPr>
              <w:t>وأمّا الاستدلال بالسنّة</w:t>
            </w:r>
            <w:r>
              <w:rPr>
                <w:rStyle w:val="IndexLink"/>
                <w:rtl w:val="true"/>
              </w:rPr>
              <w:t>:</w:t>
              <w:tab/>
            </w:r>
            <w:r>
              <w:rPr>
                <w:rStyle w:val="IndexLink"/>
              </w:rPr>
              <w:t>268</w:t>
            </w:r>
          </w:hyperlink>
        </w:p>
        <w:p>
          <w:pPr>
            <w:pStyle w:val="Contents2"/>
            <w:tabs>
              <w:tab w:val="clear" w:pos="8743"/>
              <w:tab w:val="right" w:pos="9026" w:leader="dot"/>
            </w:tabs>
            <w:rPr/>
          </w:pPr>
          <w:hyperlink w:anchor="__RefHeading___Toc6355243_1051229030">
            <w:r>
              <w:rPr>
                <w:webHidden/>
                <w:rStyle w:val="IndexLink"/>
                <w:rtl w:val="true"/>
              </w:rPr>
              <w:t>لو فقد الهدی فقط إلا أنّه توقّع حصوله إلی آخر الشهر</w:t>
            </w:r>
            <w:r>
              <w:rPr>
                <w:rStyle w:val="IndexLink"/>
                <w:rtl w:val="true"/>
              </w:rPr>
              <w:t>:</w:t>
              <w:tab/>
            </w:r>
            <w:r>
              <w:rPr>
                <w:rStyle w:val="IndexLink"/>
              </w:rPr>
              <w:t>269</w:t>
            </w:r>
          </w:hyperlink>
        </w:p>
        <w:p>
          <w:pPr>
            <w:pStyle w:val="Contents2"/>
            <w:tabs>
              <w:tab w:val="clear" w:pos="8743"/>
              <w:tab w:val="right" w:pos="9026" w:leader="dot"/>
            </w:tabs>
            <w:rPr/>
          </w:pPr>
          <w:hyperlink w:anchor="__RefHeading___Toc6355245_1051229030">
            <w:r>
              <w:rPr>
                <w:webHidden/>
                <w:rStyle w:val="IndexLink"/>
                <w:rtl w:val="true"/>
              </w:rPr>
              <w:t xml:space="preserve">هل أيّام </w:t>
            </w:r>
            <w:r>
              <w:rPr>
                <w:rStyle w:val="IndexLink"/>
                <w:rtl w:val="true"/>
              </w:rPr>
              <w:t>«</w:t>
            </w:r>
            <w:r>
              <w:rPr>
                <w:rStyle w:val="IndexLink"/>
                <w:rtl w:val="true"/>
              </w:rPr>
              <w:t>الحجّ</w:t>
            </w:r>
            <w:r>
              <w:rPr>
                <w:rStyle w:val="IndexLink"/>
                <w:rtl w:val="true"/>
              </w:rPr>
              <w:t xml:space="preserve">» </w:t>
            </w:r>
            <w:r>
              <w:rPr>
                <w:rStyle w:val="IndexLink"/>
                <w:rtl w:val="true"/>
              </w:rPr>
              <w:t xml:space="preserve">الّذی أمر بوقوع صيام الثلاثة فيها تشمل جميع أيّام أشهر </w:t>
            </w:r>
            <w:r>
              <w:rPr>
                <w:rStyle w:val="IndexLink"/>
                <w:rtl w:val="true"/>
              </w:rPr>
              <w:t>«</w:t>
            </w:r>
            <w:r>
              <w:rPr>
                <w:rStyle w:val="IndexLink"/>
                <w:rtl w:val="true"/>
              </w:rPr>
              <w:t>الحجّ</w:t>
            </w:r>
            <w:r>
              <w:rPr>
                <w:rStyle w:val="IndexLink"/>
                <w:rtl w:val="true"/>
              </w:rPr>
              <w:t xml:space="preserve">» </w:t>
            </w:r>
            <w:r>
              <w:rPr>
                <w:rStyle w:val="IndexLink"/>
                <w:rtl w:val="true"/>
              </w:rPr>
              <w:t>الثلاثة؟</w:t>
            </w:r>
            <w:r>
              <w:rPr>
                <w:rStyle w:val="IndexLink"/>
                <w:rtl w:val="true"/>
              </w:rPr>
              <w:tab/>
            </w:r>
            <w:r>
              <w:rPr>
                <w:rStyle w:val="IndexLink"/>
              </w:rPr>
              <w:t>273</w:t>
            </w:r>
          </w:hyperlink>
        </w:p>
        <w:p>
          <w:pPr>
            <w:pStyle w:val="Contents2"/>
            <w:tabs>
              <w:tab w:val="clear" w:pos="8743"/>
              <w:tab w:val="right" w:pos="9026" w:leader="dot"/>
            </w:tabs>
            <w:rPr/>
          </w:pPr>
          <w:hyperlink w:anchor="__RefHeading___Toc6355247_1051229030">
            <w:r>
              <w:rPr>
                <w:webHidden/>
                <w:rStyle w:val="IndexLink"/>
                <w:rtl w:val="true"/>
              </w:rPr>
              <w:t>جواز الصوم البدل بعد التلبس بإحرام العمرة وقبل الإهلال بالحجّ</w:t>
            </w:r>
            <w:r>
              <w:rPr>
                <w:rStyle w:val="IndexLink"/>
                <w:rtl w:val="true"/>
              </w:rPr>
              <w:t>:</w:t>
              <w:tab/>
            </w:r>
            <w:r>
              <w:rPr>
                <w:rStyle w:val="IndexLink"/>
              </w:rPr>
              <w:t>277</w:t>
            </w:r>
          </w:hyperlink>
        </w:p>
        <w:p>
          <w:pPr>
            <w:pStyle w:val="Contents2"/>
            <w:tabs>
              <w:tab w:val="clear" w:pos="8743"/>
              <w:tab w:val="right" w:pos="9026" w:leader="dot"/>
            </w:tabs>
            <w:rPr/>
          </w:pPr>
          <w:hyperlink w:anchor="__RefHeading___Toc6355249_1051229030">
            <w:r>
              <w:rPr>
                <w:webHidden/>
                <w:rStyle w:val="IndexLink"/>
                <w:rtl w:val="true"/>
              </w:rPr>
              <w:t>ما هی الأيّام الثلاثة الّتي يجب صومها في ذی الحجة عند فقدان الهدی؟</w:t>
            </w:r>
            <w:r>
              <w:rPr>
                <w:rStyle w:val="IndexLink"/>
                <w:rtl w:val="true"/>
              </w:rPr>
              <w:tab/>
            </w:r>
            <w:r>
              <w:rPr>
                <w:rStyle w:val="IndexLink"/>
              </w:rPr>
              <w:t>282</w:t>
            </w:r>
          </w:hyperlink>
        </w:p>
        <w:p>
          <w:pPr>
            <w:pStyle w:val="Contents2"/>
            <w:tabs>
              <w:tab w:val="clear" w:pos="8743"/>
              <w:tab w:val="right" w:pos="9026" w:leader="dot"/>
            </w:tabs>
            <w:rPr/>
          </w:pPr>
          <w:hyperlink w:anchor="__RefHeading___Toc6355251_1051229030">
            <w:r>
              <w:rPr>
                <w:webHidden/>
                <w:rStyle w:val="IndexLink"/>
                <w:rtl w:val="true"/>
              </w:rPr>
              <w:t>ما هو مقتضی القاعدة في المقام؟</w:t>
            </w:r>
            <w:r>
              <w:rPr>
                <w:rStyle w:val="IndexLink"/>
                <w:rtl w:val="true"/>
              </w:rPr>
              <w:tab/>
            </w:r>
            <w:r>
              <w:rPr>
                <w:rStyle w:val="IndexLink"/>
              </w:rPr>
              <w:t>288</w:t>
            </w:r>
          </w:hyperlink>
        </w:p>
        <w:p>
          <w:pPr>
            <w:pStyle w:val="Contents2"/>
            <w:tabs>
              <w:tab w:val="clear" w:pos="8743"/>
              <w:tab w:val="right" w:pos="9026" w:leader="dot"/>
            </w:tabs>
            <w:rPr/>
          </w:pPr>
          <w:hyperlink w:anchor="__RefHeading___Toc6355253_1051229030">
            <w:r>
              <w:rPr>
                <w:webHidden/>
                <w:rStyle w:val="IndexLink"/>
                <w:rtl w:val="true"/>
              </w:rPr>
              <w:t>الكلام في أدلة الأقوال</w:t>
            </w:r>
            <w:r>
              <w:rPr>
                <w:rStyle w:val="IndexLink"/>
                <w:rtl w:val="true"/>
              </w:rPr>
              <w:t>:</w:t>
              <w:tab/>
            </w:r>
            <w:r>
              <w:rPr>
                <w:rStyle w:val="IndexLink"/>
              </w:rPr>
              <w:t>290</w:t>
            </w:r>
          </w:hyperlink>
        </w:p>
        <w:p>
          <w:pPr>
            <w:pStyle w:val="Contents2"/>
            <w:tabs>
              <w:tab w:val="clear" w:pos="8743"/>
              <w:tab w:val="right" w:pos="9026" w:leader="dot"/>
            </w:tabs>
            <w:rPr/>
          </w:pPr>
          <w:hyperlink w:anchor="__RefHeading___Toc6355255_1051229030">
            <w:r>
              <w:rPr>
                <w:webHidden/>
                <w:rStyle w:val="IndexLink"/>
                <w:rtl w:val="true"/>
              </w:rPr>
              <w:t>هل يجوز صيام بدل الهدی أيّام التشريق لمن كان بمنی؟</w:t>
            </w:r>
            <w:r>
              <w:rPr>
                <w:rStyle w:val="IndexLink"/>
                <w:rtl w:val="true"/>
              </w:rPr>
              <w:tab/>
            </w:r>
            <w:r>
              <w:rPr>
                <w:rStyle w:val="IndexLink"/>
              </w:rPr>
              <w:t>298</w:t>
            </w:r>
          </w:hyperlink>
        </w:p>
        <w:p>
          <w:pPr>
            <w:pStyle w:val="Contents2"/>
            <w:tabs>
              <w:tab w:val="clear" w:pos="8743"/>
              <w:tab w:val="right" w:pos="9026" w:leader="dot"/>
            </w:tabs>
            <w:rPr/>
          </w:pPr>
          <w:hyperlink w:anchor="__RefHeading___Toc6355257_1051229030">
            <w:r>
              <w:rPr>
                <w:webHidden/>
                <w:rStyle w:val="IndexLink"/>
                <w:rtl w:val="true"/>
              </w:rPr>
              <w:t>وجوب التوالی في الصيام الثلاثة البدل عن الهدی</w:t>
            </w:r>
            <w:r>
              <w:rPr>
                <w:rStyle w:val="IndexLink"/>
                <w:rtl w:val="true"/>
              </w:rPr>
              <w:t>:</w:t>
              <w:tab/>
            </w:r>
            <w:r>
              <w:rPr>
                <w:rStyle w:val="IndexLink"/>
              </w:rPr>
              <w:t>310</w:t>
            </w:r>
          </w:hyperlink>
        </w:p>
        <w:p>
          <w:pPr>
            <w:pStyle w:val="Contents2"/>
            <w:tabs>
              <w:tab w:val="clear" w:pos="8743"/>
              <w:tab w:val="right" w:pos="9026" w:leader="dot"/>
            </w:tabs>
            <w:rPr/>
          </w:pPr>
          <w:hyperlink w:anchor="__RefHeading___Toc6355259_1051229030">
            <w:r>
              <w:rPr>
                <w:webHidden/>
                <w:rStyle w:val="IndexLink"/>
                <w:rtl w:val="true"/>
              </w:rPr>
              <w:t>موارد الّتي لا يلزم فيه التوالی في الثلاثة</w:t>
            </w:r>
            <w:r>
              <w:rPr>
                <w:rStyle w:val="IndexLink"/>
                <w:rtl w:val="true"/>
              </w:rPr>
              <w:t>:</w:t>
              <w:tab/>
            </w:r>
            <w:r>
              <w:rPr>
                <w:rStyle w:val="IndexLink"/>
              </w:rPr>
              <w:t>313</w:t>
            </w:r>
          </w:hyperlink>
        </w:p>
        <w:p>
          <w:pPr>
            <w:pStyle w:val="Contents2"/>
            <w:tabs>
              <w:tab w:val="clear" w:pos="8743"/>
              <w:tab w:val="right" w:pos="9026" w:leader="dot"/>
            </w:tabs>
            <w:rPr/>
          </w:pPr>
          <w:hyperlink w:anchor="__RefHeading___Toc6355261_1051229030">
            <w:r>
              <w:rPr>
                <w:webHidden/>
                <w:rStyle w:val="IndexLink"/>
                <w:rtl w:val="true"/>
              </w:rPr>
              <w:t>المقالة السادسة</w:t>
            </w:r>
            <w:r>
              <w:rPr>
                <w:rStyle w:val="IndexLink"/>
                <w:rtl w:val="true"/>
              </w:rPr>
              <w:t>:</w:t>
            </w:r>
            <w:r>
              <w:rPr>
                <w:rStyle w:val="IndexLink"/>
                <w:rtl w:val="true"/>
              </w:rPr>
              <w:t>في الربا حكمه، أقسامه ومستثنياته</w:t>
            </w:r>
            <w:r>
              <w:rPr>
                <w:rStyle w:val="IndexLink"/>
                <w:rtl w:val="true"/>
              </w:rPr>
              <w:tab/>
            </w:r>
            <w:r>
              <w:rPr>
                <w:rStyle w:val="IndexLink"/>
              </w:rPr>
              <w:t>323</w:t>
            </w:r>
          </w:hyperlink>
        </w:p>
        <w:p>
          <w:pPr>
            <w:pStyle w:val="Contents2"/>
            <w:tabs>
              <w:tab w:val="clear" w:pos="8743"/>
              <w:tab w:val="right" w:pos="9026" w:leader="dot"/>
            </w:tabs>
            <w:rPr/>
          </w:pPr>
          <w:hyperlink w:anchor="__RefHeading___Toc6355263_1051229030">
            <w:r>
              <w:rPr>
                <w:webHidden/>
                <w:rStyle w:val="IndexLink"/>
                <w:rtl w:val="true"/>
              </w:rPr>
              <w:t>أمّا الرّبا في المعنی والمفهوم ومصطلح الفقهاء</w:t>
            </w:r>
            <w:r>
              <w:rPr>
                <w:rStyle w:val="IndexLink"/>
                <w:rtl w:val="true"/>
              </w:rPr>
              <w:t>:</w:t>
              <w:tab/>
            </w:r>
            <w:r>
              <w:rPr>
                <w:rStyle w:val="IndexLink"/>
              </w:rPr>
              <w:t>326</w:t>
            </w:r>
          </w:hyperlink>
        </w:p>
        <w:p>
          <w:pPr>
            <w:pStyle w:val="Contents2"/>
            <w:tabs>
              <w:tab w:val="clear" w:pos="8743"/>
              <w:tab w:val="right" w:pos="9026" w:leader="dot"/>
            </w:tabs>
            <w:rPr/>
          </w:pPr>
          <w:hyperlink w:anchor="__RefHeading___Toc6355265_1051229030">
            <w:r>
              <w:rPr>
                <w:webHidden/>
                <w:rStyle w:val="IndexLink"/>
                <w:rtl w:val="true"/>
              </w:rPr>
              <w:t xml:space="preserve">حكم </w:t>
            </w:r>
            <w:r>
              <w:rPr>
                <w:rStyle w:val="IndexLink"/>
                <w:rtl w:val="true"/>
              </w:rPr>
              <w:t>«</w:t>
            </w:r>
            <w:r>
              <w:rPr>
                <w:rStyle w:val="IndexLink"/>
                <w:rtl w:val="true"/>
              </w:rPr>
              <w:t>الربا</w:t>
            </w:r>
            <w:r>
              <w:rPr>
                <w:rStyle w:val="IndexLink"/>
                <w:rtl w:val="true"/>
              </w:rPr>
              <w:t xml:space="preserve">» </w:t>
            </w:r>
            <w:r>
              <w:rPr>
                <w:rStyle w:val="IndexLink"/>
                <w:rtl w:val="true"/>
              </w:rPr>
              <w:t>عند الفريقين</w:t>
            </w:r>
            <w:r>
              <w:rPr>
                <w:rStyle w:val="IndexLink"/>
                <w:rtl w:val="true"/>
              </w:rPr>
              <w:t>:</w:t>
              <w:tab/>
            </w:r>
            <w:r>
              <w:rPr>
                <w:rStyle w:val="IndexLink"/>
              </w:rPr>
              <w:t>333</w:t>
            </w:r>
          </w:hyperlink>
        </w:p>
        <w:p>
          <w:pPr>
            <w:pStyle w:val="Contents2"/>
            <w:tabs>
              <w:tab w:val="clear" w:pos="8743"/>
              <w:tab w:val="right" w:pos="9026" w:leader="dot"/>
            </w:tabs>
            <w:rPr/>
          </w:pPr>
          <w:hyperlink w:anchor="__RefHeading___Toc6355267_1051229030">
            <w:r>
              <w:rPr>
                <w:webHidden/>
                <w:rStyle w:val="IndexLink"/>
                <w:rtl w:val="true"/>
              </w:rPr>
              <w:t>أدلّة حرمة الرّبا في الشّريعة المقدسة</w:t>
            </w:r>
            <w:r>
              <w:rPr>
                <w:rStyle w:val="IndexLink"/>
                <w:rtl w:val="true"/>
              </w:rPr>
              <w:t>:</w:t>
              <w:tab/>
            </w:r>
            <w:r>
              <w:rPr>
                <w:rStyle w:val="IndexLink"/>
              </w:rPr>
              <w:t>336</w:t>
            </w:r>
          </w:hyperlink>
        </w:p>
        <w:p>
          <w:pPr>
            <w:pStyle w:val="Contents2"/>
            <w:tabs>
              <w:tab w:val="clear" w:pos="8743"/>
              <w:tab w:val="right" w:pos="9026" w:leader="dot"/>
            </w:tabs>
            <w:rPr/>
          </w:pPr>
          <w:hyperlink w:anchor="__RefHeading___Toc6355269_1051229030">
            <w:r>
              <w:rPr>
                <w:webHidden/>
                <w:rStyle w:val="IndexLink"/>
                <w:rtl w:val="true"/>
              </w:rPr>
              <w:t>أمّا الرّبا في القرآن الكريم والشّرائع السّابقة</w:t>
            </w:r>
            <w:r>
              <w:rPr>
                <w:rStyle w:val="IndexLink"/>
                <w:rtl w:val="true"/>
              </w:rPr>
              <w:t>:</w:t>
              <w:tab/>
            </w:r>
            <w:r>
              <w:rPr>
                <w:rStyle w:val="IndexLink"/>
              </w:rPr>
              <w:t>336</w:t>
            </w:r>
          </w:hyperlink>
        </w:p>
        <w:p>
          <w:pPr>
            <w:pStyle w:val="Contents2"/>
            <w:tabs>
              <w:tab w:val="clear" w:pos="8743"/>
              <w:tab w:val="right" w:pos="9026" w:leader="dot"/>
            </w:tabs>
            <w:rPr/>
          </w:pPr>
          <w:hyperlink w:anchor="__RefHeading___Toc6355271_1051229030">
            <w:r>
              <w:rPr>
                <w:webHidden/>
                <w:rStyle w:val="IndexLink"/>
                <w:rtl w:val="true"/>
              </w:rPr>
              <w:t>أمّا دليل حرمته من الأخبار والأحاديث</w:t>
            </w:r>
            <w:r>
              <w:rPr>
                <w:rStyle w:val="IndexLink"/>
                <w:rtl w:val="true"/>
              </w:rPr>
              <w:t>:</w:t>
              <w:tab/>
            </w:r>
            <w:r>
              <w:rPr>
                <w:rStyle w:val="IndexLink"/>
              </w:rPr>
              <w:t>339</w:t>
            </w:r>
          </w:hyperlink>
        </w:p>
        <w:p>
          <w:pPr>
            <w:pStyle w:val="Contents2"/>
            <w:tabs>
              <w:tab w:val="clear" w:pos="8743"/>
              <w:tab w:val="right" w:pos="9026" w:leader="dot"/>
            </w:tabs>
            <w:rPr/>
          </w:pPr>
          <w:hyperlink w:anchor="__RefHeading___Toc6355273_1051229030">
            <w:r>
              <w:rPr>
                <w:webHidden/>
                <w:rStyle w:val="IndexLink"/>
                <w:rtl w:val="true"/>
              </w:rPr>
              <w:t>أمّا دليل حرمته من دليل العقل</w:t>
            </w:r>
            <w:r>
              <w:rPr>
                <w:rStyle w:val="IndexLink"/>
                <w:rtl w:val="true"/>
              </w:rPr>
              <w:t>:</w:t>
              <w:tab/>
            </w:r>
            <w:r>
              <w:rPr>
                <w:rStyle w:val="IndexLink"/>
              </w:rPr>
              <w:t>348</w:t>
            </w:r>
          </w:hyperlink>
        </w:p>
        <w:p>
          <w:pPr>
            <w:pStyle w:val="Contents2"/>
            <w:tabs>
              <w:tab w:val="clear" w:pos="8743"/>
              <w:tab w:val="right" w:pos="9026" w:leader="dot"/>
            </w:tabs>
            <w:rPr/>
          </w:pPr>
          <w:hyperlink w:anchor="__RefHeading___Toc6355275_1051229030">
            <w:r>
              <w:rPr>
                <w:webHidden/>
                <w:rStyle w:val="IndexLink"/>
                <w:rtl w:val="true"/>
              </w:rPr>
              <w:t>أقسام الرّباء إجمالاً</w:t>
            </w:r>
            <w:r>
              <w:rPr>
                <w:rStyle w:val="IndexLink"/>
                <w:rtl w:val="true"/>
              </w:rPr>
              <w:t>:</w:t>
              <w:tab/>
            </w:r>
            <w:r>
              <w:rPr>
                <w:rStyle w:val="IndexLink"/>
              </w:rPr>
              <w:t>350</w:t>
            </w:r>
          </w:hyperlink>
        </w:p>
        <w:p>
          <w:pPr>
            <w:pStyle w:val="Contents2"/>
            <w:tabs>
              <w:tab w:val="clear" w:pos="8743"/>
              <w:tab w:val="right" w:pos="9026" w:leader="dot"/>
            </w:tabs>
            <w:rPr/>
          </w:pPr>
          <w:hyperlink w:anchor="__RefHeading___Toc6355277_1051229030">
            <w:r>
              <w:rPr>
                <w:webHidden/>
                <w:rStyle w:val="IndexLink"/>
                <w:rtl w:val="true"/>
              </w:rPr>
              <w:t>مستثيات الرّبا المحرّم</w:t>
            </w:r>
            <w:r>
              <w:rPr>
                <w:rStyle w:val="IndexLink"/>
                <w:rtl w:val="true"/>
              </w:rPr>
              <w:t>:</w:t>
              <w:tab/>
            </w:r>
            <w:r>
              <w:rPr>
                <w:rStyle w:val="IndexLink"/>
              </w:rPr>
              <w:t>351</w:t>
            </w:r>
          </w:hyperlink>
        </w:p>
        <w:p>
          <w:pPr>
            <w:pStyle w:val="Contents2"/>
            <w:tabs>
              <w:tab w:val="clear" w:pos="8743"/>
              <w:tab w:val="right" w:pos="9026" w:leader="dot"/>
            </w:tabs>
            <w:rPr/>
          </w:pPr>
          <w:hyperlink w:anchor="__RefHeading___Toc6355279_1051229030">
            <w:r>
              <w:rPr>
                <w:webHidden/>
                <w:rStyle w:val="IndexLink"/>
                <w:rtl w:val="true"/>
              </w:rPr>
              <w:t>الأولی</w:t>
            </w:r>
            <w:r>
              <w:rPr>
                <w:rStyle w:val="IndexLink"/>
                <w:rtl w:val="true"/>
              </w:rPr>
              <w:t xml:space="preserve">: </w:t>
            </w:r>
            <w:r>
              <w:rPr>
                <w:rStyle w:val="IndexLink"/>
                <w:rtl w:val="true"/>
              </w:rPr>
              <w:t>نفيه امتناناً وتفضّلاً عند الاضطرار ونحوه</w:t>
            </w:r>
            <w:r>
              <w:rPr>
                <w:rStyle w:val="IndexLink"/>
                <w:rtl w:val="true"/>
              </w:rPr>
              <w:t>:</w:t>
              <w:tab/>
            </w:r>
            <w:r>
              <w:rPr>
                <w:rStyle w:val="IndexLink"/>
              </w:rPr>
              <w:t>354</w:t>
            </w:r>
          </w:hyperlink>
        </w:p>
        <w:p>
          <w:pPr>
            <w:pStyle w:val="Contents2"/>
            <w:tabs>
              <w:tab w:val="clear" w:pos="8743"/>
              <w:tab w:val="right" w:pos="9026" w:leader="dot"/>
            </w:tabs>
            <w:rPr/>
          </w:pPr>
          <w:hyperlink w:anchor="__RefHeading___Toc6355281_1051229030">
            <w:r>
              <w:rPr>
                <w:webHidden/>
                <w:rStyle w:val="IndexLink"/>
                <w:rtl w:val="true"/>
              </w:rPr>
              <w:t>الثانية</w:t>
            </w:r>
            <w:r>
              <w:rPr>
                <w:rStyle w:val="IndexLink"/>
                <w:rtl w:val="true"/>
              </w:rPr>
              <w:t xml:space="preserve">: </w:t>
            </w:r>
            <w:r>
              <w:rPr>
                <w:rStyle w:val="IndexLink"/>
                <w:rtl w:val="true"/>
              </w:rPr>
              <w:t>نفيه بين الوالد وولده</w:t>
            </w:r>
            <w:r>
              <w:rPr>
                <w:rStyle w:val="IndexLink"/>
                <w:rtl w:val="true"/>
              </w:rPr>
              <w:t>:</w:t>
              <w:tab/>
            </w:r>
            <w:r>
              <w:rPr>
                <w:rStyle w:val="IndexLink"/>
              </w:rPr>
              <w:t>354</w:t>
            </w:r>
          </w:hyperlink>
        </w:p>
        <w:p>
          <w:pPr>
            <w:pStyle w:val="Contents2"/>
            <w:tabs>
              <w:tab w:val="clear" w:pos="8743"/>
              <w:tab w:val="right" w:pos="9026" w:leader="dot"/>
            </w:tabs>
            <w:rPr/>
          </w:pPr>
          <w:hyperlink w:anchor="__RefHeading___Toc6355283_1051229030">
            <w:r>
              <w:rPr>
                <w:webHidden/>
                <w:rStyle w:val="IndexLink"/>
                <w:rtl w:val="true"/>
              </w:rPr>
              <w:t>بقی هنا أمور</w:t>
            </w:r>
            <w:r>
              <w:rPr>
                <w:rStyle w:val="IndexLink"/>
                <w:rtl w:val="true"/>
              </w:rPr>
              <w:t>:</w:t>
              <w:tab/>
            </w:r>
            <w:r>
              <w:rPr>
                <w:rStyle w:val="IndexLink"/>
              </w:rPr>
              <w:t>363</w:t>
            </w:r>
          </w:hyperlink>
        </w:p>
        <w:p>
          <w:pPr>
            <w:pStyle w:val="Contents2"/>
            <w:tabs>
              <w:tab w:val="clear" w:pos="8743"/>
              <w:tab w:val="right" w:pos="9026" w:leader="dot"/>
            </w:tabs>
            <w:rPr/>
          </w:pPr>
          <w:hyperlink w:anchor="__RefHeading___Toc6355285_1051229030">
            <w:r>
              <w:rPr>
                <w:webHidden/>
                <w:rStyle w:val="IndexLink"/>
                <w:rtl w:val="true"/>
              </w:rPr>
              <w:t>الثانی</w:t>
            </w:r>
            <w:r>
              <w:rPr>
                <w:rStyle w:val="IndexLink"/>
                <w:rtl w:val="true"/>
              </w:rPr>
              <w:t xml:space="preserve">: </w:t>
            </w:r>
            <w:r>
              <w:rPr>
                <w:rStyle w:val="IndexLink"/>
                <w:rtl w:val="true"/>
              </w:rPr>
              <w:t>هل الحكم هنا يعمّ مطلق الأولاد من الذّكور والإناث، أم يختصّ الذّكور فقط؟</w:t>
            </w:r>
            <w:r>
              <w:rPr>
                <w:rStyle w:val="IndexLink"/>
                <w:rtl w:val="true"/>
              </w:rPr>
              <w:tab/>
            </w:r>
            <w:r>
              <w:rPr>
                <w:rStyle w:val="IndexLink"/>
              </w:rPr>
              <w:t>365</w:t>
            </w:r>
          </w:hyperlink>
        </w:p>
        <w:p>
          <w:pPr>
            <w:pStyle w:val="Contents2"/>
            <w:tabs>
              <w:tab w:val="clear" w:pos="8743"/>
              <w:tab w:val="right" w:pos="9026" w:leader="dot"/>
            </w:tabs>
            <w:rPr/>
          </w:pPr>
          <w:hyperlink w:anchor="__RefHeading___Toc6355287_1051229030">
            <w:r>
              <w:rPr>
                <w:webHidden/>
                <w:rStyle w:val="IndexLink"/>
                <w:rtl w:val="true"/>
              </w:rPr>
              <w:t>الثالث</w:t>
            </w:r>
            <w:r>
              <w:rPr>
                <w:rStyle w:val="IndexLink"/>
                <w:rtl w:val="true"/>
              </w:rPr>
              <w:t xml:space="preserve">: </w:t>
            </w:r>
            <w:r>
              <w:rPr>
                <w:rStyle w:val="IndexLink"/>
                <w:rtl w:val="true"/>
              </w:rPr>
              <w:t>هل هناك فرق بين الأولاد للصلب و ولد الولد؟</w:t>
            </w:r>
            <w:r>
              <w:rPr>
                <w:rStyle w:val="IndexLink"/>
                <w:rtl w:val="true"/>
              </w:rPr>
              <w:tab/>
            </w:r>
            <w:r>
              <w:rPr>
                <w:rStyle w:val="IndexLink"/>
              </w:rPr>
              <w:t>367</w:t>
            </w:r>
          </w:hyperlink>
        </w:p>
        <w:p>
          <w:pPr>
            <w:pStyle w:val="Contents2"/>
            <w:tabs>
              <w:tab w:val="clear" w:pos="8743"/>
              <w:tab w:val="right" w:pos="9026" w:leader="dot"/>
            </w:tabs>
            <w:rPr/>
          </w:pPr>
          <w:hyperlink w:anchor="__RefHeading___Toc6355289_1051229030">
            <w:r>
              <w:rPr>
                <w:webHidden/>
                <w:rStyle w:val="IndexLink"/>
                <w:rtl w:val="true"/>
              </w:rPr>
              <w:t>الرابع</w:t>
            </w:r>
            <w:r>
              <w:rPr>
                <w:rStyle w:val="IndexLink"/>
                <w:rtl w:val="true"/>
              </w:rPr>
              <w:t xml:space="preserve">: </w:t>
            </w:r>
            <w:r>
              <w:rPr>
                <w:rStyle w:val="IndexLink"/>
                <w:rtl w:val="true"/>
              </w:rPr>
              <w:t>هل الحكم هنا يسری إلی أمّ أو لا؟</w:t>
            </w:r>
            <w:r>
              <w:rPr>
                <w:rStyle w:val="IndexLink"/>
                <w:rtl w:val="true"/>
              </w:rPr>
              <w:tab/>
            </w:r>
            <w:r>
              <w:rPr>
                <w:rStyle w:val="IndexLink"/>
              </w:rPr>
              <w:t>370</w:t>
            </w:r>
          </w:hyperlink>
        </w:p>
        <w:p>
          <w:pPr>
            <w:pStyle w:val="Contents2"/>
            <w:tabs>
              <w:tab w:val="clear" w:pos="8743"/>
              <w:tab w:val="right" w:pos="9026" w:leader="dot"/>
            </w:tabs>
            <w:rPr/>
          </w:pPr>
          <w:hyperlink w:anchor="__RefHeading___Toc6355291_1051229030">
            <w:r>
              <w:rPr>
                <w:webHidden/>
                <w:rStyle w:val="IndexLink"/>
                <w:rtl w:val="true"/>
              </w:rPr>
              <w:t>الثالثة من مستثنيات الرّبا نفيه بين الرجل وزوجته</w:t>
            </w:r>
            <w:r>
              <w:rPr>
                <w:rStyle w:val="IndexLink"/>
                <w:rtl w:val="true"/>
              </w:rPr>
              <w:t>:</w:t>
              <w:tab/>
            </w:r>
            <w:r>
              <w:rPr>
                <w:rStyle w:val="IndexLink"/>
              </w:rPr>
              <w:t>371</w:t>
            </w:r>
          </w:hyperlink>
        </w:p>
        <w:p>
          <w:pPr>
            <w:pStyle w:val="Contents2"/>
            <w:tabs>
              <w:tab w:val="clear" w:pos="8743"/>
              <w:tab w:val="right" w:pos="9026" w:leader="dot"/>
            </w:tabs>
            <w:rPr/>
          </w:pPr>
          <w:hyperlink w:anchor="__RefHeading___Toc6355293_1051229030">
            <w:r>
              <w:rPr>
                <w:webHidden/>
                <w:rStyle w:val="IndexLink"/>
                <w:rtl w:val="true"/>
              </w:rPr>
              <w:t>هل الحكم هنا يجری في مطلق الأزواج من الدائمة والمتمتّع بها، أم لا؟</w:t>
            </w:r>
            <w:r>
              <w:rPr>
                <w:rStyle w:val="IndexLink"/>
                <w:rtl w:val="true"/>
              </w:rPr>
              <w:tab/>
            </w:r>
            <w:r>
              <w:rPr>
                <w:rStyle w:val="IndexLink"/>
              </w:rPr>
              <w:t>373</w:t>
            </w:r>
          </w:hyperlink>
        </w:p>
        <w:p>
          <w:pPr>
            <w:pStyle w:val="Contents2"/>
            <w:tabs>
              <w:tab w:val="clear" w:pos="8743"/>
              <w:tab w:val="right" w:pos="9026" w:leader="dot"/>
            </w:tabs>
            <w:rPr/>
          </w:pPr>
          <w:hyperlink w:anchor="__RefHeading___Toc6355295_1051229030">
            <w:r>
              <w:rPr>
                <w:webHidden/>
                <w:rStyle w:val="IndexLink"/>
                <w:rtl w:val="true"/>
              </w:rPr>
              <w:t>الرابع والخامس من مستثنيات الرّبا نفيه بين المسلم والكافر الحربی، والذمّی الّذی خرج عن شرائط الذمّة</w:t>
            </w:r>
            <w:r>
              <w:rPr>
                <w:rStyle w:val="IndexLink"/>
                <w:rtl w:val="true"/>
              </w:rPr>
              <w:t>:</w:t>
              <w:tab/>
            </w:r>
            <w:r>
              <w:rPr>
                <w:rStyle w:val="IndexLink"/>
              </w:rPr>
              <w:t>375</w:t>
            </w:r>
          </w:hyperlink>
        </w:p>
        <w:p>
          <w:pPr>
            <w:pStyle w:val="Contents2"/>
            <w:tabs>
              <w:tab w:val="clear" w:pos="8743"/>
              <w:tab w:val="right" w:pos="9026" w:leader="dot"/>
            </w:tabs>
            <w:rPr/>
          </w:pPr>
          <w:hyperlink w:anchor="__RefHeading___Toc6355297_1051229030">
            <w:r>
              <w:rPr>
                <w:webHidden/>
                <w:rStyle w:val="IndexLink"/>
                <w:rtl w:val="true"/>
              </w:rPr>
              <w:t>السادس من مستثنيات الرّبا نفيه بين المولی وعبده</w:t>
            </w:r>
            <w:r>
              <w:rPr>
                <w:rStyle w:val="IndexLink"/>
                <w:rtl w:val="true"/>
              </w:rPr>
              <w:t>:</w:t>
              <w:tab/>
            </w:r>
            <w:r>
              <w:rPr>
                <w:rStyle w:val="IndexLink"/>
              </w:rPr>
              <w:t>384</w:t>
            </w:r>
          </w:hyperlink>
        </w:p>
        <w:p>
          <w:pPr>
            <w:pStyle w:val="Contents2"/>
            <w:tabs>
              <w:tab w:val="clear" w:pos="8743"/>
              <w:tab w:val="right" w:pos="9026" w:leader="dot"/>
            </w:tabs>
            <w:rPr/>
          </w:pPr>
          <w:hyperlink w:anchor="__RefHeading___Toc6355299_1051229030">
            <w:r>
              <w:rPr>
                <w:webHidden/>
                <w:rStyle w:val="IndexLink"/>
                <w:rtl w:val="true"/>
              </w:rPr>
              <w:t>السابع من مستثنيات الرّبا نفيه في بيع المعدود مطلقاً، وفی المكيل والموزون مع اختلاف الجنسين</w:t>
            </w:r>
            <w:r>
              <w:rPr>
                <w:rStyle w:val="IndexLink"/>
                <w:rtl w:val="true"/>
              </w:rPr>
              <w:t>:</w:t>
              <w:tab/>
            </w:r>
            <w:r>
              <w:rPr>
                <w:rStyle w:val="IndexLink"/>
              </w:rPr>
              <w:t>387</w:t>
            </w:r>
          </w:hyperlink>
        </w:p>
        <w:p>
          <w:pPr>
            <w:pStyle w:val="Contents2"/>
            <w:tabs>
              <w:tab w:val="clear" w:pos="8743"/>
              <w:tab w:val="right" w:pos="9026" w:leader="dot"/>
            </w:tabs>
            <w:rPr/>
          </w:pPr>
          <w:hyperlink w:anchor="__RefHeading___Toc6355301_1051229030">
            <w:r>
              <w:rPr>
                <w:webHidden/>
                <w:rStyle w:val="IndexLink"/>
                <w:rtl w:val="true"/>
              </w:rPr>
              <w:t>الثامن من مستثنيات الرّبا جواز أخذه من دون شرط</w:t>
            </w:r>
            <w:r>
              <w:rPr>
                <w:rStyle w:val="IndexLink"/>
                <w:rtl w:val="true"/>
              </w:rPr>
              <w:t>:</w:t>
              <w:tab/>
            </w:r>
            <w:r>
              <w:rPr>
                <w:rStyle w:val="IndexLink"/>
              </w:rPr>
              <w:t>390</w:t>
            </w:r>
          </w:hyperlink>
        </w:p>
        <w:p>
          <w:pPr>
            <w:pStyle w:val="Contents2"/>
            <w:tabs>
              <w:tab w:val="clear" w:pos="8743"/>
              <w:tab w:val="right" w:pos="9026" w:leader="dot"/>
            </w:tabs>
            <w:rPr/>
          </w:pPr>
          <w:hyperlink w:anchor="__RefHeading___Toc6355303_1051229030">
            <w:r>
              <w:rPr>
                <w:webHidden/>
                <w:rStyle w:val="IndexLink"/>
                <w:rtl w:val="true"/>
              </w:rPr>
              <w:t>الروایات الواردة في المقام</w:t>
            </w:r>
            <w:r>
              <w:rPr>
                <w:rStyle w:val="IndexLink"/>
                <w:rtl w:val="true"/>
              </w:rPr>
              <w:t>:</w:t>
              <w:tab/>
            </w:r>
            <w:r>
              <w:rPr>
                <w:rStyle w:val="IndexLink"/>
              </w:rPr>
              <w:t>392</w:t>
            </w:r>
          </w:hyperlink>
        </w:p>
        <w:p>
          <w:pPr>
            <w:pStyle w:val="Contents2"/>
            <w:tabs>
              <w:tab w:val="clear" w:pos="8743"/>
              <w:tab w:val="right" w:pos="9026" w:leader="dot"/>
            </w:tabs>
            <w:rPr/>
          </w:pPr>
          <w:hyperlink w:anchor="__RefHeading___Toc6355305_1051229030">
            <w:r>
              <w:rPr>
                <w:webHidden/>
                <w:rStyle w:val="IndexLink"/>
                <w:rtl w:val="true"/>
              </w:rPr>
              <w:t>الطائفة الأولی</w:t>
            </w:r>
            <w:r>
              <w:rPr>
                <w:rStyle w:val="IndexLink"/>
                <w:rtl w:val="true"/>
              </w:rPr>
              <w:t xml:space="preserve">: </w:t>
            </w:r>
            <w:r>
              <w:rPr>
                <w:rStyle w:val="IndexLink"/>
                <w:rtl w:val="true"/>
              </w:rPr>
              <w:t>ما دلّت علی أنّ خير القرض ما يجرّ منفعة، منها</w:t>
            </w:r>
            <w:r>
              <w:rPr>
                <w:rStyle w:val="IndexLink"/>
                <w:rtl w:val="true"/>
              </w:rPr>
              <w:t>:</w:t>
              <w:tab/>
            </w:r>
            <w:r>
              <w:rPr>
                <w:rStyle w:val="IndexLink"/>
              </w:rPr>
              <w:t>392</w:t>
            </w:r>
          </w:hyperlink>
        </w:p>
        <w:p>
          <w:pPr>
            <w:pStyle w:val="Contents2"/>
            <w:tabs>
              <w:tab w:val="clear" w:pos="8743"/>
              <w:tab w:val="right" w:pos="9026" w:leader="dot"/>
            </w:tabs>
            <w:rPr/>
          </w:pPr>
          <w:hyperlink w:anchor="__RefHeading___Toc6355307_1051229030">
            <w:r>
              <w:rPr>
                <w:webHidden/>
                <w:rStyle w:val="IndexLink"/>
                <w:rtl w:val="true"/>
              </w:rPr>
              <w:t>الطائفة الثانية</w:t>
            </w:r>
            <w:r>
              <w:rPr>
                <w:rStyle w:val="IndexLink"/>
                <w:rtl w:val="true"/>
              </w:rPr>
              <w:t xml:space="preserve">: </w:t>
            </w:r>
            <w:r>
              <w:rPr>
                <w:rStyle w:val="IndexLink"/>
                <w:rtl w:val="true"/>
              </w:rPr>
              <w:t>ما دلّت علی الجواز بالمعنی الأعمّ إذا لم يكن بينهما شرط، منها</w:t>
            </w:r>
            <w:r>
              <w:rPr>
                <w:rStyle w:val="IndexLink"/>
                <w:rtl w:val="true"/>
              </w:rPr>
              <w:t>:</w:t>
              <w:tab/>
            </w:r>
            <w:r>
              <w:rPr>
                <w:rStyle w:val="IndexLink"/>
              </w:rPr>
              <w:t>393</w:t>
            </w:r>
          </w:hyperlink>
        </w:p>
        <w:p>
          <w:pPr>
            <w:pStyle w:val="Contents2"/>
            <w:tabs>
              <w:tab w:val="clear" w:pos="8743"/>
              <w:tab w:val="right" w:pos="9026" w:leader="dot"/>
            </w:tabs>
            <w:rPr/>
          </w:pPr>
          <w:hyperlink w:anchor="__RefHeading___Toc6355309_1051229030">
            <w:r>
              <w:rPr>
                <w:webHidden/>
                <w:rStyle w:val="IndexLink"/>
                <w:rtl w:val="true"/>
              </w:rPr>
              <w:t>الطائفة الثالثة</w:t>
            </w:r>
            <w:r>
              <w:rPr>
                <w:rStyle w:val="IndexLink"/>
                <w:rtl w:val="true"/>
              </w:rPr>
              <w:t xml:space="preserve">: </w:t>
            </w:r>
            <w:r>
              <w:rPr>
                <w:rStyle w:val="IndexLink"/>
                <w:rtl w:val="true"/>
              </w:rPr>
              <w:t>ما دلّت علی الجواز إذا كان ذلك معروفاً بينهما من قبل، منها</w:t>
            </w:r>
            <w:r>
              <w:rPr>
                <w:rStyle w:val="IndexLink"/>
                <w:rtl w:val="true"/>
              </w:rPr>
              <w:t>:</w:t>
              <w:tab/>
            </w:r>
            <w:r>
              <w:rPr>
                <w:rStyle w:val="IndexLink"/>
              </w:rPr>
              <w:t>394</w:t>
            </w:r>
          </w:hyperlink>
        </w:p>
        <w:p>
          <w:pPr>
            <w:pStyle w:val="Contents2"/>
            <w:tabs>
              <w:tab w:val="clear" w:pos="8743"/>
              <w:tab w:val="right" w:pos="9026" w:leader="dot"/>
            </w:tabs>
            <w:rPr/>
          </w:pPr>
          <w:hyperlink w:anchor="__RefHeading___Toc6355311_1051229030">
            <w:r>
              <w:rPr>
                <w:webHidden/>
                <w:rStyle w:val="IndexLink"/>
                <w:rtl w:val="true"/>
              </w:rPr>
              <w:t>الطائفة الرابعة</w:t>
            </w:r>
            <w:r>
              <w:rPr>
                <w:rStyle w:val="IndexLink"/>
                <w:rtl w:val="true"/>
              </w:rPr>
              <w:t xml:space="preserve">: </w:t>
            </w:r>
            <w:r>
              <w:rPr>
                <w:rStyle w:val="IndexLink"/>
                <w:rtl w:val="true"/>
              </w:rPr>
              <w:t>ما دلّت علی كراهة أخذ ذلك، منها</w:t>
            </w:r>
            <w:r>
              <w:rPr>
                <w:rStyle w:val="IndexLink"/>
                <w:rtl w:val="true"/>
              </w:rPr>
              <w:t>:</w:t>
              <w:tab/>
            </w:r>
            <w:r>
              <w:rPr>
                <w:rStyle w:val="IndexLink"/>
              </w:rPr>
              <w:t>395</w:t>
            </w:r>
          </w:hyperlink>
        </w:p>
        <w:p>
          <w:pPr>
            <w:pStyle w:val="Contents2"/>
            <w:tabs>
              <w:tab w:val="clear" w:pos="8743"/>
              <w:tab w:val="right" w:pos="9026" w:leader="dot"/>
            </w:tabs>
            <w:rPr/>
          </w:pPr>
          <w:hyperlink w:anchor="__RefHeading___Toc6355313_1051229030">
            <w:r>
              <w:rPr>
                <w:webHidden/>
                <w:rStyle w:val="IndexLink"/>
                <w:rtl w:val="true"/>
              </w:rPr>
              <w:t>الطائفة الخامسة</w:t>
            </w:r>
            <w:r>
              <w:rPr>
                <w:rStyle w:val="IndexLink"/>
                <w:rtl w:val="true"/>
              </w:rPr>
              <w:t xml:space="preserve">: </w:t>
            </w:r>
            <w:r>
              <w:rPr>
                <w:rStyle w:val="IndexLink"/>
                <w:rtl w:val="true"/>
              </w:rPr>
              <w:t>ما دلّت علی احتسابه بعنوان الدّين، منها</w:t>
            </w:r>
            <w:r>
              <w:rPr>
                <w:rStyle w:val="IndexLink"/>
                <w:rtl w:val="true"/>
              </w:rPr>
              <w:t>:</w:t>
              <w:tab/>
            </w:r>
            <w:r>
              <w:rPr>
                <w:rStyle w:val="IndexLink"/>
              </w:rPr>
              <w:t>395</w:t>
            </w:r>
          </w:hyperlink>
        </w:p>
        <w:p>
          <w:pPr>
            <w:pStyle w:val="Contents2"/>
            <w:tabs>
              <w:tab w:val="clear" w:pos="8743"/>
              <w:tab w:val="right" w:pos="9026" w:leader="dot"/>
            </w:tabs>
            <w:rPr/>
          </w:pPr>
          <w:hyperlink w:anchor="__RefHeading___Toc6355315_1051229030">
            <w:r>
              <w:rPr>
                <w:webHidden/>
                <w:rStyle w:val="IndexLink"/>
                <w:rtl w:val="true"/>
              </w:rPr>
              <w:t>طريقة الجمع بين الأخبار الواردة في الطوائف الخمسة</w:t>
            </w:r>
            <w:r>
              <w:rPr>
                <w:rStyle w:val="IndexLink"/>
                <w:rtl w:val="true"/>
              </w:rPr>
              <w:t>:</w:t>
              <w:tab/>
            </w:r>
            <w:r>
              <w:rPr>
                <w:rStyle w:val="IndexLink"/>
              </w:rPr>
              <w:t>396</w:t>
            </w:r>
          </w:hyperlink>
        </w:p>
        <w:p>
          <w:pPr>
            <w:pStyle w:val="Contents2"/>
            <w:tabs>
              <w:tab w:val="clear" w:pos="8743"/>
              <w:tab w:val="right" w:pos="9026" w:leader="dot"/>
            </w:tabs>
            <w:rPr/>
          </w:pPr>
          <w:hyperlink w:anchor="__RefHeading___Toc6355317_1051229030">
            <w:r>
              <w:rPr>
                <w:webHidden/>
                <w:rStyle w:val="IndexLink"/>
                <w:rtl w:val="true"/>
              </w:rPr>
              <w:t>التاسع من مستثنيات الرّبا</w:t>
            </w:r>
            <w:r>
              <w:rPr>
                <w:rStyle w:val="IndexLink"/>
                <w:rtl w:val="true"/>
              </w:rPr>
              <w:t>:</w:t>
              <w:tab/>
            </w:r>
            <w:r>
              <w:rPr>
                <w:rStyle w:val="IndexLink"/>
              </w:rPr>
              <w:t>397</w:t>
            </w:r>
          </w:hyperlink>
        </w:p>
        <w:p>
          <w:pPr>
            <w:pStyle w:val="Contents2"/>
            <w:tabs>
              <w:tab w:val="clear" w:pos="8743"/>
              <w:tab w:val="right" w:pos="9026" w:leader="dot"/>
            </w:tabs>
            <w:rPr/>
          </w:pPr>
          <w:hyperlink w:anchor="__RefHeading___Toc6355319_1051229030">
            <w:r>
              <w:rPr>
                <w:webHidden/>
                <w:rStyle w:val="IndexLink"/>
                <w:rtl w:val="true"/>
              </w:rPr>
              <w:t>العاشر من مستثنيات الرّبا جواز أخذه في قالب الإجارة أو البيع بشرط القرض</w:t>
            </w:r>
            <w:r>
              <w:rPr>
                <w:rStyle w:val="IndexLink"/>
                <w:rtl w:val="true"/>
              </w:rPr>
              <w:t>:</w:t>
              <w:tab/>
            </w:r>
            <w:r>
              <w:rPr>
                <w:rStyle w:val="IndexLink"/>
              </w:rPr>
              <w:t>399</w:t>
            </w:r>
          </w:hyperlink>
        </w:p>
        <w:p>
          <w:pPr>
            <w:pStyle w:val="Contents2"/>
            <w:tabs>
              <w:tab w:val="clear" w:pos="8743"/>
              <w:tab w:val="right" w:pos="9026" w:leader="dot"/>
            </w:tabs>
            <w:rPr/>
          </w:pPr>
          <w:hyperlink w:anchor="__RefHeading___Toc6355321_1051229030">
            <w:r>
              <w:rPr>
                <w:webHidden/>
                <w:rStyle w:val="IndexLink"/>
                <w:rtl w:val="true"/>
              </w:rPr>
              <w:t>المقالة السابعة</w:t>
            </w:r>
            <w:r>
              <w:rPr>
                <w:rStyle w:val="IndexLink"/>
                <w:rtl w:val="true"/>
              </w:rPr>
              <w:t>:</w:t>
            </w:r>
            <w:r>
              <w:rPr>
                <w:rStyle w:val="IndexLink"/>
                <w:rtl w:val="true"/>
              </w:rPr>
              <w:t>فيما يشترط في صحّة الإجارة من ناحية المتعاقدين،والعين المستأجرة، والمنفعة، والأجرة</w:t>
            </w:r>
            <w:r>
              <w:rPr>
                <w:rStyle w:val="IndexLink"/>
                <w:rtl w:val="true"/>
              </w:rPr>
              <w:tab/>
            </w:r>
            <w:r>
              <w:rPr>
                <w:rStyle w:val="IndexLink"/>
              </w:rPr>
              <w:t>405</w:t>
            </w:r>
          </w:hyperlink>
        </w:p>
        <w:p>
          <w:pPr>
            <w:pStyle w:val="Contents2"/>
            <w:tabs>
              <w:tab w:val="clear" w:pos="8743"/>
              <w:tab w:val="right" w:pos="9026" w:leader="dot"/>
            </w:tabs>
            <w:rPr/>
          </w:pPr>
          <w:hyperlink w:anchor="__RefHeading___Toc6355323_1051229030">
            <w:r>
              <w:rPr>
                <w:webHidden/>
                <w:rStyle w:val="IndexLink"/>
                <w:rtl w:val="true"/>
              </w:rPr>
              <w:t>الأوّل</w:t>
            </w:r>
            <w:r>
              <w:rPr>
                <w:rStyle w:val="IndexLink"/>
                <w:rtl w:val="true"/>
              </w:rPr>
              <w:t xml:space="preserve">: </w:t>
            </w:r>
            <w:r>
              <w:rPr>
                <w:rStyle w:val="IndexLink"/>
                <w:rtl w:val="true"/>
              </w:rPr>
              <w:t>ما يشترط فيها من ناحية المتعاقدين</w:t>
            </w:r>
            <w:r>
              <w:rPr>
                <w:rStyle w:val="IndexLink"/>
                <w:rtl w:val="true"/>
              </w:rPr>
              <w:t>:</w:t>
              <w:tab/>
            </w:r>
            <w:r>
              <w:rPr>
                <w:rStyle w:val="IndexLink"/>
              </w:rPr>
              <w:t>407</w:t>
            </w:r>
          </w:hyperlink>
        </w:p>
        <w:p>
          <w:pPr>
            <w:pStyle w:val="Contents2"/>
            <w:tabs>
              <w:tab w:val="clear" w:pos="8743"/>
              <w:tab w:val="right" w:pos="9026" w:leader="dot"/>
            </w:tabs>
            <w:rPr/>
          </w:pPr>
          <w:hyperlink w:anchor="__RefHeading___Toc6355325_1051229030">
            <w:r>
              <w:rPr>
                <w:webHidden/>
                <w:rStyle w:val="IndexLink"/>
                <w:rtl w:val="true"/>
              </w:rPr>
              <w:t>ما يستدل به على ما يشترط في المتعاقدين</w:t>
            </w:r>
            <w:r>
              <w:rPr>
                <w:rStyle w:val="IndexLink"/>
                <w:rtl w:val="true"/>
              </w:rPr>
              <w:t>:</w:t>
              <w:tab/>
            </w:r>
            <w:r>
              <w:rPr>
                <w:rStyle w:val="IndexLink"/>
              </w:rPr>
              <w:t>411</w:t>
            </w:r>
          </w:hyperlink>
        </w:p>
        <w:p>
          <w:pPr>
            <w:pStyle w:val="Contents2"/>
            <w:tabs>
              <w:tab w:val="clear" w:pos="8743"/>
              <w:tab w:val="right" w:pos="9026" w:leader="dot"/>
            </w:tabs>
            <w:rPr/>
          </w:pPr>
          <w:hyperlink w:anchor="__RefHeading___Toc6355327_1051229030">
            <w:r>
              <w:rPr>
                <w:webHidden/>
                <w:rStyle w:val="IndexLink"/>
                <w:rtl w:val="true"/>
              </w:rPr>
              <w:t>الثانی</w:t>
            </w:r>
            <w:r>
              <w:rPr>
                <w:rStyle w:val="IndexLink"/>
                <w:rtl w:val="true"/>
              </w:rPr>
              <w:t xml:space="preserve">: </w:t>
            </w:r>
            <w:r>
              <w:rPr>
                <w:rStyle w:val="IndexLink"/>
                <w:rtl w:val="true"/>
              </w:rPr>
              <w:t>ما يشترط في العين المستأجرة وأدلّتها</w:t>
            </w:r>
            <w:r>
              <w:rPr>
                <w:rStyle w:val="IndexLink"/>
                <w:rtl w:val="true"/>
              </w:rPr>
              <w:t>:</w:t>
              <w:tab/>
            </w:r>
            <w:r>
              <w:rPr>
                <w:rStyle w:val="IndexLink"/>
              </w:rPr>
              <w:t>419</w:t>
            </w:r>
          </w:hyperlink>
        </w:p>
        <w:p>
          <w:pPr>
            <w:pStyle w:val="Contents2"/>
            <w:tabs>
              <w:tab w:val="clear" w:pos="8743"/>
              <w:tab w:val="right" w:pos="9026" w:leader="dot"/>
            </w:tabs>
            <w:rPr/>
          </w:pPr>
          <w:hyperlink w:anchor="__RefHeading___Toc6355329_1051229030">
            <w:r>
              <w:rPr>
                <w:webHidden/>
                <w:rStyle w:val="IndexLink"/>
                <w:rtl w:val="true"/>
              </w:rPr>
              <w:t>منها</w:t>
            </w:r>
            <w:r>
              <w:rPr>
                <w:rStyle w:val="IndexLink"/>
                <w:rtl w:val="true"/>
              </w:rPr>
              <w:t xml:space="preserve">: </w:t>
            </w:r>
            <w:r>
              <w:rPr>
                <w:rStyle w:val="IndexLink"/>
                <w:rtl w:val="true"/>
              </w:rPr>
              <w:t>تعيين العين المستأجرة</w:t>
            </w:r>
            <w:r>
              <w:rPr>
                <w:rStyle w:val="IndexLink"/>
                <w:rtl w:val="true"/>
              </w:rPr>
              <w:t>:</w:t>
              <w:tab/>
            </w:r>
            <w:r>
              <w:rPr>
                <w:rStyle w:val="IndexLink"/>
              </w:rPr>
              <w:t>420</w:t>
            </w:r>
          </w:hyperlink>
        </w:p>
        <w:p>
          <w:pPr>
            <w:pStyle w:val="Contents2"/>
            <w:tabs>
              <w:tab w:val="clear" w:pos="8743"/>
              <w:tab w:val="right" w:pos="9026" w:leader="dot"/>
            </w:tabs>
            <w:rPr/>
          </w:pPr>
          <w:hyperlink w:anchor="__RefHeading___Toc6355331_1051229030">
            <w:r>
              <w:rPr>
                <w:webHidden/>
                <w:rStyle w:val="IndexLink"/>
                <w:rtl w:val="true"/>
              </w:rPr>
              <w:t>ومنها</w:t>
            </w:r>
            <w:r>
              <w:rPr>
                <w:rStyle w:val="IndexLink"/>
                <w:rtl w:val="true"/>
              </w:rPr>
              <w:t xml:space="preserve">: </w:t>
            </w:r>
            <w:r>
              <w:rPr>
                <w:rStyle w:val="IndexLink"/>
                <w:rtl w:val="true"/>
              </w:rPr>
              <w:t>كونها معلومة عند المتعاقدين</w:t>
            </w:r>
            <w:r>
              <w:rPr>
                <w:rStyle w:val="IndexLink"/>
                <w:rtl w:val="true"/>
              </w:rPr>
              <w:t>:</w:t>
              <w:tab/>
            </w:r>
            <w:r>
              <w:rPr>
                <w:rStyle w:val="IndexLink"/>
              </w:rPr>
              <w:t>421</w:t>
            </w:r>
          </w:hyperlink>
        </w:p>
        <w:p>
          <w:pPr>
            <w:pStyle w:val="Contents2"/>
            <w:tabs>
              <w:tab w:val="clear" w:pos="8743"/>
              <w:tab w:val="right" w:pos="9026" w:leader="dot"/>
            </w:tabs>
            <w:rPr/>
          </w:pPr>
          <w:hyperlink w:anchor="__RefHeading___Toc6355333_1051229030">
            <w:r>
              <w:rPr>
                <w:webHidden/>
                <w:rStyle w:val="IndexLink"/>
                <w:rtl w:val="true"/>
              </w:rPr>
              <w:t>ومنها</w:t>
            </w:r>
            <w:r>
              <w:rPr>
                <w:rStyle w:val="IndexLink"/>
                <w:rtl w:val="true"/>
              </w:rPr>
              <w:t xml:space="preserve">: </w:t>
            </w:r>
            <w:r>
              <w:rPr>
                <w:rStyle w:val="IndexLink"/>
                <w:rtl w:val="true"/>
              </w:rPr>
              <w:t>القدرة على التسليم في الجملة</w:t>
            </w:r>
            <w:r>
              <w:rPr>
                <w:rStyle w:val="IndexLink"/>
                <w:rtl w:val="true"/>
              </w:rPr>
              <w:t>:</w:t>
              <w:tab/>
            </w:r>
            <w:r>
              <w:rPr>
                <w:rStyle w:val="IndexLink"/>
              </w:rPr>
              <w:t>424</w:t>
            </w:r>
          </w:hyperlink>
        </w:p>
        <w:p>
          <w:pPr>
            <w:pStyle w:val="Contents2"/>
            <w:tabs>
              <w:tab w:val="clear" w:pos="8743"/>
              <w:tab w:val="right" w:pos="9026" w:leader="dot"/>
            </w:tabs>
            <w:rPr/>
          </w:pPr>
          <w:hyperlink w:anchor="__RefHeading___Toc6355335_1051229030">
            <w:r>
              <w:rPr>
                <w:webHidden/>
                <w:rStyle w:val="IndexLink"/>
                <w:rtl w:val="true"/>
              </w:rPr>
              <w:t>بقى هنا شیء</w:t>
            </w:r>
            <w:r>
              <w:rPr>
                <w:rStyle w:val="IndexLink"/>
                <w:rtl w:val="true"/>
              </w:rPr>
              <w:t>:</w:t>
              <w:tab/>
            </w:r>
            <w:r>
              <w:rPr>
                <w:rStyle w:val="IndexLink"/>
              </w:rPr>
              <w:t>428</w:t>
            </w:r>
          </w:hyperlink>
        </w:p>
        <w:p>
          <w:pPr>
            <w:pStyle w:val="Contents2"/>
            <w:tabs>
              <w:tab w:val="clear" w:pos="8743"/>
              <w:tab w:val="right" w:pos="9026" w:leader="dot"/>
            </w:tabs>
            <w:rPr/>
          </w:pPr>
          <w:hyperlink w:anchor="__RefHeading___Toc6355337_1051229030">
            <w:r>
              <w:rPr>
                <w:webHidden/>
                <w:rStyle w:val="IndexLink"/>
                <w:rtl w:val="true"/>
              </w:rPr>
              <w:t>الثالث</w:t>
            </w:r>
            <w:r>
              <w:rPr>
                <w:rStyle w:val="IndexLink"/>
                <w:rtl w:val="true"/>
              </w:rPr>
              <w:t xml:space="preserve">: </w:t>
            </w:r>
            <w:r>
              <w:rPr>
                <w:rStyle w:val="IndexLink"/>
                <w:rtl w:val="true"/>
              </w:rPr>
              <w:t>ما يشترط في المنفعة المقصودة وأدلّتها</w:t>
            </w:r>
            <w:r>
              <w:rPr>
                <w:rStyle w:val="IndexLink"/>
                <w:rtl w:val="true"/>
              </w:rPr>
              <w:t>:</w:t>
              <w:tab/>
            </w:r>
            <w:r>
              <w:rPr>
                <w:rStyle w:val="IndexLink"/>
              </w:rPr>
              <w:t>434</w:t>
            </w:r>
          </w:hyperlink>
        </w:p>
        <w:p>
          <w:pPr>
            <w:pStyle w:val="Contents2"/>
            <w:tabs>
              <w:tab w:val="clear" w:pos="8743"/>
              <w:tab w:val="right" w:pos="9026" w:leader="dot"/>
            </w:tabs>
            <w:rPr/>
          </w:pPr>
          <w:hyperlink w:anchor="__RefHeading___Toc6355339_1051229030">
            <w:r>
              <w:rPr>
                <w:webHidden/>
                <w:rStyle w:val="IndexLink"/>
                <w:rtl w:val="true"/>
              </w:rPr>
              <w:t>﻿الرابع</w:t>
            </w:r>
            <w:r>
              <w:rPr>
                <w:rStyle w:val="IndexLink"/>
                <w:rtl w:val="true"/>
              </w:rPr>
              <w:t xml:space="preserve">: </w:t>
            </w:r>
            <w:r>
              <w:rPr>
                <w:rStyle w:val="IndexLink"/>
                <w:rtl w:val="true"/>
              </w:rPr>
              <w:t>ما يشترط في أجرة الإجارة وأدلّتها</w:t>
            </w:r>
            <w:r>
              <w:rPr>
                <w:rStyle w:val="IndexLink"/>
                <w:rtl w:val="true"/>
              </w:rPr>
              <w:t>:</w:t>
              <w:tab/>
            </w:r>
            <w:r>
              <w:rPr>
                <w:rStyle w:val="IndexLink"/>
              </w:rPr>
              <w:t>444</w:t>
            </w:r>
          </w:hyperlink>
        </w:p>
        <w:p>
          <w:pPr>
            <w:pStyle w:val="Contents2"/>
            <w:tabs>
              <w:tab w:val="clear" w:pos="8743"/>
              <w:tab w:val="right" w:pos="9026" w:leader="dot"/>
            </w:tabs>
            <w:rPr/>
          </w:pPr>
          <w:hyperlink w:anchor="__RefHeading___Toc6355341_1051229030">
            <w:r>
              <w:rPr>
                <w:webHidden/>
                <w:rStyle w:val="IndexLink"/>
                <w:rtl w:val="true"/>
              </w:rPr>
              <w:t>المقالة الثامنة في شرائط المتعاقدين في المضاربة وشرائط مال القراض وربحه</w:t>
            </w:r>
            <w:r>
              <w:rPr>
                <w:rStyle w:val="IndexLink"/>
                <w:rtl w:val="true"/>
              </w:rPr>
              <w:t>:</w:t>
              <w:tab/>
            </w:r>
            <w:r>
              <w:rPr>
                <w:rStyle w:val="IndexLink"/>
              </w:rPr>
              <w:t>445</w:t>
            </w:r>
          </w:hyperlink>
        </w:p>
        <w:p>
          <w:pPr>
            <w:pStyle w:val="Contents2"/>
            <w:tabs>
              <w:tab w:val="clear" w:pos="8743"/>
              <w:tab w:val="right" w:pos="9026" w:leader="dot"/>
            </w:tabs>
            <w:rPr/>
          </w:pPr>
          <w:hyperlink w:anchor="__RefHeading___Toc6355343_1051229030">
            <w:r>
              <w:rPr>
                <w:webHidden/>
                <w:rStyle w:val="IndexLink"/>
                <w:rtl w:val="true"/>
              </w:rPr>
              <w:t>عناوين فروعات المسألة إجمالاً</w:t>
            </w:r>
            <w:r>
              <w:rPr>
                <w:rStyle w:val="IndexLink"/>
                <w:rtl w:val="true"/>
              </w:rPr>
              <w:t>:</w:t>
              <w:tab/>
            </w:r>
            <w:r>
              <w:rPr>
                <w:rStyle w:val="IndexLink"/>
              </w:rPr>
              <w:t>452</w:t>
            </w:r>
          </w:hyperlink>
        </w:p>
        <w:p>
          <w:pPr>
            <w:pStyle w:val="Contents2"/>
            <w:tabs>
              <w:tab w:val="clear" w:pos="8743"/>
              <w:tab w:val="right" w:pos="9026" w:leader="dot"/>
            </w:tabs>
            <w:rPr/>
          </w:pPr>
          <w:hyperlink w:anchor="__RefHeading___Toc6355345_1051229030">
            <w:r>
              <w:rPr>
                <w:webHidden/>
                <w:rStyle w:val="IndexLink"/>
                <w:rtl w:val="true"/>
              </w:rPr>
              <w:t>أمّا دليل جواز المضاربة</w:t>
            </w:r>
            <w:r>
              <w:rPr>
                <w:rStyle w:val="IndexLink"/>
                <w:rtl w:val="true"/>
              </w:rPr>
              <w:t>:</w:t>
              <w:tab/>
            </w:r>
            <w:r>
              <w:rPr>
                <w:rStyle w:val="IndexLink"/>
              </w:rPr>
              <w:t>453</w:t>
            </w:r>
          </w:hyperlink>
        </w:p>
        <w:p>
          <w:pPr>
            <w:pStyle w:val="Contents2"/>
            <w:tabs>
              <w:tab w:val="clear" w:pos="8743"/>
              <w:tab w:val="right" w:pos="9026" w:leader="dot"/>
            </w:tabs>
            <w:rPr/>
          </w:pPr>
          <w:hyperlink w:anchor="__RefHeading___Toc6355347_1051229030">
            <w:r>
              <w:rPr>
                <w:webHidden/>
                <w:rStyle w:val="IndexLink"/>
                <w:rtl w:val="true"/>
              </w:rPr>
              <w:t>بقی هنا شیء وهو أنّه</w:t>
            </w:r>
            <w:r>
              <w:rPr>
                <w:rStyle w:val="IndexLink"/>
                <w:rtl w:val="true"/>
              </w:rPr>
              <w:t xml:space="preserve">: </w:t>
            </w:r>
            <w:r>
              <w:rPr>
                <w:rStyle w:val="IndexLink"/>
                <w:rtl w:val="true"/>
              </w:rPr>
              <w:t>هل المضاربة من العقود اللازمة أو الجائزة؟ وما هو الأصل فيها عند الشك فيهما؟</w:t>
            </w:r>
            <w:r>
              <w:rPr>
                <w:rStyle w:val="IndexLink"/>
                <w:rtl w:val="true"/>
              </w:rPr>
              <w:tab/>
            </w:r>
            <w:r>
              <w:rPr>
                <w:rStyle w:val="IndexLink"/>
              </w:rPr>
              <w:t>460</w:t>
            </w:r>
          </w:hyperlink>
        </w:p>
        <w:p>
          <w:pPr>
            <w:pStyle w:val="Contents2"/>
            <w:tabs>
              <w:tab w:val="clear" w:pos="8743"/>
              <w:tab w:val="right" w:pos="9026" w:leader="dot"/>
            </w:tabs>
            <w:rPr/>
          </w:pPr>
          <w:hyperlink w:anchor="__RefHeading___Toc6355349_1051229030">
            <w:r>
              <w:rPr>
                <w:webHidden/>
                <w:rStyle w:val="IndexLink"/>
                <w:rtl w:val="true"/>
              </w:rPr>
              <w:t>ها هنا فروع</w:t>
            </w:r>
            <w:r>
              <w:rPr>
                <w:rStyle w:val="IndexLink"/>
                <w:rtl w:val="true"/>
              </w:rPr>
              <w:t xml:space="preserve">: </w:t>
            </w:r>
            <w:r>
              <w:rPr>
                <w:rStyle w:val="IndexLink"/>
                <w:rtl w:val="true"/>
              </w:rPr>
              <w:t>أمّا الفرع الأول</w:t>
            </w:r>
            <w:r>
              <w:rPr>
                <w:rStyle w:val="IndexLink"/>
                <w:rtl w:val="true"/>
              </w:rPr>
              <w:t xml:space="preserve">: </w:t>
            </w:r>
            <w:r>
              <w:rPr>
                <w:rStyle w:val="IndexLink"/>
                <w:rtl w:val="true"/>
              </w:rPr>
              <w:t>شرائط المتعاقدين</w:t>
            </w:r>
            <w:r>
              <w:rPr>
                <w:rStyle w:val="IndexLink"/>
                <w:rtl w:val="true"/>
              </w:rPr>
              <w:t>:</w:t>
              <w:tab/>
            </w:r>
            <w:r>
              <w:rPr>
                <w:rStyle w:val="IndexLink"/>
              </w:rPr>
              <w:t>465</w:t>
            </w:r>
          </w:hyperlink>
        </w:p>
        <w:p>
          <w:pPr>
            <w:pStyle w:val="Contents2"/>
            <w:tabs>
              <w:tab w:val="clear" w:pos="8743"/>
              <w:tab w:val="right" w:pos="9026" w:leader="dot"/>
            </w:tabs>
            <w:rPr/>
          </w:pPr>
          <w:hyperlink w:anchor="__RefHeading___Toc6355351_1051229030">
            <w:r>
              <w:rPr>
                <w:webHidden/>
                <w:rStyle w:val="IndexLink"/>
                <w:rtl w:val="true"/>
              </w:rPr>
              <w:t>أمّا الفرع الثانی</w:t>
            </w:r>
            <w:r>
              <w:rPr>
                <w:rStyle w:val="IndexLink"/>
                <w:rtl w:val="true"/>
              </w:rPr>
              <w:t xml:space="preserve">: </w:t>
            </w:r>
            <w:r>
              <w:rPr>
                <w:rStyle w:val="IndexLink"/>
                <w:rtl w:val="true"/>
              </w:rPr>
              <w:t>بطلان المضاربة لو كان أو طرأ عليه العجز عن التجارة أثنائها</w:t>
            </w:r>
            <w:r>
              <w:rPr>
                <w:rStyle w:val="IndexLink"/>
                <w:rtl w:val="true"/>
              </w:rPr>
              <w:t>:</w:t>
              <w:tab/>
            </w:r>
            <w:r>
              <w:rPr>
                <w:rStyle w:val="IndexLink"/>
              </w:rPr>
              <w:t>468</w:t>
            </w:r>
          </w:hyperlink>
        </w:p>
        <w:p>
          <w:pPr>
            <w:pStyle w:val="Contents2"/>
            <w:tabs>
              <w:tab w:val="clear" w:pos="8743"/>
              <w:tab w:val="right" w:pos="9026" w:leader="dot"/>
            </w:tabs>
            <w:rPr/>
          </w:pPr>
          <w:hyperlink w:anchor="__RefHeading___Toc6355353_1051229030">
            <w:r>
              <w:rPr>
                <w:webHidden/>
                <w:rStyle w:val="IndexLink"/>
                <w:rtl w:val="true"/>
              </w:rPr>
              <w:t>أمّا الفرع الثالث</w:t>
            </w:r>
            <w:r>
              <w:rPr>
                <w:rStyle w:val="IndexLink"/>
                <w:rtl w:val="true"/>
              </w:rPr>
              <w:t xml:space="preserve">: </w:t>
            </w:r>
            <w:r>
              <w:rPr>
                <w:rStyle w:val="IndexLink"/>
                <w:rtl w:val="true"/>
              </w:rPr>
              <w:t>مال القراض وشرائطه</w:t>
            </w:r>
            <w:r>
              <w:rPr>
                <w:rStyle w:val="IndexLink"/>
                <w:rtl w:val="true"/>
              </w:rPr>
              <w:t>:</w:t>
              <w:tab/>
            </w:r>
            <w:r>
              <w:rPr>
                <w:rStyle w:val="IndexLink"/>
              </w:rPr>
              <w:t>470</w:t>
            </w:r>
          </w:hyperlink>
        </w:p>
        <w:p>
          <w:pPr>
            <w:pStyle w:val="Contents2"/>
            <w:tabs>
              <w:tab w:val="clear" w:pos="8743"/>
              <w:tab w:val="right" w:pos="9026" w:leader="dot"/>
            </w:tabs>
            <w:rPr/>
          </w:pPr>
          <w:hyperlink w:anchor="__RefHeading___Toc6355355_1051229030">
            <w:r>
              <w:rPr>
                <w:webHidden/>
                <w:rStyle w:val="IndexLink"/>
                <w:rtl w:val="true"/>
              </w:rPr>
              <w:t>أمّا الفرع الرابع</w:t>
            </w:r>
            <w:r>
              <w:rPr>
                <w:rStyle w:val="IndexLink"/>
                <w:rtl w:val="true"/>
              </w:rPr>
              <w:t xml:space="preserve">: </w:t>
            </w:r>
            <w:r>
              <w:rPr>
                <w:rStyle w:val="IndexLink"/>
                <w:rtl w:val="true"/>
              </w:rPr>
              <w:t>شرائط الربح الحاصل منها</w:t>
            </w:r>
            <w:r>
              <w:rPr>
                <w:rStyle w:val="IndexLink"/>
                <w:rtl w:val="true"/>
              </w:rPr>
              <w:t>:</w:t>
              <w:tab/>
            </w:r>
            <w:r>
              <w:rPr>
                <w:rStyle w:val="IndexLink"/>
              </w:rPr>
              <w:t>481</w:t>
            </w:r>
          </w:hyperlink>
        </w:p>
        <w:p>
          <w:pPr>
            <w:pStyle w:val="Contents2"/>
            <w:tabs>
              <w:tab w:val="clear" w:pos="8743"/>
              <w:tab w:val="right" w:pos="9026" w:leader="dot"/>
            </w:tabs>
            <w:rPr/>
          </w:pPr>
          <w:hyperlink w:anchor="__RefHeading___Toc6355357_1051229030">
            <w:r>
              <w:rPr>
                <w:webHidden/>
                <w:rStyle w:val="IndexLink"/>
                <w:rtl w:val="true"/>
              </w:rPr>
              <w:t>المقالة التاسعة</w:t>
            </w:r>
            <w:r>
              <w:rPr>
                <w:rStyle w:val="IndexLink"/>
                <w:rtl w:val="true"/>
              </w:rPr>
              <w:t>:</w:t>
            </w:r>
            <w:r>
              <w:rPr>
                <w:rStyle w:val="IndexLink"/>
                <w:rtl w:val="true"/>
              </w:rPr>
              <w:t>في المزارعة وما يعتبر فيها وفي طرفيها من الشرائط والأحكام</w:t>
            </w:r>
            <w:r>
              <w:rPr>
                <w:rStyle w:val="IndexLink"/>
                <w:rtl w:val="true"/>
              </w:rPr>
              <w:tab/>
            </w:r>
            <w:r>
              <w:rPr>
                <w:rStyle w:val="IndexLink"/>
              </w:rPr>
              <w:t>487</w:t>
            </w:r>
          </w:hyperlink>
        </w:p>
        <w:p>
          <w:pPr>
            <w:pStyle w:val="Contents2"/>
            <w:tabs>
              <w:tab w:val="clear" w:pos="8743"/>
              <w:tab w:val="right" w:pos="9026" w:leader="dot"/>
            </w:tabs>
            <w:rPr/>
          </w:pPr>
          <w:hyperlink w:anchor="__RefHeading___Toc6355359_1051229030">
            <w:r>
              <w:rPr>
                <w:webHidden/>
                <w:rStyle w:val="IndexLink"/>
                <w:rtl w:val="true"/>
              </w:rPr>
              <w:t>عناوين فروعات المسألة إجمالاً</w:t>
            </w:r>
            <w:r>
              <w:rPr>
                <w:rStyle w:val="IndexLink"/>
                <w:rtl w:val="true"/>
              </w:rPr>
              <w:t>:</w:t>
              <w:tab/>
            </w:r>
            <w:r>
              <w:rPr>
                <w:rStyle w:val="IndexLink"/>
              </w:rPr>
              <w:t>492</w:t>
            </w:r>
          </w:hyperlink>
        </w:p>
        <w:p>
          <w:pPr>
            <w:pStyle w:val="Contents2"/>
            <w:tabs>
              <w:tab w:val="clear" w:pos="8743"/>
              <w:tab w:val="right" w:pos="9026" w:leader="dot"/>
            </w:tabs>
            <w:rPr/>
          </w:pPr>
          <w:hyperlink w:anchor="__RefHeading___Toc6355361_1051229030">
            <w:r>
              <w:rPr>
                <w:webHidden/>
                <w:rStyle w:val="IndexLink"/>
                <w:rtl w:val="true"/>
              </w:rPr>
              <w:t>دليل جواز المزارعة</w:t>
            </w:r>
            <w:r>
              <w:rPr>
                <w:rStyle w:val="IndexLink"/>
                <w:rtl w:val="true"/>
              </w:rPr>
              <w:t>:</w:t>
              <w:tab/>
            </w:r>
            <w:r>
              <w:rPr>
                <w:rStyle w:val="IndexLink"/>
              </w:rPr>
              <w:t>493</w:t>
            </w:r>
          </w:hyperlink>
        </w:p>
        <w:p>
          <w:pPr>
            <w:pStyle w:val="Contents2"/>
            <w:tabs>
              <w:tab w:val="clear" w:pos="8743"/>
              <w:tab w:val="right" w:pos="9026" w:leader="dot"/>
            </w:tabs>
            <w:rPr/>
          </w:pPr>
          <w:hyperlink w:anchor="__RefHeading___Toc6355363_1051229030">
            <w:r>
              <w:rPr>
                <w:webHidden/>
                <w:rStyle w:val="IndexLink"/>
                <w:rtl w:val="true"/>
              </w:rPr>
              <w:t>أمّا الفرع الأول</w:t>
            </w:r>
            <w:r>
              <w:rPr>
                <w:rStyle w:val="IndexLink"/>
                <w:rtl w:val="true"/>
              </w:rPr>
              <w:t xml:space="preserve">: </w:t>
            </w:r>
            <w:r>
              <w:rPr>
                <w:rStyle w:val="IndexLink"/>
                <w:rtl w:val="true"/>
              </w:rPr>
              <w:t>تعريف المزارعة وماهيّتها طرداً وعكساً</w:t>
            </w:r>
            <w:r>
              <w:rPr>
                <w:rStyle w:val="IndexLink"/>
                <w:rtl w:val="true"/>
              </w:rPr>
              <w:t>:</w:t>
              <w:tab/>
            </w:r>
            <w:r>
              <w:rPr>
                <w:rStyle w:val="IndexLink"/>
              </w:rPr>
              <w:t>505</w:t>
            </w:r>
          </w:hyperlink>
        </w:p>
        <w:p>
          <w:pPr>
            <w:pStyle w:val="Contents2"/>
            <w:tabs>
              <w:tab w:val="clear" w:pos="8743"/>
              <w:tab w:val="right" w:pos="9026" w:leader="dot"/>
            </w:tabs>
            <w:rPr/>
          </w:pPr>
          <w:hyperlink w:anchor="__RefHeading___Toc6355365_1051229030">
            <w:r>
              <w:rPr>
                <w:webHidden/>
                <w:rStyle w:val="IndexLink"/>
                <w:rtl w:val="true"/>
              </w:rPr>
              <w:t>أمّا الفرع الثانی</w:t>
            </w:r>
            <w:r>
              <w:rPr>
                <w:rStyle w:val="IndexLink"/>
                <w:rtl w:val="true"/>
              </w:rPr>
              <w:t xml:space="preserve">: </w:t>
            </w:r>
            <w:r>
              <w:rPr>
                <w:rStyle w:val="IndexLink"/>
                <w:rtl w:val="true"/>
              </w:rPr>
              <w:t>شرائط المتعاقدين</w:t>
            </w:r>
            <w:r>
              <w:rPr>
                <w:rStyle w:val="IndexLink"/>
                <w:rtl w:val="true"/>
              </w:rPr>
              <w:t>:</w:t>
              <w:tab/>
            </w:r>
            <w:r>
              <w:rPr>
                <w:rStyle w:val="IndexLink"/>
              </w:rPr>
              <w:t>509</w:t>
            </w:r>
          </w:hyperlink>
        </w:p>
        <w:p>
          <w:pPr>
            <w:pStyle w:val="Contents2"/>
            <w:tabs>
              <w:tab w:val="clear" w:pos="8743"/>
              <w:tab w:val="right" w:pos="9026" w:leader="dot"/>
            </w:tabs>
            <w:rPr/>
          </w:pPr>
          <w:hyperlink w:anchor="__RefHeading___Toc6355367_1051229030">
            <w:r>
              <w:rPr>
                <w:webHidden/>
                <w:rStyle w:val="IndexLink"/>
                <w:rtl w:val="true"/>
              </w:rPr>
              <w:t>أمّا الفرع الثالث</w:t>
            </w:r>
            <w:r>
              <w:rPr>
                <w:rStyle w:val="IndexLink"/>
                <w:rtl w:val="true"/>
              </w:rPr>
              <w:t xml:space="preserve">: </w:t>
            </w:r>
            <w:r>
              <w:rPr>
                <w:rStyle w:val="IndexLink"/>
                <w:rtl w:val="true"/>
              </w:rPr>
              <w:t>أن يكون الحاصل فيها مشتركاً بينهما</w:t>
            </w:r>
            <w:r>
              <w:rPr>
                <w:rStyle w:val="IndexLink"/>
                <w:rtl w:val="true"/>
              </w:rPr>
              <w:t>:</w:t>
              <w:tab/>
            </w:r>
            <w:r>
              <w:rPr>
                <w:rStyle w:val="IndexLink"/>
              </w:rPr>
              <w:t>511</w:t>
            </w:r>
          </w:hyperlink>
        </w:p>
        <w:p>
          <w:pPr>
            <w:pStyle w:val="Contents2"/>
            <w:tabs>
              <w:tab w:val="clear" w:pos="8743"/>
              <w:tab w:val="right" w:pos="9026" w:leader="dot"/>
            </w:tabs>
            <w:rPr/>
          </w:pPr>
          <w:hyperlink w:anchor="__RefHeading___Toc6355369_1051229030">
            <w:r>
              <w:rPr>
                <w:webHidden/>
                <w:rStyle w:val="IndexLink"/>
                <w:rtl w:val="true"/>
              </w:rPr>
              <w:t>أمّا الفرع الرابع</w:t>
            </w:r>
            <w:r>
              <w:rPr>
                <w:rStyle w:val="IndexLink"/>
                <w:rtl w:val="true"/>
              </w:rPr>
              <w:t xml:space="preserve">: </w:t>
            </w:r>
            <w:r>
              <w:rPr>
                <w:rStyle w:val="IndexLink"/>
                <w:rtl w:val="true"/>
              </w:rPr>
              <w:t>تعيين حصّة فيها من أحد الكسور، مثل النصف أو الثلث وأمثالهما</w:t>
            </w:r>
            <w:r>
              <w:rPr>
                <w:rStyle w:val="IndexLink"/>
                <w:rtl w:val="true"/>
              </w:rPr>
              <w:t>:</w:t>
              <w:tab/>
            </w:r>
            <w:r>
              <w:rPr>
                <w:rStyle w:val="IndexLink"/>
              </w:rPr>
              <w:t>512</w:t>
            </w:r>
          </w:hyperlink>
        </w:p>
        <w:p>
          <w:pPr>
            <w:pStyle w:val="Contents2"/>
            <w:tabs>
              <w:tab w:val="clear" w:pos="8743"/>
              <w:tab w:val="right" w:pos="9026" w:leader="dot"/>
            </w:tabs>
            <w:rPr/>
          </w:pPr>
          <w:hyperlink w:anchor="__RefHeading___Toc6355371_1051229030">
            <w:r>
              <w:rPr>
                <w:webHidden/>
                <w:rStyle w:val="IndexLink"/>
                <w:rtl w:val="true"/>
              </w:rPr>
              <w:t>أمّا الفرع الخامس</w:t>
            </w:r>
            <w:r>
              <w:rPr>
                <w:rStyle w:val="IndexLink"/>
                <w:rtl w:val="true"/>
              </w:rPr>
              <w:t xml:space="preserve">: </w:t>
            </w:r>
            <w:r>
              <w:rPr>
                <w:rStyle w:val="IndexLink"/>
                <w:rtl w:val="true"/>
              </w:rPr>
              <w:t>تعيين مدّة العمل</w:t>
            </w:r>
            <w:r>
              <w:rPr>
                <w:rStyle w:val="IndexLink"/>
                <w:rtl w:val="true"/>
              </w:rPr>
              <w:t>:</w:t>
              <w:tab/>
            </w:r>
            <w:r>
              <w:rPr>
                <w:rStyle w:val="IndexLink"/>
              </w:rPr>
              <w:t>514</w:t>
            </w:r>
          </w:hyperlink>
        </w:p>
        <w:p>
          <w:pPr>
            <w:pStyle w:val="Contents2"/>
            <w:tabs>
              <w:tab w:val="clear" w:pos="8743"/>
              <w:tab w:val="right" w:pos="9026" w:leader="dot"/>
            </w:tabs>
            <w:rPr/>
          </w:pPr>
          <w:hyperlink w:anchor="__RefHeading___Toc6355373_1051229030">
            <w:r>
              <w:rPr>
                <w:webHidden/>
                <w:rStyle w:val="IndexLink"/>
                <w:rtl w:val="true"/>
              </w:rPr>
              <w:t>أمّا الفرع السادس</w:t>
            </w:r>
            <w:r>
              <w:rPr>
                <w:rStyle w:val="IndexLink"/>
                <w:rtl w:val="true"/>
              </w:rPr>
              <w:t xml:space="preserve">: </w:t>
            </w:r>
            <w:r>
              <w:rPr>
                <w:rStyle w:val="IndexLink"/>
                <w:rtl w:val="true"/>
              </w:rPr>
              <w:t>كون الأرض قابلة للزرع إمّا فعلاً أو بالعلاج والإصلاح</w:t>
            </w:r>
            <w:r>
              <w:rPr>
                <w:rStyle w:val="IndexLink"/>
                <w:rtl w:val="true"/>
              </w:rPr>
              <w:t>:</w:t>
              <w:tab/>
            </w:r>
            <w:r>
              <w:rPr>
                <w:rStyle w:val="IndexLink"/>
              </w:rPr>
              <w:t>517</w:t>
            </w:r>
          </w:hyperlink>
        </w:p>
        <w:p>
          <w:pPr>
            <w:pStyle w:val="Contents2"/>
            <w:tabs>
              <w:tab w:val="clear" w:pos="8743"/>
              <w:tab w:val="right" w:pos="9026" w:leader="dot"/>
            </w:tabs>
            <w:rPr/>
          </w:pPr>
          <w:hyperlink w:anchor="__RefHeading___Toc6355375_1051229030">
            <w:r>
              <w:rPr>
                <w:webHidden/>
                <w:rStyle w:val="IndexLink"/>
                <w:rtl w:val="true"/>
              </w:rPr>
              <w:t>أمّا الفرع السابع</w:t>
            </w:r>
            <w:r>
              <w:rPr>
                <w:rStyle w:val="IndexLink"/>
                <w:rtl w:val="true"/>
              </w:rPr>
              <w:t xml:space="preserve">: </w:t>
            </w:r>
            <w:r>
              <w:rPr>
                <w:rStyle w:val="IndexLink"/>
                <w:rtl w:val="true"/>
              </w:rPr>
              <w:t>تعيين المزروع إذا كان الأغراض مختلفاً فيه</w:t>
            </w:r>
            <w:r>
              <w:rPr>
                <w:rStyle w:val="IndexLink"/>
                <w:rtl w:val="true"/>
              </w:rPr>
              <w:t>:</w:t>
              <w:tab/>
            </w:r>
            <w:r>
              <w:rPr>
                <w:rStyle w:val="IndexLink"/>
              </w:rPr>
              <w:t>519</w:t>
            </w:r>
          </w:hyperlink>
        </w:p>
        <w:p>
          <w:pPr>
            <w:pStyle w:val="Contents2"/>
            <w:tabs>
              <w:tab w:val="clear" w:pos="8743"/>
              <w:tab w:val="right" w:pos="9026" w:leader="dot"/>
            </w:tabs>
            <w:rPr/>
          </w:pPr>
          <w:hyperlink w:anchor="__RefHeading___Toc6355377_1051229030">
            <w:r>
              <w:rPr>
                <w:webHidden/>
                <w:rStyle w:val="IndexLink"/>
                <w:rtl w:val="true"/>
              </w:rPr>
              <w:t>أمّا الفرع الثامن</w:t>
            </w:r>
            <w:r>
              <w:rPr>
                <w:rStyle w:val="IndexLink"/>
                <w:rtl w:val="true"/>
              </w:rPr>
              <w:t xml:space="preserve">: </w:t>
            </w:r>
            <w:r>
              <w:rPr>
                <w:rStyle w:val="IndexLink"/>
                <w:rtl w:val="true"/>
              </w:rPr>
              <w:t>تعيين الأرض ومقدارها</w:t>
            </w:r>
            <w:r>
              <w:rPr>
                <w:rStyle w:val="IndexLink"/>
                <w:rtl w:val="true"/>
              </w:rPr>
              <w:t>:</w:t>
              <w:tab/>
            </w:r>
            <w:r>
              <w:rPr>
                <w:rStyle w:val="IndexLink"/>
              </w:rPr>
              <w:t>521</w:t>
            </w:r>
          </w:hyperlink>
        </w:p>
        <w:p>
          <w:pPr>
            <w:pStyle w:val="Contents2"/>
            <w:tabs>
              <w:tab w:val="clear" w:pos="8743"/>
              <w:tab w:val="right" w:pos="9026" w:leader="dot"/>
            </w:tabs>
            <w:rPr/>
          </w:pPr>
          <w:hyperlink w:anchor="__RefHeading___Toc6355379_1051229030">
            <w:r>
              <w:rPr>
                <w:webHidden/>
                <w:rStyle w:val="IndexLink"/>
                <w:rtl w:val="true"/>
              </w:rPr>
              <w:t>أمّا الفرع التاسع</w:t>
            </w:r>
            <w:r>
              <w:rPr>
                <w:rStyle w:val="IndexLink"/>
                <w:rtl w:val="true"/>
              </w:rPr>
              <w:t xml:space="preserve">: </w:t>
            </w:r>
            <w:r>
              <w:rPr>
                <w:rStyle w:val="IndexLink"/>
                <w:rtl w:val="true"/>
              </w:rPr>
              <w:t>تعيين كون البذر وسائر المصارف علی أيّهما إذا لم يكن هناك تعارف وانصراف</w:t>
            </w:r>
            <w:r>
              <w:rPr>
                <w:rStyle w:val="IndexLink"/>
                <w:rtl w:val="true"/>
              </w:rPr>
              <w:t>:</w:t>
              <w:tab/>
            </w:r>
            <w:r>
              <w:rPr>
                <w:rStyle w:val="IndexLink"/>
              </w:rPr>
              <w:t>522</w:t>
            </w:r>
          </w:hyperlink>
        </w:p>
        <w:p>
          <w:pPr>
            <w:pStyle w:val="Contents2"/>
            <w:tabs>
              <w:tab w:val="clear" w:pos="8743"/>
              <w:tab w:val="right" w:pos="9026" w:leader="dot"/>
            </w:tabs>
            <w:rPr/>
          </w:pPr>
          <w:hyperlink w:anchor="__RefHeading___Toc6355381_1051229030">
            <w:r>
              <w:rPr>
                <w:webHidden/>
                <w:rStyle w:val="IndexLink"/>
                <w:rtl w:val="true"/>
              </w:rPr>
              <w:t>المقالة العاشرة</w:t>
            </w:r>
            <w:r>
              <w:rPr>
                <w:rStyle w:val="IndexLink"/>
                <w:rtl w:val="true"/>
              </w:rPr>
              <w:t>:</w:t>
              <w:tab/>
            </w:r>
            <w:r>
              <w:rPr>
                <w:rStyle w:val="IndexLink"/>
              </w:rPr>
              <w:t>525</w:t>
            </w:r>
          </w:hyperlink>
        </w:p>
        <w:p>
          <w:pPr>
            <w:pStyle w:val="Contents2"/>
            <w:tabs>
              <w:tab w:val="clear" w:pos="8743"/>
              <w:tab w:val="right" w:pos="9026" w:leader="dot"/>
            </w:tabs>
            <w:rPr/>
          </w:pPr>
          <w:hyperlink w:anchor="__RefHeading___Toc6355383_1051229030">
            <w:r>
              <w:rPr>
                <w:webHidden/>
                <w:rStyle w:val="IndexLink"/>
                <w:rtl w:val="true"/>
              </w:rPr>
              <w:t>وقبل الخوض في المقصود لا بدّ من تقديم مقدمات، وهی أربعة</w:t>
            </w:r>
            <w:r>
              <w:rPr>
                <w:rStyle w:val="IndexLink"/>
                <w:rtl w:val="true"/>
              </w:rPr>
              <w:t>:</w:t>
              <w:tab/>
            </w:r>
            <w:r>
              <w:rPr>
                <w:rStyle w:val="IndexLink"/>
              </w:rPr>
              <w:t>529</w:t>
            </w:r>
          </w:hyperlink>
        </w:p>
        <w:p>
          <w:pPr>
            <w:pStyle w:val="Contents2"/>
            <w:tabs>
              <w:tab w:val="clear" w:pos="8743"/>
              <w:tab w:val="right" w:pos="9026" w:leader="dot"/>
            </w:tabs>
            <w:rPr/>
          </w:pPr>
          <w:hyperlink w:anchor="__RefHeading___Toc6355385_1051229030">
            <w:r>
              <w:rPr>
                <w:webHidden/>
                <w:rStyle w:val="IndexLink"/>
                <w:rtl w:val="true"/>
              </w:rPr>
              <w:t>أمّا المقدمة الأولی</w:t>
            </w:r>
            <w:r>
              <w:rPr>
                <w:rStyle w:val="IndexLink"/>
                <w:rtl w:val="true"/>
              </w:rPr>
              <w:t xml:space="preserve">: </w:t>
            </w:r>
            <w:r>
              <w:rPr>
                <w:rStyle w:val="IndexLink"/>
                <w:rtl w:val="true"/>
              </w:rPr>
              <w:t>الخيار في المعنی والمفهوم</w:t>
            </w:r>
            <w:r>
              <w:rPr>
                <w:rStyle w:val="IndexLink"/>
                <w:rtl w:val="true"/>
              </w:rPr>
              <w:t>:</w:t>
              <w:tab/>
            </w:r>
            <w:r>
              <w:rPr>
                <w:rStyle w:val="IndexLink"/>
              </w:rPr>
              <w:t>530</w:t>
            </w:r>
          </w:hyperlink>
        </w:p>
        <w:p>
          <w:pPr>
            <w:pStyle w:val="Contents2"/>
            <w:tabs>
              <w:tab w:val="clear" w:pos="8743"/>
              <w:tab w:val="right" w:pos="9026" w:leader="dot"/>
            </w:tabs>
            <w:rPr/>
          </w:pPr>
          <w:hyperlink w:anchor="__RefHeading___Toc6355387_1051229030">
            <w:r>
              <w:rPr>
                <w:webHidden/>
                <w:rStyle w:val="IndexLink"/>
                <w:rtl w:val="true"/>
              </w:rPr>
              <w:t>وأمّا المقدمة الثانية</w:t>
            </w:r>
            <w:r>
              <w:rPr>
                <w:rStyle w:val="IndexLink"/>
                <w:rtl w:val="true"/>
              </w:rPr>
              <w:t xml:space="preserve">: </w:t>
            </w:r>
            <w:r>
              <w:rPr>
                <w:rStyle w:val="IndexLink"/>
                <w:rtl w:val="true"/>
              </w:rPr>
              <w:t>هل خيار الرؤية تختصّ بالبيع أو تعمّ سائر العقود والمعاملات؟</w:t>
            </w:r>
            <w:r>
              <w:rPr>
                <w:rStyle w:val="IndexLink"/>
                <w:rtl w:val="true"/>
              </w:rPr>
              <w:tab/>
            </w:r>
            <w:r>
              <w:rPr>
                <w:rStyle w:val="IndexLink"/>
              </w:rPr>
              <w:t>532</w:t>
            </w:r>
          </w:hyperlink>
        </w:p>
        <w:p>
          <w:pPr>
            <w:pStyle w:val="Contents2"/>
            <w:tabs>
              <w:tab w:val="clear" w:pos="8743"/>
              <w:tab w:val="right" w:pos="9026" w:leader="dot"/>
            </w:tabs>
            <w:rPr/>
          </w:pPr>
          <w:hyperlink w:anchor="__RefHeading___Toc6355389_1051229030">
            <w:r>
              <w:rPr>
                <w:webHidden/>
                <w:rStyle w:val="IndexLink"/>
                <w:rtl w:val="true"/>
              </w:rPr>
              <w:t>وأمّا المقدمة الثالثة</w:t>
            </w:r>
            <w:r>
              <w:rPr>
                <w:rStyle w:val="IndexLink"/>
                <w:rtl w:val="true"/>
              </w:rPr>
              <w:t xml:space="preserve">: </w:t>
            </w:r>
            <w:r>
              <w:rPr>
                <w:rStyle w:val="IndexLink"/>
                <w:rtl w:val="true"/>
              </w:rPr>
              <w:t>الخيار من الحقوق أو من الأحكام؟</w:t>
            </w:r>
            <w:r>
              <w:rPr>
                <w:rStyle w:val="IndexLink"/>
                <w:rtl w:val="true"/>
              </w:rPr>
              <w:tab/>
            </w:r>
            <w:r>
              <w:rPr>
                <w:rStyle w:val="IndexLink"/>
              </w:rPr>
              <w:t>535</w:t>
            </w:r>
          </w:hyperlink>
        </w:p>
        <w:p>
          <w:pPr>
            <w:pStyle w:val="Contents2"/>
            <w:tabs>
              <w:tab w:val="clear" w:pos="8743"/>
              <w:tab w:val="right" w:pos="9026" w:leader="dot"/>
            </w:tabs>
            <w:rPr/>
          </w:pPr>
          <w:hyperlink w:anchor="__RefHeading___Toc6355391_1051229030">
            <w:r>
              <w:rPr>
                <w:webHidden/>
                <w:rStyle w:val="IndexLink"/>
                <w:rtl w:val="true"/>
              </w:rPr>
              <w:t>وأمّا المقدمة الرابعة</w:t>
            </w:r>
            <w:r>
              <w:rPr>
                <w:rStyle w:val="IndexLink"/>
                <w:rtl w:val="true"/>
              </w:rPr>
              <w:t xml:space="preserve">: </w:t>
            </w:r>
            <w:r>
              <w:rPr>
                <w:rStyle w:val="IndexLink"/>
                <w:rtl w:val="true"/>
              </w:rPr>
              <w:t>ما هی أقسام الخيارات إجمالاً؟</w:t>
            </w:r>
            <w:r>
              <w:rPr>
                <w:rStyle w:val="IndexLink"/>
                <w:rtl w:val="true"/>
              </w:rPr>
              <w:tab/>
            </w:r>
            <w:r>
              <w:rPr>
                <w:rStyle w:val="IndexLink"/>
              </w:rPr>
              <w:t>538</w:t>
            </w:r>
          </w:hyperlink>
        </w:p>
        <w:p>
          <w:pPr>
            <w:pStyle w:val="Contents2"/>
            <w:tabs>
              <w:tab w:val="clear" w:pos="8743"/>
              <w:tab w:val="right" w:pos="9026" w:leader="dot"/>
            </w:tabs>
            <w:rPr/>
          </w:pPr>
          <w:hyperlink w:anchor="__RefHeading___Toc6355393_1051229030">
            <w:r>
              <w:rPr>
                <w:webHidden/>
                <w:rStyle w:val="IndexLink"/>
                <w:rtl w:val="true"/>
              </w:rPr>
              <w:t>عناوين فروعات المسألة إجمالاً</w:t>
            </w:r>
            <w:r>
              <w:rPr>
                <w:rStyle w:val="IndexLink"/>
                <w:rtl w:val="true"/>
              </w:rPr>
              <w:t>:</w:t>
              <w:tab/>
            </w:r>
            <w:r>
              <w:rPr>
                <w:rStyle w:val="IndexLink"/>
              </w:rPr>
              <w:t>539</w:t>
            </w:r>
          </w:hyperlink>
        </w:p>
        <w:p>
          <w:pPr>
            <w:pStyle w:val="Contents2"/>
            <w:tabs>
              <w:tab w:val="clear" w:pos="8743"/>
              <w:tab w:val="right" w:pos="9026" w:leader="dot"/>
            </w:tabs>
            <w:rPr/>
          </w:pPr>
          <w:hyperlink w:anchor="__RefHeading___Toc6355395_1051229030">
            <w:r>
              <w:rPr>
                <w:webHidden/>
                <w:rStyle w:val="IndexLink"/>
                <w:rtl w:val="true"/>
              </w:rPr>
              <w:t>أمّا دليل خيار الرؤية</w:t>
            </w:r>
            <w:r>
              <w:rPr>
                <w:rStyle w:val="IndexLink"/>
                <w:rtl w:val="true"/>
              </w:rPr>
              <w:t>:</w:t>
              <w:tab/>
            </w:r>
            <w:r>
              <w:rPr>
                <w:rStyle w:val="IndexLink"/>
              </w:rPr>
              <w:t>540</w:t>
            </w:r>
          </w:hyperlink>
        </w:p>
        <w:p>
          <w:pPr>
            <w:pStyle w:val="Contents2"/>
            <w:tabs>
              <w:tab w:val="clear" w:pos="8743"/>
              <w:tab w:val="right" w:pos="9026" w:leader="dot"/>
            </w:tabs>
            <w:rPr/>
          </w:pPr>
          <w:hyperlink w:anchor="__RefHeading___Toc6355397_1051229030">
            <w:r>
              <w:rPr>
                <w:webHidden/>
                <w:rStyle w:val="IndexLink"/>
                <w:rtl w:val="true"/>
              </w:rPr>
              <w:t>أمّا الفرع الأوّل</w:t>
            </w:r>
            <w:r>
              <w:rPr>
                <w:rStyle w:val="IndexLink"/>
                <w:rtl w:val="true"/>
              </w:rPr>
              <w:t xml:space="preserve">: </w:t>
            </w:r>
            <w:r>
              <w:rPr>
                <w:rStyle w:val="IndexLink"/>
                <w:rtl w:val="true"/>
              </w:rPr>
              <w:t>تعريف خيار الرؤية وماهيّتها</w:t>
            </w:r>
            <w:r>
              <w:rPr>
                <w:rStyle w:val="IndexLink"/>
                <w:rtl w:val="true"/>
              </w:rPr>
              <w:t>:</w:t>
              <w:tab/>
            </w:r>
            <w:r>
              <w:rPr>
                <w:rStyle w:val="IndexLink"/>
              </w:rPr>
              <w:t>545</w:t>
            </w:r>
          </w:hyperlink>
        </w:p>
        <w:p>
          <w:pPr>
            <w:pStyle w:val="Contents2"/>
            <w:tabs>
              <w:tab w:val="clear" w:pos="8743"/>
              <w:tab w:val="right" w:pos="9026" w:leader="dot"/>
            </w:tabs>
            <w:rPr/>
          </w:pPr>
          <w:hyperlink w:anchor="__RefHeading___Toc6355399_1051229030">
            <w:r>
              <w:rPr>
                <w:webHidden/>
                <w:rStyle w:val="IndexLink"/>
                <w:rtl w:val="true"/>
              </w:rPr>
              <w:t>أمّا الفرع الثانی</w:t>
            </w:r>
            <w:r>
              <w:rPr>
                <w:rStyle w:val="IndexLink"/>
                <w:rtl w:val="true"/>
              </w:rPr>
              <w:t xml:space="preserve">: </w:t>
            </w:r>
            <w:r>
              <w:rPr>
                <w:rStyle w:val="IndexLink"/>
                <w:rtl w:val="true"/>
              </w:rPr>
              <w:t>الخيار هنا بين الردّ والإمساك مجاناً من دون أرش</w:t>
            </w:r>
            <w:r>
              <w:rPr>
                <w:rStyle w:val="IndexLink"/>
                <w:rtl w:val="true"/>
              </w:rPr>
              <w:t>:</w:t>
              <w:tab/>
            </w:r>
            <w:r>
              <w:rPr>
                <w:rStyle w:val="IndexLink"/>
              </w:rPr>
              <w:t>548</w:t>
            </w:r>
          </w:hyperlink>
        </w:p>
        <w:p>
          <w:pPr>
            <w:pStyle w:val="Contents2"/>
            <w:tabs>
              <w:tab w:val="clear" w:pos="8743"/>
              <w:tab w:val="right" w:pos="9026" w:leader="dot"/>
            </w:tabs>
            <w:rPr/>
          </w:pPr>
          <w:hyperlink w:anchor="__RefHeading___Toc6355401_1051229030">
            <w:r>
              <w:rPr>
                <w:webHidden/>
                <w:rStyle w:val="IndexLink"/>
                <w:rtl w:val="true"/>
              </w:rPr>
              <w:t>أمّا الفرع الثالث</w:t>
            </w:r>
            <w:r>
              <w:rPr>
                <w:rStyle w:val="IndexLink"/>
                <w:rtl w:val="true"/>
              </w:rPr>
              <w:t xml:space="preserve">: </w:t>
            </w:r>
            <w:r>
              <w:rPr>
                <w:rStyle w:val="IndexLink"/>
                <w:rtl w:val="true"/>
              </w:rPr>
              <w:t>محلّ هذا الخيار الأعيان الشخصيّة الغائبة</w:t>
            </w:r>
            <w:r>
              <w:rPr>
                <w:rStyle w:val="IndexLink"/>
                <w:rtl w:val="true"/>
              </w:rPr>
              <w:t>:</w:t>
              <w:tab/>
            </w:r>
            <w:r>
              <w:rPr>
                <w:rStyle w:val="IndexLink"/>
              </w:rPr>
              <w:t>550</w:t>
            </w:r>
          </w:hyperlink>
        </w:p>
        <w:p>
          <w:pPr>
            <w:pStyle w:val="Contents2"/>
            <w:tabs>
              <w:tab w:val="clear" w:pos="8743"/>
              <w:tab w:val="right" w:pos="9026" w:leader="dot"/>
            </w:tabs>
            <w:rPr/>
          </w:pPr>
          <w:hyperlink w:anchor="__RefHeading___Toc6355403_1051229030">
            <w:r>
              <w:rPr>
                <w:webHidden/>
                <w:rStyle w:val="IndexLink"/>
                <w:rtl w:val="true"/>
              </w:rPr>
              <w:t>أمّا الفرع الرابع</w:t>
            </w:r>
            <w:r>
              <w:rPr>
                <w:rStyle w:val="IndexLink"/>
                <w:rtl w:val="true"/>
              </w:rPr>
              <w:t xml:space="preserve">: </w:t>
            </w:r>
            <w:r>
              <w:rPr>
                <w:rStyle w:val="IndexLink"/>
                <w:rtl w:val="true"/>
              </w:rPr>
              <w:t>إعمال هذا الخيار فوری</w:t>
            </w:r>
            <w:r>
              <w:rPr>
                <w:rStyle w:val="IndexLink"/>
                <w:rtl w:val="true"/>
              </w:rPr>
              <w:t>:</w:t>
              <w:tab/>
            </w:r>
            <w:r>
              <w:rPr>
                <w:rStyle w:val="IndexLink"/>
              </w:rPr>
              <w:t>557</w:t>
            </w:r>
          </w:hyperlink>
        </w:p>
        <w:p>
          <w:pPr>
            <w:pStyle w:val="Contents2"/>
            <w:tabs>
              <w:tab w:val="clear" w:pos="8743"/>
              <w:tab w:val="right" w:pos="9026" w:leader="dot"/>
            </w:tabs>
            <w:rPr/>
          </w:pPr>
          <w:hyperlink w:anchor="__RefHeading___Toc6355405_1051229030">
            <w:r>
              <w:rPr>
                <w:webHidden/>
                <w:rStyle w:val="IndexLink"/>
                <w:rtl w:val="true"/>
              </w:rPr>
              <w:t>أمّا الفرع الخامس</w:t>
            </w:r>
            <w:r>
              <w:rPr>
                <w:rStyle w:val="IndexLink"/>
                <w:rtl w:val="true"/>
              </w:rPr>
              <w:t xml:space="preserve">: </w:t>
            </w:r>
            <w:r>
              <w:rPr>
                <w:rStyle w:val="IndexLink"/>
                <w:rtl w:val="true"/>
              </w:rPr>
              <w:t>في مسقطات هذا الخيار</w:t>
            </w:r>
            <w:r>
              <w:rPr>
                <w:rStyle w:val="IndexLink"/>
                <w:rtl w:val="true"/>
              </w:rPr>
              <w:t>:</w:t>
              <w:tab/>
            </w:r>
            <w:r>
              <w:rPr>
                <w:rStyle w:val="IndexLink"/>
              </w:rPr>
              <w:t>561</w:t>
            </w:r>
          </w:hyperlink>
        </w:p>
        <w:p>
          <w:pPr>
            <w:pStyle w:val="Contents2"/>
            <w:tabs>
              <w:tab w:val="clear" w:pos="8743"/>
              <w:tab w:val="right" w:pos="9026" w:leader="dot"/>
            </w:tabs>
            <w:rPr/>
          </w:pPr>
          <w:hyperlink w:anchor="__RefHeading___Toc6355407_1051229030">
            <w:r>
              <w:rPr>
                <w:webHidden/>
                <w:rStyle w:val="IndexLink"/>
                <w:rtl w:val="true"/>
              </w:rPr>
              <w:t>مصادر التحقيق</w:t>
            </w:r>
            <w:r>
              <w:rPr>
                <w:rStyle w:val="IndexLink"/>
                <w:rtl w:val="true"/>
              </w:rPr>
              <w:t>:</w:t>
              <w:tab/>
            </w:r>
            <w:r>
              <w:rPr>
                <w:rStyle w:val="IndexLink"/>
              </w:rPr>
              <w:t>568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17_84615"/>
      <w:bookmarkStart w:id="1" w:name="pg7917_84615"/>
      <w:bookmarkEnd w:id="1"/>
    </w:p>
    <w:p>
      <w:pPr>
        <w:pStyle w:val="Heading2"/>
        <w:numPr>
          <w:ilvl w:val="1"/>
          <w:numId w:val="1"/>
        </w:numPr>
        <w:rPr/>
      </w:pPr>
      <w:bookmarkStart w:id="2" w:name="pg7917_84615"/>
      <w:bookmarkStart w:id="3" w:name="__RefHeading___Toc6355105_1051229030"/>
      <w:bookmarkStart w:id="4" w:name="_Toc1"/>
      <w:bookmarkEnd w:id="2"/>
      <w:bookmarkEnd w:id="3"/>
      <w:r>
        <w:rPr>
          <w:rtl w:val="true"/>
        </w:rPr>
        <w:t>هوية الکتاب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الفقیهي البزشکي، محمدرضا،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الفقیهي البزشکي؛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زاگرس کانادا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شرق،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5843</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أيضا مع الترجمة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Arabic essays -- 21st century</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دارالحکمة کانادا</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House of Wisdom Institute of Canada</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زاگرس کانادا</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Zagros Publications Canada</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PJA4956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892/746</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8844155</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5510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بحوث في الفقه المقالات العشر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17_84619"/>
      <w:bookmarkStart w:id="8" w:name="pg7917_84619"/>
      <w:bookmarkEnd w:id="8"/>
    </w:p>
    <w:p>
      <w:pPr>
        <w:pStyle w:val="Heading2"/>
        <w:numPr>
          <w:ilvl w:val="1"/>
          <w:numId w:val="1"/>
        </w:numPr>
        <w:rPr/>
      </w:pPr>
      <w:bookmarkStart w:id="9" w:name="pg7917_84619"/>
      <w:bookmarkStart w:id="10" w:name="__RefHeading___Toc6355109_1051229030"/>
      <w:bookmarkStart w:id="11" w:name="_Toc3"/>
      <w:bookmarkEnd w:id="9"/>
      <w:bookmarkEnd w:id="10"/>
      <w:r>
        <w:rPr>
          <w:rtl w:val="true"/>
        </w:rPr>
        <w:t>محتویات الکتاب</w:t>
      </w:r>
      <w:bookmarkEnd w:id="11"/>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المقالة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كفاية الغسل عن الوضوء وعدمها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بيان أقوال المسئلة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ما هو مقتضی القاعدة في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الكلام في أدلّة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الرّأی المختار في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بقی هنا فروعٌ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حدوث الحدث الأصغر أثناء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الجمع بين الغُسل والوضوء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الغُسل عن الوضوء في سائر الأغسال إذا اتّحدت مع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الأغسال المسنونة ومصاديقها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الزّمانيّة فأغسال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والثّانية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بقي هنا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أغسال ليالی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وقت فعل الغسل في اللیالي المبارکة من شهر الصیام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والخامسة 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يومي التّروية وعرفة وهما الثّامن والتّاسع من 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ليلة النّصف من 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وأمّا الأغسال المكانيّة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أمّا الأغسال الفعليّة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زيارة النّبیّ والأئمّة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صلاتي الحاجة والاستخارة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صلاة 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المفرّط في صلاة الكسوفين مع احتراق القرص إذا أراد قضاءها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التّوبة سواء كان عن فسق أو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المقالة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مفهوم الوطن الأصلی والمُستجدّ أو الإتّخاذی والوطن الشرعی التعبدی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عناوين فروعات المسألة إجمالاً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اللغة و فقهاء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أقوال فقهاء الفريقين في بيان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الكلام في أدلّة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الوطن إلی الأصلی، والمستجدّ أو الإتخاذی، والشرعی التعبدی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أمّا 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فيه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أمّا 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ملاك الإتمام كونه غير مسافر أو كونه متوطّناً؟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أمّا 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يصدق الإعراض عن الوطن الأصلی والمستجدّ والشرعی التعبّدی؟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أمّا 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حكم عبادتي الصوم والصلاة لو تردّد في بقاء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زواله إذا مرّ به ولم ينو إقامة عشرأيّام؟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المقالة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المطاف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هل للطواف حدّ سائغ فمن يخرج عنه لم يكن طائفاً؟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بيان الأقوال المسئلة وهي إجمالاً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أدلّة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في إمكان الجمع بين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بقی هنا شيئان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هاهنا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ماهيّة مقام إبراهيم علیه السلام وحقيقته؟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باختصاص المطاف بالبيت والمقام هل المعتبر وقوع الطّواف بين البيت والمحفظة الّتي يحفظ فيها المقام، أو بين البيت والمقام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إسماعيل علیه السلام من البيت أو خارج عنه؟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إحتساب الحدّ في جانب الحجر من الحجر أو من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الطّواف علی أساس البيت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لمس الطّائف الجدار عند الشّاذروان، أو وضع يده علی جدار الحجر حال الطّواف فهل يبطل طوافه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المقام في عهد النّبیّ الأعظ صَلَّى اَللَّهُ عَلَيْهِ وَ آلِهِ وَ سَلَّمْ وموضعه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التّدانی من البيت حال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الطّواف فوق المطاف أو تحته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المقالة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الهلال عند العامة مع عدم إثباته أو العلم بخلافه عندنا في جواز الإفطار وكفاية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زمان الوقوف بعرفات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طرق إثبات الهلال ومحل الكلام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إثبات الهلال بحكم الحاكم عند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أدلّة إثبات الهلال وعدمه بحكم الحاكم عند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صور المسألة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الحجّ مع مراعاة التّقية في الصّورة الأخيرة مجزیء عمّا هو واجب عليه من الحجّ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العجز عن الهدی في الحجّ وبيان بدله وشرائطه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بيان أقوال الفقهاء في المسئلة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أدلّة كون الصوم بدلاً عن الهدی عند العجز عنه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أمّا الاستدلال بالكتاب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وأمّا الاستدلال بالسنّة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لو فقد الهدی فقط إلا أنّه توقّع حصوله إلی آخر الشهر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هل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أمر بوقوع صيام الثلاثة فيها تشمل جميع أيّام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جواز الصوم البدل بعد التلبس بإحرام العمرة وقبل الإهلال بالحجّ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ما هی الأيّام الثلاثة الّتي يجب صومها في ذی الحجة عند فقدان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ما هو مقتضی القاعدة في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الكلام في أدلة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هل يجوز صيام بدل الهدی أيّام التشريق لمن كان بمنی؟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وجوب التوالی في الصيام الثلاثة البدل عن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موارد الّتي لا يلزم فيه التوالی في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المقالة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الربا حكمه، أقسامه ومستثنياته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أمّا الرّبا في المعنی والمفهوم ومصطلح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أدلّة حرمة الرّبا في الشّريعة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الرّبا في القرآن الكريم والشّرائع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دليل حرمته من الأخبار والأحاديث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أمّا دليل حرمته من دليل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أقسام الرّباء إجمالاً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مستثيات الرّبا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نفيه امتناناً وتفضّلاً عند الاضطرار ونحوه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 بين الوالد وولده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بقی هنا أمور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الحكم هنا طرفينی لكلّ من الآباء والأولاد، أم يختصّ الآباء فقط؟</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الحكم هنا يعمّ مطلق الأولاد من الذّكور والإناث، أم يختصّ الذّكور فقط؟</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الأولاد للصلب و ولد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الحكم هنا يسری إلی أمّ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الثالثة من مستثنيات الرّبا نفيه بين الرجل وزوجته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هل الحكم هنا يجری في مطلق الأزواج من الدائمة والمتمتّع بها،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الرابع والخامس من مستثنيات الرّبا نفيه بين المسلم والكافر الحربی، والذمّی الّذی خرج عن شرائط الذمّة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السادس من مستثنيات الرّبا نفيه بين المولی وعبده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السابع من مستثنيات الرّبا نفيه في بيع المعدود مطلقاً، وفی المكيل والموزون مع اختلاف الجنسين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من مستثنيات الرّبا جواز أخذه من دون 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الروایات الواردة في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أنّ خير القرض ما يجرّ منفعة، منها</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الجواز بالمعنی الأعمّ إذا لم يكن بينهما شرط، منها</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الجواز إذا كان ذلك معروفاً بينهما من قبل، منها</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كراهة أخذ ذلك، منها</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احتسابه بعنوان الدّين، منها</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طريقة الجمع بين الأخبار الواردة في الطوائف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التاسع من مستثنيات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أخذه في قالب النقد والنسيئة والبيع بالأقساط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العاشر من مستثنيات الرّبا جواز أخذه في قالب الإجارة أو البيع بشرط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المقالة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يشترط في صحّة الإجارة من ناحية المتعاقدين، والعين المستأجرة، والمنفعة، والأجرة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فيها من ناحية المتعاقدين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ما يستدل به على ما يشترط في المتعاقدين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يشترط في العين المستأجرة وأدلّتها</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العين المستأجرة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معلومة عند المتعاقدين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التسليم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بقى هنا شیء</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 المنفعة المقصودة وأدلّتها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437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 أجرة الإجارة وأدلّتها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المقالة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المتعاقدين في المضاربة وشرائط مال القراض وربحه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عناوين فروعات المسألة إجمالاً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أمّا دليل جواز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بقی هنا شیء وهو أنّه</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هل المضاربة من العقود اللازمة أو الجائزة؟ وما هو الأصل فيها عند الشك 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ها هنا فروع</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المتعاقدين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المضاربة لو كان أو طرأ عليه العجز عن التجارة أثنائها</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أمّا 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القراض وشرائطه</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أمّا 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الربح الحاصل منها</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المقالة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المزارعة وما يعتبر فيها وفي طرفيها من الشرائط والأحكام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عناوين فروعات المسألة إجمالاً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دليل جواز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المزارعة وماهيّتها طرداً وعكساً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المتعاقدين</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أمّا 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الحاصل فيها مشتركاً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أمّا 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حصّة فيها من أحد الكسور، مثل النصف أو الثلث وأمثالهما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أمّا 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مدّة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أمّا 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الأرض قابلة للزرع إمّا فعلاً أو بالعلاج والإصلاح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أمّا 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المزروع إذا كان الأغراض مختلفاً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أمّا 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الأرض ومقدارها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أمّا الفرع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كون البذر وسائر المصارف علی أيّهما إذا لم يكن هناك تعارف وانصراف</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المقالة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الرؤية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وقبل الخوض في المقصود لا بدّ من تقديم مقدمات، وهی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أمّا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الخيار في المعنی والمفهوم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خيار الرؤية تختصّ بالبيع أو تعمّ سائر العقود والمعاملات؟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وأمّا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من الحقوق أو من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وأمّا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أقسام الخيارات إجمالاً؟</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عناوين فروعات المسألة إجمالاً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أمّا دليل خيار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خيار الرؤية وماهيّتها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الخيار هنا بين الردّ والإمساك مجاناً من دون أرش</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هذا الخيار الأعيان الشخصيّة الغائبة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أمّا 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هذا الخيار فوری</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أمّا 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مسقطات هذا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bookmarkStart w:id="12" w:name="pg7917_84629"/>
    </w:p>
    <w:p>
      <w:pPr>
        <w:pStyle w:val="Heading2"/>
        <w:numPr>
          <w:ilvl w:val="1"/>
          <w:numId w:val="1"/>
        </w:numPr>
        <w:rPr/>
      </w:pPr>
      <w:bookmarkStart w:id="13" w:name="__RefHeading___Toc6355111_1051229030"/>
      <w:bookmarkStart w:id="14" w:name="_Toc4"/>
      <w:bookmarkEnd w:id="12"/>
      <w:bookmarkEnd w:id="13"/>
      <w:r>
        <w:rPr>
          <w:rtl w:val="true"/>
        </w:rPr>
        <w:t>الإهداء</w:t>
      </w:r>
      <w:bookmarkEnd w:id="1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أقدّم هذا الأثر المتواضع إلی الصّدّيقة الطاهرة فاطمة الزّهراء سَلَامُ اللهِ عَلَيْهَا ، صاحبة المنزلة الرفيعة في الكونين، وسيّدة نساء العالمين</w:t>
      </w:r>
      <w:r>
        <w:rPr>
          <w:rStyle w:val="FootnoteAnchor"/>
          <w:rtl w:val="true"/>
        </w:rPr>
        <w:footnoteReference w:id="2"/>
      </w:r>
      <w:r>
        <w:rPr>
          <w:rFonts w:ascii="Amiri" w:hAnsi="Amiri" w:eastAsia="Amiri" w:cs="Amiri"/>
          <w:color w:val="111111"/>
          <w:sz w:val="28"/>
          <w:sz w:val="28"/>
          <w:szCs w:val="28"/>
          <w:rtl w:val="true"/>
          <w:lang w:bidi="ar-SA"/>
        </w:rPr>
        <w:t>، وريحانة خاتم الأنبياء والمرسلي صَلَّى اَللَّهُ عَلَيْهِ وَ آلِهِ وَ سَلَّمْ وزوجة أسد الله الغالب أمير المؤمنين علیّ بن أبي طالب علیه السلام، وأمّ الأئمّة الأطهار علیهم السلام ، الّتي جُعلت محبّتها ومحبّة ذريّتها أجراً للرّسالة في القرآن الكريم</w:t>
      </w:r>
      <w:r>
        <w:rPr>
          <w:rStyle w:val="FootnoteAnchor"/>
          <w:rtl w:val="true"/>
        </w:rPr>
        <w:footnoteReference w:id="3"/>
      </w:r>
      <w:r>
        <w:rPr>
          <w:rFonts w:ascii="Amiri" w:hAnsi="Amiri" w:eastAsia="Amiri" w:cs="Amiri"/>
          <w:color w:val="111111"/>
          <w:sz w:val="28"/>
          <w:sz w:val="28"/>
          <w:szCs w:val="28"/>
          <w:rtl w:val="true"/>
          <w:lang w:bidi="ar-SA"/>
        </w:rPr>
        <w:t>، وعندما كان رسول الل صَلَّى اَللَّهُ عَلَيْهِ وَ آلِهِ وَ سَلَّمْ يشتاق إلى الجنّة كان يشمّها</w:t>
      </w:r>
      <w:r>
        <w:rPr>
          <w:rStyle w:val="FootnoteAnchor"/>
          <w:rtl w:val="true"/>
        </w:rPr>
        <w:footnoteReference w:id="4"/>
      </w:r>
      <w:r>
        <w:rPr>
          <w:rFonts w:ascii="IRNazanin" w:hAnsi="IRNazanin" w:eastAsia="IRNazanin"/>
          <w:color w:val="111111"/>
          <w:sz w:val="28"/>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فداها أبوها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وهی المحدّثة الّتي كانت أنيسة أُمّها في الرّحم طليلة حملها</w:t>
      </w:r>
      <w:r>
        <w:rPr>
          <w:rStyle w:val="FootnoteAnchor"/>
          <w:rtl w:val="true"/>
        </w:rPr>
        <w:footnoteReference w:id="6"/>
      </w:r>
      <w:r>
        <w:rPr>
          <w:rFonts w:ascii="Amiri" w:hAnsi="Amiri" w:eastAsia="Amiri" w:cs="Amiri"/>
          <w:color w:val="111111"/>
          <w:sz w:val="28"/>
          <w:sz w:val="28"/>
          <w:szCs w:val="28"/>
          <w:rtl w:val="true"/>
          <w:lang w:bidi="ar-SA"/>
        </w:rPr>
        <w:t>، ومخاطبة جبرائيل الأمين بعد فراق أبيها</w:t>
      </w:r>
      <w:r>
        <w:rPr>
          <w:rStyle w:val="FootnoteAnchor"/>
          <w:rtl w:val="true"/>
        </w:rPr>
        <w:footnoteReference w:id="7"/>
      </w:r>
      <w:r>
        <w:rPr>
          <w:rFonts w:ascii="Amiri" w:hAnsi="Amiri" w:eastAsia="Amiri" w:cs="Amiri"/>
          <w:color w:val="111111"/>
          <w:sz w:val="28"/>
          <w:sz w:val="28"/>
          <w:szCs w:val="28"/>
          <w:rtl w:val="true"/>
          <w:lang w:bidi="ar-SA"/>
        </w:rPr>
        <w:t xml:space="preserve">، العزيزة الّتي رفع </w:t>
      </w:r>
    </w:p>
    <w:p>
      <w:pPr>
        <w:pStyle w:val="BookText"/>
        <w:rPr/>
      </w:pPr>
      <w:r>
        <w:rPr>
          <w:rFonts w:ascii="Amiri" w:hAnsi="Amiri" w:eastAsia="Amiri" w:cs="Amiri"/>
          <w:color w:val="111111"/>
          <w:sz w:val="28"/>
          <w:sz w:val="28"/>
          <w:szCs w:val="28"/>
          <w:rtl w:val="true"/>
          <w:lang w:bidi="ar-SA"/>
        </w:rPr>
        <w:t>الرّحمن السّماوات، وبسط الأرض، وخلق الشّمس والقمر المنيرين، والبحار والكون برمّته لمحبّتها ومحبّة أبيها وزوجها وذريّتها الطّاهرة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أقدّم هذا الجهد المتواضع إلی مقام المحدّثة الّتي يعجز الخلق عن معرفتها كما عجزوا عن معرفة ليلة القدر</w:t>
      </w:r>
      <w:r>
        <w:rPr>
          <w:rStyle w:val="FootnoteAnchor"/>
          <w:rtl w:val="true"/>
        </w:rPr>
        <w:footnoteReference w:id="9"/>
      </w:r>
      <w:r>
        <w:rPr>
          <w:rFonts w:ascii="Amiri" w:hAnsi="Amiri" w:eastAsia="Amiri" w:cs="Amiri"/>
          <w:color w:val="111111"/>
          <w:sz w:val="28"/>
          <w:sz w:val="28"/>
          <w:szCs w:val="28"/>
          <w:rtl w:val="true"/>
          <w:lang w:bidi="ar-SA"/>
        </w:rPr>
        <w:t xml:space="preserve">، والّتي كانت فخر الأئمّة </w:t>
      </w:r>
      <w:r>
        <w:rPr>
          <w:rStyle w:val="FootnoteAnchor"/>
          <w:rtl w:val="true"/>
        </w:rPr>
        <w:footnoteReference w:id="10"/>
      </w:r>
      <w:r>
        <w:rPr>
          <w:rFonts w:ascii="Amiri" w:hAnsi="Amiri" w:eastAsia="Amiri" w:cs="Amiri"/>
          <w:color w:val="111111"/>
          <w:sz w:val="28"/>
          <w:sz w:val="28"/>
          <w:szCs w:val="28"/>
          <w:rtl w:val="true"/>
          <w:lang w:bidi="ar-SA"/>
        </w:rPr>
        <w:t xml:space="preserve">، والكفؤ الوحيد </w:t>
      </w:r>
    </w:p>
    <w:p>
      <w:pPr>
        <w:pStyle w:val="BookText"/>
        <w:rPr/>
      </w:pPr>
      <w:r>
        <w:rPr>
          <w:rFonts w:ascii="IRNazanin" w:hAnsi="IRNazanin" w:eastAsia="IRNazanin"/>
          <w:color w:val="111111"/>
          <w:sz w:val="28"/>
          <w:sz w:val="28"/>
          <w:szCs w:val="28"/>
          <w:rtl w:val="true"/>
          <w:lang w:bidi="fa-IR"/>
        </w:rPr>
        <w:t xml:space="preserve">لمولانا علیّ بن أبی طالب علیه السلام </w:t>
      </w:r>
      <w:r>
        <w:rPr>
          <w:rStyle w:val="FootnoteAnchor"/>
          <w:rtl w:val="true"/>
        </w:rPr>
        <w:footnoteReference w:id="11"/>
      </w:r>
      <w:r>
        <w:rPr>
          <w:rFonts w:ascii="Amiri" w:hAnsi="Amiri" w:eastAsia="Amiri" w:cs="Amiri"/>
          <w:color w:val="111111"/>
          <w:sz w:val="28"/>
          <w:sz w:val="28"/>
          <w:szCs w:val="28"/>
          <w:rtl w:val="true"/>
          <w:lang w:bidi="ar-SA"/>
        </w:rPr>
        <w:t>، والّتي كان غضبها غضب الرّب ورضاها رضاه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15" w:name="pg7917_84633"/>
    </w:p>
    <w:p>
      <w:pPr>
        <w:pStyle w:val="Heading2"/>
        <w:numPr>
          <w:ilvl w:val="1"/>
          <w:numId w:val="1"/>
        </w:numPr>
        <w:rPr/>
      </w:pPr>
      <w:bookmarkStart w:id="16" w:name="__RefHeading___Toc6355113_1051229030"/>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علی سيّدنا ونبيّنا محمّد</w:t>
      </w:r>
    </w:p>
    <w:p>
      <w:pPr>
        <w:pStyle w:val="BookText"/>
        <w:rPr/>
      </w:pPr>
      <w:r>
        <w:rPr>
          <w:rFonts w:ascii="IRNazanin" w:hAnsi="IRNazanin" w:eastAsia="IRNazanin"/>
          <w:color w:val="111111"/>
          <w:sz w:val="28"/>
          <w:sz w:val="28"/>
          <w:szCs w:val="28"/>
          <w:rtl w:val="true"/>
          <w:lang w:bidi="fa-IR"/>
        </w:rPr>
        <w:t>وآله المعصومين الطاهرين واللعن علی أعدائهم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بحثنا في أيّام عطلة الحوزة العلميّة في الأصياف عن عدّة مسائل بصورة الفقه المقارن علی حسب مبانی الاستدلاليّة في الفقه الإماميّة، نجعلها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كفاية الغسل عن الوضوء وعدمها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الكلام حول مفهوم الوطن الأصلی والاتخاذی، والوطن الشرعی التعبّدی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المطاف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إثبات الهلال عند العامة مع عدم إثباته أو العلم بخلافه عندنا في جواز الإفطار وكفاية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الكلام في العجز عن الهدی في الحجّ وبيان بدله وشرائطه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الربا حكمه، أقسامه ومستثتنياته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فيما يشترط في صحّة الإجارة من ناحية المتعاقدين، والعين المستأجرة، والمنفعة والأجرة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شرائط المتعاقدين في المضاربة، وشرائط مال القراض وربحه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الكلام في المزارعة وما يعتبر فيها وفی طرفيها من الشرائط والأحكام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خيار الرؤية وأحكامه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18" w:name="pg7917_846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6355115_1051229030"/>
      <w:bookmarkStart w:id="20" w:name="_Toc6"/>
      <w:bookmarkEnd w:id="18"/>
      <w:bookmarkEnd w:id="19"/>
      <w:r>
        <w:rPr>
          <w:rtl w:val="true"/>
        </w:rPr>
        <w:t>المقالة الاُولی</w:t>
      </w:r>
      <w:r>
        <w:rPr>
          <w:rtl w:val="true"/>
        </w:rPr>
        <w:t>:</w:t>
      </w:r>
      <w:r>
        <w:rPr>
          <w:rtl w:val="true"/>
        </w:rPr>
        <w:t>في كفاية الغسل عن الوضوء وعدمها</w:t>
      </w:r>
      <w:bookmarkEnd w:id="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الغسل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غسل يغسل، وبالكسر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يُغسل به كالخطمی وغيره، وبالضّم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من الإغتسال بمعنی الأثر المترتّب على الغَسل، وهو واحد من الطّهارات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والتّيمم، والغُسل، يقال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إفاضة الماء علی جميع البدن</w:t>
      </w:r>
      <w:r>
        <w:rPr>
          <w:rStyle w:val="FootnoteAnchor"/>
          <w:rtl w:val="true"/>
        </w:rPr>
        <w:footnoteReference w:id="13"/>
      </w:r>
      <w:r>
        <w:rPr>
          <w:rFonts w:ascii="IRNazanin" w:hAnsi="IRNazanin" w:eastAsia="IRNazanin"/>
          <w:color w:val="111111"/>
          <w:sz w:val="28"/>
          <w:sz w:val="28"/>
          <w:szCs w:val="28"/>
          <w:rtl w:val="true"/>
          <w:lang w:bidi="fa-IR"/>
        </w:rPr>
        <w:t xml:space="preserve">، واستقوی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في العرف الشرعی إلی الأفعال الخاصّة</w:t>
      </w:r>
      <w:r>
        <w:rPr>
          <w:rStyle w:val="FootnoteAnchor"/>
          <w:rtl w:val="true"/>
        </w:rPr>
        <w:footnoteReference w:id="14"/>
      </w:r>
      <w:r>
        <w:rPr>
          <w:rFonts w:ascii="Amiri" w:hAnsi="Amiri" w:eastAsia="Amiri" w:cs="Amiri"/>
          <w:color w:val="111111"/>
          <w:sz w:val="28"/>
          <w:sz w:val="28"/>
          <w:szCs w:val="28"/>
          <w:rtl w:val="true"/>
          <w:lang w:bidi="ar-SA"/>
        </w:rPr>
        <w:t>، وهو بين واجب ومندوب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فالواجب منه علی ما قيل سبعة</w:t>
      </w:r>
      <w:r>
        <w:rPr>
          <w:rStyle w:val="FootnoteAnchor"/>
          <w:rtl w:val="true"/>
        </w:rPr>
        <w:footnoteReference w:id="15"/>
      </w:r>
      <w:r>
        <w:rPr>
          <w:rFonts w:ascii="IRNazanin" w:hAnsi="IRNazanin" w:eastAsia="IRNazanin"/>
          <w:color w:val="111111"/>
          <w:sz w:val="28"/>
          <w:sz w:val="28"/>
          <w:szCs w:val="28"/>
          <w:rtl w:val="true"/>
          <w:lang w:bidi="fa-IR"/>
        </w:rPr>
        <w:t>،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الجنابة، والحيض، والنّفاس، والإستحاضة الّتي تثقب الكرسف، والأموات، ومسّ الأموات من </w:t>
      </w:r>
    </w:p>
    <w:p>
      <w:pPr>
        <w:pStyle w:val="BookText"/>
        <w:rPr/>
      </w:pPr>
      <w:r>
        <w:rPr>
          <w:rFonts w:ascii="IRNazanin" w:hAnsi="IRNazanin" w:eastAsia="IRNazanin"/>
          <w:color w:val="111111"/>
          <w:sz w:val="28"/>
          <w:sz w:val="28"/>
          <w:szCs w:val="28"/>
          <w:rtl w:val="true"/>
          <w:lang w:bidi="fa-IR"/>
        </w:rPr>
        <w:t>النّاس قبل تغسيلهم وبعد بردهم، والغُسل الّذی وجب بنذر وشبهه كمن نذر غُسل الجمعة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ثمانية،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والأغسال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ومسنون، فالمفروض ثمانية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وغسل الحيض، وغسل النفاس، وغسل الاستحاضة المخصوصة، وغسل مس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وغسل القاصد لرؤية المصلوب من المسلمين بعد ثلاث، وغسل المفرط في صلاة الكسوف مع العلم به وكونه احتراقاً، وجهة وجوب هذين الغسلين كونهما شرطاً في تكفير الذنب وصحة التوبة منه، فيلزم العزم عليهما لهذا الغرض</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والمندوب منها كثيرة اختلف الفقهاء في كمّيتها، نبحث عنه في الفرع الرابع من الفروعات المطروحة في آخر هذه المقالة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والغرض من تدوين هذه المقالة البحث عن كفاية الأغسال وعدمها كلاً أو بعضاً عن الوضوء في العبادات المشروطة به، فنقول ومنه التّوفيق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المسائل المدوّنة عند العامّة والخاصّة هی مسئلة كفاية مطلق الغسل عن الوضوء، وهی إجماعيّةٌ إجمالاً عند الإماميّة وأكثر العامّة، مختلف فيها عند بعضهم</w:t>
      </w:r>
      <w:r>
        <w:rPr>
          <w:rStyle w:val="FootnoteAnchor"/>
          <w:rtl w:val="true"/>
        </w:rPr>
        <w:footnoteReference w:id="17"/>
      </w:r>
      <w:r>
        <w:rPr>
          <w:rFonts w:ascii="Amiri" w:hAnsi="Amiri" w:eastAsia="Amiri" w:cs="Amiri"/>
          <w:color w:val="111111"/>
          <w:sz w:val="28"/>
          <w:sz w:val="28"/>
          <w:szCs w:val="28"/>
          <w:rtl w:val="true"/>
          <w:lang w:bidi="ar-SA"/>
        </w:rPr>
        <w:t>، ومحصّل الأقوال عند الفريقين أربعةٌ</w:t>
      </w:r>
      <w:r>
        <w:rPr>
          <w:rFonts w:eastAsia="Amiri" w:cs="Amiri" w:ascii="Amiri" w:hAnsi="Amiri"/>
          <w:color w:val="111111"/>
          <w:sz w:val="28"/>
          <w:szCs w:val="28"/>
          <w:rtl w:val="true"/>
          <w:lang w:bidi="ar-SA"/>
        </w:rPr>
        <w:t xml:space="preserve">: </w:t>
      </w:r>
      <w:bookmarkStart w:id="21" w:name="pg7917_84639"/>
    </w:p>
    <w:p>
      <w:pPr>
        <w:pStyle w:val="Heading2"/>
        <w:numPr>
          <w:ilvl w:val="1"/>
          <w:numId w:val="1"/>
        </w:numPr>
        <w:rPr/>
      </w:pPr>
      <w:bookmarkStart w:id="22" w:name="__RefHeading___Toc6355117_1051229030"/>
      <w:bookmarkStart w:id="23" w:name="_Toc7"/>
      <w:bookmarkEnd w:id="21"/>
      <w:bookmarkEnd w:id="22"/>
      <w:r>
        <w:rPr>
          <w:rtl w:val="true"/>
        </w:rPr>
        <w:t>بيان أقوال المسئلة</w:t>
      </w:r>
      <w:r>
        <w:rPr>
          <w:rtl w:val="true"/>
        </w:rPr>
        <w:t>:</w:t>
      </w:r>
      <w:bookmarkEnd w:id="2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كفايته عن الوضوء في خصوص غسل الجنابة فقط، وقد ادّعی عليه اجماع أهل البيت علیهم السلام واطباق العلماء من الفريقين إلّا ما حكی عن قليل من العامّة، قال الشيخ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وجب عليه الوضوء وغسل الجنابة، أجزأه عنهما الغسل، وبه قال جميع الفقهاء إلا الشافعی فإنّ له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قلناه، وعليه يعتمد أصحابه،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يجب عليه أن يتطهر ثمّ يغتسل، أو يتطهر بعد أن يغتسل،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يجب عليه أن يتطهر أولاً، فيسقط عنه فرض غسل الأعضاء الأربعة في الغسل، ويأتی بما بقی، وقد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كُنْتُمْ جُنُباً فَاطَّهَّرُوا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يعنی اغتسلوا، ولم يفرق، وأيضاً إجماع الفرقة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يجزی غسل الجنابة عن الوضوء بإجماع أهل البيت علیهم السلام سواء جامعه حدث أصغر أو أكبر، وأطبق العلماء على عدم إيجاب الوضوء إلّا ما حكی عن داود وأبی ثور، فإنّهما أوجباهما معاً، وهو وجه للشّافعيّة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 صَلَّى اَللَّهُ عَلَيْهِ وَ آلِهِ وَ سَلَّمْ لايتوضّأ بعد الغسل من الجنابة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الحلي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ويجزئ غسل الجنابة عن الوضوء، وفی غيره تردّدٌ أظهره أنّه لايجزئ</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وادّعی المحقق النّراقی رحمه الله الإجماع المحقّق والمحكی عن جماعة من علمائنا الأخيار وعمل الفرقة في جميع الأعصار، واستفاضة الأخبار السّالمة عن المعارض</w:t>
      </w:r>
      <w:r>
        <w:rPr>
          <w:rStyle w:val="FootnoteAnchor"/>
          <w:rtl w:val="true"/>
        </w:rPr>
        <w:footnoteReference w:id="21"/>
      </w:r>
      <w:r>
        <w:rPr>
          <w:rFonts w:ascii="Amiri" w:hAnsi="Amiri" w:eastAsia="Amiri" w:cs="Amiri"/>
          <w:color w:val="111111"/>
          <w:sz w:val="28"/>
          <w:sz w:val="28"/>
          <w:szCs w:val="28"/>
          <w:rtl w:val="true"/>
          <w:lang w:bidi="ar-SA"/>
        </w:rPr>
        <w:t xml:space="preserve">، وقريب منه 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لاإشكال في انفراد غسل الحيض عن غسل الجنابة بالنّسبة للوضوء للاجماع محصَّلاً ومنقولاً مستفيضاً غاية الاستفاضة كالنّصوص علی إجزاء الثّانی عنه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وأرسله بعضٌ إرسال المسلّمات منهم السيّد الطّباطبائی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 والإمام الرّاحل الخمينی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يجزی غسل الجنابة عن الوضوء لكلّ ما اشترط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أحكام الحائض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وغسله كغسل الجنابة في الكيفيّة والأحكام، إلّا أنّه لايجزی عن الوضوء فيجب الوضوء معه قبله أو بعده لكلّ مشروط به كالصّلاة، بخلاف غسل الجنابة كما مرّ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كفايته عنه في جميع الأغسال الواجبة دون المستحبّة اختاره علم الهدی السيّد المرتضی رحمه الله وبعض آخر، قال السيّد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ويستبيح بالغسل الواجب الصّلاة من غير وضوء، وانّما الوضوء في غير الأغسال الواجبة</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صرّح بذلك أيضاً المجلسی الأوّل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لم يقع في أخبار كيفية غسل الحيض والاستحاضة والنفاس ومسّ الأموات مع تواترها واشتمالها على أكثر المستحبات ذكر الوضوء، وبعيد أن يذكر المعصوم في مقام الاحتياج جميع ما يحتاج إليه ولا يذكر حكم الوضوء اعتماداً على أنّه سمع منه رجل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كُلِّ غُسْلٍ وُضُوءٌ إِلَّا الْجَنَابَةَ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 فالظاهر أنّ قول السيّد المرتضى رضی الله عنه قوی، بل يظهر من كثير من الأخبار أنّ الأغسال المندوبة أيضاً يجزی عن الوضوء وإن كان الاحتياط الوضوء سيّما في الأغسال المستحبة، فإنّه لا يترك فيه البتة لكن بنية القربة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لايخفی أنّ كلّ من قال بالقول الثّالث الآتی فهو القائل بالقولين الاوّلين بالطّريق الأولی، إذ النّسبة بين القول الثّالث والقولين الأوّلين عمومٌ وخصوصٌ مطلقٌ، فمن قال بالقول العام فهو القائل لامحالة بالقول الخاصّ أيضاً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كفايته عنه في جميع الأغسال، واجبة كانت أو مندوبة إذا كان استحبابها ثابتاً بالدّليل المعتبر لابمثل التّسامح في أدلّة السّنن، وهو خيرة ابن جنيد الإسكافی رحمه الله علی ما نسب اليه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 وجملة من متأخّري المتأخّرين منهم المحدّث البحرانی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 والمحقّق الأردبيلی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والبرهان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 وقد نسبه العلامة المجلسی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إلی كثير من المتأخّرين، وهذا أيضاً هو خيرة بعض فقهائنا المعاصرين كالسيّد الخوئی قدس سره وشيخنا الاستاذ آية الله العظمی مكارم الشّيرازی دام ظلّه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كفاية الغسل عن الوضوء مطلقاً، وهو خيرة الشّافعی في أحد قوليه أو أقواله</w:t>
      </w:r>
      <w:r>
        <w:rPr>
          <w:rStyle w:val="FootnoteAnchor"/>
          <w:rtl w:val="true"/>
        </w:rPr>
        <w:footnoteReference w:id="33"/>
      </w:r>
      <w:r>
        <w:rPr>
          <w:rFonts w:ascii="IRNazanin" w:hAnsi="IRNazanin" w:eastAsia="IRNazanin"/>
          <w:color w:val="111111"/>
          <w:sz w:val="28"/>
          <w:sz w:val="28"/>
          <w:szCs w:val="28"/>
          <w:rtl w:val="true"/>
          <w:lang w:bidi="fa-IR"/>
        </w:rPr>
        <w:t xml:space="preserve">، وكذا ما حكی عن داود وأبی ثور علی ما تقدّم من كلام العلامة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الشّيخ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وجب عليه الوضوء وغسل الجنابة، أجزأه عنهما الغسل، وبه قال جميع الفقهاء إلّا الشّافعی فإنّ له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قلناه، وعليه يعتمد أصحابه،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يجب عليه أن يتطهر ثمّ يغتسل، أو </w:t>
      </w:r>
      <w:bookmarkStart w:id="24" w:name="pg7917_84643"/>
    </w:p>
    <w:p>
      <w:pPr>
        <w:pStyle w:val="BookText"/>
        <w:rPr/>
      </w:pPr>
      <w:bookmarkEnd w:id="24"/>
      <w:r>
        <w:rPr>
          <w:rFonts w:ascii="IRNazanin" w:hAnsi="IRNazanin" w:eastAsia="IRNazanin"/>
          <w:color w:val="111111"/>
          <w:sz w:val="28"/>
          <w:sz w:val="28"/>
          <w:szCs w:val="28"/>
          <w:rtl w:val="true"/>
          <w:lang w:bidi="fa-IR"/>
        </w:rPr>
        <w:t>يتطهر بعد أن يغتسل،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يجب عليه أن يتطهر أولاً، فيسقط عنه فرض غسل الأعضاء الأربعة في الغسل، ويأتی بما بقی وقد أجزأه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فبعد ما عرفت الأقوال في المسألة نشير إلی ما يقتضی القاعدة فيها</w:t>
      </w:r>
      <w:r>
        <w:rPr>
          <w:rFonts w:eastAsia="IRNazanin" w:cs="IRNazanin"/>
          <w:color w:val="111111"/>
          <w:sz w:val="28"/>
          <w:szCs w:val="28"/>
          <w:rtl w:val="true"/>
          <w:lang w:bidi="fa-IR"/>
        </w:rPr>
        <w:t>.</w:t>
      </w:r>
    </w:p>
    <w:p>
      <w:pPr>
        <w:pStyle w:val="Heading2"/>
        <w:numPr>
          <w:ilvl w:val="1"/>
          <w:numId w:val="1"/>
        </w:numPr>
        <w:rPr/>
      </w:pPr>
      <w:bookmarkStart w:id="25" w:name="__RefHeading___Toc6355119_1051229030"/>
      <w:bookmarkStart w:id="26" w:name="_Toc8"/>
      <w:bookmarkEnd w:id="25"/>
      <w:r>
        <w:rPr>
          <w:rtl w:val="true"/>
        </w:rPr>
        <w:t>ما هو مقتضی القاعدة في المقام؟</w:t>
      </w:r>
      <w:bookmarkEnd w:id="2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الموجب للوضوء هو الحدث الأصغر والموجب للغسل هوالحدث الأكبر وحيث كان الشّرطان أو الموجبتان وكذلك الجزاءان مختلفين ومتغايرين في نوعهما مع الآخر فمقتضی القاعدة علی ما بُيّن في مبحث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الكتب الاصوليّة، هو اقتضاء كلّ شرط موجبه، سواءٌ أتی بالآخر أم لا، بل هو أظهر من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اتّحد الشّرط واتّحد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وجه لسقوط كلّ منهما أو سقوط أحدهما المعيّن بفعل الآخر إلّا بدليل حاكم</w:t>
      </w:r>
      <w:r>
        <w:rPr>
          <w:rStyle w:val="FootnoteAnchor"/>
          <w:rtl w:val="true"/>
        </w:rPr>
        <w:footnoteReference w:id="35"/>
      </w:r>
      <w:r>
        <w:rPr>
          <w:rFonts w:ascii="Amiri" w:hAnsi="Amiri" w:eastAsia="Amiri" w:cs="Amiri"/>
          <w:color w:val="111111"/>
          <w:sz w:val="28"/>
          <w:sz w:val="28"/>
          <w:szCs w:val="28"/>
          <w:rtl w:val="true"/>
          <w:lang w:bidi="ar-SA"/>
        </w:rPr>
        <w:t>متصرّف في الدّليل المحكوم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أشار إلی هذه القاعدة السيّد الخوئی رحمه الله حيث قال في بيان مقتضی القاعدة إذا لم يقم دليل الكفاية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يفرض المكلّف غير متوضئ حال مسّه الميت أو استحاضتها أو غيرها من الأسباب، ومقتضى القاعدة حينئذ هو وجوب الوضوء مع تلك الأغسال، لأنّه غير متوضئ على الفرض، وإجزاء الأغسال عنه يتوقّف على دلالة الدليل عليه كما دلّ في غسل الجنابة، ولم يقم عليه دليل لأنّ كلامنا فيما تقتضيه القاعدة مع قطع النّظر عن الأخبار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ابن قدامة الحنبلی في توجيه قول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كفاية الغسل عن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الجنابة والحدث وجدا منه، فوجبت لهما الطّهارتان كما لوكانا منفردين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الشّك في ما نحن فيه من قبيل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وجوب الغسل في المقام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الغسل والوضوء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الإرتباطيّن الّذی يوجب الإحتياط عقلاً بإتيان الأكثر إذ لو كان الواجب حقيقتاً علی المكلّف حينئذ هو الغسل والوضوء معاً واكتفی بالغسل وحده فإنّه لما برء ذمّته من تكليفه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الشّك في المقام وإن كان من قبيل الأقلّ والأكثر الإرتباطيّن إلّا أنّه حيث كان الوضوء والغسل من القبيل الشّرائط والموانع الّذی علی الآمر بيانه فيجری فيه البرائة لا الإشتغال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بحثنا في المقام لم يكن في أصل اشتراط الصّلاة بالطّهارة وعدمها حتّی تجری فيه البرائة، بل الشّك في ما نحن فيه هو في أنّ الطّهارة المشروطة بها الصّلاة هل تتحقّق بالغسل وحده أو بانضمامه الوضوء معاً، وفی مثله الأصل هوالإشتغال لاالبرائة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المحدث بالحدث الأصغر والمحدث بالحدث الأكبر فإنّه محدثٌ إجمالاً، وطبيعة الأحداث في كليهما واحدة إلّا أنّه في الثّانية أشدّ، فإذا أقدم المكلّف علی رفع أشدّهما فإنّه يرتفع معه أضعفهما قطعاً، ونتيجته الإكتفاء بفعل الغسل عن الوضوء في جميع الأغسال من دون فرق بين الجنابة وغيرهما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لكنّك خبير بأنّه إن ثبت بالدّليل المعتبر الشّرعی أنّ طبيعة الأحداث في جميع موجبتها واحدة فهو، وإلّا لزم القول بعدم سقوط الوضوء بالغسل مطلقاً، إذ سقوط الوضوء بالغسل بعد موجبه أمرٌ يحتاج إلی دليل معتبر قطعیّ</w:t>
      </w:r>
      <w:r>
        <w:rPr>
          <w:rFonts w:eastAsia="IRNazanin" w:cs="IRNazanin"/>
          <w:color w:val="111111"/>
          <w:sz w:val="28"/>
          <w:szCs w:val="28"/>
          <w:rtl w:val="true"/>
          <w:lang w:bidi="fa-IR"/>
        </w:rPr>
        <w:t xml:space="preserve">. </w:t>
      </w:r>
      <w:bookmarkStart w:id="27" w:name="pg7917_84646"/>
    </w:p>
    <w:p>
      <w:pPr>
        <w:pStyle w:val="Heading2"/>
        <w:numPr>
          <w:ilvl w:val="1"/>
          <w:numId w:val="1"/>
        </w:numPr>
        <w:rPr/>
      </w:pPr>
      <w:bookmarkStart w:id="28" w:name="__RefHeading___Toc6355121_1051229030"/>
      <w:bookmarkStart w:id="29" w:name="_Toc9"/>
      <w:bookmarkEnd w:id="27"/>
      <w:bookmarkEnd w:id="28"/>
      <w:r>
        <w:rPr>
          <w:rtl w:val="true"/>
        </w:rPr>
        <w:t>الكلام في أدلّة الأقوال</w:t>
      </w:r>
      <w:r>
        <w:rPr>
          <w:rtl w:val="true"/>
        </w:rPr>
        <w:t>:</w:t>
      </w:r>
      <w:bookmarkEnd w:id="29"/>
    </w:p>
    <w:p>
      <w:pPr>
        <w:pStyle w:val="BookText"/>
        <w:rPr/>
      </w:pPr>
      <w:r>
        <w:rPr>
          <w:rFonts w:ascii="IRNazanin" w:hAnsi="IRNazanin" w:eastAsia="IRNazanin"/>
          <w:color w:val="111111"/>
          <w:sz w:val="28"/>
          <w:sz w:val="28"/>
          <w:szCs w:val="28"/>
          <w:rtl w:val="true"/>
          <w:lang w:bidi="fa-IR"/>
        </w:rPr>
        <w:t>أدلّة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كفاية الغسل عن الوضوء في خصوص الجنابة فقط، إنّه قد استدلّ لهذا القول تارةً بإجماع فقهاء الإماميّة بل اطباق علماء الإسلام إلّا من شذّ من العامّة، وأخری بالكتاب، وثالثة بالأخبار الواردة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الإجماع فقد مرّ عند نقل الأقوال بعض ما يدلّ عليه فلا نعيدها، وأمّا دليله من الكتاب فقوله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وَلا جُنُباً إِلَّا عابِری سَبيلٍ حَتَّى تَغْتَسِلُوا </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إِذا قُمْتُمْ إِلَى الصَّلاةِ فَاغْسِلُوا وُجُوهَكُمْ وَأَيْدِيَكُمْ إِلَى الْمَرافِقِ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كُنْتُمْ جُنُباً فَاطَّهَّرُوا وَإِنْ كُنْتُمْ مَرْضى أَوْ عَلى سَفَرٍ أَوْ جاءَ أَحَدٌ مِنْكُمْ مِنَ الْغائِطِ أَوْ لامَسْتُمُ النِّساءَ فَلَمْ تَجِدُوا مَاءً فَتَيَمَّمُوا صَعيداً طَيِّباً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 الإستدلال بهاتين الكريمتين أنّه قد أوجب الله تبارك وتعالی في الكريمة ألاولی خصوص الغسل علی الجنب حيث إنّه منع الجنب من الصّلاة وجعل الاغتسال مطلقاً الحدّ والغاية لإباحتها، فنتيجته جواز الصّلاة لمن اغتسل عن الجنابة، وكذلك في الكريمة الثّانية أوجب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الجنب بالقول المطلق، فلو يجب عليه الوضوء زائداً علی الغسل للزم بيانه لئلاّ يلزم تأخير البيان عن وقت الحاجة بناءً علی القول بمنع التّكليف بلا بيان</w:t>
      </w:r>
      <w:r>
        <w:rPr>
          <w:rStyle w:val="FootnoteAnchor"/>
          <w:rtl w:val="true"/>
        </w:rPr>
        <w:footnoteReference w:id="41"/>
      </w:r>
      <w:r>
        <w:rPr>
          <w:rFonts w:ascii="IRNazanin" w:hAnsi="IRNazanin" w:eastAsia="IRNazanin"/>
          <w:color w:val="111111"/>
          <w:sz w:val="28"/>
          <w:sz w:val="28"/>
          <w:szCs w:val="28"/>
          <w:rtl w:val="true"/>
          <w:lang w:bidi="fa-IR"/>
        </w:rPr>
        <w:t xml:space="preserve">، أو </w:t>
      </w:r>
    </w:p>
    <w:p>
      <w:pPr>
        <w:pStyle w:val="BookText"/>
        <w:rPr/>
      </w:pPr>
      <w:r>
        <w:rPr>
          <w:rFonts w:ascii="IRNazanin" w:hAnsi="IRNazanin" w:eastAsia="IRNazanin"/>
          <w:color w:val="111111"/>
          <w:sz w:val="28"/>
          <w:sz w:val="28"/>
          <w:szCs w:val="28"/>
          <w:rtl w:val="true"/>
          <w:lang w:bidi="fa-IR"/>
        </w:rPr>
        <w:t>الإغراء بالجهل لأنه علی الفرض أطلق الغسل وأراد انضمامه مع الوضوء من دون 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المحدث بالحدث الأصغر بالوضوء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الجنب أی المحدث بالحدث الأكبر بالغسل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محدثاً وجنباً وجب عليه الطهارتان معاً للجمع بين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علی هذا الإستدلال للزم القول بكفاية الغسل للجنب إذا لم يحدث بالحدث الأصغر، فلا يثبت بهما الوضوء في مطلق الجنب سواء جامعه حدث أصغر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الكريمة الأولی واردة من أوّل أمرها في حكم الجنب وبحكم كونها في مقام البيان قد تنفی علی مطلق الجنب غير الغسل حيث إنّ الله تبارك وتعالی أوجب الغسل علی المحدث جنباً من دون أن أوجب عليه شيئاً آخراً غيره، ويؤيّد ذلك استدلال الإمام الباقر علیه السلام في مرسلة محمّد بن مسلم بهذه الآية الكريمة لنفی الوضوء زائداً علی الغسل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الكريمة الأخيرة كانت في مقام بيان حكم كلّ من الطّهارات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والغسل، والتّيمّم، ولم توجب علی المحدث </w:t>
      </w:r>
    </w:p>
    <w:p>
      <w:pPr>
        <w:pStyle w:val="BookText"/>
        <w:rPr/>
      </w:pPr>
      <w:r>
        <w:rPr>
          <w:rFonts w:ascii="IRNazanin" w:hAnsi="IRNazanin" w:eastAsia="IRNazanin"/>
          <w:color w:val="111111"/>
          <w:sz w:val="28"/>
          <w:sz w:val="28"/>
          <w:szCs w:val="28"/>
          <w:rtl w:val="true"/>
          <w:lang w:bidi="fa-IR"/>
        </w:rPr>
        <w:t>بالجنابة زائداً علی الغسل شيئاً، إذ التّفصيل قاطع للشّركة فعليه كانت وظيفةالمحدث بغير الجنابة هی الوضوء، و وظيفة المحدث بالجنابة هی الإغتسال لا الغير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دليل القول من الأخبار والأحاديث فقد دلّت عليه صحيحةُ يَعْقُوبَ بْنِ يَقْطِينٍ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أو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الْجَنَابَةِ فِيهِ وُضُوءٌ أَمْ لَا فِيمَا نَزَلَ بِهِ جَبْرَئِيلُ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يَغْتَسِلُ، يَبْدَأُ فَيَغْسِلُ يَدَيْهِ إِلَى الْمِرْفَقَيْنِ قَبْلَ أَنْ يَغْمِسَهُمَا في الْمَاءِ، ثُمَّ يَغْسِلُ مَا أَصَابَهُ مِنْ أَذًى، ثُمَّ يَصُبُّ عَلَى رَأْسِهِ وَعَلَى وَجْهِهِ وَعَلَى جَسَدِهِ كُلِّهِ، ثُمَّ قَدْ قَضَى الْغُسْلَ وَلَا وُضُوءَ عَلَيْهِ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وصحيحةُ زُرَارَةَ عَنْ أَبِی عَبْدِ اللَّهِ علیه السلام وَذَكَرَ كَيْفِيَّةَ غُسْلِ الْجَنَابَةِ،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قَبْلَهُ وَلَا بَعْدَهُ وُضُوءٌ</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وصحيحةُ أَحْمَدَ بْنِ مُحَمَّدٍ يَعْنِی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غُسْلِ الْجَنَابَةِ؟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يَدَكَ الْيُمْنَى مِنَ الْمِرْفَقَيْنِ إِلَى أَصَابِعِكَ، وَتَبُولُ إِنْ قَدَرْتَ عَلَى الْبَوْلِ، ثُمَّ تُدْخِلُ يَدَكَ في الْإِنَاءِ، ثُمَّ اغْسِلْ مَا أَصَابَكَ مِنْهُ، ثُمَّ أَفِضْ عَلَى رَأْسِكَ وَجَسَدِكَ، وَلَا وُضُوءَ فِيهِ</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وصحيحةُ حَكَمِ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غُسْلِ الْجَنَابَةِ؟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وُضُوءَ الصَّلَاةِ قَبْلَ الْغُسْلِ، فَضَحِكَ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 وُضُوءٍ أَنْقَى مِنَ الْغُسْلِ وَأَبْلَغُ؟</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ومصحّحةُ ابْنِ أَبِی عُمَيْرٍ عَنْ رَجُلٍ عَنْ أَبِی عَبْدِ اللَّهِ علیه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غُسْلٍقَبْلَهُ وُضُوءٌ إِلَّا غُسْلَ الْجَنَابَةِ</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ومصحّحةُ ابْنِ أَبِی عُمَيْرٍ عَنْ حَمَّادِ بْنِ عُثْمَانَ أَوْ غَيْرِهِ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كُلِّ غُسْلٍ وُضُوءٌ إِلَّا الْجَنَابَةَ</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ومرسلةُ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يَرْوُونَ عَن عَلِیٍ علیه السلام أَنَّهُ كَانَ يَأْمُرُ بِالْوُضُوءِ قَبْلَ الْغُسْلِ مِنَ الْجَنَابَةِ؟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عَلَى عَلِیٍّ علیه السلام مَا وَجَدُوا ذَلِكَ في كِتَابِ عَلِیٍّ علیه السلام،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ذلك الرّوايات الّتي ظاهرها المنع من الوضوء بالقول المطلق إلّا أنّ القدر المتيقّن أو المنصرف منها بقرينة ما ورد من جواز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غسل الجنابة </w:t>
      </w:r>
      <w:r>
        <w:rPr>
          <w:rStyle w:val="FootnoteAnchor"/>
          <w:rtl w:val="true"/>
        </w:rPr>
        <w:footnoteReference w:id="50"/>
      </w:r>
      <w:r>
        <w:rPr>
          <w:rFonts w:ascii="Amiri" w:hAnsi="Amiri" w:eastAsia="Amiri" w:cs="Amiri"/>
          <w:color w:val="111111"/>
          <w:sz w:val="28"/>
          <w:sz w:val="28"/>
          <w:szCs w:val="28"/>
          <w:rtl w:val="true"/>
          <w:lang w:bidi="ar-SA"/>
        </w:rPr>
        <w:t>، هو خصوص الجنابة مثل موثقة سُلَيْمَانَ بْنِ خَالِدٍ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ومرسلة مُحَمَّدِ بْنِ </w:t>
      </w:r>
    </w:p>
    <w:p>
      <w:pPr>
        <w:pStyle w:val="BookText"/>
        <w:rPr/>
      </w:pP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الْوُضُوءَ قَبْلَ الْغُسْلِ وَبَعْدَهُ بِدْعَةٌ</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وخبر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ومرفوعة الْمُحَقِّقِ في الْمُعْتَبَرِ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فالرّوايات كما تری أكثرها صحاحٌ وقد صرّحت بانتفاء الوضوء مع غسل الجنابة بخصوصها، أو مع كلّ غسل الّذی القدر المتيقّن منه أو أظهر مصاديقه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كفاية الغسل عن الوضوء في جميع الأغسال الواجبة دون المستحبّة الّذی اختاره علم الهدی السّيد المرتضی رحمه الله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يمكن أن يستدلّ علی هذا القول مضافاً إلی ما مرّ في دليل القول الأوّل، هو ما وردت في أبواب الحائض والنّفساء والمستحاضة من كفاية الغسل لهنّ عن الوضوء مثل صحيحة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مَتَى تُصَلِّی؟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قَدْرَ حَيْضِهَا وَتَسْتَظْهِرُ بِيَوْمَيْنِ، فَإِنِ انْقَطَعَ الدَّمُ وَإِلَّا اغْتَسَلَتْ وَاحْتَشَتْ وَاسْتَثْفَرَتْ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5"/>
      </w:r>
      <w:r>
        <w:rPr>
          <w:rFonts w:ascii="Amiri" w:hAnsi="Amiri" w:eastAsia="Amiri" w:cs="Amiri"/>
          <w:color w:val="111111"/>
          <w:sz w:val="28"/>
          <w:sz w:val="28"/>
          <w:szCs w:val="28"/>
          <w:rtl w:val="true"/>
          <w:lang w:bidi="ar-SA"/>
        </w:rPr>
        <w:t>، وموثّقة مُحَمَّدِ بْنِ أَبِی حَمْزَةَ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 النُّفَسَاءُ أَيَّامَ حَيْضِهَا الّتي كَانَتْ تَحِيضُ ثُمَّ تَسْتَظْهِرُ وَتَغْتَسِلُ وَتُصَلِّی</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وموثَّقة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w:t>
      </w:r>
    </w:p>
    <w:p>
      <w:pPr>
        <w:pStyle w:val="BookText"/>
        <w:rPr/>
      </w:pPr>
      <w:r>
        <w:rPr>
          <w:rFonts w:ascii="Amiri" w:hAnsi="Amiri" w:eastAsia="Amiri" w:cs="Amiri"/>
          <w:color w:val="111111"/>
          <w:sz w:val="28"/>
          <w:sz w:val="28"/>
          <w:szCs w:val="28"/>
          <w:rtl w:val="true"/>
          <w:lang w:bidi="ar-SA"/>
        </w:rPr>
        <w:t>امْرَأَةٍوَلَدَتْ فَرَأَتِ الدَّمَ أَكْثَرَ مِمَّا كَانَتْ تَرَى؟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فَلْتَقْعُدْ أَيَّامَ قُرْئِهَا الّتي كَانَتْ تَجْلِسُ ثُمَّ تَسْتَظْهِرُ بِعَشَرَةِ أَيَّامٍ، فَإِنْ رَأَتْ دَماً صَبِيباً فَلْتَغْتَسِلْ عِنْدَ وَقْتِ كُلِّ صَلَاةٍ، فَإِنْ رَأَتْ صُفْرَةً فَلْتَتَوَضَّأْ ثُمَّ لْتُصَلِّ</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فإنّها مع كونها في مقام البيان أو جواب السّؤال لم تتكلّم عن الوضوء أصلاً، مضافاً إلی ما وردت في أنّ غسل الجنابة والحيض واحد، منها موثقة عُبَيْدِ اللَّهِ بْنِ عَلیٍّ الْحَلَبِیِّ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 وَالْحَيْضِ وَاحِدٌ</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ومرفوعة مُحَمَّد بْنِ عَلِیِّ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w:t>
      </w:r>
    </w:p>
    <w:p>
      <w:pPr>
        <w:pStyle w:val="BookText"/>
        <w:rPr/>
      </w:pPr>
      <w:r>
        <w:rPr>
          <w:rFonts w:ascii="Amiri" w:hAnsi="Amiri" w:eastAsia="Amiri" w:cs="Amiri"/>
          <w:color w:val="111111"/>
          <w:sz w:val="28"/>
          <w:sz w:val="28"/>
          <w:szCs w:val="28"/>
          <w:rtl w:val="true"/>
          <w:lang w:bidi="ar-SA"/>
        </w:rPr>
        <w:t>الْجَنَابَةِ وَالْحَيْضِ وَاحِدٌ</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وموثقة الْفَضْلِ بْنِ شَاذَانَ عَنِ الرِّضَا علیه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الْجَنَابَةِ فَرِيضَةٌ وَغُسْلُ الْحَيْضِ مِثْلُهُ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الظّاهر من الوحدة والمماثلة بينهما في كلام الإمام علیه السلام ليس في خصوص الشّكل والهيئة الظّاهريّة فقط، بل الوحدة والمماثلة بينهما فيما لها من الأحكام و الآثار أيضاً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وقد نفت الوضوء عن الحائض ومثله صريحةً في موثّقة عمّار السّاباطیّ</w:t>
      </w:r>
      <w:r>
        <w:rPr>
          <w:rStyle w:val="FootnoteAnchor"/>
          <w:rtl w:val="true"/>
        </w:rPr>
        <w:footnoteReference w:id="61"/>
      </w:r>
      <w:r>
        <w:rPr>
          <w:rFonts w:ascii="Amiri" w:hAnsi="Amiri" w:eastAsia="Amiri" w:cs="Amiri"/>
          <w:color w:val="111111"/>
          <w:sz w:val="28"/>
          <w:sz w:val="28"/>
          <w:szCs w:val="28"/>
          <w:rtl w:val="true"/>
          <w:lang w:bidi="ar-SA"/>
        </w:rPr>
        <w:t>الآتية قريباً في جملة أدلّة القول الثّالث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ادلّة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كفاية الغسل عن الوضوء في جميع الأغسال الواجبة والمستحبّة، إذا كان استحبابها ثابتاً بالدّليل المعتبر لابمثل التّسامح في أدلّة السّنن الّذی هو خيرة ابن جنيد الإسكافی رحمه الله علی ما نسب اليه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 وجملة من متأخّري المتأخّرين منهم المحدّث البحرانی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 والمحقّق الأردبيلی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والبرهان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واختاره أيضاً بعض فقهائنا المعاصرين كالسيّد الخوئی قدس سره وشيخنا الاستاذ آية الله العظمی مكارم الشّيرازی دام ظلّه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يمكن أن يستدلّ به لهذا القول مضافاً إلی ما مرّ في دليلي القولين الأوّلين، موثقة عمّار السّاباطی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الرَّجُلِ إِذَا اغْتَسَلَ مِنْ جَنَابَتِهِ أَوْ يَوْمِ جُمُعَةٍ أَوْ يَوْمِ عِيدٍ هَلْ عَلَيْهِ الْوُضُوءُ قَبْلَ ذَلِكَ أَوْ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عَلَيْهِ قَبْلُ وَلَا بَعْدُ قَدْ أَجْزَأَهُ الْغُسْلُ، وَالْمَرْأَةُ مِثْلُ ذَلِكَ إِذَا اغْتَسَلَتْ مِنْ حَيْضٍ أَوْ غَيْرِ ذَلِكَ فَلَيْسَ عَلَيْهَا الْوُضُوءُ لَا قَبْلُ وَلَا بَعْدُ، قَدْ أَجْزَأَهَا الْغُسْلُ</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وخبر الْحَسَنِ بْنِ عَلِیِّ بْنِ إِبْرَاهِيمَ بْنِ مُحَمَّدٍ عَنْ جَدِّهِ إِبْرَاهِيمَ بْنِ مُحَمَّدٍ أَنَّ مُحَمَّدَ بْنَ </w:t>
      </w:r>
    </w:p>
    <w:p>
      <w:pPr>
        <w:pStyle w:val="BookText"/>
        <w:rPr/>
      </w:pPr>
      <w:r>
        <w:rPr>
          <w:rFonts w:ascii="Amiri" w:hAnsi="Amiri" w:eastAsia="Amiri" w:cs="Amiri"/>
          <w:color w:val="111111"/>
          <w:sz w:val="28"/>
          <w:sz w:val="28"/>
          <w:szCs w:val="28"/>
          <w:rtl w:val="true"/>
          <w:lang w:bidi="ar-SA"/>
        </w:rPr>
        <w:t>عَبْدِ الرَّحْمَنِ الْهَمْدَانِیَّ كَتَبَ إِلَى أَبِی الْحَسَنِ الثَّالِثِ علیه السلام يَسْأَلُهُ عَنِ الْوُضُوءِ لِلصَّلَاةِ في غُسْلِ الْجُمُعَةِ؟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لِلصَّلَاةِ في غُسْلِ يَوْمِ الْجُمُعَةِ وَلَا غَيْرِهِ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ومرسلة حَمَّادِ بْنِ عُثْمَانَ عَنْ رَجُلٍ عَنْ أَبِی عَبْدِ اللَّهِ علیه السلام في الرَّجُلِ يَغْتَسِلُ لِلْجُمُعَةِ أَوْ غَيْرِ ذَلِكَ أَيُجْزِيهِ مِنَ الْوُضُوءِ؟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 وُضُوءٍ أَطْهَرُ مِنَ الْغُسْلِ</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ادلّة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كفاية الغسل عن الوضوء في شيء من الأغسال واجبة كانت أو مندوبةً الّذي اختاره الشّافعي في أحد قوليه أو أقواله</w:t>
      </w:r>
      <w:r>
        <w:rPr>
          <w:rStyle w:val="FootnoteAnchor"/>
          <w:rtl w:val="true"/>
        </w:rPr>
        <w:footnoteReference w:id="69"/>
      </w:r>
      <w:r>
        <w:rPr>
          <w:rFonts w:ascii="Amiri" w:hAnsi="Amiri" w:eastAsia="Amiri" w:cs="Amiri"/>
          <w:color w:val="111111"/>
          <w:sz w:val="28"/>
          <w:sz w:val="28"/>
          <w:szCs w:val="28"/>
          <w:rtl w:val="true"/>
          <w:lang w:bidi="ar-SA"/>
        </w:rPr>
        <w:t xml:space="preserve">، ونسبه العلامة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إلی داود وأبي ثور من الفقهاء العامّة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يمكن أن يستدلّ به لهذا القول مضافاً إلی ما مرّ في مقتضی القاعدة في المقام من اقتضاء كلّ شرط موجبه، ما رواه سيف بن عميرة صحيحاً عَن أَبِي بَكْرٍ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إِذَا أَجْنَبْتُ؟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كَفَّيْكَ وَفَرْجَكَ، وَتَوَضَّأْ وُضُوءَ الصَّلَاةِ ثُمَّ اغْتَسِلْ</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بناءً علی أنّ الأمر بالوضوء فيها ظاهرٌ في 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كان الشّأن في الجنابة ذلك، ففي غيرها من سائر الأغسال أظهر، أو بالأولويّة والفحوی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فالأقوال كما تری تدلّ علی كلّ منها بعض الأخبار والأحاديث، غير أنّ الأولی منها مدلَّلٌ عليها زائداً علی الأخبار، بالكتاب والإجماع أيضاً، فالمناسب في المقام تقسيم الرّوايات إلی طوائف مختلفة ثمّ الجمع بينها بالجمع العرفی المقبول حدّ الإمكان، واستنباط الرّأی المناسب حسب القواعد المقرّرة عند تعارض الأخبار، فنقول وبه نستعين إنّ الأحاديث الواردة في المسئلة علی ست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تقسيم الرّوايات الواردة في المسألة إلی طوائف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دلّت علی كفاية مطلق الغسل عن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عبارة عن صحيحة مُحَمَّدِ بْنِ مُسْلِمٍ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يُجْزِی عَنِ الْوُضُوءِ، وَأَیُّ وُضُوءٍ أَطْهَرُ مِنَ الْغُسْلِ؟</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وخبر الكلينی رحمه الله وَرُوِیَ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وُضُوءٍ أَطْهَرُ مِنَ الْغُسْلِ</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بهاتين الرّوايتين إنّما يتمّ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للجنس لا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دلّت علی كفاية أغسال الجنابة والحيض والجمعة والعيد وغيرها عن الوضوء</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وهی عبارةٌ عن موثقة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الرَّجُلِ إِذَا اغْتَسَلَ مِنْ جَنَابَتِهِ أَوْ يَوْمِ جُمُعَةٍ أَوْ يَوْمِ عِيدٍ هَلْ عَلَيْهِ الْوُضُوءُ قَبْلَ ذَلِكَ أَوْ بَعْدَهُ؟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عَلَيْهِ قَبْلُ وَلَا بَعْدُ قَدْ أَجْزَأَهُ الْغُسْلُ، وَالْمَرْأَةُ مِثْلُ ذَلِكَ إِذَا اغْتَسَلَتْ مِنْ حَيْضٍ أَوْ غَيْرِ ذَلِكَ فَلَيْسَ عَلَيْهَا الْوُضُوءُ لَا قَبْلُ وَلَا بَعْدُ، قَدْ أَجْزَأَهَا الْغُسْلُ</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وخبر الْحَسَنِ بْنِ عَلِیِّ بْنِ إِبْرَاهِيمَ بْنِ مُحَمَّدٍ عَنْ جَدِّهِ إِبْرَاهِيمَ بْنِ مُحَمَّدٍ أَنَّ مُحَمَّدَ بْنَ عَبْدِ الرَّحْمَنِ الْهَمْدَانِیَّ كَتَبَ إِلَى أَبِی الْحَسَنِ الثَّالِثِ علیه السلام يَسْأَلُهُ عَنِ الْوُضُوءِ لِلصَّلَاةِ في غُسْلِ الْجُمُعَةِ؟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لِلصَّلَاةِ في غُسْلِ يَوْمِ الْجُمُعَةِ وَلَا غَيْرِهِ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ومرسلة حَمَّادِ بْنِ عُثْمَانَ عَنْ رَجُلٍ عَنْ أَبِی عَبْدِ اللَّهِ علیه السلام في الرَّجُلِ يَغْتَسِلُ لِلْجُمُعَةِ أَوْ غَيْرِ ذَلِكَ أَ يُجْزِيهِ مِنَ الْوُضُوءِ؟ فَقَالَ أَبُوعَبْدِ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 وُضُوءٍ أَطْهَرُ مِنَ الْغُسْلِ</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وصحيحة مُعَاوِيَةَ بْنِ عَمَّارٍ عَنْ أَبِی عَبْدِ اللَّهِ علیه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انْتَهَيْتَ إِلَى عَرَفَاتٍ فَاضْرِبْ خِبَاءَكَ بِنَمِرَةَ، وَنَمِرَةُ هِیَ بَطْنُ عُرَنَةَ دُونَ الْمَوْقِفِ وَدُونَ عَرَفَةَ، فَإِذَا زَالَتِ الشَّمْسُ يَوْمَ عَرَفَةَ فَاغْتَسِلْ وَصَلِّ الظُّهْرَ وَالْعَصْرَ بِأَذَانٍ وَاحِدٍ وَإِقَامَتَيْنِ، فَإِنَّمَا تُعَجِّلُ الْعَصْرَ وَتَجْمَعُ بَيْنَهُمَا لِتَفْرُغَ نَفْسُكَ لِلدُّعَاءِ فَإِنَّهُ يَوْمُ دُعَاءٍ وَمَسْأَلَةٍ</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وموثَّقة مُحَمَّدِ بْنِ أَبِی حَمْزَةَ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 النُّفَسَاءُ أَيَّامَ حَيْضِهَا الّتي كَانَتْ تَحِيضُ ثُمَّ تَسْتَظْهِرُ وَتَغْتَسِلُ وَتُصَلِّی</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وصحيحة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تُصَلِّی؟قَالَ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قَدْرَ حَيْضِهَا وَتَسْتَظْهِرُ بِيَوْمَيْنِ، فَإِنِ انْقَطَعَ الدَّمُ وَإِلَّا اغْتَسَلَتْ وَاحْتَشَتْ وَاسْتَثْفَرَتْ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9"/>
      </w:r>
      <w:r>
        <w:rPr>
          <w:rFonts w:ascii="Amiri" w:hAnsi="Amiri" w:eastAsia="Amiri" w:cs="Amiri"/>
          <w:color w:val="111111"/>
          <w:sz w:val="28"/>
          <w:sz w:val="28"/>
          <w:szCs w:val="28"/>
          <w:rtl w:val="true"/>
          <w:lang w:bidi="ar-SA"/>
        </w:rPr>
        <w:t>، وموثَّقة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امْرَأَةٍ وَلَدَتْ فَرَأَتِ الدَّمَ أَكْثَرَ مِمَّا كَانَتْ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فَلْتَقْعُدْ أَيَّامَ قُرْئِهَا الّتي كَانَتْ تَجْلِسُ ثُمَّ تَسْتَظْهِرُ بِعَشَرَةِ أَيَّامٍ، فَإِنْ رَأَتْ دَماً صَبِيباً فَلْتَغْتَسِلْ عِنْدَ وَقْتِ كُلِّ صَلَاةٍ، فَإِنْ رَأَتْ صُفْرَةً فَلْتَتَوَضَّأْ ثُمَّ لْتُصَلِّ</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وموثَّقة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 النُّفَسَاءُ أَيَّامَ حَيْضِهَا الّتي كَانَتْ تَحِيضُ، ثُمَّ تَسْتَظْهِرُ وَتَغْتَسِلُ وَتُصَلِّی</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وموثَّقة سَمَاعَةَ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 وَاجِبٌ، وَغُسْلُ الْحَائِضِ إِذَا طَهُرَتْ وَاجِبٌ، وَغُسْلُ الْمُسْتَحَاضَةِ وَاجِبٌ إِذَا احْتَشَتْ بِالْكُرْسُفِ وَجَازَ الدَّمُ الْكُرْسُفَ فَعَلَيْهَا الْغُسْلُ لِكُلِّ صَلَاتَيْنِ وَلِلْفَجْرِ غُسْلٌ، وَإِنْ لَمْ يَجُزِ الدَّمُ الْكُرْسُفَ فَعَلَيْهَا الْغُسْلُ كُلَّ يَوْمٍ مَرَّةً وَالْوُضُوءُ لِكُلِّ صَلَاةٍ، وَغُسْلُ النُّفَسَاءِ وَاجِبٌ، وَغُسْلُ الْمَيِّتِ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2"/>
      </w:r>
      <w:r>
        <w:rPr>
          <w:rFonts w:ascii="Amiri" w:hAnsi="Amiri" w:eastAsia="Amiri" w:cs="Amiri"/>
          <w:color w:val="111111"/>
          <w:sz w:val="28"/>
          <w:sz w:val="28"/>
          <w:szCs w:val="28"/>
          <w:rtl w:val="true"/>
          <w:lang w:bidi="ar-SA"/>
        </w:rPr>
        <w:t>، وخبر حُمْرَانَ بْنِ أَعْيَنَ عَنِ البَاقِرِ علیه السلام في حَكمِ النُّفَسَاءِ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النُّفَسَاءِ؟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أَيَّامَهَا الّتي كَانَتْ تَطْمَثُ فِيهِنَّ أَيَّامَ قُرْئِهَا، فَإِنْ هِیَ طَهُرَتْ وَإِلَّا اسْتَظْهَرَتْ بِيَوْمَيْنِ أَوْ ثَلَاثَةِ أَيَّامٍ، ثُمَّ اغْتَسَلَتْ وَاحْتَشَتْ، فَإِنْ كَانَ انْقَطَعَ الدَّمُ فَقَدْ طَهُرَتْ، وَإِنْ لَمْ يَنْقَطِعِ الدَّمُ فَهِیَ بِمَنْزِلَةِ الْمُسْتَحَاضَةِ تَغْتَسِلُ لِكُلِّ صَلَاتَيْنِ وَتُصَلِّی</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المحقق رحمه الله بعد ذكر أخبار المستحاضة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وظنّ غالط من المتأخّرين أنّه يجب علی هذه مع الأغسال وضوء مع كلّ صلاة، ولم يذهب إلی ذلك أحد من طائفتنا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دلّت علی كفاية مطلق الغسل عن الوضوء إلّا غسل الجمعة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عبارة عن خبر الْكُلَيْنِیُّ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شَیْ‌ءٌ مِنَ الْغُسْلِ فِيهِ وُضُوءٌ إِلَّا غُسْلُ يَوْمِ الْجُمُعَةِ فَإِنَّ قَبْلَهُ وُضُوءاً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وخبر عَلِيِّ بْنِ يَقْطِينٍ عَنْ أَبِي الْحَسَنِ</w:t>
      </w:r>
    </w:p>
    <w:p>
      <w:pPr>
        <w:pStyle w:val="BookText"/>
        <w:rPr/>
      </w:pPr>
      <w:r>
        <w:rPr>
          <w:rFonts w:ascii="Amiri" w:hAnsi="Amiri" w:eastAsia="Amiri" w:cs="Amiri"/>
          <w:color w:val="111111"/>
          <w:sz w:val="28"/>
          <w:sz w:val="28"/>
          <w:szCs w:val="28"/>
          <w:rtl w:val="true"/>
          <w:lang w:bidi="ar-SA"/>
        </w:rPr>
        <w:t>الْأَوَّلِ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تَغْتَسِلَ لِلْجُمُعَةِ فَتَوَضَّأْ وَاغْتَسِلْ</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ظاهرها التّعميم والإطلاق ودلّت علی أنّ الوضوء مع الغسل بدعة إلّا أنّ القدر المتيقّن أو المنصرف منها بقرينة ما ورد من جواز الوضوء في غير غسل الجنابة</w:t>
      </w:r>
      <w:r>
        <w:rPr>
          <w:rStyle w:val="FootnoteAnchor"/>
          <w:rtl w:val="true"/>
        </w:rPr>
        <w:footnoteReference w:id="87"/>
      </w:r>
      <w:r>
        <w:rPr>
          <w:rFonts w:ascii="Amiri" w:hAnsi="Amiri" w:eastAsia="Amiri" w:cs="Amiri"/>
          <w:color w:val="111111"/>
          <w:sz w:val="28"/>
          <w:sz w:val="28"/>
          <w:szCs w:val="28"/>
          <w:rtl w:val="true"/>
          <w:lang w:bidi="ar-SA"/>
        </w:rPr>
        <w:t>، هو خصوص الجنابة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وهی عبارةٌ عن موثقة سُلَيْمَانَ بْنِ خَالِدٍ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وخبر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ومرفوعة الْمُحَقِّقِ في الْمُعْتَبَرِ عَنِ </w:t>
      </w:r>
    </w:p>
    <w:p>
      <w:pPr>
        <w:pStyle w:val="BookText"/>
        <w:rPr/>
      </w:pPr>
      <w:r>
        <w:rPr>
          <w:rFonts w:ascii="Amiri" w:hAnsi="Amiri" w:eastAsia="Amiri" w:cs="Amiri"/>
          <w:color w:val="111111"/>
          <w:sz w:val="28"/>
          <w:sz w:val="28"/>
          <w:szCs w:val="28"/>
          <w:rtl w:val="true"/>
          <w:lang w:bidi="ar-SA"/>
        </w:rPr>
        <w:t>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ومرسلة مُحَمَّدِ بْنِ أَحْمَدَ بْنِ يَحْيَی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الْوُضُوءَ قَبْلَ الْغُسْلِ وَبَعْدَهُ بِدْعَة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نفت الوضوء في خصوص غسل الجنابة فقط</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وهی عبارةٌ عن صحيحة يَعْقُوبَ بْنِ يَقْطِينٍ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أو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الْجَنَابَةِ فِيهِ وُضُوءٌ أَمْ لَا فِيمَا نَزَلَ بِهِ جَبْرَئِيلُ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يَغْتَسِلُ، يَبْدَأُ فَيَغْسِلُ يَدَيْهِ إِلَى الْمِرْفَقَيْنِ قَبْلَ أَنْ يَغْمِسَهُمَا في الْمَاءِ، ثُمَّ يَغْسِلُ مَا أَصَابَهُ مِنْ أَذًى، ثُمَّ يَصُبُّ عَلَى رَأْسِهِ وَعَلَى وَجْهِهِ وَعَلَى جَسَدِهِ كُلِّهِ، ثُمَّ قَدْ قَضَى الْغُسْلَ وَلَا وُضُوءَ عَلَيْهِ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وصحيحة زُرَارَةَ عَنْ أَبِی عَبْدِ اللَّهِ علیه السلام وَذَكَرَ كَيْفِيَّةَ غُسْلِ الْجَنَابَةِ،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قَبْلَهُ وَلَا بَعْدَهُ وُضُوءٌ</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وصحيحة أَحْمَدَ بْنِ مُحَمَّدٍ يَعْنِی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غُسْلِ الْجَنَابَةِ؟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يَدَكَ الْيُمْنَى مِنَ الْمِرْفَقَيْنِ إِلَى أَصَابِعِكَ، وَتَبُولُ إِنْ قَدَرْتَ عَلَى الْبَوْلِ، ثُمَّ تُدْخِلُ يَدَكَ في الْإِنَاءِ، ثُمَّ اغْسِلْ مَا أَصَابَكَ مِنْهُ، ثُمَّ أَفِضْ عَلَى رَأْسِكَ وَجَسَدِكَ، وَلَا وُضُوءَ فِيهِ</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وصحيحة حَكَمِ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غُسْلِ الْجَنَابَةِ؟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وُضُوءَ </w:t>
      </w:r>
    </w:p>
    <w:p>
      <w:pPr>
        <w:pStyle w:val="BookText"/>
        <w:rPr/>
      </w:pPr>
      <w:r>
        <w:rPr>
          <w:rFonts w:ascii="Amiri" w:hAnsi="Amiri" w:eastAsia="Amiri" w:cs="Amiri"/>
          <w:color w:val="111111"/>
          <w:sz w:val="28"/>
          <w:sz w:val="28"/>
          <w:szCs w:val="28"/>
          <w:rtl w:val="true"/>
          <w:lang w:bidi="ar-SA"/>
        </w:rPr>
        <w:t>الصَّلَاةِ قَبْلَ الْغُسْلِ، فَضَحِكَوَقَالَ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 وُضُوءٍ أَنْقَى مِنَ الْغُسْلِ وَأَبْلَغُ؟</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ومرسلة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يَرْوُونَ عَنْ عَلِیٍّ علیه السلام أَنَّهُ كَانَ يَأْمُرُ بِالْوُضُوءِ قَبْلَ الْغُسْلِ مِنَ الْجَنَابَةِ؟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عَلَى عَلِیٍّ علیه السلام مَا وَجَدُوا ذَلِكَ في كِتَابِ عَلِیٍّ،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ومصححة ابْنِ أَبِی عُمَيْرٍ عَنْ رَجُلٍ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ومصححة ابْنِ أَبِی عُمَيْرٍ عَنْ حَمَّادِ بْنِ</w:t>
      </w:r>
    </w:p>
    <w:p>
      <w:pPr>
        <w:pStyle w:val="BookText"/>
        <w:rPr/>
      </w:pPr>
      <w:r>
        <w:rPr>
          <w:rFonts w:ascii="Amiri" w:hAnsi="Amiri" w:eastAsia="Amiri" w:cs="Amiri"/>
          <w:color w:val="111111"/>
          <w:sz w:val="28"/>
          <w:sz w:val="28"/>
          <w:szCs w:val="28"/>
          <w:rtl w:val="true"/>
          <w:lang w:bidi="ar-SA"/>
        </w:rPr>
        <w:t>عُثْمَانَ أَوْ غَيْرِهِ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كُلِّ غُسْلٍ وُضُوءٌ إِلَّا الْجَنَابَةَ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وإرساله لايقدح في العمل بها بعد انجبارها بعمل الأصحاب في باب الجنابة لاأقلّ، وكونه من أصحاب الإجماع الّذی يقال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لايرسل ولايروی إلّا عن ثقة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الّتي دلّت علی لزوم الوضوء زائداً علی الغسل حتّی في الجنابة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وهی عبارةٌ عن صحيحة أَبِی بَكْرٍ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إِذَا أَجْنَبْتُ؟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كَفَّيْكَ وَفَرْجَكَ، وَتَوَضَّأْ وُضُوءَ الصَّلَاةِ ثُمَّ اغْتَسِلْ</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بناءً علی أنّ صيغة الأمر ظاهرٌ في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في الجمع بين الطوائف الستة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مقام الجمع بين روايات الطّوائف السّتة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الطّائفة الأخيرة فهي وإن كانت صحيحةً سنداً إلّا أنّها حيث كانت من الأخبار الآحاد أوّلاً، وعلی خلاف الكتاب وجميع الرّوايات المتظافرة بل المتواترة معنی في الطوائف الخمسة الماضية ثانياً، وكذا فتوی الأصحاب بل علماء الإسلام إلّا من شذّ من العامّة ثالثاً، فلا تقاوم عند التعارض لتلك النّصوص الّتي دلّت إجمالاً علی كفاية غسل الجنابة عن الوضوء، وهذا ما يعبّر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اعراض الأصحاب عن خبر فإنّه يوجب وهنه وإن كان راويه ثقة وكان قویّ السّند، بل كلّما قوی سند خبر فأعرض عنه الأصحاب كان ذلك أكثر دلالة علی وهنه</w:t>
      </w:r>
      <w:r>
        <w:rPr>
          <w:rStyle w:val="FootnoteAnchor"/>
          <w:rtl w:val="true"/>
        </w:rPr>
        <w:footnoteReference w:id="101"/>
      </w:r>
      <w:r>
        <w:rPr>
          <w:rFonts w:ascii="IRNazanin" w:hAnsi="IRNazanin" w:eastAsia="IRNazanin"/>
          <w:color w:val="111111"/>
          <w:sz w:val="28"/>
          <w:sz w:val="28"/>
          <w:szCs w:val="28"/>
          <w:rtl w:val="true"/>
          <w:lang w:bidi="fa-IR"/>
        </w:rPr>
        <w:t>، ولهذا قال الشّيخ محمّد بن الحسن الحُرّ العاملی رحمه الله بعد ما نقل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التّقيّة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الطّائفة الاولی منها فيحمل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بقرينة روايات الطّائفة الثّانية،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فيشمل للجنابة وغيرها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روايات الطّائفة الثّالثة الّتي دلّت علی كفاية مطلق الغسل عن الوضوء إلّا غسل الجمعة، فيحمل الوضوء فيها بقرينة ما دلّت في الطّائفة الثّانية علی </w:t>
      </w:r>
    </w:p>
    <w:p>
      <w:pPr>
        <w:pStyle w:val="BookText"/>
        <w:rPr/>
      </w:pPr>
      <w:r>
        <w:rPr>
          <w:rFonts w:ascii="IRNazanin" w:hAnsi="IRNazanin" w:eastAsia="IRNazanin"/>
          <w:color w:val="111111"/>
          <w:sz w:val="28"/>
          <w:sz w:val="28"/>
          <w:szCs w:val="28"/>
          <w:rtl w:val="true"/>
          <w:lang w:bidi="fa-IR"/>
        </w:rPr>
        <w:t>كفاية مطلق الغسل عن الوضوء في جميع الأغسال، علی استحبابه مع غسل الجمعة، وذلك لأنّ روايات الطّائفة الثّانية أظهرٌ أو نصّ في كفاية غسل الجمعة عن الوضوء، وروايات الطّائفة الثّالثة ظاهرةٌ في عدم كفاية غسل الجمعة عن الوضوء فيحمل الظّاهر علی الأظهر أو النصّ، ونرتفع اليد عن وجوبه ويبقی أصل المطلوبية بمعنی استحبابه مع غسل الجمعة بحاله، هذا مضافاً إلی ضعف سند الخبرين في الطّائفة الثّالثة بالنّسبة إلی أسناد الرّوايات في الطّائفة الثّانية وتظافر رواياتها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روايات الطّائفة الرّابعة فحيث حُكم فيها بأنّ الوضوء مع الغسل بدعةٌ، فهو مختصّ بغسل الجنابة لما مرّ في روايات الطّائفة الخامسة من جواز الوضوء مع كلّ 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كلمة الغسل في هذه الرّوايات وإن كان مطلقاً يشمل الجنابة وغيرها، إلّا أنّه حيث يشترط في الأخذ بالإطلاق علی ما بيّن في علم الأصول عدم وجود القدر المتيقّن في مقام التّخاطب</w:t>
      </w:r>
      <w:r>
        <w:rPr>
          <w:rStyle w:val="FootnoteAnchor"/>
          <w:rtl w:val="true"/>
        </w:rPr>
        <w:footnoteReference w:id="102"/>
      </w:r>
      <w:r>
        <w:rPr>
          <w:rFonts w:ascii="Amiri" w:hAnsi="Amiri" w:eastAsia="Amiri" w:cs="Amiri"/>
          <w:color w:val="111111"/>
          <w:sz w:val="28"/>
          <w:sz w:val="28"/>
          <w:szCs w:val="28"/>
          <w:rtl w:val="true"/>
          <w:lang w:bidi="ar-SA"/>
        </w:rPr>
        <w:t>فيقيّد بخصوص الجنابة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روايات الطّائفة الخامسة فهی بتمامها نفت الوضوء بالنّسبة إلی غسل الجنابة إلّا أنّ أكثرها ساكتةٌ عن حكم غيرها، وأمّا ما ورد في مصححتي ابن عمير من اثباته في غير الجنابة فهو كما قلنا ظاهرٌ في وجوبه في غير الجنابة، وروايات الطّائفة الثّانية أظهرٌ أو نصٌّ في عدم وجوبه في سائر الأغسال، فيحمل الوضوء فيهما علی استحبابه في غير غسل الجنابة</w:t>
      </w:r>
      <w:r>
        <w:rPr>
          <w:rFonts w:eastAsia="IRNazanin" w:cs="IRNazanin"/>
          <w:color w:val="111111"/>
          <w:sz w:val="28"/>
          <w:szCs w:val="28"/>
          <w:rtl w:val="true"/>
          <w:lang w:bidi="fa-IR"/>
        </w:rPr>
        <w:t xml:space="preserve">. </w:t>
      </w:r>
      <w:bookmarkStart w:id="30" w:name="pg7917_84662"/>
    </w:p>
    <w:p>
      <w:pPr>
        <w:pStyle w:val="Heading2"/>
        <w:numPr>
          <w:ilvl w:val="1"/>
          <w:numId w:val="1"/>
        </w:numPr>
        <w:rPr/>
      </w:pPr>
      <w:bookmarkStart w:id="31" w:name="__RefHeading___Toc6355123_1051229030"/>
      <w:bookmarkStart w:id="32" w:name="_Toc10"/>
      <w:bookmarkEnd w:id="30"/>
      <w:bookmarkEnd w:id="31"/>
      <w:r>
        <w:rPr>
          <w:rtl w:val="true"/>
        </w:rPr>
        <w:t>الرّأی المختار في المقام</w:t>
      </w:r>
      <w:r>
        <w:rPr>
          <w:rtl w:val="true"/>
        </w:rPr>
        <w:t>:</w:t>
      </w:r>
      <w:bookmarkEnd w:id="32"/>
    </w:p>
    <w:p>
      <w:pPr>
        <w:pStyle w:val="BookText"/>
        <w:rPr/>
      </w:pPr>
      <w:r>
        <w:rPr>
          <w:rFonts w:ascii="Amiri" w:hAnsi="Amiri" w:eastAsia="Amiri" w:cs="Amiri"/>
          <w:color w:val="111111"/>
          <w:sz w:val="28"/>
          <w:sz w:val="28"/>
          <w:szCs w:val="28"/>
          <w:rtl w:val="true"/>
          <w:lang w:bidi="ar-SA"/>
        </w:rPr>
        <w:t>فبعد ما عرفت الأقوال وأدلّتها في المسئلة وكذا وجه الجمع بين أخبار الطّوائف السّتة أو الخمسة</w:t>
      </w:r>
      <w:r>
        <w:rPr>
          <w:rStyle w:val="FootnoteAnchor"/>
          <w:rtl w:val="true"/>
        </w:rPr>
        <w:footnoteReference w:id="103"/>
      </w:r>
      <w:r>
        <w:rPr>
          <w:rFonts w:ascii="IRNazanin" w:hAnsi="IRNazanin" w:eastAsia="IRNazanin"/>
          <w:color w:val="111111"/>
          <w:sz w:val="28"/>
          <w:sz w:val="28"/>
          <w:szCs w:val="28"/>
          <w:rtl w:val="true"/>
          <w:lang w:bidi="fa-IR"/>
        </w:rPr>
        <w:t>، تصل النّوبة إلی بيان الرّأی المختار في المقام، فبناءً علی ما فصلّناه كان رأينا في المسئلة هو ما تقدّم تحت عنوان القول الثّالث أعنی كفاية الغسل مطلقاً عن الوضوء سواءٌ كان واجباً أو مندوباً إذا كان استحبابه ثابتاً بالدّليل المعتبر لابمثل التّسامح في أدلّة 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المستفاد من الرّوايات في الطّوائف الأربعة الأولی مثل صحيحة مُحَمَّدِ بْنِ مُسْلِمٍ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يُجْزِی عَنِ الْوُضُوءِ، وَأَیُّ وُضُوءٍ أَطْهَرُ مِنَ الْغُسْلِ؟</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وموثقة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الرَّجُلِ إِذَا اغْتَسَلَ مِنْ جَنَابَتِهِ أَوْ يَوْمِ جُمُعَةٍ أَوْ يَوْمِ عِيدٍ هَلْ عَلَيْهِ الْوُضُوءُ قَبْلَ ذَلِكَ أَوْ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عَلَيْهِ قَبْلُ وَلَا بَعْدُ قَدْ أَجْزَأَهُ الْغُسْلُ، وَالْمَرْأَةُ مِثْلُ ذَلِكَ إِذَا اغْتَسَلَتْ مِنْ حَيْضٍ أَوْ غَيْرِ ذَلِكَ فَلَيْسَ عَلَيْهَا الْوُضُوءُ لَا قَبْلُ وَلَا بَعْدُ، قَدْ أَجْزَأَهَا الْغُسْلُ</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ومرسلة حَمَّادِ بْنِ عُثْمَانَ عَنْ رَجُلٍ عَنْ أَبِی عَبْدِ اللَّهِ علیه السلام في الرَّجُلِ يَغْتَسِلُ لِلْجُمُعَةِ أَوْ غَيْرِ ذَلِكَ أَ يُجْزِيهِ مِنَ الْوُضُوءِ؟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وَأَیُّ وُضُوءٍ </w:t>
      </w:r>
    </w:p>
    <w:p>
      <w:pPr>
        <w:pStyle w:val="BookText"/>
        <w:rPr/>
      </w:pPr>
      <w:r>
        <w:rPr>
          <w:rFonts w:ascii="Amiri" w:hAnsi="Amiri" w:eastAsia="Amiri" w:cs="Amiri"/>
          <w:color w:val="111111"/>
          <w:sz w:val="28"/>
          <w:sz w:val="28"/>
          <w:szCs w:val="28"/>
          <w:rtl w:val="true"/>
          <w:lang w:bidi="ar-SA"/>
        </w:rPr>
        <w:t>أَطْهَرُ مِنَ الْغُسْلِ</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هو اصطياد حكم كلّی الّذی نعبّر عنه بأنّ كلّ غسل سواءٌ كان واجباً أو مندوباً كاف عن فرض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جانب، ومن جانب آخر حيث لم يثبت فيما بأيدينا من الأخبار والأحاديث ما يثبت به رجحان الغسل بذاته إذا لم تكن هناك غاية مفروضة أو مندوبة، فبمعونة تلك الرّوايات الّتي تثبت بها الحكم الكلّي المصطاد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 الدّليل المعتبر الشّرعي علی رجحان غسل ولو بعنوان كونه مندوباً فهو يكفي عن الوضوء وإلّا لم يكن لسقوط الوضوء بالغسل وجهٌ، ولاأقلّ من الشّك والرّجوع إلی ما هو مقتضی القاعدة في المقام من اقتضاء كلّ سبب موجبه سواءٌ أتی بالآخر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 دليلٌ علی كون غسل مندوباً ولو كان دليله غير معتبر عندنا، فهو يكفی في جعله تحت ذلك الحكم الكلیّ المصطاد، وذلك لما اشتهر بين الأصحاب من التّسامح في أدلّة السّنن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ثبت في محلّه أنّ الإستحباب كسائر الأحكام التّكليفيّة الخمسة حكمٌ شرعیّ يتوقّف اثباته علی دليل معتبر شرعیّ، وإلّا كان قولاً علی الشّارع بغير دليل الّذی هو منهی عنه في الكتاب</w:t>
      </w:r>
      <w:r>
        <w:rPr>
          <w:rStyle w:val="FootnoteAnchor"/>
          <w:rtl w:val="true"/>
        </w:rPr>
        <w:footnoteReference w:id="107"/>
      </w:r>
      <w:r>
        <w:rPr>
          <w:rFonts w:ascii="IRNazanin" w:hAnsi="IRNazanin" w:eastAsia="IRNazanin"/>
          <w:color w:val="111111"/>
          <w:sz w:val="28"/>
          <w:sz w:val="28"/>
          <w:szCs w:val="28"/>
          <w:rtl w:val="true"/>
          <w:lang w:bidi="fa-IR"/>
        </w:rPr>
        <w:t>والسّنة، نعم إنّ غاية ما يستفاد منها هو إعطاء الله تبارك وتعالی ذلك الثّواب تفضّلاً، وهذا غير كون الشیء مندوباً شرعاً</w:t>
      </w:r>
      <w:r>
        <w:rPr>
          <w:rFonts w:eastAsia="IRNazanin" w:cs="IRNazanin"/>
          <w:color w:val="111111"/>
          <w:sz w:val="28"/>
          <w:szCs w:val="28"/>
          <w:rtl w:val="true"/>
          <w:lang w:bidi="fa-IR"/>
        </w:rPr>
        <w:t xml:space="preserve">. </w:t>
      </w:r>
      <w:bookmarkStart w:id="33" w:name="pg7917_84664"/>
    </w:p>
    <w:p>
      <w:pPr>
        <w:pStyle w:val="Heading2"/>
        <w:numPr>
          <w:ilvl w:val="1"/>
          <w:numId w:val="1"/>
        </w:numPr>
        <w:rPr/>
      </w:pPr>
      <w:bookmarkStart w:id="34" w:name="__RefHeading___Toc6355125_1051229030"/>
      <w:bookmarkStart w:id="35" w:name="_Toc11"/>
      <w:bookmarkEnd w:id="33"/>
      <w:bookmarkEnd w:id="34"/>
      <w:r>
        <w:rPr>
          <w:rtl w:val="true"/>
        </w:rPr>
        <w:t>بقی هنا فروعٌ</w:t>
      </w:r>
      <w:r>
        <w:rPr>
          <w:rtl w:val="true"/>
        </w:rPr>
        <w:t>:</w:t>
      </w:r>
      <w:bookmarkEnd w:id="35"/>
    </w:p>
    <w:p>
      <w:pPr>
        <w:pStyle w:val="BookText"/>
        <w:rPr/>
      </w:pPr>
      <w:r>
        <w:rPr>
          <w:rFonts w:ascii="IRNazanin" w:hAnsi="IRNazanin" w:eastAsia="IRNazanin"/>
          <w:color w:val="111111"/>
          <w:sz w:val="28"/>
          <w:sz w:val="28"/>
          <w:szCs w:val="28"/>
          <w:rtl w:val="true"/>
          <w:lang w:bidi="fa-IR"/>
        </w:rPr>
        <w:t>فبعد ما تبيّن حكم المسئلة حسب الأقوال الأربعة، قد يطرح هنا فروع قد يختلف حمكها علی كلّ من هذه المبانی نبحث عنها فيما يلی</w:t>
      </w:r>
      <w:r>
        <w:rPr>
          <w:rFonts w:eastAsia="IRNazanin" w:cs="IRNazanin"/>
          <w:color w:val="111111"/>
          <w:sz w:val="28"/>
          <w:szCs w:val="28"/>
          <w:rtl w:val="true"/>
          <w:lang w:bidi="fa-IR"/>
        </w:rPr>
        <w:t>:</w:t>
      </w:r>
    </w:p>
    <w:p>
      <w:pPr>
        <w:pStyle w:val="Heading2"/>
        <w:numPr>
          <w:ilvl w:val="1"/>
          <w:numId w:val="1"/>
        </w:numPr>
        <w:rPr/>
      </w:pPr>
      <w:bookmarkStart w:id="36" w:name="__RefHeading___Toc6355127_1051229030"/>
      <w:bookmarkStart w:id="37" w:name="_Toc12"/>
      <w:bookmarkEnd w:id="36"/>
      <w:r>
        <w:rPr>
          <w:rtl w:val="true"/>
        </w:rPr>
        <w:t>الفرع الأوّل</w:t>
      </w:r>
      <w:r>
        <w:rPr>
          <w:rtl w:val="true"/>
        </w:rPr>
        <w:t xml:space="preserve">: </w:t>
      </w:r>
      <w:r>
        <w:rPr>
          <w:rtl w:val="true"/>
        </w:rPr>
        <w:t>في حدوث الحدث الأصغر أثناء غُسل الجنابة</w:t>
      </w:r>
      <w:r>
        <w:rPr>
          <w:rtl w:val="true"/>
        </w:rPr>
        <w:t>:</w:t>
      </w:r>
      <w:bookmarkEnd w:id="37"/>
    </w:p>
    <w:p>
      <w:pPr>
        <w:pStyle w:val="BookText"/>
        <w:rPr/>
      </w:pPr>
      <w:r>
        <w:rPr>
          <w:rFonts w:ascii="IRNazanin" w:hAnsi="IRNazanin" w:eastAsia="IRNazanin"/>
          <w:color w:val="111111"/>
          <w:sz w:val="28"/>
          <w:sz w:val="28"/>
          <w:szCs w:val="28"/>
          <w:rtl w:val="true"/>
          <w:lang w:bidi="fa-IR"/>
        </w:rPr>
        <w:t>إذا أحدث المكلّف بالحدث الأصغر في أثناء غُسله الترتيبی من الجنابة، فقد اختلف الأصحاب في كونه مبطلاً لغُسله أم لا علی أقوال ثلاثة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يتمّ غسله ثمّ يتوضأ لحدثه، نسبه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جملة من الأصحاب، منهم السيّد المرتضی</w:t>
      </w:r>
      <w:r>
        <w:rPr>
          <w:rStyle w:val="FootnoteAnchor"/>
          <w:rtl w:val="true"/>
        </w:rPr>
        <w:footnoteReference w:id="108"/>
      </w:r>
      <w:r>
        <w:rPr>
          <w:rFonts w:ascii="Amiri" w:hAnsi="Amiri" w:eastAsia="Amiri" w:cs="Amiri"/>
          <w:color w:val="111111"/>
          <w:sz w:val="28"/>
          <w:sz w:val="28"/>
          <w:szCs w:val="28"/>
          <w:rtl w:val="true"/>
          <w:lang w:bidi="ar-SA"/>
        </w:rPr>
        <w:t>، والمحقّق الحلي</w:t>
      </w:r>
      <w:r>
        <w:rPr>
          <w:rStyle w:val="FootnoteAnchor"/>
          <w:rtl w:val="true"/>
        </w:rPr>
        <w:footnoteReference w:id="109"/>
      </w:r>
      <w:r>
        <w:rPr>
          <w:rFonts w:ascii="IRNazanin" w:hAnsi="IRNazanin" w:eastAsia="IRNazanin"/>
          <w:color w:val="111111"/>
          <w:sz w:val="28"/>
          <w:sz w:val="28"/>
          <w:szCs w:val="28"/>
          <w:rtl w:val="true"/>
          <w:lang w:bidi="fa-IR"/>
        </w:rPr>
        <w:t>، والفاضل الأردبيلی</w:t>
      </w:r>
      <w:r>
        <w:rPr>
          <w:rStyle w:val="FootnoteAnchor"/>
          <w:rtl w:val="true"/>
        </w:rPr>
        <w:footnoteReference w:id="110"/>
      </w:r>
      <w:r>
        <w:rPr>
          <w:rFonts w:ascii="Amiri" w:hAnsi="Amiri" w:eastAsia="Amiri" w:cs="Amiri"/>
          <w:color w:val="111111"/>
          <w:sz w:val="28"/>
          <w:sz w:val="28"/>
          <w:szCs w:val="28"/>
          <w:rtl w:val="true"/>
          <w:lang w:bidi="ar-SA"/>
        </w:rPr>
        <w:t>، وتلميذه صاحب المدارك</w:t>
      </w:r>
      <w:r>
        <w:rPr>
          <w:rStyle w:val="FootnoteAnchor"/>
          <w:rtl w:val="true"/>
        </w:rPr>
        <w:footnoteReference w:id="111"/>
      </w:r>
      <w:r>
        <w:rPr>
          <w:rFonts w:ascii="Amiri" w:hAnsi="Amiri" w:eastAsia="Amiri" w:cs="Amiri"/>
          <w:color w:val="111111"/>
          <w:sz w:val="28"/>
          <w:sz w:val="28"/>
          <w:szCs w:val="28"/>
          <w:rtl w:val="true"/>
          <w:lang w:bidi="ar-SA"/>
        </w:rPr>
        <w:t>، وجدّه الشّهيد الثّانی</w:t>
      </w:r>
      <w:r>
        <w:rPr>
          <w:rStyle w:val="FootnoteAnchor"/>
          <w:rtl w:val="true"/>
        </w:rPr>
        <w:footnoteReference w:id="112"/>
      </w:r>
      <w:r>
        <w:rPr>
          <w:rFonts w:ascii="Amiri" w:hAnsi="Amiri" w:eastAsia="Amiri" w:cs="Amiri"/>
          <w:color w:val="111111"/>
          <w:sz w:val="28"/>
          <w:sz w:val="28"/>
          <w:szCs w:val="28"/>
          <w:rtl w:val="true"/>
          <w:lang w:bidi="ar-SA"/>
        </w:rPr>
        <w:t>، وبعضٍ آخر</w:t>
      </w:r>
      <w:r>
        <w:rPr>
          <w:rStyle w:val="FootnoteAnchor"/>
          <w:rtl w:val="true"/>
        </w:rPr>
        <w:footnoteReference w:id="113"/>
      </w:r>
      <w:r>
        <w:rPr>
          <w:rFonts w:ascii="Amiri" w:hAnsi="Amiri" w:eastAsia="Amiri" w:cs="Amiri"/>
          <w:color w:val="111111"/>
          <w:sz w:val="28"/>
          <w:sz w:val="28"/>
          <w:szCs w:val="28"/>
          <w:rtl w:val="true"/>
          <w:lang w:bidi="ar-SA"/>
        </w:rPr>
        <w:t xml:space="preserve">قدس الله أسرارهم، واستقواه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 وهو أيضاً خيرة السيّد الطباطبائی اليزدی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 xml:space="preserve">، والإمام الرّاحل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القول الأوّل من دون أن يكون عليه شيئاً، حكاه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القاضی ابن البرّاج</w:t>
      </w:r>
      <w:r>
        <w:rPr>
          <w:rStyle w:val="FootnoteAnchor"/>
          <w:rtl w:val="true"/>
        </w:rPr>
        <w:footnoteReference w:id="117"/>
      </w:r>
      <w:r>
        <w:rPr>
          <w:rFonts w:ascii="Amiri" w:hAnsi="Amiri" w:eastAsia="Amiri" w:cs="Amiri"/>
          <w:color w:val="111111"/>
          <w:sz w:val="28"/>
          <w:sz w:val="28"/>
          <w:szCs w:val="28"/>
          <w:rtl w:val="true"/>
          <w:lang w:bidi="ar-SA"/>
        </w:rPr>
        <w:t>، وابن إدريس الحلي</w:t>
      </w:r>
      <w:r>
        <w:rPr>
          <w:rStyle w:val="FootnoteAnchor"/>
          <w:rtl w:val="true"/>
        </w:rPr>
        <w:footnoteReference w:id="118"/>
      </w:r>
      <w:r>
        <w:rPr>
          <w:rFonts w:ascii="Amiri" w:hAnsi="Amiri" w:eastAsia="Amiri" w:cs="Amiri"/>
          <w:color w:val="111111"/>
          <w:sz w:val="28"/>
          <w:sz w:val="28"/>
          <w:szCs w:val="28"/>
          <w:rtl w:val="true"/>
          <w:lang w:bidi="ar-SA"/>
        </w:rPr>
        <w:t>، والمير محمّد باقر الدّاماد،</w:t>
      </w:r>
    </w:p>
    <w:p>
      <w:pPr>
        <w:pStyle w:val="BookText"/>
        <w:rPr/>
      </w:pPr>
      <w:r>
        <w:rPr>
          <w:rFonts w:ascii="IRNazanin" w:hAnsi="IRNazanin" w:eastAsia="IRNazanin"/>
          <w:color w:val="111111"/>
          <w:sz w:val="28"/>
          <w:sz w:val="28"/>
          <w:szCs w:val="28"/>
          <w:rtl w:val="true"/>
          <w:lang w:bidi="fa-IR"/>
        </w:rPr>
        <w:t xml:space="preserve">والمحقق السبزواری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الذّخيرة</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والشّيخ سليمان البحرانی</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الغُسل من أصله بالحدث في أثنائه و وجوب إعادته من رأسه،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إلی الصّدوق رحمه الله </w:t>
      </w:r>
      <w:r>
        <w:rPr>
          <w:rStyle w:val="FootnoteAnchor"/>
          <w:rtl w:val="true"/>
        </w:rPr>
        <w:footnoteReference w:id="122"/>
      </w:r>
      <w:r>
        <w:rPr>
          <w:rFonts w:ascii="IRNazanin" w:hAnsi="IRNazanin" w:eastAsia="IRNazanin"/>
          <w:color w:val="111111"/>
          <w:sz w:val="28"/>
          <w:sz w:val="28"/>
          <w:szCs w:val="28"/>
          <w:rtl w:val="true"/>
          <w:lang w:bidi="fa-IR"/>
        </w:rPr>
        <w:t xml:space="preserve">، وإلی الشّيخ رحمه الله في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وإلی العلامة رحمه الله في بعض كتبه</w:t>
      </w:r>
      <w:r>
        <w:rPr>
          <w:rStyle w:val="FootnoteAnchor"/>
          <w:rtl w:val="true"/>
        </w:rPr>
        <w:footnoteReference w:id="124"/>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عن المحقّق الثّانی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مشهور بين الأصحاب</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الأوّل وهو عدم بطلان الغسل و وجوب وضوء بعده، بأنّ الحدث الأصغر ليس موجباً للغسل ولا لبعضه قطعاً فيسقط وجوب إعادة الغسل حينئذ، وأمّا وجوب الوضوء فلأنّ الحدث المتخلّل لا بدّ له </w:t>
      </w:r>
    </w:p>
    <w:p>
      <w:pPr>
        <w:pStyle w:val="BookText"/>
        <w:rPr/>
      </w:pPr>
      <w:r>
        <w:rPr>
          <w:rFonts w:ascii="IRNazanin" w:hAnsi="IRNazanin" w:eastAsia="IRNazanin"/>
          <w:color w:val="111111"/>
          <w:sz w:val="28"/>
          <w:sz w:val="28"/>
          <w:szCs w:val="28"/>
          <w:rtl w:val="true"/>
          <w:lang w:bidi="fa-IR"/>
        </w:rPr>
        <w:t xml:space="preserve">من رافع، وهو إمّا الغُسل بتمامه أو الوضوء، والأول منتف لتقدّم بعضه، فتعيّن الثانی، ثمّ عبّر عنه بأنّه أمتن الأقوال دليلاً </w:t>
      </w:r>
      <w:r>
        <w:rPr>
          <w:rStyle w:val="FootnoteAnchor"/>
          <w:rtl w:val="true"/>
        </w:rPr>
        <w:footnoteReference w:id="126"/>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الأشبه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للقول الثّانی بصدق الغُسل واستصحاب صحته لعدم قابليّة تأثير الحدث للإعادة، إذ الموجب للجنابة أحد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الإنزال أو الدّخول، ولم يحصل شیءٌ منهما أثناء الغُسل حتّی يبطله، وباستفاضة النّصوص بانتفاء الوضوء مع غسل الجنابة مطلقاً </w:t>
      </w:r>
      <w:r>
        <w:rPr>
          <w:rStyle w:val="FootnoteAnchor"/>
          <w:rtl w:val="true"/>
        </w:rPr>
        <w:footnoteReference w:id="128"/>
      </w:r>
      <w:r>
        <w:rPr>
          <w:rFonts w:ascii="IRNazanin" w:hAnsi="IRNazanin" w:eastAsia="IRNazanin"/>
          <w:color w:val="111111"/>
          <w:sz w:val="28"/>
          <w:sz w:val="28"/>
          <w:szCs w:val="28"/>
          <w:rtl w:val="true"/>
          <w:lang w:bidi="fa-IR"/>
        </w:rPr>
        <w:t>، خرج منه ما إذا أحدث بالأصغر بعد اتمامه بالإجماع، فبقی الباقی، وبما دلّ أيضاً علی عدم وجوب المولاة والمتابعة بين الأعضاء في الغسل وجواز التّراخی بينها إلی بعض اليوم</w:t>
      </w:r>
      <w:r>
        <w:rPr>
          <w:rStyle w:val="FootnoteAnchor"/>
          <w:rtl w:val="true"/>
        </w:rPr>
        <w:footnoteReference w:id="129"/>
      </w:r>
      <w:r>
        <w:rPr>
          <w:rFonts w:ascii="IRNazanin" w:hAnsi="IRNazanin" w:eastAsia="IRNazanin"/>
          <w:color w:val="111111"/>
          <w:sz w:val="28"/>
          <w:sz w:val="28"/>
          <w:szCs w:val="28"/>
          <w:rtl w:val="true"/>
          <w:lang w:bidi="fa-IR"/>
        </w:rPr>
        <w:t xml:space="preserve">، الّذی يستلزم عادة لتخلّل الحدث في مثل تلك المدّة الطويلة </w:t>
      </w:r>
      <w:r>
        <w:rPr>
          <w:rStyle w:val="FootnoteAnchor"/>
          <w:rtl w:val="true"/>
        </w:rPr>
        <w:footnoteReference w:id="130"/>
      </w:r>
      <w:r>
        <w:rPr>
          <w:rFonts w:ascii="Amiri" w:hAnsi="Amiri" w:eastAsia="Amiri" w:cs="Amiri"/>
          <w:color w:val="111111"/>
          <w:sz w:val="28"/>
          <w:sz w:val="28"/>
          <w:szCs w:val="28"/>
          <w:rtl w:val="true"/>
          <w:lang w:bidi="ar-SA"/>
        </w:rPr>
        <w:t>، وأنّه لم يصرّح أحد بلزوم إعادته الغُسل لو أحدث بالأصغر طولها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للقول الثّالث وهو بطلان الغُسل من أصله بمرفوعة الصّدوق 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بِتَبْعِيضِ الْغُسْلِ، تَغْسِلُ يَدَكَ وَفَرْجَكَ وَرَأْسَكَ، وَتُؤَخِّرُ غَسْلَ جَسَدِكَ إِلَى وَقْتِ الصَّلَاةِ، ثُمَّ تَغْسِلُ جَسَدَكَ إِذَا أَرَدْتَ ذَلِكَ، فَإِنْ أَحْدَثْتَ حَدَثاً مِنْ بَوْلٍ أَوْ غَائِطٍ أَوْ رِيحٍ أَوْ مَنِیٍّ بَعْدَ مَا غَسَلْتَ رَأْسَكَ مِنْ قَبْلِ أَنْ تَغْسِلَ جَسَدَكَ فَأَعِدِ الْغُسْلَ مِنْ أَوَّلِهِ</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وبخبر الرّضوی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بِتَبْعِيضِ الْغُسْلِ، تَغْسِلُ يَدَكَوَفَرْجَكَ وَرَأْسَكَ، وَتُؤَخِّرُ غَسْلَ جَسَدِكَ إِلَى وَقْتِ الصَّلَاةِ، ثُمَّ تَغْسِلُ إِنْ أَرَدْتَ ذَاكَ، فَإِنْ </w:t>
      </w:r>
    </w:p>
    <w:p>
      <w:pPr>
        <w:pStyle w:val="BookText"/>
        <w:rPr/>
      </w:pPr>
      <w:r>
        <w:rPr>
          <w:rFonts w:ascii="Amiri" w:hAnsi="Amiri" w:eastAsia="Amiri" w:cs="Amiri"/>
          <w:color w:val="111111"/>
          <w:sz w:val="28"/>
          <w:sz w:val="28"/>
          <w:szCs w:val="28"/>
          <w:rtl w:val="true"/>
          <w:lang w:bidi="ar-SA"/>
        </w:rPr>
        <w:t>أَحْدَثْتَ حَدَثاً مِنْ بَوْلٍ أَوْ غَائِطٍ أَوْ رِيحٍ بَعْدَ مَا غَسَلْتَ رَأْسَكَ مِنْ قَبْلِ أَنْ تَغْسِلَ جَسَدَكَ فَأَعِدِ الْغُسْلَ مِنْ أَوَّلِهِ</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وبأنّ الصّحيح من غُسل الجنابة هو ما يرتفع معه جميع الأحداث وهذا الغسل بعد إتمامه لا يرفع الحدث المتخلّل بينه بالبديهة، مضافاً علی أنّ الحدث المتخلّل لا بُدّ له من رافع، وهو غير الوضوء لعدم مشروعيّته مع الغُسل في الجنابة، فلا بدّ أن يكون هو الغُسل الجديد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جواب المسئلة فعلی القول الرّابع المتقدّم من عدم كفاية الغُسل مطلقاً عن الوضوء لإقتضاء كلّ شرط موجبه وأثره فظاهرٌ، إذ حدوث الحدث الأصغر في أثناء غُسل الجنابة لا محالة غير ضارٍ بالغُسل الفعلی لوضوح أنّ الموجب للغُسل غير الأصغر، فعليه يكون حال الغُسل بعد حدوثه كعدمه، وعلی المكلّف أن يتوضأ بعد إتمام غُسله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علی الأقوال الثّلاثة الأولی هاهنا، فالأوفق بالقواعد هو ترجيح القول الأوّل، لكونه أشهراً بالنّسبة إلی القول الثّالث بعد ضعف ما دلّ علی بطلان الغُسل من أصله، وأنّ الحدث الأصغر الحادث في أثنائه غير موجب لإعادة الغُسل يقيناً فيحكم فيه بمطلقات ما ورد فيه في باب نواقض الوضوء مثل صحيحة زُرَارَةَ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الْوُضُوءُ إِلَّا مِنْ غَائِطٍ، أَوْ بَوْلٍ، أَوْ ضَرْطَةٍ تَسْمَعُ صَوْتَهَا، أَوْ فَسْوَةٍ تَجِدُ رِيحَهَا</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فإنّه يعم لما إذا وقع شیءٌ من ذلك بعد الغُسل أو في أثنائه، وبذلك يندفع ما استدلّ به القائل بصحّة الغُسل وعدم لزومه الوضوء بعده أصلاً</w:t>
      </w:r>
      <w:r>
        <w:rPr>
          <w:rFonts w:eastAsia="IRNazanin" w:cs="IRNazanin"/>
          <w:color w:val="111111"/>
          <w:sz w:val="28"/>
          <w:szCs w:val="28"/>
          <w:rtl w:val="true"/>
          <w:lang w:bidi="fa-IR"/>
        </w:rPr>
        <w:t xml:space="preserve">. </w:t>
      </w:r>
      <w:bookmarkStart w:id="38" w:name="pg7917_84668"/>
    </w:p>
    <w:p>
      <w:pPr>
        <w:pStyle w:val="Heading2"/>
        <w:numPr>
          <w:ilvl w:val="1"/>
          <w:numId w:val="1"/>
        </w:numPr>
        <w:rPr/>
      </w:pPr>
      <w:bookmarkStart w:id="39" w:name="__RefHeading___Toc6355129_1051229030"/>
      <w:bookmarkStart w:id="40" w:name="_Toc13"/>
      <w:bookmarkEnd w:id="38"/>
      <w:bookmarkEnd w:id="39"/>
      <w:r>
        <w:rPr>
          <w:rtl w:val="true"/>
        </w:rPr>
        <w:t>الفرع الثانی</w:t>
      </w:r>
      <w:r>
        <w:rPr>
          <w:rtl w:val="true"/>
        </w:rPr>
        <w:t xml:space="preserve">: </w:t>
      </w:r>
      <w:r>
        <w:rPr>
          <w:rtl w:val="true"/>
        </w:rPr>
        <w:t>في الجمع بين الغُسل والوضوء</w:t>
      </w:r>
      <w:bookmarkEnd w:id="40"/>
    </w:p>
    <w:p>
      <w:pPr>
        <w:pStyle w:val="BookText"/>
        <w:rPr/>
      </w:pPr>
      <w:r>
        <w:rPr>
          <w:rFonts w:ascii="IRNazanin" w:hAnsi="IRNazanin" w:eastAsia="IRNazanin"/>
          <w:color w:val="111111"/>
          <w:sz w:val="28"/>
          <w:sz w:val="28"/>
          <w:szCs w:val="28"/>
          <w:rtl w:val="true"/>
          <w:lang w:bidi="fa-IR"/>
        </w:rPr>
        <w:t xml:space="preserve">علی القول بتعميم كفاية الغُسل عن الوضوء بمطلق الأغسال الواجبة أو المندوبة الّتي دلّ علی استحبابه دليل معتبر شرعی كما هو المختار، فلا مانع من الجمع بين الغُسل والوضوء إذا كان غُسله غير الجنابة، بل يستحب له ذلك، والأفضل حينئذ أن يتوضّیء أوّلاً ثمّ يغتسل، وأمّا في الجنابة فلا غُسل فيها لا قبله ولا بعده، قال الشّيخ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على المغتسل من الجنابة وضوء لا قبله ولا بعده، فإن توضّأ قبله أو بعده معتقداً بأنّ الغسل لا يجزيه، كان مبدعاً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يكفی غسل الجنابة عن الوضوء، فإن توضّأ معتقداً عدم الإجزاء كان مبدعاً ولايستحب</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رحمه الله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غسل الجنابة لا يجب الوضوء بل لا يشرّع بخلاف سائر الأغسال</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الخوئی رحمه الله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يشرّع الوضوء مع غسل الجنابة وذلك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 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التّفصيل قاطعٌ للشّركة فيستفاد من الآية المباركة أنّ </w:t>
      </w:r>
    </w:p>
    <w:p>
      <w:pPr>
        <w:pStyle w:val="BookText"/>
        <w:rPr/>
      </w:pPr>
      <w:r>
        <w:rPr>
          <w:rFonts w:ascii="IRNazanin" w:hAnsi="IRNazanin" w:eastAsia="IRNazanin"/>
          <w:color w:val="111111"/>
          <w:sz w:val="28"/>
          <w:sz w:val="28"/>
          <w:szCs w:val="28"/>
          <w:rtl w:val="true"/>
          <w:lang w:bidi="fa-IR"/>
        </w:rPr>
        <w:t>وظيفة غير الجنب هی غَسل الوجه واليدين ومسح الرّأسوالرجلين، وأمّا وظيفة الجنب فهی الاغتسال، فكما أنّ غير الجنب لايشرّع في حقّه الاغتسال فكذلك الجنب لايشرّع في حقّه الوضوء، وقد ورد في الأخبار أنّ غسل الجنابة ليس قبله ولابعده وضوء، فالكتاب والسنّة متطابقان على عدم مشروعية الوضوء مع غسل الجنابة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 ذلك بالرّوايات الطّائفة الرّابعة الّتي دلّت علی أنّ الوضوء مع الغُسل بدعةٌ، بناءً علی أنّ المنصرف أو القدر المتيقّن منها هوخصوص الجنابة، لكن الشّيخ رحمه الله في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وأكثر العامّة وهم الحنابلة والحنفيّة والشّافعيّة وإن كانوا قائلين بكفاية غُسل الجنابة عن الوضوء كالإماميّة، افتوا بجوازه بل استحبابه قبل الغُسل من الجنابة، حيث قال في ذيل صحيحة الحضرمی</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وُضُوءَ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أراد به النّدب والاستحباب لا الوجوب بدلالة ما تقدّم من الأخبار، ولا ينقض هذا التّأْويل</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في هذا الخبر أن نحمله على ضرب من الاستحباب ولا ينافی ذلك</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وقال ابن قدامة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العلماء أجمعوا علی استحباب الوضوء قبل الغُسل تأسياً برسول الله صلّی الله عليه وسلَّم، ولأنَّه أعون علی الغُسل وأهذب فيه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بيان سيرة النّبیّ الأعظ صَلَّى اَللَّهُ عَلَيْهِ وَ آلِهِ وَ سَلَّمْ عن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الغُسل من الجنابة علی حديث عائشة وهو ما روی عنها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عليه سلّم إذا اغتسل من الجنابة غسل يديه ثلاثاً، وتوضّأ وضوئه للصّلاة، ثمّ يخلّل شعره بيده حتّی إذ أظنُّ أنّه قد أروی بشرته أفاض عليه الماء ثلاث مرّات، ثمّ غَسَلَ سائر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عليه، و روی أيضاً عن ميمونة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رسول الله صلّی الله عليه وسلّم وضوء الجنابة فأفرغ علی يديه فغسَّلهما مرّتين أو ثلاثاً، ثمّ أفرغ بيمينه علی شماله فغسل مذاكيره، ثمّ ضرب بيده الأرض أو الحائط مرَّتين أو ثلاثاً، ثمّ تمضمض واستنشقّ وغَسَلَ وجهه وذراعيه، ثمّ أفاض الماء علی رأسه، ثمّ غَسَلَ جسده، ثمّ تنحی عن مقامه ذلك فغَسَلَ رجليه، فأتيته بالمندليل فلم يردّها وجعل ينفض الماء بيديه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الحديث وكذا حديث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عليه، إلی أن حكی عن 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غسل مرَّةً وعمَّ بالماء رأسه وجسده ولم يتوضَّأ أجزأه بعد أن يتمضمض ويستنشقُّ وينوی به الغُسل والوضوء وكان تاركاً للإختيار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الجزيری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الحنابلة عدّوا سنن الغُسل كما يأتی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والحنفيَّة عدّوا سنن الغُسل كالآتی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وأن يتوضّأ قبله كوضوء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والشّافعيّة عدّوا سنن الغسل كالآتی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التّسمية مقرونة بنيّة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والوضوء كاملاً قبله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وحيث إنّ العامّة افتوا بكون الوضوء مندوباً قبل الغُسل حمل الشّيخ الحرّ العاملی رحمه الله صحيحة أبی بكر الحضرمیّ الدّالّة علی الوضوء قبل الغُسل من الجنابة علی التّقيّة،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التقية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دلّت علی ترجيح كون الوضوء في غير الجنابة مقدّماً علی الغُسل الأخبار الواردة في الأبواب المختلفة الّتي كان الغُسل فيها واجباً أو مندوباً، منها مصححة ابْنِ أَبِی عُمَيْرٍ عَنْ رَجُلٍ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وخبر الْكُلَيْنِیُّ وَ 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شَیْ‌ءٌ مِنَ الْغُسْلِ فِيهِ وُضُوءٌ إِلَّا غُسْلِ يَوْمِ الْجُمُعَةِ فَإِنَّ قَبْلَهُ وُضُوءاً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وخبر عَلِیِّ بْنِ يَقْطِينٍ عَنْ أَبِی الْحَسَنِ الْأَوَّلِ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تَغْتَسِلَ لِلْجُمُعَةِ فَتَوَضَّأْ وَاغْتَسِلْ</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وخبر يُونُسَ بْنِ ظَبْيَانَ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زِيَارَةَ قَبْرِ أَمِيرِ الْمُؤْمِنِينَ علیه السلام فَتَوَضَّأْ وَاغْتَسِلْ، وَامْشِ عَلَى هَيْئَتِكَ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8"/>
      </w:r>
      <w:r>
        <w:rPr>
          <w:rFonts w:ascii="Amiri" w:hAnsi="Amiri" w:eastAsia="Amiri" w:cs="Amiri"/>
          <w:color w:val="111111"/>
          <w:sz w:val="28"/>
          <w:sz w:val="28"/>
          <w:szCs w:val="28"/>
          <w:rtl w:val="true"/>
          <w:lang w:bidi="ar-SA"/>
        </w:rPr>
        <w:t>، ومرسلة بَشِيرٍ الدَّهَّانِ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أَتَاهُ يَعْنِی الْحُسَيْنَ علیه السلام فَتَوَضَّأَ وَاغْتَسَلَ مِنَ الْفُرَاتِ، لَمْ يَرْفَعْ قَدَماً </w:t>
      </w:r>
      <w:bookmarkStart w:id="41" w:name="pg7917_84673"/>
    </w:p>
    <w:p>
      <w:pPr>
        <w:pStyle w:val="BookText"/>
        <w:rPr/>
      </w:pPr>
      <w:bookmarkEnd w:id="41"/>
      <w:r>
        <w:rPr>
          <w:rFonts w:ascii="Amiri" w:hAnsi="Amiri" w:eastAsia="Amiri" w:cs="Amiri"/>
          <w:color w:val="111111"/>
          <w:sz w:val="28"/>
          <w:sz w:val="28"/>
          <w:szCs w:val="28"/>
          <w:rtl w:val="true"/>
          <w:lang w:bidi="ar-SA"/>
        </w:rPr>
        <w:t>وَلَمْ يَضَعْ قَدَماً إِلَّا كَتَبَ اللَّهُ لَهُ بِذَلِكَ حَجَّةً وَعُمْرَةً</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هذا مع ما مرّ من الرّوايات في الطّائفة الرّابعة مثل موثقة سُلَيْمَانَ بْنِ خَالِدٍ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وخبر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ومرفوعة الْمُحَقِّقِ في الْمُعْتَبَرِ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6355131_1051229030"/>
      <w:bookmarkStart w:id="43" w:name="_Toc14"/>
      <w:bookmarkEnd w:id="42"/>
      <w:r>
        <w:rPr>
          <w:rtl w:val="true"/>
        </w:rPr>
        <w:t>بقی هنا شیء</w:t>
      </w:r>
      <w:r>
        <w:rPr>
          <w:rtl w:val="true"/>
        </w:rPr>
        <w:t>:</w:t>
      </w:r>
      <w:bookmarkEnd w:id="43"/>
    </w:p>
    <w:p>
      <w:pPr>
        <w:pStyle w:val="BookText"/>
        <w:rPr/>
      </w:pPr>
      <w:r>
        <w:rPr>
          <w:rFonts w:ascii="IRNazanin" w:hAnsi="IRNazanin" w:eastAsia="IRNazanin"/>
          <w:color w:val="111111"/>
          <w:sz w:val="28"/>
          <w:sz w:val="28"/>
          <w:szCs w:val="28"/>
          <w:rtl w:val="true"/>
          <w:lang w:bidi="fa-IR"/>
        </w:rPr>
        <w:t xml:space="preserve">ثمّ إنّه لو تردّد للمكلّف أمر أراد الإحتياط بالجمع بين الغُسل والوضوء في الجنابة، كما إذا لم يستبرأ من جنابته بالبول فيما إذا كانت جنابته بلإنزال، وخرج منه بعد غُسله بلل يشتبه كونه بولاً أو منيّاً، فحيث دار أمره بين وجوب الغُسل أو الوضوء، فمن جانب يجب عليه الفراغ اليقينی بالغُسل والوضوء بعده معاً، ومن جانب آخر عدم مشروعيّة الوضوء له إذا كان الخارج منيّاً، فالأحوط له حينئذ أن ينقض غُسله الجديد بناقض ثمّ يتوضّأ بعده، إليه أشار السيّد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الموارد الّتي يكون الإحتياط في الجمع بين الغُسل والوضوء، الأولى أن ينقض الغسل بناقض من مثل البول ونحوه ثمّ يتوضأ لأنّ </w:t>
      </w:r>
      <w:bookmarkStart w:id="44" w:name="pg7917_84674"/>
    </w:p>
    <w:p>
      <w:pPr>
        <w:pStyle w:val="BookText"/>
        <w:rPr/>
      </w:pPr>
      <w:bookmarkEnd w:id="44"/>
      <w:r>
        <w:rPr>
          <w:rFonts w:ascii="Amiri" w:hAnsi="Amiri" w:eastAsia="Amiri" w:cs="Amiri"/>
          <w:color w:val="111111"/>
          <w:sz w:val="28"/>
          <w:sz w:val="28"/>
          <w:szCs w:val="28"/>
          <w:rtl w:val="true"/>
          <w:lang w:bidi="ar-SA"/>
        </w:rPr>
        <w:t xml:space="preserve">الوضوء مع غسل الجنابة غير جائز، والمفروض احتمال كون غسله غسل الجنابة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6355133_1051229030"/>
      <w:bookmarkStart w:id="46" w:name="_Toc15"/>
      <w:bookmarkEnd w:id="45"/>
      <w:r>
        <w:rPr>
          <w:rtl w:val="true"/>
        </w:rPr>
        <w:t>الفرع الثالث</w:t>
      </w:r>
      <w:r>
        <w:rPr>
          <w:rtl w:val="true"/>
        </w:rPr>
        <w:t xml:space="preserve">: </w:t>
      </w:r>
      <w:r>
        <w:rPr>
          <w:rtl w:val="true"/>
        </w:rPr>
        <w:t>كفاية الغُسل عن الوضوء في سائر الأغسال إذا اتّحدت مع الجنابة</w:t>
      </w:r>
      <w:r>
        <w:rPr>
          <w:rtl w:val="true"/>
        </w:rPr>
        <w:t>:</w:t>
      </w:r>
      <w:bookmarkEnd w:id="46"/>
    </w:p>
    <w:p>
      <w:pPr>
        <w:pStyle w:val="BookText"/>
        <w:rPr/>
      </w:pPr>
      <w:r>
        <w:rPr>
          <w:rFonts w:ascii="IRNazanin" w:hAnsi="IRNazanin" w:eastAsia="IRNazanin"/>
          <w:color w:val="111111"/>
          <w:sz w:val="28"/>
          <w:sz w:val="28"/>
          <w:szCs w:val="28"/>
          <w:rtl w:val="true"/>
          <w:lang w:bidi="fa-IR"/>
        </w:rPr>
        <w:t xml:space="preserve">قد عرفت سقوط الوضوء مع غُسل الجنابة بل كونه غير مشروع معها، والبحث هنا بناءً علی اجتماع أغسال أخر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كان جميعها مستحبّاً، أو بعضها واجباً وبعضها الأخری مستحبّاً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وجواز فعلها بغُسل واحد كما ثبت في محلّه</w:t>
      </w:r>
      <w:r>
        <w:rPr>
          <w:rStyle w:val="FootnoteAnchor"/>
          <w:rtl w:val="true"/>
        </w:rPr>
        <w:footnoteReference w:id="154"/>
      </w:r>
      <w:r>
        <w:rPr>
          <w:rFonts w:ascii="Amiri" w:hAnsi="Amiri" w:eastAsia="Amiri" w:cs="Amiri"/>
          <w:color w:val="111111"/>
          <w:sz w:val="28"/>
          <w:sz w:val="28"/>
          <w:szCs w:val="28"/>
          <w:rtl w:val="true"/>
          <w:lang w:bidi="ar-SA"/>
        </w:rPr>
        <w:t>، في أنّه هل يسقط الوضوء هنا كما يسقط فيما لو كانت الجنابة وحدها أم لا؟</w:t>
      </w:r>
    </w:p>
    <w:p>
      <w:pPr>
        <w:pStyle w:val="BookText"/>
        <w:rPr/>
      </w:pPr>
      <w:r>
        <w:rPr>
          <w:rFonts w:ascii="IRNazanin" w:hAnsi="IRNazanin" w:eastAsia="IRNazanin"/>
          <w:color w:val="111111"/>
          <w:sz w:val="28"/>
          <w:sz w:val="28"/>
          <w:szCs w:val="28"/>
          <w:rtl w:val="true"/>
          <w:lang w:bidi="fa-IR"/>
        </w:rPr>
        <w:t>والجواب أمّا أنّه علی القول بأنّ كفاية الغُسل عن الوضوء غير مختصّة بالجنابة بل يعمّ سائر الأغسال الواجبة، أو الواجبة والمستحبّة فواضح، أمّا لو قلنا بأنّ كفايته عن الوضوء مختصّة بها، فإنّه يقع الكلام في أنّه هل يسقط الوضوء أيضاً كما يسقط فيما لو كانت الجنابة وحدها أم لا؟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بل المتعيّن كما استظهره النراقی رحمه الله سقوطه حينئذ، وذلك لإطلاق دليل عدم جواز الوضوء معها </w:t>
      </w:r>
      <w:r>
        <w:rPr>
          <w:rStyle w:val="FootnoteAnchor"/>
          <w:rtl w:val="true"/>
        </w:rPr>
        <w:footnoteReference w:id="155"/>
      </w:r>
      <w:r>
        <w:rPr>
          <w:rFonts w:ascii="Amiri" w:hAnsi="Amiri" w:eastAsia="Amiri" w:cs="Amiri"/>
          <w:color w:val="111111"/>
          <w:sz w:val="28"/>
          <w:sz w:val="28"/>
          <w:szCs w:val="28"/>
          <w:rtl w:val="true"/>
          <w:lang w:bidi="ar-SA"/>
        </w:rPr>
        <w:t>صورتي وجود غسل آخر معها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غير الجنابة معها غير ضار لكفايتها عن الوضوء، وكونه غير مشروع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النراقی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يسقط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بوجوبه لغير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الجنابة مع غيرها غسلاً واحداً؟ الظاهر نعم، بل هو الظاهر من الجميع، لتحقّق غسل الجنابة المجزي عن الوضوء، ولا ينافيه تحقّق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والدی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وجوب الوضوء، لصدق الاسمين، فتتعارض أدلّة وجوبه وعدمه، فيحصل التساقط، وتبقی أدلّة عموم الوضوء</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غسل الجنابة لا يوجب بنفسه الوضوء، بل لا يسقط معه الوضوء، فهو لا يعارض المسقط إذا تحقّق</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47" w:name="pg7917_84676"/>
    </w:p>
    <w:p>
      <w:pPr>
        <w:pStyle w:val="Heading2"/>
        <w:numPr>
          <w:ilvl w:val="1"/>
          <w:numId w:val="1"/>
        </w:numPr>
        <w:rPr/>
      </w:pPr>
      <w:bookmarkStart w:id="48" w:name="__RefHeading___Toc6355135_1051229030"/>
      <w:bookmarkStart w:id="49" w:name="_Toc16"/>
      <w:bookmarkEnd w:id="47"/>
      <w:bookmarkEnd w:id="48"/>
      <w:r>
        <w:rPr>
          <w:rtl w:val="true"/>
        </w:rPr>
        <w:t>الفرع الرابع</w:t>
      </w:r>
      <w:r>
        <w:rPr>
          <w:rtl w:val="true"/>
        </w:rPr>
        <w:t xml:space="preserve">: </w:t>
      </w:r>
      <w:r>
        <w:rPr>
          <w:rtl w:val="true"/>
        </w:rPr>
        <w:t>في الأغسال المسنونة ومصاديقها</w:t>
      </w:r>
      <w:r>
        <w:rPr>
          <w:rtl w:val="true"/>
        </w:rPr>
        <w:t>:</w:t>
      </w:r>
      <w:bookmarkEnd w:id="49"/>
    </w:p>
    <w:p>
      <w:pPr>
        <w:pStyle w:val="BookText"/>
        <w:rPr/>
      </w:pPr>
      <w:r>
        <w:rPr>
          <w:rFonts w:ascii="IRNazanin" w:hAnsi="IRNazanin" w:eastAsia="IRNazanin"/>
          <w:color w:val="111111"/>
          <w:sz w:val="28"/>
          <w:sz w:val="28"/>
          <w:szCs w:val="28"/>
          <w:rtl w:val="true"/>
          <w:lang w:bidi="fa-IR"/>
        </w:rPr>
        <w:t>قد عرفت أنّ مختارنا هنا هو تعميم كفاية الغُسل عن الوضوء إلی جميع الأغسال الواجبة والمندوبة الّتي ثبت استحبابه بالدّليل المعتبر لابمثل التّسامح في أدلّة السّنن، فعلينا أن نبحث عن عددها ومصاديقها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اشتهر بين الأصحاب القول بالتّسامح في أدلّة السّنن لما ورد في بعض الأحاديث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الثّواب كان له أجر ذلك</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 منها صحيحة هشام بن سالم عن أبی عبد اللّه علیه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النَّبِیِّ صَلَّى اَللَّهُ عَلَيْهِ وَ آلِهِ وَ سَلَّمْ شَیْ‌ءٌ مِنَ الثَّوَابِ فَعَمِلَهُ، كَانَ أَجْرُ ذَلِكَ لَهُ وإِنْ كَانَ رَسُولُ اللَّه صَلَّى اَللَّهُ عَلَيْهِ وَ آلِهِ وَ سَلَّمْ لَمْ يَقُلْهُ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شیءٌ من الثّواب كان له أجر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هو أنّ الله تبارك وتعالی يعطی ذلك الثّواب لعبده من باب التفضّل والإحسان، لا أن يثبت بذلك أنّه في عالم الواقع والثبوت أيضاً محكوم بالاستحباب وإن لم يدلّ عليه دليلٌ معتبرٌ شرعاً كما يشعر بذلك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رَسُولُ اللَّه صَلَّى اَللَّهُ عَلَيْهِ وَ آلِهِ وَ سَلَّمْ لَمْ يَقُلْهُ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أقلّ من الشّك فنتمسّك لنقيه بالبراءة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الإستحباب حكم من الأحكام التكليفيّة الخمسة، يعتبر فيه ما يعتبر في سائر الأحكام الإلزاميّة من الوجوب والحرمة من لزوم اثباته بالدّليل المعتبر الشّرعی وإلا لم يثبت به شیء من الاستحباب ولا لوازمه، قد صرّح بذلك ابن إدريس الحلي رحمه الله في مقام الرّد علی إثبات الإستحباب بأدلّة التّسامح في أدلّة السّنن، حيث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 يقوی في نفسی واعتقده وأفتی به وأعمل عليه أنّ شغل الذّمّة بواجب أو مندوب يحتاج إلی دليل شرعی لأنّ الأصل برائة الذّمّة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ذلك فيجب علينا أن نبحث عن مصاديق تلك الأغسال، لا سيّما بملاحظة أنّ الأصحاب قد اختلفوا في عددها وكمّيتها، أنهاها بعض إلی مأة، وهی عند العامّة بين ثلاثة إلی ستة عشر، قال النراقی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الأغسال المسنونة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جداً، وعن النفليّة أنّها خمسون، وذكر بعض الأجلّة منها نيفاً وستّين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الأغسال المندوبة وهی كثيرةٌ، وعدّ بعضهم سبعاً وأربعين، وبعضهم أنهاها إلی خمسين، وبعضهم إلی أزيد من ستّين، وبعضهم إلی سبع وثمانين، وبعضهم إلی مأة، وهی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زمانيّة ومكانيّة وفعليّة؛ إمّا للفعل الّذی يريد أن يفعل، أو للفعل الّذی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والمكانيّة أيضاً في الحقيقة فعليّة، لأنّها إمّا للدخول في مكان، أو للكون فيه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مهدی البحر العلوم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المصابيح</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والأغسال المندوبة المذكورة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تقرب من مائة، وهذا الجمع من خواصّ هذا الكتاب، والثابتة من هذه الأغسال بالنصّ أو غيره أكثر من ثمانين غسلاً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50" w:name="pg7917_84678"/>
    </w:p>
    <w:p>
      <w:pPr>
        <w:pStyle w:val="BookText"/>
        <w:rPr/>
      </w:pPr>
      <w:bookmarkEnd w:id="50"/>
      <w:r>
        <w:rPr>
          <w:rFonts w:ascii="IRNazanin" w:hAnsi="IRNazanin" w:eastAsia="IRNazanin"/>
          <w:color w:val="111111"/>
          <w:sz w:val="28"/>
          <w:sz w:val="28"/>
          <w:szCs w:val="28"/>
          <w:rtl w:val="true"/>
          <w:lang w:bidi="fa-IR"/>
        </w:rPr>
        <w:t>وقال عبد الرّحمن الجزيری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ممّا قدمناه 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الّتي توجب الغسل وتجعله فرضاً لازماً، وهناك أمور يسنّ من أجلها الغسل أو يندب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المالكية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الاغتسالات المسنونة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والحنفية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الاغتسالات المسنونة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والشّافعية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الاغتسالات غير المفروضة كلها سنة إذا لا فرق بين المندوب والسّنة عندهم، وهی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والحنابلة حصروا الاغتسالات المسنونة في ستة عشر غسلاً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 كان حيث كان عدد الأغسال مختلفة غير متفقة عند الأصحاب نبحث عن كلّ ما قيل أو اشتهر كونها دلّت عليها الأدلّة المعتبرة بصورة مستقلّة، وقد أشار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الزّمانيّة، والمكانيّة، والفعليّة، وأنّ المكانيّة منها أيضاً ترجع إلی الفعليّة</w:t>
      </w:r>
      <w:r>
        <w:rPr>
          <w:rFonts w:eastAsia="IRNazanin" w:cs="IRNazanin"/>
          <w:color w:val="111111"/>
          <w:sz w:val="28"/>
          <w:szCs w:val="28"/>
          <w:rtl w:val="true"/>
          <w:lang w:bidi="fa-IR"/>
        </w:rPr>
        <w:t>.</w:t>
      </w:r>
    </w:p>
    <w:p>
      <w:pPr>
        <w:pStyle w:val="Heading2"/>
        <w:numPr>
          <w:ilvl w:val="1"/>
          <w:numId w:val="1"/>
        </w:numPr>
        <w:rPr/>
      </w:pPr>
      <w:bookmarkStart w:id="51" w:name="__RefHeading___Toc6355137_1051229030"/>
      <w:bookmarkStart w:id="52" w:name="_Toc17"/>
      <w:bookmarkEnd w:id="51"/>
      <w:r>
        <w:rPr>
          <w:rtl w:val="true"/>
        </w:rPr>
        <w:t>أمّا الزّمانيّة فأغسال</w:t>
      </w:r>
      <w:r>
        <w:rPr>
          <w:rtl w:val="true"/>
        </w:rPr>
        <w:t>:</w:t>
      </w:r>
      <w:bookmarkEnd w:id="52"/>
    </w:p>
    <w:p>
      <w:pPr>
        <w:pStyle w:val="Heading2"/>
        <w:numPr>
          <w:ilvl w:val="1"/>
          <w:numId w:val="1"/>
        </w:numPr>
        <w:rPr/>
      </w:pPr>
      <w:bookmarkStart w:id="53" w:name="__RefHeading___Toc6355139_1051229030"/>
      <w:bookmarkStart w:id="54" w:name="_Toc18"/>
      <w:bookmarkEnd w:id="53"/>
      <w:r>
        <w:rPr>
          <w:rtl w:val="true"/>
        </w:rPr>
        <w:t>الأولی</w:t>
      </w:r>
      <w:r>
        <w:rPr>
          <w:rtl w:val="true"/>
        </w:rPr>
        <w:t xml:space="preserve">: </w:t>
      </w:r>
      <w:r>
        <w:rPr>
          <w:rtl w:val="true"/>
        </w:rPr>
        <w:t>غُسل الجمعة</w:t>
      </w:r>
      <w:r>
        <w:rPr>
          <w:rtl w:val="true"/>
        </w:rPr>
        <w:t>:</w:t>
      </w:r>
      <w:bookmarkEnd w:id="54"/>
    </w:p>
    <w:p>
      <w:pPr>
        <w:pStyle w:val="BookText"/>
        <w:rPr/>
      </w:pPr>
      <w:r>
        <w:rPr>
          <w:rFonts w:ascii="IRNazanin" w:hAnsi="IRNazanin" w:eastAsia="IRNazanin"/>
          <w:color w:val="111111"/>
          <w:sz w:val="28"/>
          <w:sz w:val="28"/>
          <w:szCs w:val="28"/>
          <w:rtl w:val="true"/>
          <w:lang w:bidi="fa-IR"/>
        </w:rPr>
        <w:t xml:space="preserve">لاريب عندنا في رجحانها وقد ادّعی عليه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شهرة الأصحاب شهرةً كادت تكون إجماعاً،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رجحانها من الضروريّات، وهی كذلك عند العامّة إلا أنّ بعضاً منهم يجعلونها مندوبة لمن يريد صلاتها، فهی بناءً علی ذلك تكون من الأغسال الفعليّة لا الزّمانيّة، وكيف كان هی من الأغسال المندوبة الّتي لا تصل إلی حدّ الوجوب، قال الشّيخ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السّنن اللازمة، الغسل يوم الجمعة علی النّساء والرّجال والعبيد والأحرار، في السّفر والحضر مع التّمكن من ذلك، ووقت الغسل من طلوع الفجر إلی زوال الشّمس وكلّما قرب من الزّوال كان أفضل، فإنزالت الشّمس ولم يكن قد اغتسل قضاه بعد الزّوال، فإن </w:t>
      </w:r>
    </w:p>
    <w:p>
      <w:pPr>
        <w:pStyle w:val="BookText"/>
        <w:rPr/>
      </w:pPr>
      <w:r>
        <w:rPr>
          <w:rFonts w:ascii="Amiri" w:hAnsi="Amiri" w:eastAsia="Amiri" w:cs="Amiri"/>
          <w:color w:val="111111"/>
          <w:sz w:val="28"/>
          <w:sz w:val="28"/>
          <w:szCs w:val="28"/>
          <w:rtl w:val="true"/>
          <w:lang w:bidi="ar-SA"/>
        </w:rPr>
        <w:t>لم يمكنه قضاه يوم السّبت، فإن كان في سفر وخاف ألا يجد الماء يوم الجمعة أو لا يتمكن من استعماله جاز له أن يغتسل يوم الخميس</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فيه إلی أقوال العامّة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الجمعة والأعياد مستحب، وبه قال جميع الفقهاء، وذهب أهل الظّاهر داود وغيره إلى أنّه واجب، وروی ذلك عن كعب الأحبار، 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وأمّا الوجوب فالأصل براءة الذمة، وشغلها بواجب يحتاج الى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مبحث صلاة الجمعة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غسل يوم الجمعة سنة مؤكّدة وليس بواجب، وبه قال الشّافعی ومالك وأبو حنيفة وأصحابه، وقال الحسن البصری 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وأيضاً الأصل براءة الذمة، وإيجاب ذلك يحتاج الى دليل، وروی عن ابن عباس وابن مسعود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يوم الجمعة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غسل يوم الجمعة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في السّفر والحضر الا أن يخاف المسافر على نفسه القر</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المشهور بين الأصحاب شهرة كادت تكون إجماعاً، بل هی كذلك لا نقراض الخلاف فيه علی تقديره، بل لم تعرف حكايته فيه بين من تقدّم من أصحابنا كالمفيد، بل ظاهره عدمه في المقنعة حيث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الأغسال المسنونة فغسل يوم الجمعة سنّةٌ للرّجال والنّساء، وغسل الإحرام سنّةٌ أيضاً بلا اختلاف</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الرّاحل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الجمعة، وهو من المستحبات المؤكّدة، حتّى قال بعض بوجوبه، ولكنّ الأقوى استحبابه، ووقته من طلوع الفجر الثّانی إلى الزّوال، وبعده إلى غروب الجمعة، ومن أوّل يوم السّبت إلى آخره قضاء، ولكنّ الأحوط فيما بعد الزّوال الى غروب الجمعة أن ينوی القربة من غير تعرض للأداء والقضاء، وأمّا في ليلة السّبت ففی مشروعية إتيانه تأمّل لا يترك الاحتياط بإتيانه فيه رجاء، ويجوز تقديمه يوم الخميس إذا خاف إعواز الماء يوم الجمعة، ثمّ إن تمكّن منه يومها قبل الزّوال لا بعده يستحب إعادته، وإن تركه حينئذ يستحب قضاؤه بعد الزّوال منها ويوم السبت، ولو دار الأمر بين التّقديم والقضاء فالأوّل أولى، وفی إلحاق ليلة الجمعة بيوم الخميس تأمّل، فالأحوط إتيانه رجاء، كما أنّ في إلحاق مطلق الأعذار بإعواز الماء يوم الخميس وجهاً، لكنّ الأحوط تقديمه حينئذ رجاء</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رشد القرطبی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في طهر الجمعة، فذهب الجمهور إلی أنّه سنّة، وذهب أهل الظّاهر إلی أنّه فرضٌ، ولا خلاف فيما أعلم أنّه ليس شرطاً في صحّة الصّلاة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عبد الرّحمن الجزيری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ممّا قدمناه 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الّتي توجب الغسل وتجعله فرضاً لازماً، وهناك أمور يسنّ من أجلها الغسل أو يندب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المالكية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الاغتسالات المسنونة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الجمعة لمصلّيها، ولو لم تلزمه ويصحّ بطلوع الفجر والاتّصال بالذّهاب إلى الجامع، فإن تقدّم على الفجر أو لم يتصل بالذّهاب إلى الجامع لم تحصل السّنة فيعيده لتحصيلها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والحنفية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الاغتسالات المسنونة أربعة، وهی الغسل يوم الجمعة لمن يريد صلاتها فهو للصّلاة لا لليوم، ولو اغتسل بعد صلاة الفجر، ثمّ أحدث فتوضأ وصلّى الجمعة لم تحصل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والشّافعية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الاغتسالات غير المفروضة كلها سنة إذا لا فرق بين المندوب والسّنة عندهم، وهی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غسل الجمعة لمن يريد حضورها، ووقته من الفجر الصّادق إلى فراغ سلام إمام الجمعة، ولا تسنّ إعادته وإن طرأ بعده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والحنابلة حصروا الاغتسالات المسنونة في ستة عشر غسلاً، وهی الغسل لصلاة جمعة يريد حضورها في يومها إذا صلّاها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فضل هذا الغُسل روايات كثيرة رواها الفريقين،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مَنْصُور بْنِ حَازِمٍ عَنْ أَبِی عَبْدِ اللَّهِ علیه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يَوْمَ الْجُمُعَةِ عَلَى الرِّجَالِ والنِّسَاءِ في الْحَضَرِ، وعَلَى الرِّجَالِ في السَّفَرِ</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زُرارَةَ عَن أَبی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الْغُسْلَ يَوْمَ الْجُمُعَةِ فَإِنَّهُ سُنَّةٌ، وشَمَّ الطِّيبَ، والْبَسْ صَالِحَ ثِيَابِكَ، ولْيَكُنْ فَرَاغُكَ مِنَ الْغُسْلِ قَبْلَ الزَّوَالِ فَإِذَا زَالَتْ فَقُمْ، وعَلَيْكَ السَّكِينَةَ والْوَقَارَ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وَاجِبٌ يَوْمَ الْجُمُعَةِ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علیه السلام كَيْفَ صَارَ غُسْلُ يَوْمِ الْجُمُعَةِ وَاجِباً؟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أَتَمَّ صَلَاةَ الْفَرِيضَةِ بِصَلَاةِ النَّافِلَةِ، وأَتَمَّ صِيَامَ الْفَرِيضَةِ بِصِيَامِ النَّافِلَةِ، وأَتَمَّ وُضُوءَ النَّافِلَةِ بِغُسْلِ يَوْمِ الْجُمُعَةِ، مَا كَانَ في ذَلِكَ مِنْ سَهْو أَو تَقْصِيرٍ أَو نِسْيَانٍ أَو 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الشّيخ الحرّ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قرينة واضحة علی أنّ المراد بالوجوب الاستحباب المؤكد، لأنّ إتمام وضوء النافلة ليس بواجب ولا لازم، كيف وإتمام الصّلاة والصيام الواجبين هنا ليس بواجب للقطع بعدم وجوب صوم النّافلة وصلاة النّافلة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الْحَسَن بْنِ عَلِیِّ بْنِ يَقْطِينٍ عَنْ أَخِيهِ الْحُسَيْنِ عَنْ عَلِیِّ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الْغُسْلِ في الْجُمُعَةِ والْأَضْحَى والْفِطْرِ،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ولَيْسَ بِفَرِيضَةٍ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زُرَارَةَ عَنْ أَبِی عَبْدِ اللَّهِ علیه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يَوْمِ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في السَّفَرِ والْحَضَرِ إِلَّا أَنْ يَخَافَ الْمُسَافِرُ عَلَى نَفْسِهِ الْقُرَّ</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يَنْسَى الْغُسْلَ يَوْمَ الْجُمُعَةِ حَتَّى صَلَّى؟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وَقْتٍ فَعَلَيْهِ أَنْ يَغْتَسِلَ ويُعِيدَ الصَّلَاةَ، وإِنْ مَضَى الْوَقْتُ فَقَدْ جَازَتْ صَلَاتُهُ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الْحَسَن بْنِ عَلِیِّ بْنِ فَضَّالٍ عَنْ عَبْدِ اللَّهِ بْنِ بُكَيْرٍ عَنْ أَبِی عَبْدِ اللَّهِ علیه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فَاتَهُ الْغُسْلُ يَوْمَ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مَا بَيْنَهُ وبَيْنَ اللَّيْلِ، فَإِنْ فَاتَهُ اغْتَسَلَ يَوْمَ السَّبْتِ</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 الْجُمُعَةِ سُنَّةٌ وَاجِبَةٌ عَلَى الرِّجَالِ والنِّسَاءِ في السَّفَرِ والْحَضَرِ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ورُوِیَ أَنَّهُ رُخِّصَ في تَرْكِهِ لِلنِّسَاءِ في السَّفَرِ لِقِلَّةِ الْمَاءِ، والْوُضُوءُ فِيهِ قَبْلَ الْغُسْلِ، وَقالَ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 الْجُمُعَةِ طَهُورٌ وكَفَّارَةٌ لِمَا بَيْنَهُمَا مِنَ الذُّنُوبِ مِنَ الْجُمُعَةِ إِلَى الْجُمُعَةِ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روی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حَدَّثَنِی مُوسَى حَدَّثَنَا أَبِی عَنْ أَبِيهِ عَنْ جَدِّهِ جَعْفَرِ بْنِ مُحَمَّدٍ عَنْ أَبِيهِ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لِأَحَدٍ أَنْ يَدَعَ الْغُسْلَ يَوْمَ الْجُمُعَةِ إِلَّا مِنْ عُذْرٍ أَو لِعِلَّةٍ مَانِعَةٍ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غُسْلُ يَوْمِ الْجُمُعَةِ وَاجِباً عَلَى كُلِّ حُرٍّ وعَبْدٍ وذَكَرٍ وأُنْثَى؟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تَمَّمَ صَلَوَاتِ الْفَرَائِضِ بِصَلَوَاتِ النَّوَافِلِ، وتَمَّمَ صِيَامَ شَهْرِ رَمَضَانَ بِصِيَامِ النَّوَافِلِ، وتَمَّمَ الْحَجَّ بِالْعُمْرَةِ، وتَمَّمَ الزَّكَاةَ بِالصَّدَقَةِ، وتَمَّمَ الْوُضُوءَ بِغُسْلِ يَوْمِ الْجُمُعَةِ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أَبُو الْبَخْتَرِیِّ عَنْ جَعْفَرٍ عَنْ أَبِيهِ عَنْ جَدِّهِ علیه السلام عَنِ النَّبِیِّ صَلَّى اَللَّهُ عَلَيْهِ وَ آلِهِ وَ سَلَّمْ أَنَّهُ قَالَ لِعَلِیٍّ علیه السلام في وَصِيَّةٍ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عَلِیُّ عَلَى النَّاسِ في كُلِّ سَبْعَةِ أَيَّامٍ الْغُسْلُ، فَاغْتَسِلْ </w:t>
      </w:r>
    </w:p>
    <w:p>
      <w:pPr>
        <w:pStyle w:val="BookText"/>
        <w:rPr/>
      </w:pPr>
      <w:r>
        <w:rPr>
          <w:rFonts w:ascii="Amiri" w:hAnsi="Amiri" w:eastAsia="Amiri" w:cs="Amiri"/>
          <w:color w:val="111111"/>
          <w:sz w:val="28"/>
          <w:sz w:val="28"/>
          <w:szCs w:val="28"/>
          <w:rtl w:val="true"/>
          <w:lang w:bidi="ar-SA"/>
        </w:rPr>
        <w:t>يَوْمَالْجُمُعَةِ ولَو أَنَّكَ تَشْتَرِی الْمَاءَ بِقُوتِ يَوْمِكَ وتَطْوِيهِ، فَإِنَّهُ لَيْسَ شَیْ‌ءٌ مِنَ التَّطَوُّعِ أَعْظَمُ مِنْهُ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العلامة المجلسی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السَّكُونِیِّ عَنْ جَعْفَرِ بْنِ مُحَمَّدٍ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 الْجُمُعَةِ وَاجِبٌ عَلَى كُلِّ مُحْتَلِمٍ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زُرارَة 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 الْجُمُعَةِ طَهُورٌ وكَفَّارَةٌ لِمَا بَيْنَهُمَا مِنَ الذُّنُوبِ مِنَ الْجُمُعَةِ إِلَى الْجُمُعَةِ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خبرمُحَمَّدِ بْنِ الْحَسَنِ بِإِسْنَادِهِ عَنْ أَحْمَدَ بْنِ مُحَمَّدِ بْنِ عِيسَى عَنْ أَحْمَدَ بْنِ دُوَيْلِ بْنِ هَارُونَ عَنْ أَبِی وَلَّادٍ الْحَنَّاطِ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عَبْدُهُ ورَسُولُهُ اللَّهُمَّ صَلِّ عَلَى مُحَمَّدٍ وآلِ مُحَمَّدٍ واجْعَلْنِی مِنَ التَّوَّابِينَ واجْعَلْنِی مِنَ الْمُتَطَهِّرِينَ، كَانَ طُهْراً لَهُ مِنَ الْجُمُعَةِ إِلَى الْجُمُعَةِ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أَنَسٍ عَن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أُسْرِیَ بِی إِلَى السَّمَاءِ لَيْلَةَ الْمِعْرَاجِ رَأَيْتُ تَحْتَ الْعَرْشِ سَبْعِينَ أَلْفَ مَدِينَةٍ كُلُّ مَدِينَةٍ كَدُنْيَاكُمْ، ومَلَائِكَةً نَاشِرِي أَجْنِحَتِهِمْ يُسَبِّحُونَ اللَّهَ ويُهَلِّلُونَهُ،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لِلَّذِينَ يَحْضُرُونَ صَلَاةَ الْجُمُعَةِ، اللَّهُمَّ اغْفِرْ لِلَّذِينَ يَغْتَسِلُونَ يَوْمَ الْجُمُعَةِ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جَعْفَرِ بْنِ أَحْمَدَ الْقُمِّیِّ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يَوْمَ الْجُمُعَةِ إِلَّا أَنْ تَكُونَ مَرِيضاً تَخَافُ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غُسْلَ الْجُمُعَةِ إِلَّا فَاسِقٌ، ومَنْ فَاتَهُ غُسْلُ يَوْمِ الْجُمُعَةِ فَلْيَقْضِهِ يَوْمَ السَّبْتِ</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مرسلة مُحَمَّدِ بْنِ الْحُسَيْنِ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w:t>
      </w:r>
    </w:p>
    <w:p>
      <w:pPr>
        <w:pStyle w:val="BookText"/>
        <w:rPr/>
      </w:pPr>
      <w:r>
        <w:rPr>
          <w:rFonts w:ascii="Amiri" w:hAnsi="Amiri" w:eastAsia="Amiri" w:cs="Amiri"/>
          <w:color w:val="111111"/>
          <w:sz w:val="28"/>
          <w:sz w:val="28"/>
          <w:szCs w:val="28"/>
          <w:rtl w:val="true"/>
          <w:lang w:bidi="ar-SA"/>
        </w:rPr>
        <w:t>تَأْتُونَ غَداً مَنْزِلًا لَيْسَ فِيهِ مَاءٌ فَاغْتَسِلُوا الْيَوْمَ لِغَدٍ، فَاغْتَسَلْنَا يَوْمَ الْخَمِيسِ لِلْجُمُعَةِ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الشيخ رحمه الله بِإِسْنَادِهِ عَنْ أَحْمَدَ بْنِ مُحَمَّدٍ عَنِ الْحُسَيْنِ بْنِ مُوسَى بْنِ جَعْفَرٍ عَنْ أُمِّهِ وَأُمِّ أَحْمَدَ ابْنَةِ مُوسَى بْنِ جَعْفَرٍ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أَبِی الْحَسَنِ علیه السلام بِالْبَادِيَةِ وَنَحْنُ نُرِيدُ بَغْدَادَ فَقَالَ لَنَا يَوْمَ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اغْتَسِلَا الْيَوْمَ لِغَدٍ يَوْمِ الْجُمُعَةِ فَإِنَّ الْمَاءَ بِهَا غَداً قَلِيلٌ، فَاغْتَسَلْنَا يَوْمَ الْخَمِيسِ لِيَوْمِ الْجُمُعَةِ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ابن عمر عن النَّبِیِّ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أحَدَكُمْ الْجُمُعَةَ فَلْيَغْتَسِلْ وَلْيَسْتَنْظِف</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ابن عباس عن النَّبِیِّ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اغْتَسِلُوا يَوْمَ الْجُمُعَةِ وَاغْسِلُوا رُؤسَكُمْ وَإِنْ لَمْ تَكُونُوا جُنُباً، وَمَسُّوا مِنَ الطِّيبِ</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ابن مسعود عن النَّبِیِّ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يَوْمَ الْجُمُعَةِ سُنَّةٌ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أبو سعيد وأبو هريرة وأنس عن النَّبِیِّ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أتَی الْجُمُعَةَ فَتَوَضَّأ فَبِهَا وَنِعْمَتْ، وَمَنِ اغْتَسَلَ فَالْغُسْلُ أَفْضَلٌ</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 صَلَّى اَللَّهُ عَلَيْهِ وَ آلِهِ وَ سَلَّمْ قام في أصحابه ذات 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اغْتَسِلُوا</w:t>
      </w:r>
    </w:p>
    <w:p>
      <w:pPr>
        <w:pStyle w:val="BookText"/>
        <w:rPr/>
      </w:pPr>
      <w:r>
        <w:rPr>
          <w:rFonts w:ascii="Amiri" w:hAnsi="Amiri" w:eastAsia="Amiri" w:cs="Amiri"/>
          <w:color w:val="111111"/>
          <w:sz w:val="28"/>
          <w:sz w:val="28"/>
          <w:szCs w:val="28"/>
          <w:rtl w:val="true"/>
          <w:lang w:bidi="ar-SA"/>
        </w:rPr>
        <w:t>يَوْمَ الْجُمُعَةِ فَمَنْ اغْتَسَلَ يَوْمَ الْجُمُعَةِ كَانَتْ لَهُ كَفَّارَةٌ مِنَ الْجُمُعَةِ إِلَى الْجُمُعَةِ</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الرّوايات كما تری وصرّح بها أيضاً الشّيخ الحُرّ العاملی رحمه الله في ذيل صحيحة الحسين بن خالد المتقدمة لم تكن بحدّ يمكن أن نستظهر منها الوجوب، بل بعضها ظاهرةٌ وبعضها الأخری صريحةٌ في أنّ غسل الجمعة من السّنن المؤكدة الّتي لا ينبغی تركها اختياراً</w:t>
      </w:r>
      <w:r>
        <w:rPr>
          <w:rFonts w:eastAsia="IRNazanin" w:cs="IRNazanin"/>
          <w:color w:val="111111"/>
          <w:sz w:val="28"/>
          <w:szCs w:val="28"/>
          <w:rtl w:val="true"/>
          <w:lang w:bidi="fa-IR"/>
        </w:rPr>
        <w:t xml:space="preserve">. </w:t>
      </w:r>
      <w:bookmarkStart w:id="55" w:name="pg7917_84687"/>
    </w:p>
    <w:p>
      <w:pPr>
        <w:pStyle w:val="Heading2"/>
        <w:numPr>
          <w:ilvl w:val="1"/>
          <w:numId w:val="1"/>
        </w:numPr>
        <w:rPr/>
      </w:pPr>
      <w:bookmarkStart w:id="56" w:name="__RefHeading___Toc6355141_1051229030"/>
      <w:bookmarkStart w:id="57" w:name="_Toc19"/>
      <w:bookmarkEnd w:id="55"/>
      <w:bookmarkEnd w:id="56"/>
      <w:r>
        <w:rPr>
          <w:rtl w:val="true"/>
        </w:rPr>
        <w:t>والثّانية والثّالثة</w:t>
      </w:r>
      <w:r>
        <w:rPr>
          <w:rtl w:val="true"/>
        </w:rPr>
        <w:t xml:space="preserve">: </w:t>
      </w:r>
      <w:r>
        <w:rPr>
          <w:rtl w:val="true"/>
        </w:rPr>
        <w:t>غُسل العيدين</w:t>
      </w:r>
      <w:r>
        <w:rPr>
          <w:rtl w:val="true"/>
        </w:rPr>
        <w:t>:</w:t>
      </w:r>
      <w:bookmarkEnd w:id="57"/>
    </w:p>
    <w:p>
      <w:pPr>
        <w:pStyle w:val="BookText"/>
        <w:rPr/>
      </w:pPr>
      <w:r>
        <w:rPr>
          <w:rFonts w:ascii="IRNazanin" w:hAnsi="IRNazanin" w:eastAsia="IRNazanin"/>
          <w:color w:val="111111"/>
          <w:sz w:val="28"/>
          <w:sz w:val="28"/>
          <w:szCs w:val="28"/>
          <w:rtl w:val="true"/>
          <w:lang w:bidi="fa-IR"/>
        </w:rPr>
        <w:t>لا نری خلافاً بين الفريقين في استحباب غُسل العيدين الفطر والأضحی، بل ادعی عليه الإجماع عن غير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 xml:space="preserve">،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 xml:space="preserve">، وثانی الشّهيدين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 والسيّد الطّباطبائی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 والنّراقی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غسل الجمعة والأعياد مستحبٌ، وبه قال جميع الفقهاء، وذهب أهل الظّاهر داود وغيره إلى أنّه واجب، و روی ذلك عن كعب الأحبار، 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إجماع الفرقة، وأمّا الوجوب فالأصل براءة الذّمة، وشغلها بواجب يحتاج الى دليل</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النّراقی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الأغسال المسنونة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عيد الفطر وغسل للأضحى، بالإجماعين، والمستفيضة من النّصوص الّتي تقدّم بعضها، و وقتهما بعد طلوع الفجر بالإجماع</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الهمدانی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الأغسال المسنونة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الفطر والأضحى بلاخلاف فيه ظاهراً بل عن جماعة دعوی الإجماع عليه، ويدلّ عليه أخبارٌ كثيرةٌ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السيّد اليزدی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الأغسال المندوبة الزّمانيّة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يومي العيدين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 والأضحى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السُّنن المؤكّدة، حتّى أنّه ورد في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نسی غسل يوم العيد حتّى صلّى إن كان في وقت فعليه أن يغتسل ويعيد الصّلاة، وإن مضى الوقت فقد جازت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خبر آخر عن غُسل الأضحى،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إلّا بمنى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منزّل على تأكّد الاستحباب، لصراحة جملة من الأخبار في عدم وجوبه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استدلّوا علی استحباب ذلك بأخبار مستفيضة بل متواترة </w:t>
      </w:r>
      <w:r>
        <w:rPr>
          <w:rStyle w:val="FootnoteAnchor"/>
          <w:rtl w:val="true"/>
        </w:rPr>
        <w:footnoteReference w:id="201"/>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الْجَنَابَةِ، وَيَوْمَ الْجُمُعَةِ، وَالْعِيدَيْنِ، وَحِينَ تُحْرِمُ، وَحِينَ تَدْخُلُ مَكَّةَ وَالْمَدِينَةَ، وَيَوْمَ عَرَفَةَ، وَيَوْمَ تَزُورُ الْبَيْتَ، وَحِينَ تَدْخُلُ الْكَعْبَةَ، وَفِی لَيْلَةِ تِسْعَ عَشْرَةَ وَإِحْدَى وَعِشْرِينَ وَثَلَاثٍ وَعِشْرِينَ مِنْ شَهْرِ رَمَضَانَ، وَمَنْ غَسَّلَ مَيِّتاً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عَن أَبِی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وَغُسْلُ يَوْمِ الْفِطْرِ وَغُسْلُ يَوْمِ الْأَضْحَى سُنَّةٌ لَا أُحِبُّ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الحسن بن راشد 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إِنَّ الْمَغْفِرَةَ تَنْزِلُ عَلَى مَنْ صَامَ شَهْرَ رَمَضَانَ لَيْلَةَ </w:t>
      </w:r>
      <w:bookmarkStart w:id="58" w:name="pg7917_84689"/>
    </w:p>
    <w:p>
      <w:pPr>
        <w:pStyle w:val="BookText"/>
        <w:rPr/>
      </w:pPr>
      <w:bookmarkEnd w:id="58"/>
      <w:r>
        <w:rPr>
          <w:rFonts w:ascii="Amiri" w:hAnsi="Amiri" w:eastAsia="Amiri" w:cs="Amiri"/>
          <w:color w:val="111111"/>
          <w:sz w:val="28"/>
          <w:sz w:val="28"/>
          <w:szCs w:val="28"/>
          <w:rtl w:val="true"/>
          <w:lang w:bidi="ar-SA"/>
        </w:rPr>
        <w:t>الْقَدْرِ؟فَقَالَ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إِنَّ الْقَارِيجَارَ</w:t>
      </w:r>
      <w:r>
        <w:rPr>
          <w:rStyle w:val="FootnoteAnchor"/>
          <w:rtl w:val="true"/>
        </w:rPr>
        <w:footnoteReference w:id="204"/>
      </w:r>
      <w:r>
        <w:rPr>
          <w:rFonts w:ascii="Amiri" w:hAnsi="Amiri" w:eastAsia="Amiri" w:cs="Amiri"/>
          <w:color w:val="111111"/>
          <w:sz w:val="28"/>
          <w:sz w:val="28"/>
          <w:szCs w:val="28"/>
          <w:rtl w:val="true"/>
          <w:lang w:bidi="ar-SA"/>
        </w:rPr>
        <w:t>إِنَّمَا يُعْطَى أُجْرَتَهُ عِنْدَ فَرَاغِهِ وَذَلِكَ لَيْلَةُ الْعِيدِ،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يَنْبَغِی لَنَا أَنْ نَعْمَلَ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ومرفوعة أَبِی عُيَيْنَةَ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 يَوْمَ الْفِطْرِ أَنْ تَغْتَسِلَ مِنْ نَهَرٍ، فَإِنْ لَمْ يَكُنْ نَهَرٌ قَصَدْتَ بِنَفْسِكَ اسْتِيفَاءَ الْمَاءِ بِتَخَشُّعٍ، وَلْيَكُنْ غُسْلُكَ تَحْتَ الظِّلَالِ، أَوْ تَحْتَ حَائِطٍ، وَتَسْتَتِرُ بِجُهْدِكَ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6355143_1051229030"/>
      <w:bookmarkStart w:id="60" w:name="_Toc20"/>
      <w:bookmarkEnd w:id="59"/>
      <w:r>
        <w:rPr>
          <w:rtl w:val="true"/>
        </w:rPr>
        <w:t>بقي هنا شیءٌ</w:t>
      </w:r>
      <w:r>
        <w:rPr>
          <w:rtl w:val="true"/>
        </w:rPr>
        <w:t>:</w:t>
      </w:r>
      <w:bookmarkEnd w:id="6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أنّ الأخبار الواردة في فضيلة الغُسل في العيدين كما تری بين كونه واقعاً في نهاريهما، وما يكون في ليلتيهما، ومطلقات، فنقيّد الأخيرة بقرينة الرّوايات المتظافرة الّتي تصرّح بكونه واقعاً في يوميهما بعد أنّ ما يستفاد منها أنّه لليلتيهما منحصرة في خبر الحسن بن راشد</w:t>
      </w:r>
      <w:r>
        <w:rPr>
          <w:rStyle w:val="FootnoteAnchor"/>
          <w:rtl w:val="true"/>
        </w:rPr>
        <w:footnoteReference w:id="207"/>
      </w:r>
      <w:r>
        <w:rPr>
          <w:rFonts w:ascii="IRNazanin" w:hAnsi="IRNazanin" w:eastAsia="IRNazanin"/>
          <w:color w:val="111111"/>
          <w:sz w:val="28"/>
          <w:sz w:val="28"/>
          <w:szCs w:val="28"/>
          <w:rtl w:val="true"/>
          <w:lang w:bidi="fa-IR"/>
        </w:rPr>
        <w:t>الّذی في طريقه القاسم بن يحيی ولم يثبت له توثيق عند غالب علماء الرّجال، بل وضعّفه غير واحد، منهم ابن الغضائری</w:t>
      </w:r>
      <w:r>
        <w:rPr>
          <w:rStyle w:val="FootnoteAnchor"/>
          <w:rtl w:val="true"/>
        </w:rPr>
        <w:footnoteReference w:id="208"/>
      </w:r>
      <w:r>
        <w:rPr>
          <w:rFonts w:ascii="IRNazanin" w:hAnsi="IRNazanin" w:eastAsia="IRNazanin"/>
          <w:color w:val="111111"/>
          <w:sz w:val="28"/>
          <w:sz w:val="28"/>
          <w:szCs w:val="28"/>
          <w:rtl w:val="true"/>
          <w:lang w:bidi="fa-IR"/>
        </w:rPr>
        <w:t>، وابن داود</w:t>
      </w:r>
      <w:r>
        <w:rPr>
          <w:rStyle w:val="FootnoteAnchor"/>
          <w:rtl w:val="true"/>
        </w:rPr>
        <w:footnoteReference w:id="209"/>
      </w:r>
      <w:r>
        <w:rPr>
          <w:rFonts w:ascii="Amiri" w:hAnsi="Amiri" w:eastAsia="Amiri" w:cs="Amiri"/>
          <w:color w:val="111111"/>
          <w:sz w:val="28"/>
          <w:sz w:val="28"/>
          <w:szCs w:val="28"/>
          <w:rtl w:val="true"/>
          <w:lang w:bidi="ar-SA"/>
        </w:rPr>
        <w:t xml:space="preserve">، والعلامة </w:t>
      </w:r>
      <w:r>
        <w:rPr>
          <w:rStyle w:val="FootnoteAnchor"/>
          <w:rtl w:val="true"/>
        </w:rPr>
        <w:footnoteReference w:id="210"/>
      </w:r>
      <w:r>
        <w:rPr>
          <w:rFonts w:ascii="IRNazanin" w:hAnsi="IRNazanin" w:eastAsia="IRNazanin"/>
          <w:color w:val="111111"/>
          <w:sz w:val="28"/>
          <w:sz w:val="28"/>
          <w:szCs w:val="28"/>
          <w:rtl w:val="true"/>
          <w:lang w:bidi="fa-IR"/>
        </w:rPr>
        <w:t xml:space="preserve">، بعد ما عرفت من تصريح بعض علی أنّ وقتها بعد طلوع الفجر، بل ادّعی عليه الإجماع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الأغسال المسنونة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عيد الفطر وغسل للأضحی، بالإجماعين، والمستفيضة من النصوص الّتي تقدّم بعضها، ووقتهما بعد طلوع الفجر، بالإجماع، وعدم الصّدق، وخبر علیّ</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بوقوعه في النّهار ممّا لا ريب فيه، ويؤيّده ما رواه عَبْدُ 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عَنْ جَدِّهِ عَلِیِّ بْنِ جَعْفَرٍ عَنْ أَخِيهِ مُوسَى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يُجْزِيهِ أَنْ يَغْتَسِلَ قَبْلَ طُلُوعِ الْفَجْرِ، هَلْ يُجْزِيهِ ذَلِكَ مِنْ غُسْلِ الْعِيدَيْنِ؟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اغْتَسَلَ يَوْمَ الْفِطْرِ وَالْأَضْحَى قَبْلَ الْفَجْرِ لَمْ يُجْزِهِ، وَإِنِ اغْتَسَلَ بَعْدَ طُلُوعِ الْفَجْرِ أَجْزَأَهُ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61" w:name="pg7917_84691"/>
    </w:p>
    <w:p>
      <w:pPr>
        <w:pStyle w:val="Heading2"/>
        <w:numPr>
          <w:ilvl w:val="1"/>
          <w:numId w:val="1"/>
        </w:numPr>
        <w:rPr/>
      </w:pPr>
      <w:bookmarkStart w:id="62" w:name="__RefHeading___Toc6355145_1051229030"/>
      <w:bookmarkStart w:id="63" w:name="_Toc21"/>
      <w:bookmarkEnd w:id="61"/>
      <w:bookmarkEnd w:id="62"/>
      <w:r>
        <w:rPr>
          <w:rtl w:val="true"/>
        </w:rPr>
        <w:t>والرابعة</w:t>
      </w:r>
      <w:r>
        <w:rPr>
          <w:rtl w:val="true"/>
        </w:rPr>
        <w:t xml:space="preserve">: </w:t>
      </w:r>
      <w:r>
        <w:rPr>
          <w:rtl w:val="true"/>
        </w:rPr>
        <w:t>أغسال ليالی شهر رمضان</w:t>
      </w:r>
      <w:r>
        <w:rPr>
          <w:rtl w:val="true"/>
        </w:rPr>
        <w:t>:</w:t>
      </w:r>
      <w:bookmarkEnd w:id="63"/>
    </w:p>
    <w:p>
      <w:pPr>
        <w:pStyle w:val="BookText"/>
        <w:rPr/>
      </w:pPr>
      <w:r>
        <w:rPr>
          <w:rFonts w:ascii="IRNazanin" w:hAnsi="IRNazanin" w:eastAsia="IRNazanin"/>
          <w:color w:val="111111"/>
          <w:sz w:val="28"/>
          <w:sz w:val="28"/>
          <w:szCs w:val="28"/>
          <w:rtl w:val="true"/>
          <w:lang w:bidi="fa-IR"/>
        </w:rPr>
        <w:t xml:space="preserve">قد ادّعی استحباب أغسال ليالی الإفراد من شهر رمضان وتمام العشر الثالثة منه واستحباب غسل آخر في آخر ليلة الثّالثة والعشرين منه، قال النراقی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الأغسال المسنونة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وعشرون غسلاً 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للّيالی المفردة، وخمسة لسائر الليالی من العشر الأخير، وواحد آخر لثلاث والعشرين، ويأتی تفصيل المستند في الجميع في كتاب الصيام إن شاء الله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الأغسال الزّمانية أغسال ليالی شهررمضان، يستحبّ الغُسل في ليالی الإفراد من شهر رمضان وتمام ليالی العشر الأخيرة، ويستحبّ في ليلة الثّالث والعشرين غسل آخر في آخر الّليل، وأيضاً يستحبّ الغُسل في اليوم الأوّل منه، فعلى هذا الأغسال المستحبّة فيه اثنان وعشرون،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باستحباب الغُسل في جميع لياليه حتّى ليالی الأزواج، وعليه يصير اثنان وثلاثون، ولكن لادليل عليه، لكنّ الإتيان لاحتمال المطلوبية في ليالی الأزواج من العَشرَين الأوليين لابأس به، والآكد منها ليالی القدر، وليلة النّصف، وليلة سبعة عشر، والخمس وعشرين، والسّبع وعشرين، والتّسع وعشرين منه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نقف علی استحباب جميع ما ذكروه من استحباب أغسال لياليه إفراداً أو أفرداً علی نصّ معتبر، والّذی ثبت استحبابه عندنا منها سبعةٌ بل ستّة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أغسال لياليه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 عشر، وإحدی وعشرين، واثنين غُسل في الثّالثة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في أوّلها ومرّة أخری في آخرها، وقد دلّت عليها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أخبار مستفيضة بل متواترة مثل صحيحة مُحَمَّدِ بْنِ مُسْلِمٍ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ثَلَاثِ لَيَالٍ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عَشْرَةَ، وَإِحْدَى وَعِشْرِينَ، وَثَلَاثٍ وَعِشْرِينَ، وَأُصِيبَ أَمِيرُ الْمُؤْمِنِينَ علیه السلام في لَيْلَةِ تِسْعَ عَشْرَةَ، وَقُبِضَ في لَيْلَةِ إِحْدَى وَعِشْرِينَ،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في أَوَّلِ اللَّيْلِ وَهُوَ يُجْزِی إِلَى آخِرِهِ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وصحيحة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كَمْ أَغْتَسِلُ في شَهْرِ رَمَضَانَ لَيْلَةً؟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تِسْعَ عَشْرَةَ، وَلَيْلَةَ إِحْدَى وَعِشْرِينَ، وَلَيْلَةَ ثَلَاثٍ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16"/>
      </w:r>
      <w:r>
        <w:rPr>
          <w:rFonts w:ascii="Amiri" w:hAnsi="Amiri" w:eastAsia="Amiri" w:cs="Amiri"/>
          <w:color w:val="111111"/>
          <w:sz w:val="28"/>
          <w:sz w:val="28"/>
          <w:szCs w:val="28"/>
          <w:rtl w:val="true"/>
          <w:lang w:bidi="ar-SA"/>
        </w:rPr>
        <w:t>، واستدلّ لذلك أيضاً بصحيحة معاوية بن عمّار</w:t>
      </w:r>
      <w:r>
        <w:rPr>
          <w:rStyle w:val="FootnoteAnchor"/>
          <w:rtl w:val="true"/>
        </w:rPr>
        <w:footnoteReference w:id="217"/>
      </w:r>
      <w:r>
        <w:rPr>
          <w:rFonts w:ascii="Amiri" w:hAnsi="Amiri" w:eastAsia="Amiri" w:cs="Amiri"/>
          <w:color w:val="111111"/>
          <w:sz w:val="28"/>
          <w:sz w:val="28"/>
          <w:szCs w:val="28"/>
          <w:rtl w:val="true"/>
          <w:lang w:bidi="ar-SA"/>
        </w:rPr>
        <w:t>، وصحيحة محمّد بن مسلم</w:t>
      </w:r>
      <w:r>
        <w:rPr>
          <w:rStyle w:val="FootnoteAnchor"/>
          <w:rtl w:val="true"/>
        </w:rPr>
        <w:footnoteReference w:id="218"/>
      </w:r>
      <w:r>
        <w:rPr>
          <w:rFonts w:ascii="Amiri" w:hAnsi="Amiri" w:eastAsia="Amiri" w:cs="Amiri"/>
          <w:color w:val="111111"/>
          <w:sz w:val="28"/>
          <w:sz w:val="28"/>
          <w:szCs w:val="28"/>
          <w:rtl w:val="true"/>
          <w:lang w:bidi="ar-SA"/>
        </w:rPr>
        <w:t>، وصحيحة الفضل بن شاذان</w:t>
      </w:r>
      <w:r>
        <w:rPr>
          <w:rStyle w:val="FootnoteAnchor"/>
          <w:rtl w:val="true"/>
        </w:rPr>
        <w:footnoteReference w:id="219"/>
      </w:r>
      <w:r>
        <w:rPr>
          <w:rFonts w:ascii="Amiri" w:hAnsi="Amiri" w:eastAsia="Amiri" w:cs="Amiri"/>
          <w:color w:val="111111"/>
          <w:sz w:val="28"/>
          <w:sz w:val="28"/>
          <w:szCs w:val="28"/>
          <w:rtl w:val="true"/>
          <w:lang w:bidi="ar-SA"/>
        </w:rPr>
        <w:t>، وصحيحتي عبدالله بن سنان</w:t>
      </w:r>
      <w:r>
        <w:rPr>
          <w:rStyle w:val="FootnoteAnchor"/>
          <w:rtl w:val="true"/>
        </w:rPr>
        <w:footnoteReference w:id="220"/>
      </w:r>
      <w:r>
        <w:rPr>
          <w:rFonts w:ascii="Amiri" w:hAnsi="Amiri" w:eastAsia="Amiri" w:cs="Amiri"/>
          <w:color w:val="111111"/>
          <w:sz w:val="28"/>
          <w:sz w:val="28"/>
          <w:szCs w:val="28"/>
          <w:rtl w:val="true"/>
          <w:lang w:bidi="ar-SA"/>
        </w:rPr>
        <w:t>، وصحيحة محمّد بن مسلم</w:t>
      </w:r>
      <w:r>
        <w:rPr>
          <w:rStyle w:val="FootnoteAnchor"/>
          <w:rtl w:val="true"/>
        </w:rPr>
        <w:footnoteReference w:id="221"/>
      </w:r>
      <w:r>
        <w:rPr>
          <w:rFonts w:ascii="Amiri" w:hAnsi="Amiri" w:eastAsia="Amiri" w:cs="Amiri"/>
          <w:color w:val="111111"/>
          <w:sz w:val="28"/>
          <w:sz w:val="28"/>
          <w:szCs w:val="28"/>
          <w:rtl w:val="true"/>
          <w:lang w:bidi="ar-SA"/>
        </w:rPr>
        <w:t>، وموثّقة محمّد بن مسلم</w:t>
      </w:r>
      <w:r>
        <w:rPr>
          <w:rStyle w:val="FootnoteAnchor"/>
          <w:rtl w:val="true"/>
        </w:rPr>
        <w:footnoteReference w:id="222"/>
      </w:r>
      <w:r>
        <w:rPr>
          <w:rFonts w:ascii="Amiri" w:hAnsi="Amiri" w:eastAsia="Amiri" w:cs="Amiri"/>
          <w:color w:val="111111"/>
          <w:sz w:val="28"/>
          <w:sz w:val="28"/>
          <w:szCs w:val="28"/>
          <w:rtl w:val="true"/>
          <w:lang w:bidi="ar-SA"/>
        </w:rPr>
        <w:t>، وموثّقة زرارة</w:t>
      </w:r>
      <w:r>
        <w:rPr>
          <w:rStyle w:val="FootnoteAnchor"/>
          <w:rtl w:val="true"/>
        </w:rPr>
        <w:footnoteReference w:id="223"/>
      </w:r>
      <w:r>
        <w:rPr>
          <w:rFonts w:ascii="Amiri" w:hAnsi="Amiri" w:eastAsia="Amiri" w:cs="Amiri"/>
          <w:color w:val="111111"/>
          <w:sz w:val="28"/>
          <w:sz w:val="28"/>
          <w:szCs w:val="28"/>
          <w:rtl w:val="true"/>
          <w:lang w:bidi="ar-SA"/>
        </w:rPr>
        <w:t>، وموثّقة بكير بن أعين</w:t>
      </w:r>
      <w:r>
        <w:rPr>
          <w:rStyle w:val="FootnoteAnchor"/>
          <w:rtl w:val="true"/>
        </w:rPr>
        <w:footnoteReference w:id="224"/>
      </w:r>
      <w:r>
        <w:rPr>
          <w:rFonts w:ascii="Amiri" w:hAnsi="Amiri" w:eastAsia="Amiri" w:cs="Amiri"/>
          <w:color w:val="111111"/>
          <w:sz w:val="28"/>
          <w:sz w:val="28"/>
          <w:szCs w:val="28"/>
          <w:rtl w:val="true"/>
          <w:lang w:bidi="ar-SA"/>
        </w:rPr>
        <w:t>، وموثّقة عبدالله بن بكير</w:t>
      </w:r>
      <w:r>
        <w:rPr>
          <w:rStyle w:val="FootnoteAnchor"/>
          <w:rtl w:val="true"/>
        </w:rPr>
        <w:footnoteReference w:id="225"/>
      </w:r>
      <w:r>
        <w:rPr>
          <w:rFonts w:ascii="IRNazanin" w:hAnsi="IRNazanin" w:eastAsia="IRNazanin"/>
          <w:color w:val="111111"/>
          <w:sz w:val="28"/>
          <w:sz w:val="28"/>
          <w:szCs w:val="28"/>
          <w:rtl w:val="true"/>
          <w:lang w:bidi="fa-IR"/>
        </w:rPr>
        <w:t>، وخبر الأعمش</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 </w:t>
      </w:r>
    </w:p>
    <w:p>
      <w:pPr>
        <w:pStyle w:val="BookText"/>
        <w:rPr/>
      </w:pPr>
      <w:r>
        <w:rPr>
          <w:rFonts w:ascii="Amiri" w:hAnsi="Amiri" w:eastAsia="Amiri" w:cs="Amiri"/>
          <w:color w:val="111111"/>
          <w:sz w:val="28"/>
          <w:sz w:val="28"/>
          <w:szCs w:val="28"/>
          <w:rtl w:val="true"/>
          <w:lang w:bidi="ar-SA"/>
        </w:rPr>
        <w:t>مّ إنّه قد استدلوا لاستحباب تكرير الغسل في آخر ليلة الثّالثة والعشرين بموثقة بل مصحّحة بريد بن معاوية العجلی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اغْتَسَلَ في لَيْلَةِ ثَلَاثٍ وَعِشْرِينَ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مِنْ أَوَّلِ اللَّيْلِ، وَمَرَّةً مِنْ آخِرِ اللَّيْلِ</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 xml:space="preserve">، وإضماره مع ظهور أنّ المروی عنه هو الإمام علیه السلام غير قادح، لاسيّما مع رواية السيّد ابن طاوس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عنه أيضاً مستنداً له إلى الصادق علیه السلام، زائداً علی أنّه من القوّالون بالصّدق ومن أوتاد الأرض وأعلام الدّين فيما رواه الكشّی في ترجمته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بن بندار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سعد بن عبد اللّه بن أبی خلف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عبد اللّه المسمعیّ،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حديد وعلیّ بن أسباط،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أَوْتَادُ</w:t>
      </w:r>
    </w:p>
    <w:p>
      <w:pPr>
        <w:pStyle w:val="BookText"/>
        <w:rPr/>
      </w:pPr>
      <w:r>
        <w:rPr>
          <w:rFonts w:ascii="Amiri" w:hAnsi="Amiri" w:eastAsia="Amiri" w:cs="Amiri"/>
          <w:color w:val="111111"/>
          <w:sz w:val="28"/>
          <w:sz w:val="28"/>
          <w:szCs w:val="28"/>
          <w:rtl w:val="true"/>
          <w:lang w:bidi="ar-SA"/>
        </w:rPr>
        <w:t>الْأَرضِ وَأَعْلَامُ الدِّينِ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وَبُرَيْدُ بْنُ مُعَاوِيَةَ وَلَيْثُ بْنُ الْبَخْتَرِیِّ الْمُرَادِیُّ وَزُرَارَةُ بْنُ أَعْيَنَ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المسمعی، عن علیّ بن أسباط، عن محمّد بن سنان،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لَأُحَدِّثُ الرَّجُلَ بِحَدِيثٍ وَأَنْهَاهُ عَنِ الْجِدَالِ وَالْمِرَاءِ في دِينِ اللَّهِ تَعَالَى، وَأَنْهَاهُ عَنِ الْقِيَاسِ فَيَخْرُجُ مِنْ عِنْدِی فَيَتَأَوَّلُ حَدِيثِی عَلَى غَيْرِ تَأْوِيلِهِ، إِنِّی أَمَرْتُ قَوْماً أَنْ يَتَكَلَّمُوا وَنَهَيْتُ قَوْماً، فَكُلٌّ يَتَأَوَّلُ لِنَفْسِهِ يُرِيدُ الْمَعْصِيَةَ لِلَّهِ تَعَالَى وَلِرَسُولِهِ، فَلَوْ سَمِعُوا وَأَطَاعُوا لَأَوْدَعْتُهُمْ مَا أَوْدَعَ أَبِی علیه السلام أَصْحَابَهُ، إِنَّ أَصْحَابَ أَبِی علیه السلام كَانُوا زَيْناً أَحْيَاءً وَأَمْوَاتاً، أَعْنِی زُرَارَةَ وَمُحَمَّدَ بْنَ مُسْلِمٍ وَمِنْهُمْ لَيْثٌ الْمُرَادِیُّ وَبُرَيْدٌ الْعِجْلِیُّ، </w:t>
      </w:r>
    </w:p>
    <w:p>
      <w:pPr>
        <w:pStyle w:val="BookText"/>
        <w:rPr/>
      </w:pPr>
      <w:r>
        <w:rPr>
          <w:rFonts w:ascii="Amiri" w:hAnsi="Amiri" w:eastAsia="Amiri" w:cs="Amiri"/>
          <w:color w:val="111111"/>
          <w:sz w:val="28"/>
          <w:sz w:val="28"/>
          <w:szCs w:val="28"/>
          <w:rtl w:val="true"/>
          <w:lang w:bidi="ar-SA"/>
        </w:rPr>
        <w:t xml:space="preserve">هَؤُلَاءِالْقَوَّامُونَ بِالْقِسْطِ هَؤُلَاءِ الْقَوَّالُونَ بِالصِّدْقِ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غاية الأمر مع ذلك كلّه أنّ الحديث كما تری حكاية فعل عنه علیه السلام، فلا يستفاد منه تعميم الحكم، لاحتمال وقوعه منه مرّة، وبه بطل الاستدلال، نعم لامانع من فعله بقصد الرجاء، فلا يكفی به عن الوضوء</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السّابع عشر منه وقد تدلّ عليها صحيحة مُحَمَّدِ بْنِ مُسْلِمٍ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سَبْعَ عَشْرَةَ مِنْ شَهْرِ رَمَضَانَ وَهِیَ لَيْلَةُ الْتَقَى الْجَمْعَانِ، وَلَيْلَةِ تِسْعَ عَشْرَةَ وَفِيهَا يُكْتَبُ الْوَفْدُ وَفْدُ السَّنَةِ، وَلَيْلَةِ إِحْدَى وَعِشْرِينَ وَهِیَ اللَّيْلَةُ الّتي أُصِيبَ فِيهَا أَوْصِيَاءُ الْأَنْبِيَاءِ علیهم السلام وَفِيهَا رُفِعَ عِيسَى ابْنُ مَرْيَمَ علیه السلام وَقُبِضَ مُوسَى علیه السلام، وَلَيْلَةِ ثَلَاثٍ وَعِشْرِينَ يُرْجَى فِيهَا لَيْلَةُ الْقَدْرِ، وَيَوْمَيِ الْعِيدَيْنِ، وَإِذَا دَخَلْتَ الْحَرَمَيْنِ، وَيَوْمِ تُحْرِمُ، وَيَوْمِ الزِّيَارَةِ، وَيَوْمِ تَدْخُلُ الْبَيْتَ، وَيَوْمِ التَّرْوِيَةِ، وَيَوْمِ عَرَفَةَ، وَإِذَا غَسَّلْتَ مَيِّتاً أَوْ كَفَّنْتَهُ أَوْ مَسِسْتَهُ بَعْدَ مَا يَبْرُدُ، وَيَوْمِ الْجُمُعَةِ، وَغُسْلُ الْجَنَابَةِ فَرِيضَةٌ، وَغُسْلُ الْكُسُوفِ إِذَا احْتَرَقَ الْقُرْصُ كُلُّهُ فَاغْتَسِلْ</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وصحيحة محمّد بن مسلم</w:t>
      </w:r>
      <w:r>
        <w:rPr>
          <w:rStyle w:val="FootnoteAnchor"/>
          <w:rtl w:val="true"/>
        </w:rPr>
        <w:footnoteReference w:id="231"/>
      </w:r>
      <w:r>
        <w:rPr>
          <w:rFonts w:ascii="IRNazanin" w:hAnsi="IRNazanin" w:eastAsia="IRNazanin"/>
          <w:color w:val="111111"/>
          <w:sz w:val="28"/>
          <w:sz w:val="28"/>
          <w:szCs w:val="28"/>
          <w:rtl w:val="true"/>
          <w:lang w:bidi="fa-IR"/>
        </w:rPr>
        <w:t>، ويؤيّده مرفوعة محمّد بن علیّ بن الحسين</w:t>
      </w:r>
      <w:r>
        <w:rPr>
          <w:rStyle w:val="FootnoteAnchor"/>
          <w:rtl w:val="true"/>
        </w:rPr>
        <w:footnoteReference w:id="232"/>
      </w:r>
      <w:r>
        <w:rPr>
          <w:rFonts w:ascii="IRNazanin" w:hAnsi="IRNazanin" w:eastAsia="IRNazanin"/>
          <w:color w:val="111111"/>
          <w:sz w:val="28"/>
          <w:sz w:val="28"/>
          <w:szCs w:val="28"/>
          <w:rtl w:val="true"/>
          <w:lang w:bidi="fa-IR"/>
        </w:rPr>
        <w:t>، وخبر الأعمش</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الأولی منه وقد تدلّ عليها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غُسْلِ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في السَّفَرِ وَالْحَضَرِ إِلَّا أَنَّهُ رُخِّصَ لِلنِّسَاءِ في السَّفَرِ لِقِلَّةِ الْمَاءِ،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وَاجِبٌ، وَغُسْلُ الْحَائِضِ إِذَا طَهُرَتْ وَاجِبٌ، وَغُسْلُالِاسْتِحَاضَةِ وَاجِبٌ إِذَا احْتَشَتْ بِالْكُرْسُفِ فَجَازَ الدَّمُ الْكُرْسُفَ،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النُّفَسَاءِ وَاجِبٌ، وَغُسْلُ الْمَوْلُودِ وَاجِبٌ، وَغُسْلُ الْمَيِّتِ وَاجِبٌ، وَغُسْلُ مَنْ غَسَّلَ الْمَيِّتَ وَاجِبٌ، وَغُسْلُ الْمُحْرِمِ وَاجِبٌ، وَغُسْلُ يَوْمِ عَرَفَةَ وَاجِبٌ، وَغُسْلُ الزِّيَارَةِ وَاجِبٌ إِلَّا مِنْ عِلَّةٍ، وَغُسْلُ دُخُولِ الْبَيْتِ وَاجِبٌ، وَغُسْلُ دُخُولِ الْحَرَمِ يُسْتَحَبُّ أَنْ لَا تَدْخُلَهُ إِلَّا بِغُسْلٍ، وَغُسْلُ الْمُبَاهَلَةِ وَاجِبٌ، وَغُسْلُ الِاسْتِسْقَاءِ وَاجِبٌ، وَغُسْلُ أَوَّلِ لَيْلَةٍ مِنْ شَهْرِ رَمَضَانَ مُسْتَحَبٌّ، وَغُسْلُ لَيْلَةِ إِحْدَى وَعِشْرِينَ سُنَّةٌ، وَغُسْلُ لَيْلَةِ ثَلَاثٍ وَعِشْرِينَ سُنَّةٌ لَا تَتْرُكْهَا لِأَنَّهُ يُرْجَى في إِحْدَاهُنَّ لَيْلَةُ الْقَدْرِ، وَغُسْلُ يَوْمِ الْفِطْرِ وَغُسْلُ يَوْمِ الْأَضْحَى سُنَّةٌ لَا أُحِبُّ تَرْكَهَا، وَغُسْلُ الِاسْتِخَارَةِ يُسْتَحَبُّ</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ويؤيّده مرفوعة عَلِیُّ بْنُ مُوسَى بْنِ طَاوُسٍ في كِتَابِ الْإِقْبَالِ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أَبِی قُرَّةَ في كِتَابِ عَمَلِ شَهْرِ رَمَضَانَ بِإِسْنَادِهِ إِلَى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الْغُسْلُ في أَوَّلِ لَيْلَةٍ مِنْ شَهْرِ رَمَضَانَ، وَلَيْلَةِ النِّصْفِ مِنْهُ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أربعةٌ وعشرون منه وقد دلّت عليه ذيل ما رواه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الرَّحْمَنِ بْنُ أَبِی عَبْدِ اللَّهِ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في لَيْلَةِ أَرْبَعَةٍ وَعِشْرِينَ مَا عَلَيْكَ أَنْ تَعْمَلَ في اللَّيْلَتَيْنِ جَمِيعاً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سند الصّدوق رحمه الله إلی عبد الرّحمن بن أبی عبدالله البصریّ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متشكل من أبيه رحمه الله عن سعد بن عبدالله القمّی، عن أيّوب بن نوح، عن محمّد بنأبی عمير، عن عبد الرّحمن بن أبی عبدالله</w:t>
      </w:r>
      <w:r>
        <w:rPr>
          <w:rStyle w:val="FootnoteAnchor"/>
          <w:rtl w:val="true"/>
        </w:rPr>
        <w:footnoteReference w:id="237"/>
      </w:r>
      <w:r>
        <w:rPr>
          <w:rFonts w:ascii="IRNazanin" w:hAnsi="IRNazanin" w:eastAsia="IRNazanin"/>
          <w:color w:val="111111"/>
          <w:sz w:val="28"/>
          <w:sz w:val="28"/>
          <w:szCs w:val="28"/>
          <w:rtl w:val="true"/>
          <w:lang w:bidi="fa-IR"/>
        </w:rPr>
        <w:t>وكلّهم ثقات، ومن البعيد أن يكون مشيخة الصّدوق رحمه الله إلی عبد الرّحمن بن أبی عبدالله البصریّ مختصّاً بالفقيه بل الظّاهر أنّه كذلك في سائركتبه أيضاً، فيثبت به استحباب الغُسل في ليلة أربعة وعشرين من شهر رمضان ويغنی به عن الوضوء أيضاً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يُقال من استحباب الغُسل في اللّيالی المفردة </w:t>
      </w:r>
      <w:r>
        <w:rPr>
          <w:rStyle w:val="FootnoteAnchor"/>
          <w:rtl w:val="true"/>
        </w:rPr>
        <w:footnoteReference w:id="238"/>
      </w:r>
      <w:r>
        <w:rPr>
          <w:rFonts w:ascii="Amiri" w:hAnsi="Amiri" w:eastAsia="Amiri" w:cs="Amiri"/>
          <w:color w:val="111111"/>
          <w:sz w:val="28"/>
          <w:sz w:val="28"/>
          <w:szCs w:val="28"/>
          <w:rtl w:val="true"/>
          <w:lang w:bidi="ar-SA"/>
        </w:rPr>
        <w:t>، وكذلك في العشر الأخيرة منه في جميع لياليه</w:t>
      </w:r>
      <w:r>
        <w:rPr>
          <w:rStyle w:val="FootnoteAnchor"/>
          <w:rtl w:val="true"/>
        </w:rPr>
        <w:footnoteReference w:id="239"/>
      </w:r>
      <w:r>
        <w:rPr>
          <w:rFonts w:ascii="Amiri" w:hAnsi="Amiri" w:eastAsia="Amiri" w:cs="Amiri"/>
          <w:color w:val="111111"/>
          <w:sz w:val="28"/>
          <w:sz w:val="28"/>
          <w:szCs w:val="28"/>
          <w:rtl w:val="true"/>
          <w:lang w:bidi="ar-SA"/>
        </w:rPr>
        <w:t>، أو اللّيلة النّصف من شهر رمضان</w:t>
      </w:r>
      <w:r>
        <w:rPr>
          <w:rStyle w:val="FootnoteAnchor"/>
          <w:rtl w:val="true"/>
        </w:rPr>
        <w:footnoteReference w:id="240"/>
      </w:r>
      <w:r>
        <w:rPr>
          <w:rFonts w:ascii="Amiri" w:hAnsi="Amiri" w:eastAsia="Amiri" w:cs="Amiri"/>
          <w:color w:val="111111"/>
          <w:sz w:val="28"/>
          <w:sz w:val="28"/>
          <w:szCs w:val="28"/>
          <w:rtl w:val="true"/>
          <w:lang w:bidi="ar-SA"/>
        </w:rPr>
        <w:t xml:space="preserve">، أو أوّل يوم </w:t>
      </w:r>
      <w:bookmarkStart w:id="64" w:name="pg7917_84697"/>
    </w:p>
    <w:p>
      <w:pPr>
        <w:pStyle w:val="BookText"/>
        <w:rPr/>
      </w:pPr>
      <w:bookmarkEnd w:id="64"/>
      <w:r>
        <w:rPr>
          <w:rFonts w:ascii="IRNazanin" w:hAnsi="IRNazanin" w:eastAsia="IRNazanin"/>
          <w:color w:val="111111"/>
          <w:sz w:val="28"/>
          <w:sz w:val="28"/>
          <w:szCs w:val="28"/>
          <w:rtl w:val="true"/>
          <w:lang w:bidi="fa-IR"/>
        </w:rPr>
        <w:t>منه</w:t>
      </w:r>
      <w:r>
        <w:rPr>
          <w:rStyle w:val="FootnoteAnchor"/>
          <w:rtl w:val="true"/>
        </w:rPr>
        <w:footnoteReference w:id="241"/>
      </w:r>
      <w:r>
        <w:rPr>
          <w:rFonts w:ascii="IRNazanin" w:hAnsi="IRNazanin" w:eastAsia="IRNazanin"/>
          <w:color w:val="111111"/>
          <w:sz w:val="28"/>
          <w:sz w:val="28"/>
          <w:szCs w:val="28"/>
          <w:rtl w:val="true"/>
          <w:lang w:bidi="fa-IR"/>
        </w:rPr>
        <w:t>، فلم يدلّ عليها نصّ معتبر، وعليه لاينبغی للإكتفاء به عن الوضوء إلّا للإتيان به بقصد الرّجاء</w:t>
      </w:r>
      <w:r>
        <w:rPr>
          <w:rFonts w:eastAsia="IRNazanin" w:cs="IRNazanin"/>
          <w:color w:val="111111"/>
          <w:sz w:val="28"/>
          <w:szCs w:val="28"/>
          <w:rtl w:val="true"/>
          <w:lang w:bidi="fa-IR"/>
        </w:rPr>
        <w:t>.</w:t>
      </w:r>
    </w:p>
    <w:p>
      <w:pPr>
        <w:pStyle w:val="Heading2"/>
        <w:numPr>
          <w:ilvl w:val="1"/>
          <w:numId w:val="1"/>
        </w:numPr>
        <w:rPr/>
      </w:pPr>
      <w:bookmarkStart w:id="65" w:name="__RefHeading___Toc6355147_1051229030"/>
      <w:bookmarkStart w:id="66" w:name="_Toc22"/>
      <w:bookmarkEnd w:id="65"/>
      <w:r>
        <w:rPr>
          <w:rtl w:val="true"/>
        </w:rPr>
        <w:t>وقت فعل الغسل في اللیالي المبارکة من شهر الصیام</w:t>
      </w:r>
      <w:r>
        <w:rPr>
          <w:rtl w:val="true"/>
        </w:rPr>
        <w:t>:</w:t>
      </w:r>
      <w:bookmarkEnd w:id="66"/>
    </w:p>
    <w:p>
      <w:pPr>
        <w:pStyle w:val="BookText"/>
        <w:rPr/>
      </w:pPr>
      <w:r>
        <w:rPr>
          <w:rFonts w:ascii="IRNazanin" w:hAnsi="IRNazanin" w:eastAsia="IRNazanin"/>
          <w:color w:val="111111"/>
          <w:sz w:val="28"/>
          <w:sz w:val="28"/>
          <w:szCs w:val="28"/>
          <w:rtl w:val="true"/>
          <w:lang w:bidi="fa-IR"/>
        </w:rPr>
        <w:t xml:space="preserve">إنّ زمان الغسل في اللّيالی المباركة في شهر الصّيام هوتمام اللّيل وإن كان الأولی إتيانه أوّل اللّيل، بل قبل الغروب، قال السيّد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غسل الليالی تمام اللّيل وإن كان الأولى إتيانها أوّل اللّيل، بل الأولى إتيانها قبل الغروب أو مقارناً له ليكون على غسل من أول اللّيل إلى آخره، نعم لايبعد في ليالی العشر الأخير رجحان إتيانها بين المغرب والعشاء لما نقل من فعل النَّبِیِّ صَلَّى اَللَّهُ عَلَيْهِ وَ آلِهِ وَ سَلَّمْ ، وقد مرّ أنّ الغسل الثانی في ليلة الثالثة والعشرين في آخره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علی ذلك بصحيحة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اللَّيْلَةِ الّتي يُطْلَبُ فِيهَا مَا يُطْلَبُ مَتَى الْغُسْلُ؟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 اللَّيْلِ وَإِنْ شِئْتَ حَيْثُ تَقُومُ مِنْ آخِرِهِ، وَسَأَلْتُهُ عَنِ الْقِيَامِ؟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في أَوَّلِهِ وَآخِرِهِ</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وصحيحة مُحَمَّدِ بْنِ مُسْلِمٍ عَنْ أَحَدِهِمَا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 في ثَلَاثِ لَيَالٍ مِنْ شَهْرِ رَمَضَانَ،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في أَوَّلِ اللَّيْلِ وَهُوَ يُجْزِی إِلَى آخِرِهِ</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وصحيحة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 وَالْفُضَيْلِ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شَهْرِ رَمَضَانَ عِنْدَ وُجُوبِ الشَّمْسِ قُبَيْلَهُ</w:t>
      </w:r>
      <w:r>
        <w:rPr>
          <w:rStyle w:val="FootnoteAnchor"/>
          <w:rtl w:val="true"/>
        </w:rPr>
        <w:footnoteReference w:id="245"/>
      </w:r>
      <w:r>
        <w:rPr>
          <w:rFonts w:ascii="Amiri" w:hAnsi="Amiri" w:eastAsia="Amiri" w:cs="Amiri"/>
          <w:color w:val="111111"/>
          <w:sz w:val="28"/>
          <w:sz w:val="28"/>
          <w:szCs w:val="28"/>
          <w:rtl w:val="true"/>
          <w:lang w:bidi="ar-SA"/>
        </w:rPr>
        <w:t>، ثُمَّ تُصَلِّی، وَتُفْطِرُ</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فمقتضی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 اللَّيْلِ وَإِنْ شِئْتَ حَيْثُ تَقُومُ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عيص بن القاسم، أنّ المكلّف مخيّر في إتيان غسله في اللّيالی المذكورة في كلّ ساعة منها، وذلك لأنّ الزّمان لوكان زائداً علی عمل ولم يدل دليل من ناحية الشّارع علی إرادته تكرار العمل من جانب المكلّف، هوحمل دليل الفعل علی تخيير المكلّف في أجزاء ذلك الزّمان، وبه يحمل ما ظاهره اختصاص الغُسل بأوّل اللّيل أو قبل الغروب في صحيحتي محمّد بن مسلم وزرارة وفضيل، بأفضليّة وقوعه في تلك الأزمنة</w:t>
      </w:r>
      <w:r>
        <w:rPr>
          <w:rFonts w:eastAsia="Amiri" w:cs="Amiri" w:ascii="Amiri" w:hAnsi="Amiri"/>
          <w:color w:val="111111"/>
          <w:sz w:val="28"/>
          <w:szCs w:val="28"/>
          <w:rtl w:val="true"/>
          <w:lang w:bidi="ar-SA"/>
        </w:rPr>
        <w:t xml:space="preserve">. </w:t>
      </w:r>
      <w:bookmarkStart w:id="67" w:name="pg7917_84699"/>
    </w:p>
    <w:p>
      <w:pPr>
        <w:pStyle w:val="Heading2"/>
        <w:numPr>
          <w:ilvl w:val="1"/>
          <w:numId w:val="1"/>
        </w:numPr>
        <w:rPr/>
      </w:pPr>
      <w:bookmarkStart w:id="68" w:name="__RefHeading___Toc6355149_1051229030"/>
      <w:bookmarkStart w:id="69" w:name="_Toc23"/>
      <w:bookmarkEnd w:id="67"/>
      <w:bookmarkEnd w:id="68"/>
      <w:r>
        <w:rPr>
          <w:rtl w:val="true"/>
        </w:rPr>
        <w:t>والخامسة والسّادسة</w:t>
      </w:r>
      <w:r>
        <w:rPr>
          <w:rtl w:val="true"/>
        </w:rPr>
        <w:t xml:space="preserve">: </w:t>
      </w:r>
      <w:r>
        <w:rPr>
          <w:rtl w:val="true"/>
        </w:rPr>
        <w:t>غُسل يومي التّروية وعرفة وهما الثّامن والتّاسع من ذی الحجّة</w:t>
      </w:r>
      <w:r>
        <w:rPr>
          <w:rtl w:val="true"/>
        </w:rPr>
        <w:t>:</w:t>
      </w:r>
      <w:bookmarkEnd w:id="69"/>
    </w:p>
    <w:p>
      <w:pPr>
        <w:pStyle w:val="BookText"/>
        <w:rPr/>
      </w:pPr>
      <w:r>
        <w:rPr>
          <w:rFonts w:ascii="IRNazanin" w:hAnsi="IRNazanin" w:eastAsia="IRNazanin"/>
          <w:color w:val="111111"/>
          <w:sz w:val="28"/>
          <w:sz w:val="28"/>
          <w:szCs w:val="28"/>
          <w:rtl w:val="true"/>
          <w:lang w:bidi="fa-IR"/>
        </w:rPr>
        <w:t>قد ادّعی النّراقی رحمه الله إجماع الأصحاب بقسميه علی استحباب الغُسل ليوم عرفة</w:t>
      </w:r>
      <w:r>
        <w:rPr>
          <w:rStyle w:val="FootnoteAnchor"/>
          <w:rtl w:val="true"/>
        </w:rPr>
        <w:footnoteReference w:id="247"/>
      </w:r>
      <w:r>
        <w:rPr>
          <w:rFonts w:ascii="Amiri" w:hAnsi="Amiri" w:eastAsia="Amiri" w:cs="Amiri"/>
          <w:color w:val="111111"/>
          <w:sz w:val="28"/>
          <w:sz w:val="28"/>
          <w:szCs w:val="28"/>
          <w:rtl w:val="true"/>
          <w:lang w:bidi="ar-SA"/>
        </w:rPr>
        <w:t>، وقد دلّت علی استحبابه فيهما صحيحة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سَبْعَ عَشْرَةَ مِنْ شَهْرِ رَمَضَانَ وَهِیَ لَيْلَةُ الْتَقَى الْجَمْعَانِ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وَيَوْمِ التَّرْوِيَةِ، وَيَوْمِ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48"/>
      </w:r>
      <w:r>
        <w:rPr>
          <w:rFonts w:ascii="Amiri" w:hAnsi="Amiri" w:eastAsia="Amiri" w:cs="Amiri"/>
          <w:color w:val="111111"/>
          <w:sz w:val="28"/>
          <w:sz w:val="28"/>
          <w:szCs w:val="28"/>
          <w:rtl w:val="true"/>
          <w:lang w:bidi="ar-SA"/>
        </w:rPr>
        <w:t>، وموثَّقة سَمَاعَةَ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وَغُسْلُ يَوْمِ عَرَفَةَ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6355151_1051229030"/>
      <w:bookmarkStart w:id="71" w:name="_Toc24"/>
      <w:bookmarkEnd w:id="70"/>
      <w:r>
        <w:rPr>
          <w:rtl w:val="true"/>
        </w:rPr>
        <w:t>والسّابعة</w:t>
      </w:r>
      <w:r>
        <w:rPr>
          <w:rtl w:val="true"/>
        </w:rPr>
        <w:t xml:space="preserve">: </w:t>
      </w:r>
      <w:r>
        <w:rPr>
          <w:rtl w:val="true"/>
        </w:rPr>
        <w:t>غُسل يوم المباهلة</w:t>
      </w:r>
      <w:r>
        <w:rPr>
          <w:rtl w:val="true"/>
        </w:rPr>
        <w:t>:</w:t>
      </w:r>
      <w:bookmarkEnd w:id="7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وقع الخلاف بين الأصحاب في أنّه ما المراد بالمباهلة الّتي دلّت علی استحباب غسله موثّقة سماعة بن مهران عن أبی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الْمُبَاهَلَةِ وَاجِبٌ</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هل المراد بالمباهلة فيها، هو يوم باهل النَّبِیِّ صَلَّى اَللَّهُ عَلَيْهِ وَ آلِهِ وَ سَلَّمْ مع نصاری نجران، بتقدير اليوم أی غسل يوم المباهلة وهو اليوم الرّابع والعشرون أو الخامس والعشرون من ذی الحجّة، أو المراد بها الغُسل لنفس المباهلة؟ بناءً علی أنّ الأصل عدمه، فيكون من الأغسال الفعليّة لا الزّمانيّة، قال الشيخ الأنصاری رحمه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والمراد بالوجوب الاستحباب المؤكد، والمراد بالمباهلة فيها وفی معقد إجماع الغنية يومها، كما فهمه الأصحاب علی ما اعترف به في محكیّ الحدائق، لا لإيقاع المباهلة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الهمدانی رحمه الله وقد أشار فيه إلی خلاف المجلسی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بالمباهلة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إلّا يومها ولو بقرينة فتوى الأصحاب، لكن يحتمل قويّا إرادة الغُسل لفعل المباهلة، كما عن جماعة من المتأخّرين استظهاره، بل عن الحدائق أنّ في بعض الحواشی المنسوبة إلى المولى محمّد تقی المجلسی رحمه الله مكتوباً على الحديث المشار إليه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المراد بالمباهلة اليوم المشهور حيث باهل النَّبِیِّ صَلَّى اَللَّهُ عَلَيْهِ وَ آلِهِ وَ سَلَّمْ مع نصارى نجران، بل المراد به الاغتسال لإيقاع المباهلة مع الخصوم في كلّ حين، كما في الاستخارة، وقد وردت بذلك رواية صحيحة في الكافی، وكان ذلك مشتهراً بين القدماء،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والتحقيق يقتضی أنّه إذا جاء الاحتمال لم يصحّ الاستناد إلی إطلاق الحديث لإثبات الحكم في شیء منهما بعد عدم وجود القدر المتيقّن في مقام التخاطب، نعم لو أراد شخص فعل المباهلة يوم المباهلة، فإنّه يستحب له حينئذ غسله بلا ريب ويكفيه عن الوضوء حينئذ</w:t>
      </w:r>
      <w:r>
        <w:rPr>
          <w:rFonts w:eastAsia="IRNazanin" w:cs="IRNazanin"/>
          <w:color w:val="111111"/>
          <w:sz w:val="28"/>
          <w:szCs w:val="28"/>
          <w:rtl w:val="true"/>
          <w:lang w:bidi="fa-IR"/>
        </w:rPr>
        <w:t xml:space="preserve">. </w:t>
      </w:r>
      <w:bookmarkStart w:id="72" w:name="pg7917_84701"/>
    </w:p>
    <w:p>
      <w:pPr>
        <w:pStyle w:val="Heading2"/>
        <w:numPr>
          <w:ilvl w:val="1"/>
          <w:numId w:val="1"/>
        </w:numPr>
        <w:rPr/>
      </w:pPr>
      <w:bookmarkStart w:id="73" w:name="__RefHeading___Toc6355153_1051229030"/>
      <w:bookmarkStart w:id="74" w:name="_Toc25"/>
      <w:bookmarkEnd w:id="72"/>
      <w:bookmarkEnd w:id="73"/>
      <w:r>
        <w:rPr>
          <w:rtl w:val="true"/>
        </w:rPr>
        <w:t>والثّامنة</w:t>
      </w:r>
      <w:r>
        <w:rPr>
          <w:rtl w:val="true"/>
        </w:rPr>
        <w:t xml:space="preserve">: </w:t>
      </w:r>
      <w:r>
        <w:rPr>
          <w:rtl w:val="true"/>
        </w:rPr>
        <w:t>غسل ليلة النّصف من شعبان</w:t>
      </w:r>
      <w:r>
        <w:rPr>
          <w:rtl w:val="true"/>
        </w:rPr>
        <w:t>:</w:t>
      </w:r>
      <w:bookmarkEnd w:id="74"/>
    </w:p>
    <w:p>
      <w:pPr>
        <w:pStyle w:val="BookText"/>
        <w:rPr/>
      </w:pPr>
      <w:r>
        <w:rPr>
          <w:rFonts w:ascii="IRNazanin" w:hAnsi="IRNazanin" w:eastAsia="IRNazanin"/>
          <w:color w:val="111111"/>
          <w:sz w:val="28"/>
          <w:sz w:val="28"/>
          <w:szCs w:val="28"/>
          <w:rtl w:val="true"/>
          <w:lang w:bidi="fa-IR"/>
        </w:rPr>
        <w:t xml:space="preserve">قد استدلّ الأصحاب علی استحباب الغُسل في تلك اللّيلة المباركة بالإجماع وبما وردت فيه من الأخبار،قال المحقق الهمدانی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الأغسال المسنونة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النّصف من شعبان بلاخلافٍ فيه، كما في الجواهر، بل عن الغنية دعوی الإجماع عليه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واحتجّوا عليه بموثّقة أَبِی بَصِيرٍ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w:t>
      </w:r>
    </w:p>
    <w:p>
      <w:pPr>
        <w:pStyle w:val="BookText"/>
        <w:rPr/>
      </w:pPr>
      <w:r>
        <w:rPr>
          <w:rFonts w:ascii="Amiri" w:hAnsi="Amiri" w:eastAsia="Amiri" w:cs="Amiri"/>
          <w:color w:val="111111"/>
          <w:sz w:val="28"/>
          <w:sz w:val="28"/>
          <w:szCs w:val="28"/>
          <w:rtl w:val="true"/>
          <w:lang w:bidi="ar-SA"/>
        </w:rPr>
        <w:t>شَعْبَانَ وَاغْتَسِلُوا لَيْلَةَ النِّصْفِ مِنْهُ، ذَلِكَ تَخْفِيفٌ مِنْ رَبِّكُمْ وَرَحْمَةٌ</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مؤيّدة بمرفوعة سَالِمٍ مَوْلَى أَبِی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تَطَهَّرَ لَيْلَةَ النِّصْفِ مِنْ شَعْبَانَ فَأَحْسَنَ الطُّهْرَ وَلَبِسَ ثَوْبَيْنِ نَظِيفَيْنِ ثُمَّ خَرَجَ إِلَى مُصَلَّاهُ فَصَلَّى الْعِشَاءَ الآخِرَةَ ثُمَّ صَلَّى بَعْدَهَا رَكْعَتَيْنِ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لَهُ ثَلَاثَ حَوَائِجَ، إِمَّا في عَاجِلِ الدُّنْيَا أَوْ في آجِلِ الآخِرَةِ، ثُمَّ إِنْ سَأَلَ أَنْ يَرَانِی مِنْ لَيْلَتِهِ يَرَانِی</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6355155_1051229030"/>
      <w:bookmarkStart w:id="76" w:name="_Toc26"/>
      <w:bookmarkEnd w:id="75"/>
      <w:r>
        <w:rPr>
          <w:rtl w:val="true"/>
        </w:rPr>
        <w:t>والتّاسعة</w:t>
      </w:r>
      <w:r>
        <w:rPr>
          <w:rtl w:val="true"/>
        </w:rPr>
        <w:t xml:space="preserve">: </w:t>
      </w:r>
      <w:r>
        <w:rPr>
          <w:rtl w:val="true"/>
        </w:rPr>
        <w:t>غسل يوم الغدير</w:t>
      </w:r>
      <w:r>
        <w:rPr>
          <w:rtl w:val="true"/>
        </w:rPr>
        <w:t>:</w:t>
      </w:r>
      <w:bookmarkEnd w:id="76"/>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المعروف بين الأصحاب كما نسبه إليهم غير واحد، بل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عليه، وهو الحجّة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عليه برواية عَلِیِّ بْنِ الْحُسَيْنِ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يَوْمِ غَدِيرِ خُمٍّ يَعْدِلُ صِيَامَ عُمُرِ الدُّنْيَا،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فِيهِ رَكْعَتَيْنِ يَغْتَسِلُ عِنْدَ زَوَالِ الشَّمْسِ مِنْ قَبْلِ أَنْ تَزُولَ مِقْدَارَ نِصْفِ سَاعَةٍ، 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عَدَلَتْ عِنْدَ اللَّهِ مِائَةَ أَلْفِ حَجَّةٍ، وَمِائَةَ أَلْفِ عُمْرَةٍ، وَمَا سَأَلَ اللَّهَ عَزَّ وَجَلَّ حَاجَةً مِنْ حَوَائِجِ الدُّنْيَا وَحَوَائِجِ الْآخِرَةِ إِلَّا قُضِيَتْ كَائِنَةً مَا كَانَتِ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57"/>
      </w:r>
      <w:r>
        <w:rPr>
          <w:rFonts w:ascii="Amiri" w:hAnsi="Amiri" w:eastAsia="Amiri" w:cs="Amiri"/>
          <w:color w:val="111111"/>
          <w:sz w:val="28"/>
          <w:sz w:val="28"/>
          <w:szCs w:val="28"/>
          <w:rtl w:val="true"/>
          <w:lang w:bidi="ar-SA"/>
        </w:rPr>
        <w:t xml:space="preserve">، وبما رواه السيّد 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في حَدِيثٍ طَوِيلٍ ذَكَرَ فِيهِ فَضْلَ يَوْمِ الْغَدِيرِ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صَبِيحَةُ ذَلِكَ الْيَوْمِ وَجَبَ الْغُسْلُ في صَدْرِ نَهَارِهِ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والحديثان وإن كانا ضعيفين بعدم توثيق بل جهالة أكثر رواتهما عند علماء الرّجال، لكنّه حيث كانا مفتی بهما عند الأصحاب فينجبر به ضعفهما، ويمكن أن نكتفی بهذا الغسل عن الوضوء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ذكر أغسال لأيّام من رجب وهی أوّله و وسطه وآخره ويوم السّابع والعشرين منه وهو يوم المبعث، وليوم المولود وهو السّابع عشر من ربيع الأوّل، ويوم النّيروز، ويوم التّاسع من ربيع الأوّل، ويوم دحو الأرض وهو الخامس والعشرين من ذی القعدة، وكلّ ليلة من ليالی الجمعة بل وكلّ زمان شريف</w:t>
      </w:r>
      <w:r>
        <w:rPr>
          <w:rStyle w:val="FootnoteAnchor"/>
          <w:rtl w:val="true"/>
        </w:rPr>
        <w:footnoteReference w:id="259"/>
      </w:r>
      <w:r>
        <w:rPr>
          <w:rFonts w:ascii="IRNazanin" w:hAnsi="IRNazanin" w:eastAsia="IRNazanin"/>
          <w:color w:val="111111"/>
          <w:sz w:val="28"/>
          <w:sz w:val="28"/>
          <w:szCs w:val="28"/>
          <w:rtl w:val="true"/>
          <w:lang w:bidi="fa-IR"/>
        </w:rPr>
        <w:t>، لكنّه حيث لم يدلّ علی استحباب تلك الأغسال دليل معتبر فلا يجوز أن نكتفی بها عن الوضوء إلا أن نأتی بها بقصد الرجاء والمطلوبيّة</w:t>
      </w:r>
      <w:r>
        <w:rPr>
          <w:rFonts w:eastAsia="IRNazanin" w:cs="IRNazanin"/>
          <w:color w:val="111111"/>
          <w:sz w:val="28"/>
          <w:szCs w:val="28"/>
          <w:rtl w:val="true"/>
          <w:lang w:bidi="fa-IR"/>
        </w:rPr>
        <w:t xml:space="preserve">. </w:t>
      </w:r>
      <w:bookmarkStart w:id="77" w:name="pg7917_84703"/>
    </w:p>
    <w:p>
      <w:pPr>
        <w:pStyle w:val="Heading2"/>
        <w:numPr>
          <w:ilvl w:val="1"/>
          <w:numId w:val="1"/>
        </w:numPr>
        <w:rPr/>
      </w:pPr>
      <w:bookmarkStart w:id="78" w:name="__RefHeading___Toc6355157_1051229030"/>
      <w:bookmarkStart w:id="79" w:name="_Toc27"/>
      <w:bookmarkEnd w:id="77"/>
      <w:bookmarkEnd w:id="78"/>
      <w:r>
        <w:rPr>
          <w:rtl w:val="true"/>
        </w:rPr>
        <w:t>وأمّا الأغسال المكانيّة</w:t>
      </w:r>
      <w:r>
        <w:rPr>
          <w:rtl w:val="true"/>
        </w:rPr>
        <w:t>:</w:t>
      </w:r>
      <w:bookmarkEnd w:id="79"/>
    </w:p>
    <w:p>
      <w:pPr>
        <w:pStyle w:val="BookText"/>
        <w:rPr/>
      </w:pPr>
      <w:r>
        <w:rPr>
          <w:rFonts w:ascii="Amiri" w:hAnsi="Amiri" w:eastAsia="Amiri" w:cs="Amiri"/>
          <w:color w:val="111111"/>
          <w:sz w:val="28"/>
          <w:sz w:val="28"/>
          <w:szCs w:val="28"/>
          <w:rtl w:val="true"/>
          <w:lang w:bidi="ar-SA"/>
        </w:rPr>
        <w:t xml:space="preserve">إنّه قد ورد الأمر بالإغتسال لدخول حرمي مكة والمدينة، ولدخول في مدينة مكة المكرمة وفی الكعبة المعظّمة ومسجد النَّبِیِّ صَلَّى اَللَّهُ عَلَيْهِ وَ آلِهِ وَ سَلَّمْ في عدّة من الرّوايات المعتبرة، قال النّراقی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الأغسال المتعلّقة بالأمكنة وهی سبعة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الحرم، ومكة، والمسجد الحرام، والكعبة، والمدينة، ومسجد النَّبِیِّ صَلَّى اَللَّهُ عَلَيْهِ وَ آلِهِ وَ سَلَّمْ وحرمه، كما يأتی في كتاب الحجّ، والغُسل لدخول كلّ مشهد من مشاهد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يأتی في باب المزار، ولكلّ مكان شريف، ذكره الإسكافی</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علی ذلك بروايات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مِنَ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 تَدْخُلُ مَكَّةَ وَالْمَدِينَةَ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وَيَوْمَ تَزُورُ الْبَيْتَ وَحِينَ تَدْخُلُ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سَمَاعَةَ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وَغُسْلُ دُخُولِ الْبَيْتِ وَاجِبٌ، وَغُسْلُ دُخُولِ الْحَرَمِ يُسْتَحَبُّ أَنْ لَا تَدْخُلَهُ إِلَّا بِغُسْلٍ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62"/>
      </w:r>
      <w:r>
        <w:rPr>
          <w:rFonts w:ascii="Amiri" w:hAnsi="Amiri" w:eastAsia="Amiri" w:cs="Amiri"/>
          <w:color w:val="111111"/>
          <w:sz w:val="28"/>
          <w:sz w:val="28"/>
          <w:szCs w:val="28"/>
          <w:rtl w:val="true"/>
          <w:lang w:bidi="ar-SA"/>
        </w:rPr>
        <w:t>، وفی ذيل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دَخَلْتَ الْحَرَمَيْنِ وَيَوْمِ تُحْرِمُ وَيَوْمِ الزِّيَارَةِ وَيَوْمِ تَدْخُلُ الْبَيْت</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وموثّقة مُحَمَّدِ بْنِ مُسْلِمٍ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مِنَ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 تَدْخُلُ الْحَرَمَ، وَإِذَا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الْبَيْتِ الْحَرَامِ، وَإِذَا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مَسْجِدِ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64"/>
      </w:r>
      <w:r>
        <w:rPr>
          <w:rFonts w:ascii="IRNazanin" w:hAnsi="IRNazanin" w:eastAsia="IRNazanin"/>
          <w:color w:val="111111"/>
          <w:sz w:val="28"/>
          <w:sz w:val="28"/>
          <w:szCs w:val="28"/>
          <w:rtl w:val="true"/>
          <w:lang w:bidi="fa-IR"/>
        </w:rPr>
        <w:t xml:space="preserve">، وفی طريقها وإن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يثبت له توثيق، إلّا أنّه لم يرد فيه قدحٌ أيضاً، زائداً علی أنّه كان من المعاريف، صاحب روايات كثيرة، روی عن كثير، و روی عنه كثيرون منهم ابن أبی عمير الّذی أجمع الأصحاب علی تصحيح ما يصحّ عنه وأقرّوا له بالفقه وكونه ممّن لا يروی ولا يرسل إلا عن الثّقة</w:t>
      </w:r>
      <w:r>
        <w:rPr>
          <w:rStyle w:val="FootnoteAnchor"/>
          <w:rtl w:val="true"/>
        </w:rPr>
        <w:footnoteReference w:id="265"/>
      </w:r>
      <w:r>
        <w:rPr>
          <w:rFonts w:ascii="IRNazanin" w:hAnsi="IRNazanin" w:eastAsia="IRNazanin"/>
          <w:color w:val="111111"/>
          <w:sz w:val="28"/>
          <w:sz w:val="28"/>
          <w:szCs w:val="28"/>
          <w:rtl w:val="true"/>
          <w:lang w:bidi="fa-IR"/>
        </w:rPr>
        <w:t>، فنقول أنّه ثقة أيضاً، قال السيّد الخوئی رحمه الله في تعريفه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بهذا العنوان في أسناد كثير من الرّوايات تبلغ مائة وخمسة وعشرين مورداً، فقد روى عن أبی بصير، وأبی جميلة، وأبی السفاتج، وأبی العباس، وأبی العباس البقباق، وابن بكير، وأبان بن عثمان، وإسحاق بن عمار، وبريد بن معاوية، وبريد العجلی، وزرارة، وعبد الحميد، وعبد الحميد الطائی، وعبد الله، وعبد الله بن بكير، وعبد الله بن سنان، وعبيد، وعبيد بن زرارة، وعبيد الله وعمران ابني علی الحلبيين، والفضل البقباق أبی العباس، والفضل بن عبد الملك أبی العباس، وهشام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ابن أبی عمير، وابن فضال، وأحمد بن أبی عبد الله عن أبيه، وإسماعيل بن سهل، والحسن، والحسن بن علیّ، والحسين، والحسين بن سعيد، والعباس، والعباس بن معروف، وعلیّ بن مهزيار، ومحمّد بن خالد، ومحمّد بن خالد </w:t>
      </w:r>
    </w:p>
    <w:p>
      <w:pPr>
        <w:pStyle w:val="BookText"/>
        <w:rPr/>
      </w:pPr>
      <w:r>
        <w:rPr>
          <w:rFonts w:ascii="IRNazanin" w:hAnsi="IRNazanin" w:eastAsia="IRNazanin"/>
          <w:color w:val="111111"/>
          <w:sz w:val="28"/>
          <w:sz w:val="28"/>
          <w:szCs w:val="28"/>
          <w:rtl w:val="true"/>
          <w:lang w:bidi="fa-IR"/>
        </w:rPr>
        <w:t>البرقی، ومحمّد بن سعيد، ومحمّد بن عبد الله بن زرارة، ومحمّد بن عيسى، وهارون بن مسلم، والبرقی</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الغسل لدخول المسجد الحرام، وكذا كلّ مشهد من مشاهد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نری فيما بأيدينا من الأخبار والرّوايات ما يدلّ علی ذلك إلّا من باب فحوی ثبوته لدخول مكة والمدينة ومسجد النَّبِیِّ صَلَّى اَللَّهُ عَلَيْهِ وَ آلِهِ وَ سَلَّمْ ، نعم قد ورد الأمر بالغسل لزيارة أميرالمؤمنين وغيره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سنبحث عنه في القسم الأغسال الفعليّة، لكنّه غير الغسل لأجل الدّخول في تلك الأمكنة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الأغسال الفعليّة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علی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مستحبّاً لأجل فعل الّذی يريد أن يفعله المكلّف فيما بعد،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مستحبّاً لأجل فعل الّذی فعله فيما مضی، وقد ذكروا لكلّ منهما أغسالاً، أشار إليهما المحقّق رحمه الله إجمالاً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وسبعةٌ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غسل الإحرام، وغسل زيارة النَّبِیِّ صَلَّى اَللَّهُ عَلَيْهِ وَ آلِهِ وَ سَلَّمْ والأئمة علیهم السلام ، وغسل المفرط في صلاة الكسوف مع احتراق القرص إذا أراد قضاءها على الأظهر، وغسل التّوبة سواء كان عن فسق أو كفر، وصلاة الحاجة، وصلاة الاستخارة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أضاف إليها السيّد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أغسالاً اُخر، وكيف كان فأمّا ما تكون من قبيل الأوّل فما دلّت عليها الأدلّة المعتبرة، فهي</w:t>
      </w:r>
      <w:r>
        <w:rPr>
          <w:rFonts w:eastAsia="Amiri" w:cs="Amiri" w:ascii="Amiri" w:hAnsi="Amiri"/>
          <w:color w:val="111111"/>
          <w:sz w:val="28"/>
          <w:szCs w:val="28"/>
          <w:rtl w:val="true"/>
          <w:lang w:bidi="ar-SA"/>
        </w:rPr>
        <w:t xml:space="preserve">: </w:t>
      </w:r>
      <w:bookmarkStart w:id="80" w:name="pg7917_84706"/>
    </w:p>
    <w:p>
      <w:pPr>
        <w:pStyle w:val="Heading2"/>
        <w:numPr>
          <w:ilvl w:val="1"/>
          <w:numId w:val="1"/>
        </w:numPr>
        <w:rPr/>
      </w:pPr>
      <w:bookmarkStart w:id="81" w:name="__RefHeading___Toc6355159_1051229030"/>
      <w:bookmarkStart w:id="82" w:name="_Toc28"/>
      <w:bookmarkEnd w:id="80"/>
      <w:bookmarkEnd w:id="81"/>
      <w:r>
        <w:rPr/>
        <w:t>1</w:t>
      </w:r>
      <w:r>
        <w:rPr>
          <w:rtl w:val="true"/>
        </w:rPr>
        <w:t>)</w:t>
      </w:r>
      <w:r>
        <w:rPr>
          <w:rtl w:val="true"/>
        </w:rPr>
        <w:t>غُسل الإحرام</w:t>
      </w:r>
      <w:r>
        <w:rPr>
          <w:rtl w:val="true"/>
        </w:rPr>
        <w:t>:</w:t>
      </w:r>
      <w:bookmarkEnd w:id="82"/>
    </w:p>
    <w:p>
      <w:pPr>
        <w:pStyle w:val="BookText"/>
        <w:rPr/>
      </w:pPr>
      <w:r>
        <w:rPr>
          <w:rFonts w:ascii="IRNazanin" w:hAnsi="IRNazanin" w:eastAsia="IRNazanin"/>
          <w:color w:val="111111"/>
          <w:sz w:val="28"/>
          <w:sz w:val="28"/>
          <w:szCs w:val="28"/>
          <w:rtl w:val="true"/>
          <w:lang w:bidi="fa-IR"/>
        </w:rPr>
        <w:t xml:space="preserve">لا خلاف في مشروعيّة الغسل للإحرام نصّاً وفتوی، وادّعی الفريقين الإجماع علی استحبابه غير أنّه عند أهل الظاهر منهم واجب، والأخبار الدالّة عليه متواترةٌ جدّاً </w:t>
      </w:r>
      <w:r>
        <w:rPr>
          <w:rStyle w:val="FootnoteAnchor"/>
          <w:rtl w:val="true"/>
        </w:rPr>
        <w:footnoteReference w:id="269"/>
      </w:r>
      <w:r>
        <w:rPr>
          <w:rFonts w:ascii="Amiri" w:hAnsi="Amiri" w:eastAsia="Amiri" w:cs="Amiri"/>
          <w:color w:val="111111"/>
          <w:sz w:val="28"/>
          <w:sz w:val="28"/>
          <w:szCs w:val="28"/>
          <w:rtl w:val="true"/>
          <w:lang w:bidi="ar-SA"/>
        </w:rPr>
        <w:t>والعجب من صاحب الجواهر كيف عبّر عنها بأنّها كادت تكون متواترة؟</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قال العلامة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يستحب له الغسل إذا أراد الإحرام من الميقات وليس بواجب إجماعاً، ولا فرق بين الذّكر والأنثى، والحرّ والعبد، والبالغ وغيره، ويجوز تقديم الغسل على الميقات إذا خاف عوز الماء فيه ما لم ينم أو يمضی عليه يوم وليلة، ولو وجد الماء في الميقات استحب إعادة الغسل، ويجزی غسل اليوم لذلك اليوم وغسل اللّيلة لها ما لم ينم، فإن نام قبل عقد الإحرام أو لبس مخيطاً، أو أكل ما لا يحلّ للمحرم أكله استحب له إعادة الغسل</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وحكی ابن القدامة عن ابن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أجمع أهل العلم أنّ الإحرام جائزٌ بغير اغتسال</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رشد القرطبی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واتّفق جمهور العلماء علی أنّ الغسل للإهلال سنّة، وأنّه من أفعال المحرم حتّی قال ابن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الغسل للإهلال عند مالك أوكد من </w:t>
      </w:r>
    </w:p>
    <w:p>
      <w:pPr>
        <w:pStyle w:val="BookText"/>
        <w:rPr/>
      </w:pPr>
      <w:r>
        <w:rPr>
          <w:rFonts w:ascii="IRNazanin" w:hAnsi="IRNazanin" w:eastAsia="IRNazanin"/>
          <w:color w:val="111111"/>
          <w:sz w:val="28"/>
          <w:sz w:val="28"/>
          <w:szCs w:val="28"/>
          <w:rtl w:val="true"/>
          <w:lang w:bidi="fa-IR"/>
        </w:rPr>
        <w:t>غسل الجمعة، وقال أهل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واجب، وقال أبوحنيفة والثوری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يجزیء منه الوضوء، وحجّة أهل الظاهر مرسل مالك من حديث أسماء بنت عميس أنّها ولدت محمّد بن أبی بكر بالبيداء، فذكر ذلك أبوبكر لرسول الل صَلَّى اَللَّهُ عَلَيْهِ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مرها فلتغتسل ثمّ لتهلّ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عندهم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هو براءة الذمّة حتّی يثبت الوجوب بأمر لا مدفع فيه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استدلّ الأصحاب علی ذلك بروايات،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الْجَنَابَةِ، وَيَوْمَ الْجُمُعَةِ، وَالْعِيدَيْنِ، وَحِينَ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74"/>
      </w:r>
      <w:r>
        <w:rPr>
          <w:rFonts w:ascii="Amiri" w:hAnsi="Amiri" w:eastAsia="Amiri" w:cs="Amiri"/>
          <w:color w:val="111111"/>
          <w:sz w:val="28"/>
          <w:sz w:val="28"/>
          <w:szCs w:val="28"/>
          <w:rtl w:val="true"/>
          <w:lang w:bidi="ar-SA"/>
        </w:rPr>
        <w:t>، وصحيحة عبدالله بن سنان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الْغُسْلَ في أَرْبَعَةَ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وَغُسْلُ الْجُنُبِ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75"/>
      </w:r>
      <w:r>
        <w:rPr>
          <w:rFonts w:ascii="Amiri" w:hAnsi="Amiri" w:eastAsia="Amiri" w:cs="Amiri"/>
          <w:color w:val="111111"/>
          <w:sz w:val="28"/>
          <w:sz w:val="28"/>
          <w:szCs w:val="28"/>
          <w:rtl w:val="true"/>
          <w:lang w:bidi="ar-SA"/>
        </w:rPr>
        <w:t>، وموثّقة سَمَاعَةَ عنه علیه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الْمُحْرِمِ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ما دلّ علی لزوم إعادته لو بطل المكلّف غسله قبل عقد إحرامه كصحيحة النَّضْرِ بْنِ سُوَيْدٍ عَنْ أَبِی الْحَسَنِ الكاظِمِ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يَغْتَسِلُ لِلْإِحْرَامِ ثُمَّ يَنَامُ قَبْلَ أَنْ يُحْرِمَ؟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إِعَادَةُ الْغُسْلِ</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وصحيحة </w:t>
      </w:r>
      <w:bookmarkStart w:id="83" w:name="pg7917_84708"/>
    </w:p>
    <w:p>
      <w:pPr>
        <w:pStyle w:val="BookText"/>
        <w:rPr/>
      </w:pPr>
      <w:bookmarkEnd w:id="83"/>
      <w:r>
        <w:rPr>
          <w:rFonts w:ascii="Amiri" w:hAnsi="Amiri" w:eastAsia="Amiri" w:cs="Amiri"/>
          <w:color w:val="111111"/>
          <w:sz w:val="28"/>
          <w:sz w:val="28"/>
          <w:szCs w:val="28"/>
          <w:rtl w:val="true"/>
          <w:lang w:bidi="ar-SA"/>
        </w:rPr>
        <w:t>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اغْتَسَلَ لِلْإِحْرَامِ ثُمَّ نَامَ قَبْلَ أَنْ يُحْرِمَ؟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إِعَادَةُ الْغُسْلِ</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،سياق الرّوايات واقتران بعضها مع بعض يشهد علی شدّة استحبابه، ففی صحيحة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يَغْتَسِلُ لِلْإِحْرَامِ بِالْمَدِينَةِ وَيَلْبَسُ ثَوْبَيْنِ ثُمَّ يَنَامُ قَبْلَ أَنْ يُحْرِمَ؟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أی ليس عليه غسل واجب، لكونه نصّاً علی عدم الوجوب</w:t>
      </w:r>
      <w:r>
        <w:rPr>
          <w:rFonts w:eastAsia="IRNazanin" w:cs="IRNazanin"/>
          <w:color w:val="111111"/>
          <w:sz w:val="28"/>
          <w:szCs w:val="28"/>
          <w:rtl w:val="true"/>
          <w:lang w:bidi="fa-IR"/>
        </w:rPr>
        <w:t>.</w:t>
      </w:r>
    </w:p>
    <w:p>
      <w:pPr>
        <w:pStyle w:val="Heading2"/>
        <w:numPr>
          <w:ilvl w:val="1"/>
          <w:numId w:val="1"/>
        </w:numPr>
        <w:rPr/>
      </w:pPr>
      <w:bookmarkStart w:id="84" w:name="__RefHeading___Toc6355161_1051229030"/>
      <w:bookmarkStart w:id="85" w:name="_Toc29"/>
      <w:bookmarkEnd w:id="84"/>
      <w:r>
        <w:rPr/>
        <w:t>2</w:t>
      </w:r>
      <w:r>
        <w:rPr>
          <w:rtl w:val="true"/>
        </w:rPr>
        <w:t xml:space="preserve">) </w:t>
      </w:r>
      <w:r>
        <w:rPr>
          <w:rtl w:val="true"/>
        </w:rPr>
        <w:t>غُسل الطّواف</w:t>
      </w:r>
      <w:r>
        <w:rPr>
          <w:rtl w:val="true"/>
        </w:rPr>
        <w:t>:</w:t>
      </w:r>
      <w:bookmarkEnd w:id="8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عبّر عنه بغسل الزّيارة ولعّله لأنّ زيارة البيت طوافه، قد استدلّ عليه بأخبار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الْجَنَابَةِ، وَيَوْمَ الْجُمُعَةِ، وَالْعِيدَيْنِ، وَحِينَ تُحْرِمُ، وَحِينَ تَدْخُلُ مَكَّةَ وَالْمَدِينَةَ، وَيَوْمَ عَرَفَةَ، وَيَوْمَ تَزُورُ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80"/>
      </w:r>
      <w:r>
        <w:rPr>
          <w:rFonts w:ascii="Amiri" w:hAnsi="Amiri" w:eastAsia="Amiri" w:cs="Amiri"/>
          <w:color w:val="111111"/>
          <w:sz w:val="28"/>
          <w:sz w:val="28"/>
          <w:szCs w:val="28"/>
          <w:rtl w:val="true"/>
          <w:lang w:bidi="ar-SA"/>
        </w:rPr>
        <w:t>، وصحيحة الفضل بن شاذان عَنِ الرِّضَا علیه السلام في كِتَابٍ كَتَبَهُ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يَوْمِ الْجُمُعَةِ سُنَّةٌ، وَغُسْلُ الْعِيدَيْنِ، وَغُسْلُ دُخُولِ مَكَّةَ وَالْمَدِينَةِ، وَغُسْلُ الزِّيَارَةِ، وَغُسْلُ الْإِحْرَامِ، وَأَوَّلِ لَيْلَةٍ مِنْ شَهْرِ رَمَضَانَ، وَلَيْلَةِ سَبْعَ عَشْرَةَ، وَلَيْلَةِ تِسْعَ عَشْرَةَ، وَلَيْلَةِ إِحْدَى وَعِشْرِينَ، وَلَيْلَةِ ثَلَاثٍ وَعِشْرِينَ مِنْ شَهْرِ رَمَضَانَ هَذِهِ الْأَغْسَالُ سُنَّةٌ، وَغُسْلُ الْجَنَابَةِ فَرِيضَةٌ وَغُسْلُ الْحَيْضِ مِثْلُهُ</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وموثّقة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الزِّيَارَةِ وَاجِبٌ 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86" w:name="pg7917_84709"/>
    </w:p>
    <w:p>
      <w:pPr>
        <w:pStyle w:val="BookText"/>
        <w:rPr/>
      </w:pPr>
      <w:bookmarkEnd w:id="86"/>
      <w:r>
        <w:rPr>
          <w:rFonts w:ascii="Amiri" w:hAnsi="Amiri" w:eastAsia="Amiri" w:cs="Amiri"/>
          <w:color w:val="111111"/>
          <w:sz w:val="28"/>
          <w:sz w:val="28"/>
          <w:szCs w:val="28"/>
          <w:rtl w:val="true"/>
          <w:lang w:bidi="ar-SA"/>
        </w:rPr>
        <w:t>والكلام في كون غُسل الطّواف واجباً، كالكلام في غُسل الإحرام فلا نعيد</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6355163_1051229030"/>
      <w:bookmarkStart w:id="88" w:name="_Toc30"/>
      <w:bookmarkEnd w:id="87"/>
      <w:r>
        <w:rPr/>
        <w:t>3</w:t>
      </w:r>
      <w:r>
        <w:rPr>
          <w:rtl w:val="true"/>
        </w:rPr>
        <w:t xml:space="preserve">) </w:t>
      </w:r>
      <w:r>
        <w:rPr>
          <w:rtl w:val="true"/>
        </w:rPr>
        <w:t xml:space="preserve">غُسل زيارة النّبیّ والأئمّة المعصومين علیهم السلام </w:t>
      </w:r>
      <w:r>
        <w:rPr>
          <w:rtl w:val="true"/>
        </w:rPr>
        <w:t>:</w:t>
      </w:r>
      <w:bookmarkEnd w:id="88"/>
    </w:p>
    <w:p>
      <w:pPr>
        <w:pStyle w:val="BookText"/>
        <w:rPr/>
      </w:pPr>
      <w:r>
        <w:rPr>
          <w:rFonts w:ascii="IRNazanin" w:hAnsi="IRNazanin" w:eastAsia="IRNazanin"/>
          <w:color w:val="111111"/>
          <w:sz w:val="28"/>
          <w:sz w:val="28"/>
          <w:szCs w:val="28"/>
          <w:rtl w:val="true"/>
          <w:lang w:bidi="fa-IR"/>
        </w:rPr>
        <w:t xml:space="preserve">إنّ النّاظر في الأخبار الكثيرة المتواترة الواردة في كيفيّة زيارات النّبیّ الأعظم والأئمة المعصومين علیهم السلام لاسيّما مثل الرّواية المشهورة الواردة بعنوان الزيارة الجامعة الّتي يزار بها كلّ إمام، يطمئنّ بأنّ من أهمّ آداب ومقدمات زيارتهم الغسل، وإن لم يرد نصّ عليه في خصوص زيارة بعضهم، زائداً علی دعوی الشّهرة بل الإجماع عليه، قال المحقق الهمدانی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المشهور،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عليه،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في المندوب بلاخلاف،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نسبته إلی قطع الأصحاب، وهو الحجّة في مثل المقام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إنّه قد استدلّ علی ذلك بروايات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مُوسَى بْنِ عَبْدِ اللَّهِ النَّخَعِیِّ أَنَّهُ قَالَ لِعَلِیِّ بْنِ مُحَمَّدِ بْنِ عَلِیِّ بْنِ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يَا ابْنَ رَسُولِ اللَّه صَلَّى اَللَّهُ عَلَيْهِ وَ آلِهِ وَ سَلَّمْ قَوْلًا أَقُولُهُ بَلِيغاً كَامِلًا إِذَا زُرْتُ وَاحِداً مِنْكُمْ،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صِرْتَ إِلَى الْبَابِ فَقِفْ وَاشْهَدِ الشَّهَادَتَيْنِ وَأَنْتَ عَلَى غُسْلٍ، فَإِذَا دَخَلْتَ وَرَأَيْتَ الْقَبْرَ فَقِفْ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ثَلَاثِينَ مَرَّةً، ثُمَّ امْشِ قَلِيلًا وَعَلَيْكَ السَّكِينَةَ وَالْوَقَارَ وَقَارِبْ بَيْنَ خُطَاكَ ثُمَّ قِفْ وَكَبِّرِ اللَّهَ ثَلَاثِينَ مَرَّةً، ثُمَّ ادْنُ مِنَ الْقَبْرِ وَكَبِّرِ اللَّهَ أَرْبَعِينَ مَرَّةً تَمَامَ مِائَةِ مَرَّةٍ،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وَمَوْضِعَ الرِّسَالَةِ، وَمُخْتَلَفَ الْمَلَائِكَةِ، وَمَهْبِطَ الْوَحْيِ، وَمَعْدِنَ الرَّحْمَةِ، وَذَكَرَ الزِّيَارَةَ بِطُولِهَا</w:t>
      </w:r>
      <w:r>
        <w:rPr>
          <w:rStyle w:val="FootnoteAnchor"/>
          <w:rtl w:val="true"/>
        </w:rPr>
        <w:footnoteReference w:id="284"/>
      </w:r>
      <w:r>
        <w:rPr>
          <w:rFonts w:ascii="Amiri" w:hAnsi="Amiri" w:eastAsia="Amiri" w:cs="Amiri"/>
          <w:color w:val="111111"/>
          <w:sz w:val="28"/>
          <w:sz w:val="28"/>
          <w:szCs w:val="28"/>
          <w:rtl w:val="true"/>
          <w:lang w:bidi="ar-SA"/>
        </w:rPr>
        <w:t xml:space="preserve">، وخبر يُونُسَ بْنِ ظَبْيَانَ عَنْ أَبِی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زِيَارَةَ قَبْرِ أَمِيرِ الْمُؤْمِنِينَ علیه السلام فَتَوَضَّأْ، وَاغْتَسِلْ، وَامْشِ عَلَىهَيْئَتِكَ،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زِيَارَةً طَوِيلَةً</w:t>
      </w:r>
      <w:r>
        <w:rPr>
          <w:rStyle w:val="FootnoteAnchor"/>
          <w:rtl w:val="true"/>
        </w:rPr>
        <w:footnoteReference w:id="285"/>
      </w:r>
      <w:r>
        <w:rPr>
          <w:rFonts w:ascii="Amiri" w:hAnsi="Amiri" w:eastAsia="Amiri" w:cs="Amiri"/>
          <w:color w:val="111111"/>
          <w:sz w:val="28"/>
          <w:sz w:val="28"/>
          <w:szCs w:val="28"/>
          <w:rtl w:val="true"/>
          <w:lang w:bidi="ar-SA"/>
        </w:rPr>
        <w:t>، ومرسلة الْعَلَاءِ بْنِ سَيَابَةَ عَنْ أَبِی عَبْدِ اللَّهِ علیه السلام في تَفسِيرِ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عِنْدَ لِقَاءِ كُلِّ إِمَامٍ</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وخبر يُوسُفَ الْكُنَاسِیِّ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قَبْرَ الْحُسَيْنِ علیه السلام فَأْتِ الْفُرَاتَ وَاغْتَسِلْ بِحِيَالِ قَبْرِهِ، وَتَوَجَّهْ إِلَيْهِ وَعَلَيْكَ السَّكِينَةَ وَالْوَقَارَ حَتَّى تَدْخُلَ الْقَبْرَ مِنَ الْجَانِبِ الشَّرْقِیِّ،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زِيَارَةً طَوِيلَةً</w:t>
      </w:r>
      <w:r>
        <w:rPr>
          <w:rStyle w:val="FootnoteAnchor"/>
          <w:rtl w:val="true"/>
        </w:rPr>
        <w:footnoteReference w:id="287"/>
      </w:r>
      <w:r>
        <w:rPr>
          <w:rFonts w:ascii="Amiri" w:hAnsi="Amiri" w:eastAsia="Amiri" w:cs="Amiri"/>
          <w:color w:val="111111"/>
          <w:sz w:val="28"/>
          <w:sz w:val="28"/>
          <w:szCs w:val="28"/>
          <w:rtl w:val="true"/>
          <w:lang w:bidi="ar-SA"/>
        </w:rPr>
        <w:t>، وخبر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علیه السلام فَدَخَلَ عَلَيْهِ قَوْمٌ مِنْ أَهْلِ قُمَّ فَسَلَّمُوا عَلَيْهِ فَرَدَّ عَلَيْهِمْ وَقَرَّبَهُمْ،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بِكُمْ وَأَهْلًا، فَأَنْتُمْ شِيعَتُنَا حَقّاً، يَأْتِی عَلَيْكُمْ زَمَانٌ تَزُورُونَ فِيهِ تُرْبَتِی بِطُوسَ،أَلَا فَمَنْ زَارَنِی وَهُوَ عَلَى غُسْلٍ خَرَجَ مِنْ ذُنُوبِهِ كَيَوْمَ وَلَدَتْهُ أُمُّهُ</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ومرفوعة مُحَمَّدُ بْنُ 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جَعْفَرِ بْنِ مُحَمَّدٍ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يَزُورَ قَبْرَ رَسُولِ اللَّه صَلَّى اَللَّهُ عَلَيْهِ وَ آلِهِ وَ سَلَّمْ وَقَبْرَ أَمِيرِ الْمُؤْمِنِينَ وَفَاطِمَةَ وَالْحَسَنِ وَالْحُسَيْنِ وَقُبُورَ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بَلَدِهِ فَلْيَغْتَسِلْ في يَوْمِ الْجُمُعَةِ، وَلْيَلْبَسْ ثَوْبَيْنِ نَظِيفَيْنِ، وَلْيَخْرُجْ إِلَى فَلَاةٍ مِنَ الْأَرضِ، ثُمَّ يُصَلِّی أَرْبَعَ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رَكَعَاتٍ يَقْرَأُ فِيهِنَّ مَا تَيَسَّرَ مِنَ الْقُرْآنِ، فَإِذَا تَشَهَّدَ وَسَلَّمَ فَلْيَقُمْ مُسْتَقْبِلَ الْقِبْلَةِ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السَّلَامُعَلَيْكَ أَيُّهَا النَّبِیُّ وَرَحْمَةُ اللَّهِ وَبَرَكَاتُهُ، السَّلَامُ عَلَيْكَ أَيُّهَا النَّبِیُّ الْمُرْسَلُ، وَالْوَصِیُّ الْمُرْتَضَى، وَالسَّيِّدَةُ الْكُبْرَى، وَالسَّيِّدَةُ الزَّهْرَاءُ وَالسِّبْطَانِ الْمُنْتَجَبَانِ، وَالْأَولَادُ وَالْأَعْلَامُ وَالْأُمَنَاءُ الْمُسْتَخْزَنُونَ، جِئْتُ انْقِطَاعاً إِلَيْكُمْ وَإِلَى آبَائِكُمْ وَوَلَدِكُمُ الْخَلَفِ عَلَى بَرَكَةِ الْحَقِّ، فَقَلْبِی لَكُمْ سِلْمٌ وَنُصْرَتِی لَكُمْ مُعَدَّةٌ حَتَّى يَحْكُمَ اللَّهُ بِدِينِهِ، فَمَعَكُمْ مَعَكُمْ لَا مَعَ عَدُوِّكُمْ، إِنِّی لَمِنَ الْقَائِلِينَ بِفَضْلِكُمْ، مُقِرٌّ بِرَجْعَتِكُمْ، لَا أُنْكِرُ لِلَّهِ قُدْرَةً، وَلَا أَزْعُمُ إِلَّا مَا شَاءَ اللَّهُ، سُبْحَانَ اللَّهِ ذِی الْمُلْكِ وَالْمَلَكُوتِ، يُسَبِّحُ اللَّهَ بِأَسْمَائِهِ جَمِيعُ خَلْقِهِ، وَالسَّلَامُ عَلَى أَرْوَاحِكُمْ وَأَجْسَادِكُمْ، وَالسَّلَامُ عَلَيْكُمْ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ذَلِكَ عَلَى سَطْحِ دَارِكَ</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89" w:name="pg7917_84712"/>
    </w:p>
    <w:p>
      <w:pPr>
        <w:pStyle w:val="Heading2"/>
        <w:numPr>
          <w:ilvl w:val="1"/>
          <w:numId w:val="1"/>
        </w:numPr>
        <w:rPr/>
      </w:pPr>
      <w:bookmarkStart w:id="90" w:name="__RefHeading___Toc6355165_1051229030"/>
      <w:bookmarkStart w:id="91" w:name="_Toc31"/>
      <w:bookmarkEnd w:id="89"/>
      <w:bookmarkEnd w:id="90"/>
      <w:r>
        <w:rPr/>
        <w:t>4</w:t>
      </w:r>
      <w:r>
        <w:rPr>
          <w:rtl w:val="true"/>
        </w:rPr>
        <w:t xml:space="preserve"> </w:t>
      </w:r>
      <w:r>
        <w:rPr>
          <w:rtl w:val="true"/>
        </w:rPr>
        <w:t>و</w:t>
      </w:r>
      <w:r>
        <w:rPr/>
        <w:t>5</w:t>
      </w:r>
      <w:r>
        <w:rPr>
          <w:rtl w:val="true"/>
        </w:rPr>
        <w:t xml:space="preserve">) </w:t>
      </w:r>
      <w:r>
        <w:rPr>
          <w:rtl w:val="true"/>
        </w:rPr>
        <w:t>غسل صلاتي الحاجة والاستخارة</w:t>
      </w:r>
      <w:r>
        <w:rPr>
          <w:rtl w:val="true"/>
        </w:rPr>
        <w:t>:</w:t>
      </w:r>
      <w:bookmarkEnd w:id="91"/>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 خلاف أجده فيهما، 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عليهما،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المندوب بلا خلاف،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الأصحاب،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عمل الأصحاب،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علمائنا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عليهما بموثّقة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الِاسْتِخَارَةِ يُسْتَحَبُّ</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وخبر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عَلِّمْنِی دُعَاءً لِقَضَاءِ الْحَوَائِجِ،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لَكَ حَاجَةٌ إِلَى اللَّهِ عَزَّوَجَلَّ مُهِمَّةٌ فَاغْتَسِلْ وَالْبَسْ أَنْظَفَ ثِيَابِكَ وَشَمَّ شَيْئاً مِنَ الطِّيبِ، ثُمَّ ابْرُزْ تَحْتَ السَّمَاءِ فَصَلِّ رَكْعَتَيْنِ تَفْتَتِحُ الصَّلَاةَ فَتَقْرَأُ فَاتِحَةَ الْكِتَابِ وَقُلْ هُوَ اللَّهُ أَحَدٌ خَمْسَ عَشْرَةَ مَرَّةً، ثُمَّ تَرْكَعُ فَتَقْرَأُ خَمْسَ عَشْرَةَ مَرَّةً، ثُمَّ تُتِمُّهَا عَلَى مِثَالِ صَلَاةِ التَّسْبِيحِ غَيْرَ أَنَّ الْقِرَاءَةَ خَمْسَ عَشْرَةَ مَرَّةً، فَإِذَا سَلَّمْتَ فَاقْرَأْهَا خَمْسَ عَشْرَةَ مَرَّةً، ثُمَّ تَسْجُدُ فَتَقُولُ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كُلَّ مَعْبُودٍ مِنْ لَدُنْ عَرْشِكَ إِلَى قَرَارِ أَرْضِكَ فَهُوَ بَاطِلٌ سِوَاكَ فَإِنَّكَ أَنْتَ اللَّهُ الْحَقُّ الْمُبِينُ اقْضِ لِی حَاجَةَ كَذَا وَكَذَا السَّاعَةَ السَّاعَةَ، وَتُلِحُّ فِيمَا أَرَدْتَ</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وخبر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سَيِّدِی عَلِیَّ بْنَ مُحَمَّدِ بْنِ عَلِیٍّ الرِّضَا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لَهُ إِلَى اللَّهِ حَاجَةٌ فَلْيَزُرْ قَبْرَ جَدِّیَ الرِّضَا علیه السلام بِطُوسَ وَهُوَ عَلَى غُسْلٍ وَلْيُصَلِّ عِنْدَ رَأْسِهِ رَكْعَتَيْنِ وَلْيَسْأَلِ اللَّهَ تَعَالَى حَاجَتَهُ في قُنُوتِهِ، فَإِنَّهُ يَسْتَجِيبُ لَهُ مَا لَمْ يَسْأَلْ مَأْثَماً أَوْ قَطِيعَةَ رَحِمٍ، إِنَّ مَوْضِعَ قَبْرِهِ </w:t>
      </w:r>
      <w:bookmarkStart w:id="92" w:name="pg7917_84713"/>
    </w:p>
    <w:p>
      <w:pPr>
        <w:pStyle w:val="BookText"/>
        <w:rPr/>
      </w:pPr>
      <w:bookmarkEnd w:id="92"/>
      <w:r>
        <w:rPr>
          <w:rFonts w:ascii="Amiri" w:hAnsi="Amiri" w:eastAsia="Amiri" w:cs="Amiri"/>
          <w:color w:val="111111"/>
          <w:sz w:val="28"/>
          <w:sz w:val="28"/>
          <w:szCs w:val="28"/>
          <w:rtl w:val="true"/>
          <w:lang w:bidi="ar-SA"/>
        </w:rPr>
        <w:t>لَبُقْعَةٌ مِنْ بِقَاعِ الْجَنَّةِ، لَا يَزُورُهَا مُؤْمِنٌ إِلَّا أَعْتَقَهُ اللَّهُ تَعَالَى مِنَ النَّارِ، وَأَدْخَلَهُ دَارَ الْقَرَارِ</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6355167_1051229030"/>
      <w:bookmarkStart w:id="94" w:name="_Toc32"/>
      <w:bookmarkEnd w:id="93"/>
      <w:r>
        <w:rPr/>
        <w:t>6</w:t>
      </w:r>
      <w:r>
        <w:rPr>
          <w:rtl w:val="true"/>
        </w:rPr>
        <w:t xml:space="preserve">) </w:t>
      </w:r>
      <w:r>
        <w:rPr>
          <w:rtl w:val="true"/>
        </w:rPr>
        <w:t>غسل صلاة الاستسقاء</w:t>
      </w:r>
      <w:r>
        <w:rPr>
          <w:rtl w:val="true"/>
        </w:rPr>
        <w:t>:</w:t>
      </w:r>
      <w:bookmarkEnd w:id="94"/>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يدخل في صلاة الحاجة ما ذُكر من الغُسل لصلاة الاستسقاء،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عليه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عليه بموثّقة سماعة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الِاسْتِسْقَاءِ وَاجِبٌ</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قال الشّيخ آقا رضا الهمدانی رحمه الله بعد نقله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به الاستحباب المؤكد، إذ لا قائل بوجوبه علی الظّاهر، بل قد عرفت غير مرّة عدم ظهور هذه الرّواية في إرادة الوجوب بالمعنی المصطلح</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القسم الثّانی أی الأغسال الّتي يستحب لأجل الفعل الّذی كان فعله في القبل</w:t>
      </w:r>
      <w:r>
        <w:rPr>
          <w:rFonts w:eastAsia="IRNazanin" w:cs="IRNazanin"/>
          <w:color w:val="111111"/>
          <w:sz w:val="28"/>
          <w:szCs w:val="28"/>
          <w:rtl w:val="true"/>
          <w:lang w:bidi="fa-IR"/>
        </w:rPr>
        <w:t xml:space="preserve">: </w:t>
      </w:r>
      <w:bookmarkStart w:id="95" w:name="pg7917_84714"/>
    </w:p>
    <w:p>
      <w:pPr>
        <w:pStyle w:val="Heading2"/>
        <w:numPr>
          <w:ilvl w:val="1"/>
          <w:numId w:val="1"/>
        </w:numPr>
        <w:rPr/>
      </w:pPr>
      <w:bookmarkStart w:id="96" w:name="__RefHeading___Toc6355169_1051229030"/>
      <w:bookmarkStart w:id="97" w:name="_Toc33"/>
      <w:bookmarkEnd w:id="95"/>
      <w:bookmarkEnd w:id="96"/>
      <w:r>
        <w:rPr/>
        <w:t>7</w:t>
      </w:r>
      <w:r>
        <w:rPr>
          <w:rtl w:val="true"/>
        </w:rPr>
        <w:t xml:space="preserve">) </w:t>
      </w:r>
      <w:r>
        <w:rPr>
          <w:rtl w:val="true"/>
        </w:rPr>
        <w:t>غسل المفرّط في صلاة الكسوفين مع احتراق القرص إذا أراد قضاءها</w:t>
      </w:r>
      <w:r>
        <w:rPr>
          <w:rtl w:val="true"/>
        </w:rPr>
        <w:t>:</w:t>
      </w:r>
      <w:bookmarkEnd w:id="97"/>
    </w:p>
    <w:p>
      <w:pPr>
        <w:pStyle w:val="BookText"/>
        <w:rPr/>
      </w:pPr>
      <w:r>
        <w:rPr>
          <w:rFonts w:ascii="IRNazanin" w:hAnsi="IRNazanin" w:eastAsia="IRNazanin"/>
          <w:color w:val="111111"/>
          <w:sz w:val="28"/>
          <w:sz w:val="28"/>
          <w:szCs w:val="28"/>
          <w:rtl w:val="true"/>
          <w:lang w:bidi="fa-IR"/>
        </w:rPr>
        <w:t xml:space="preserve">من الأغسال المندوبة عندنا غسل تارك صلاة الكسوف أو الخسوف إذا تركهما متعمّداً إذا أراد قضاءهما، بل قيل بوجوبه للأخبار الواردة اللآمرة به لو احترق القرص كلّه، بل ادّعی عليه الإجماع، والأقوی عندی وجوبه حينئذ للأخبار أوّلاً وشهرتها بين القدماء ثانياً </w:t>
      </w:r>
      <w:r>
        <w:rPr>
          <w:rStyle w:val="FootnoteAnchor"/>
          <w:rtl w:val="true"/>
        </w:rPr>
        <w:footnoteReference w:id="297"/>
      </w:r>
      <w:r>
        <w:rPr>
          <w:rFonts w:ascii="Amiri" w:hAnsi="Amiri" w:eastAsia="Amiri" w:cs="Amiri"/>
          <w:color w:val="111111"/>
          <w:sz w:val="28"/>
          <w:sz w:val="28"/>
          <w:szCs w:val="28"/>
          <w:rtl w:val="true"/>
          <w:lang w:bidi="ar-SA"/>
        </w:rPr>
        <w:t xml:space="preserve">، ولاأقلّ من كونه أحوطاً،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صلاة الكسوف كان عليه قضاؤها، وإن كان قد احترق القرص</w:t>
      </w:r>
    </w:p>
    <w:p>
      <w:pPr>
        <w:pStyle w:val="BookText"/>
        <w:rPr/>
      </w:pPr>
      <w:r>
        <w:rPr>
          <w:rFonts w:ascii="Amiri" w:hAnsi="Amiri" w:eastAsia="Amiri" w:cs="Amiri"/>
          <w:color w:val="111111"/>
          <w:sz w:val="28"/>
          <w:sz w:val="28"/>
          <w:szCs w:val="28"/>
          <w:rtl w:val="true"/>
          <w:lang w:bidi="ar-SA"/>
        </w:rPr>
        <w:t>كلّه وتركها متعمداً كان عليه الغسل وقضاء الصّلاة، ولم يوافق على ذلك أحدٌ من الفقهاء،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الهمدانی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الأغسال المسنونة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المفرّط في صلاة الكسوف أو الخسوف بأن تركهما متعمّداً مع احتراق القرص كلّه إذا أراد قضاءها علی الأظهر الأشهر بل المشهور سيّما بين المتأخّرين، كما في طهارة شيخنا المرتضی رحمه الله ، بل عن الغنية الإجماع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بعد ما ذكر الأخبار الدّالة عليه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هذه الأخبار بأسرها وجوبه، كما حكی القول به عن صلاة المقنعة والمراسم والمهذّب ومصباح الشّيخ وجمله والمبسوط والخلاف والإقتصاد والكافی والوسيلة وشرح الجمل للقاضی والصّدوقين، نصّاً في بعضها وظهوراً في الباقی، ومال إليه في محكیّ المنتهی والمدارك، بل عن الشّيخ في الخلاف الإجماع علی أنّ من ترك </w:t>
      </w:r>
    </w:p>
    <w:p>
      <w:pPr>
        <w:pStyle w:val="BookText"/>
        <w:rPr/>
      </w:pPr>
      <w:r>
        <w:rPr>
          <w:rFonts w:ascii="IRNazanin" w:hAnsi="IRNazanin" w:eastAsia="IRNazanin"/>
          <w:color w:val="111111"/>
          <w:sz w:val="28"/>
          <w:sz w:val="28"/>
          <w:szCs w:val="28"/>
          <w:rtl w:val="true"/>
          <w:lang w:bidi="fa-IR"/>
        </w:rPr>
        <w:t>صلاة الكسوف مع احتراق القرص فعليه الغسل والقضاء، وعن شرح الجمل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لزوم القضاء فالدليل عليه الإجماع، وطريق براءة الذمّة، وكذلك القول في الغسل، ولذلك كلّه اختاره صريحاً بعض متأخّري المتأخّرين، إلا أنّ المحكی عن أكثر هؤلاء التصريح بالاستحباب</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إنّه قد استدلّ عليه بصحيحة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سَبْعَةَ عَشَرَ مَوْطِناً،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الْكُسُوفِ إِذَا احْتَرَقَ الْقُرْصُ كُلُّهُ فَاسْتَيْقَظْتَ وَلَمْ تُصَلِّ فَعَلَيْكَ أَنْ تَغْتَسِلَ وَتَقْضِیَ الصَّلَاةَ، وَغُسْلُ الْجَنَابَةِ فَرِيضَةٌ</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وصحيحة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الْكُسُوفِ إِذَا احْتَرَقَ الْقُرْصُ كُلُّهُ فَاغْتَسِلْ</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ومرسلة حَرِيزٍ عَمَّنْ أَخْبَرَهُ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 الْقَمَرُ فَاسْتَيْقَظَ الرَّجُلُ وَلَمْ يُصَلِّ فَلْيَغْتَسِلْ مِنْ غَدٍ وَلْيَقْضِ الصَّلَاةَ، وَإِنْ لَمْ يَسْتَيْقِظْ وَلَمْ يَعْلَمْ بِانْكِسَافِ الْقَمَرِ فَلَيْسَ عَلَيْهِ إِلَّا الْقَضَاءُ بِغَيْرِ غُسْلٍ</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احْتَرَقَ الْقُرْصُ كُلُّهُ فَاغْتَسِلْ، وَإِنِ انْكَسَفَتِ الشَّمْسُ أَوِ الْقَمَرُ وَلَمْ تَعْلَمْ بِهِ فَعَلَيْكَ أَنْ تُصَلِّيَهَا إِذَا عَلِمْتَ، فَإِنْ تَرَكْتَهَا مُتَعَمِّداً حَتَّى تُصْبِحَ فَاغْتَسِلْ فَصَلِّ، وَإِنْ لَمْ يَحْتَرِقِ الْقُرْصُ فَاقْضِهَا وَلَا تَغْتَسِلْ</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98" w:name="pg7917_84716"/>
    </w:p>
    <w:p>
      <w:pPr>
        <w:pStyle w:val="Heading2"/>
        <w:numPr>
          <w:ilvl w:val="1"/>
          <w:numId w:val="1"/>
        </w:numPr>
        <w:rPr/>
      </w:pPr>
      <w:bookmarkStart w:id="99" w:name="__RefHeading___Toc6355171_1051229030"/>
      <w:bookmarkStart w:id="100" w:name="_Toc34"/>
      <w:bookmarkEnd w:id="98"/>
      <w:bookmarkEnd w:id="99"/>
      <w:r>
        <w:rPr/>
        <w:t>8</w:t>
      </w:r>
      <w:r>
        <w:rPr>
          <w:rtl w:val="true"/>
        </w:rPr>
        <w:t xml:space="preserve">) </w:t>
      </w:r>
      <w:r>
        <w:rPr>
          <w:rtl w:val="true"/>
        </w:rPr>
        <w:t>غسل التّوبة سواء كان عن فسق أو كفر</w:t>
      </w:r>
      <w:r>
        <w:rPr>
          <w:rtl w:val="true"/>
        </w:rPr>
        <w:t>:</w:t>
      </w:r>
      <w:bookmarkEnd w:id="100"/>
    </w:p>
    <w:p>
      <w:pPr>
        <w:pStyle w:val="BookText"/>
        <w:rPr/>
      </w:pPr>
      <w:r>
        <w:rPr>
          <w:rFonts w:ascii="IRNazanin" w:hAnsi="IRNazanin" w:eastAsia="IRNazanin"/>
          <w:color w:val="111111"/>
          <w:sz w:val="28"/>
          <w:sz w:val="28"/>
          <w:szCs w:val="28"/>
          <w:rtl w:val="true"/>
          <w:lang w:bidi="fa-IR"/>
        </w:rPr>
        <w:t xml:space="preserve">قد عدّ من الأغسال الفعليّة غسل التّوبة، بل ادّعی أنّه مذهب علمائنا أجمع،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الأغسال المسنونة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التّوبة سواء كان عن فسق أو كفر علی المشهور،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علمائنا أجمع</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عليه بصحيحة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 إِنِّی أَدْخُلُ كَنِيفاً وَلِی جِيرَانٌ وَعِنْدَهُمْ جَوَارٍ يَتَغَنَّيْنَ وَيَضْرِبْنَ بِالْعُودِ فَرُبَّمَا أَطَلْتُ الْجُلُوسَ اسْتِمَاعاً مِنِّی لَهُنَّ،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آتِيهِنَّ، إِنَّمَا هُوَ سَمَاعٌ أَسْمَعُهُ بِأُذُنِی،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أَ 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مَسْؤُلًا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لَكَأَنِّی لَمْ أَسْمَعْ بِهَذِهِ الْآيَةِ مِنْ كِتَابِ اللَّهِ مِنْ عَرَبِیٍّ وَلَا مِنْ عَجَمِیٍّ، لَا جَرَمَ أَنِّی لَا أَعُودُ إِنْ شَاءَ اللَّهُ وَأَنِّی أَسْتَغْفِرُ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وَصَلِّ مَا بَدَا لَكَ، فَإِنَّكَ كُنْتَ مُقِيماً عَلَى أَمْرٍ عَظِيمٍ، مَا كَانَ أَسْوَأَ حَالَكَ لَوْ مِتَّ عَلَى ذَلِكَ، احْمَدِ اللَّهَ، وَسَلْهُ التَّوْبَةَ مِنْ كُلِّ مَا يَكْرَهُ، فَإِنَّهُ لَا يَكْرَهُ إِلَّا كُلَّ قَبِيحٍ، وَالْقَبِيحَ دَعْهُ لِأَهْلِهِ، فَإِنَّ لِكُلٍّ أَهْلًا</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فإذا كان هذا حال الفاسق فاستحبابه للكافر بالأوليّة والفحوی، زائداً علی ما رواه العامة عن النَّبِیِّ صَلَّى اَللَّهُ عَلَيْهِ وَ آلِهِ وَ سَلَّمْ أنّه أمر قيس بن عاصم لمّا أسلم بالاغتسال بماء وسدر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هذه أهمّ ما هی من الأغسال المسنونة الّتي دلّت عليها الأخبار المعتبرة، وأفتی بها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تمّ بحمد الله والمنّة ما أردنا أن نبحث عنه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الأغسال وكفايتها عن الوضوء وفروعاتها الأربعة المتعلّقة بها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101" w:name="pg7917_8471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 w:name="__RefHeading___Toc6355173_1051229030"/>
      <w:bookmarkStart w:id="103" w:name="_Toc35"/>
      <w:bookmarkEnd w:id="101"/>
      <w:bookmarkEnd w:id="102"/>
      <w:r>
        <w:rPr>
          <w:rtl w:val="true"/>
        </w:rPr>
        <w:t>المقالة الثانية</w:t>
      </w:r>
      <w:r>
        <w:rPr>
          <w:rtl w:val="true"/>
        </w:rPr>
        <w:t xml:space="preserve">: </w:t>
      </w:r>
      <w:r>
        <w:rPr>
          <w:rtl w:val="true"/>
        </w:rPr>
        <w:t>في مفهوم الوطن الأصلی والمُستجدّ أو الإتّخاذی والوطن الشرعی التعبدی</w:t>
      </w:r>
      <w:r>
        <w:rPr>
          <w:rtl w:val="true"/>
        </w:rPr>
        <w:t>:</w:t>
      </w:r>
      <w:bookmarkEnd w:id="10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المقالة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مفهوم الوطن الأصلي والمُستجدّ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الشرعي التعبديإنّ من شروط القصر للمسافر أن لا يقطع سفره في أثناء الطريق بأحد القواطع وإلا أتمّ، منها وصوله إلی وطنه وإن لم ينو فيه الإقامة العشرة الّتي توجب التمام عليه، أو مرّ به ولو آناًمّا فإنّه قاطع للسفر حقيقة، فلو تخلل في أثناء الثمانية مع العزم عليه من بدو الأمر فهو يوجب لعدم ثبوت القصر ابتداً ويصير السفر حينئذ سفرين ولكلّ منهما حكمه والمفروض قصور كلّ منهما عن مقدار المسافة المعتبرة، وكيف كان المسألة قد دلّت عليها الأخبار المستفيضة بل المتواترة معناً</w:t>
      </w:r>
      <w:r>
        <w:rPr>
          <w:rStyle w:val="FootnoteAnchor"/>
          <w:rtl w:val="true"/>
        </w:rPr>
        <w:footnoteReference w:id="307"/>
      </w:r>
      <w:r>
        <w:rPr>
          <w:rFonts w:ascii="IRNazanin" w:hAnsi="IRNazanin" w:eastAsia="IRNazanin"/>
          <w:color w:val="111111"/>
          <w:sz w:val="28"/>
          <w:sz w:val="28"/>
          <w:szCs w:val="28"/>
          <w:rtl w:val="true"/>
          <w:lang w:bidi="fa-IR"/>
        </w:rPr>
        <w:t>، زائداً علی كونها محل اتفاق واجماع عند فقهاء الفريقين</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وهو مذهب العامة بأسرهم أيضاً، حكی الجزيری عن الحنفيّة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عاد المسافر إلی المكان الّذی خرج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بطل سفره، وعن المالكيّة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 من بلدة قاصداً قطع مسافة القصر ثمّ رجع إلی تلك البلدة فتلك البلدة إمّا أن تكون بلدته الأصليّة وهی الّتي نشأ فيها وإليها ينسب، وإمّا أن تكون بلدة أخری ويريد أن يقيم بها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رجع إلی بلدته الأصليّة أو البلدة الّتي نوی الإقامة فيها علی التأبيد فإنّه يتمّ بمجرد دخولها ولو لم ينو بها الإقامة القاطعة، إلا إذا خرج منها أولاً رافضاً لسكناها فإنّ دخوله فيها لا يمنع القصر، وحكی عن الشافعيّة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هو المحلّ الّذی يقيم فيه المرء علی الدوام صيفاً وشتاء وغيره ما ليس كذلك، فإذا رجع إلی وطنه بعد أن سافر منه أنتهی سفره بمجرد وصوله إليه، وأنّ الحنابلة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لوطنه الّذی ابتدأ السفر منه أولاً أو نوی الرجوع إليه، فإن كانت المسافة دون مسافة القصر وجب عليه الإتمام بمجرد ذلك حتّی يفارق وطنه ثانياً،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w:t>
      </w:r>
    </w:p>
    <w:p>
      <w:pPr>
        <w:pStyle w:val="BookText"/>
        <w:rPr/>
      </w:pPr>
      <w:r>
        <w:rPr>
          <w:rFonts w:ascii="IRNazanin" w:hAnsi="IRNazanin" w:eastAsia="IRNazanin"/>
          <w:color w:val="111111"/>
          <w:sz w:val="28"/>
          <w:sz w:val="28"/>
          <w:szCs w:val="28"/>
          <w:rtl w:val="true"/>
          <w:lang w:bidi="fa-IR"/>
        </w:rPr>
        <w:t>اختلفوا موضوعاً في مفهوم الوطن من أنّه هل هو ما له فيه ملك مطلقاً وإن كان شجرة واحدة، سواء أقام فيه ستة أشهر أم لا، أو بشرط كونه منزله، أو زائداً عليهما استيطانه ستة أشهر، أو بشرط كون الستة في سنة واحدة أو في كلّ سنة، أو كفاية ما يصدق له فيه أنّه وطنه مطلقاً، أو ما يريد أن يقيم بها دائماً؟ إلی غيرها من تفاصيل وتفاسير</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ثمّ إنّ الوطن قد يكون وطناً أصلياً وهو ما يكون محلّ ولادة الشخص ومحلّ إقامته واستقراره وموطن والديه من بدو الأمر وحين ولادته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وأخری ما يكون وطناً اتخاذياَ مستجداً </w:t>
      </w:r>
      <w:r>
        <w:rPr>
          <w:rStyle w:val="FootnoteAnchor"/>
          <w:rtl w:val="true"/>
        </w:rPr>
        <w:footnoteReference w:id="310"/>
      </w:r>
      <w:r>
        <w:rPr>
          <w:rFonts w:ascii="Amiri" w:hAnsi="Amiri" w:eastAsia="Amiri" w:cs="Amiri"/>
          <w:color w:val="111111"/>
          <w:sz w:val="28"/>
          <w:sz w:val="28"/>
          <w:szCs w:val="28"/>
          <w:rtl w:val="true"/>
          <w:lang w:bidi="ar-SA"/>
        </w:rPr>
        <w:t>و هو ما يتّخذه الإنسان مسكناً</w:t>
      </w:r>
    </w:p>
    <w:p>
      <w:pPr>
        <w:pStyle w:val="BookText"/>
        <w:rPr/>
      </w:pPr>
      <w:r>
        <w:rPr>
          <w:rFonts w:ascii="IRNazanin" w:hAnsi="IRNazanin" w:eastAsia="IRNazanin"/>
          <w:color w:val="111111"/>
          <w:sz w:val="28"/>
          <w:sz w:val="28"/>
          <w:szCs w:val="28"/>
          <w:rtl w:val="true"/>
          <w:lang w:bidi="fa-IR"/>
        </w:rPr>
        <w:t>ومقراً لتعيّشه من بعد ما هاجر من وطنه الأصلی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والأخير قد قصده الإنسان للإستقرار والكون فيه دائماً الّذی يلازم عرفاً الإعراض عن وطنه الأصلی، وأخری لا يكون لذلك بل كان من قصده الرجوع </w:t>
      </w:r>
    </w:p>
    <w:p>
      <w:pPr>
        <w:pStyle w:val="BookText"/>
        <w:rPr/>
      </w:pPr>
      <w:r>
        <w:rPr>
          <w:rFonts w:ascii="IRNazanin" w:hAnsi="IRNazanin" w:eastAsia="IRNazanin"/>
          <w:color w:val="111111"/>
          <w:sz w:val="28"/>
          <w:sz w:val="28"/>
          <w:szCs w:val="28"/>
          <w:rtl w:val="true"/>
          <w:lang w:bidi="fa-IR"/>
        </w:rPr>
        <w:t xml:space="preserve">منه بعد مدّة معتدة بها، أو لا عزم له فعلاً لواحد من الرجوع أو البقاء، أو لم يلتفت إليه أصلاً لكنّه لم يصدق عليه حينئذ خلال إقامته فيه علی جميع هذه الفروض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بل يرجع إليه كلّما سافر منه لحاجة كما كان كذلك لمن اتّخذ هناك وطناً مؤبداً لنفسه من بدو الأمر أو من بعد ما هاجر من وطنه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قال بثبوت وطن ثالث يعبّرون عنه بالوطن الشرعی في قبال الوطنين الأصلی والمتّخذ من باب الحقيقة الشرعيّة والتنزيل الموضوعی والتصرف في عقد الوضع أو من باب التنزيل الحكمی التّعبدی والتصرف في عقد الحمل وسيأتی البحث عنه مفصّلاً في الفرع الثانی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نبحث هنا إن شاء الله تعالی عن هذه المسألة وفروعاتها المرتبطة بالتّفصيل علی حسب مبانی الإستدلاليّة في الفقه الإماميّة مع الإذعان بكونها من المسائل الهامّة المبتلی بها لا سيّما في عصرنا و زماننا هذا، والّذی يجب أن ننبّه عليه قبل كلّ شیء أنّ الجواب عن هذه المسألة يدور حول أمرين رئيسيين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الوطن الشرعی</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ملاك الإتمام كونه غير مسافر أو كونه متوطّناً ؟</w:t>
      </w:r>
    </w:p>
    <w:p>
      <w:pPr>
        <w:pStyle w:val="BookText"/>
        <w:rPr/>
      </w:pPr>
      <w:r>
        <w:rPr>
          <w:rFonts w:ascii="IRNazanin" w:hAnsi="IRNazanin" w:eastAsia="IRNazanin"/>
          <w:color w:val="111111"/>
          <w:sz w:val="28"/>
          <w:sz w:val="28"/>
          <w:szCs w:val="28"/>
          <w:rtl w:val="true"/>
          <w:lang w:bidi="fa-IR"/>
        </w:rPr>
        <w:t xml:space="preserve">وكيف كان نقتفی في بحثنا رأی الإمام الراحل قدس سره فنذكر كلامه أوّلاً، ثمّ نعقّبه بذكر بعض أقوال فقهاء الفريقين الّتي وردت في المقام فإنّه رحمه الله ذكر المسألة وشرائطها، في طليعة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في قواطع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الصلاة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المسألة الأولی منها حيث 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في قواطع السفر، وهی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الوطن، فينقطع السفر بالمرور عليه، ويحتاج في القصر بعده إلى قصد مسافة جديدة سواء كان وطنه الأصلی ومسقط رأسه أو المستجدّ، وهو المكان الّذی اتخذه مسكناً ومقراً له دائماً، ولا يعتبر فيه حصول ملك ولا إقامة ستة أشهر، </w:t>
      </w:r>
      <w:bookmarkStart w:id="104" w:name="pg7917_84723"/>
    </w:p>
    <w:p>
      <w:pPr>
        <w:pStyle w:val="BookText"/>
        <w:rPr/>
      </w:pPr>
      <w:bookmarkEnd w:id="104"/>
      <w:r>
        <w:rPr>
          <w:rFonts w:ascii="Amiri" w:hAnsi="Amiri" w:eastAsia="Amiri" w:cs="Amiri"/>
          <w:color w:val="111111"/>
          <w:sz w:val="28"/>
          <w:sz w:val="28"/>
          <w:szCs w:val="28"/>
          <w:rtl w:val="true"/>
          <w:lang w:bidi="ar-SA"/>
        </w:rPr>
        <w:t>نعم يعتبر في المستجدّ الإقامة فيه بمقدار يصدق عرفاً أنّه وطنه ومسكنه، بل قد يصدق الوطن بواسطة طول الإقامة إذا أقام في بلد بلا نية للإقامة دائماً ولا نية تركها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أعرض عن وطنه الأصلی أو المستجدّ وتوطّن في غيره فإن لم يكن له فيه ملك أو كان ولم يكن قابلاً للسكنى أو كان ولم يسكن فيه ستة أشهر بقصد التوطّن الأبدی يزول عنه حكم الوطنية، وأمّا إذا كان له ملك وقد سكن فيه ستة أشهر بعد اتخاذه وطناً دائماً أو كونه وطناً أصلياً فالمشهور على أنّه بحكم الوطن الفعلی، ويسمّونه بالوطن الشرعی، فيوجبون عليه التمام بالمرور عليه ما دام ملكه باقياً فيه، بل قال بعضهم بوجوب التمام إذا كان له فيه ملك غير قابل للسكنى ولو نخلة ونحوها، بل فيما إذا سكن ستة أشهر ولو لم يكن بقصد التوطّن دائماً بل بقصد التجارة مثلاً، والأقوى خلاف ذلك كلّه، فلا يجری حكم الوطن فيما ذكر كلّه، ويزول حكم الوطن مطلقاً بالاعراض، وإن كان الأحوط الجمع بين إجراء حكم الوطن وغيره فيها خصوصاً الصورة الأولى</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6355175_1051229030"/>
      <w:bookmarkStart w:id="106" w:name="_Toc36"/>
      <w:bookmarkEnd w:id="105"/>
      <w:r>
        <w:rPr>
          <w:rtl w:val="true"/>
        </w:rPr>
        <w:t>عناوين فروعات المسألة إجمالاً</w:t>
      </w:r>
      <w:r>
        <w:rPr>
          <w:rtl w:val="true"/>
        </w:rPr>
        <w:t>:</w:t>
      </w:r>
      <w:bookmarkEnd w:id="106"/>
    </w:p>
    <w:p>
      <w:pPr>
        <w:pStyle w:val="BookText"/>
        <w:rPr/>
      </w:pPr>
      <w:r>
        <w:rPr>
          <w:rFonts w:ascii="IRNazanin" w:hAnsi="IRNazanin" w:eastAsia="IRNazanin"/>
          <w:color w:val="111111"/>
          <w:sz w:val="28"/>
          <w:sz w:val="28"/>
          <w:szCs w:val="28"/>
          <w:rtl w:val="true"/>
          <w:lang w:bidi="fa-IR"/>
        </w:rPr>
        <w:t>إنّ المباحث المطروحة في هذه المسألة وطليعتها يمكن إدراجها طیّ فروع خمسة آتية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أهل اللغة و فقهاء الفريقين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الوطن إلی الأصلی، والمستجدّ أو الإتخاذی، والشرعی التعبّدی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فيه ملك؟ </w:t>
      </w:r>
      <w:bookmarkStart w:id="107" w:name="pg7917_84724"/>
    </w:p>
    <w:p>
      <w:pPr>
        <w:pStyle w:val="BookText"/>
        <w:rPr/>
      </w:pPr>
      <w:bookmarkEnd w:id="107"/>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يصدق الإعراض عن الوطن الأصلی والمستجدّ والشرعی التعبّدی؟</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حكم عبادتی الصوم والصلاة لو تردّد في بقاء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زواله، إذا مرّ به ولم ينو إقامة عشر أيّام؟</w:t>
      </w:r>
    </w:p>
    <w:p>
      <w:pPr>
        <w:pStyle w:val="Heading2"/>
        <w:numPr>
          <w:ilvl w:val="1"/>
          <w:numId w:val="1"/>
        </w:numPr>
        <w:rPr/>
      </w:pPr>
      <w:bookmarkStart w:id="108" w:name="__RefHeading___Toc6355177_1051229030"/>
      <w:bookmarkStart w:id="109" w:name="_Toc37"/>
      <w:bookmarkEnd w:id="108"/>
      <w:r>
        <w:rPr>
          <w:rtl w:val="true"/>
        </w:rPr>
        <w:t>أمّا الفرع الأول</w:t>
      </w:r>
      <w:r>
        <w:rPr>
          <w:rtl w:val="true"/>
        </w:rPr>
        <w:t xml:space="preserve">: </w:t>
      </w:r>
      <w:r>
        <w:rPr>
          <w:rtl w:val="true"/>
        </w:rPr>
        <w:t xml:space="preserve">تعريف </w:t>
      </w:r>
      <w:r>
        <w:rPr>
          <w:rtl w:val="true"/>
        </w:rPr>
        <w:t>«</w:t>
      </w:r>
      <w:r>
        <w:rPr>
          <w:rtl w:val="true"/>
        </w:rPr>
        <w:t>الوطن</w:t>
      </w:r>
      <w:r>
        <w:rPr>
          <w:rtl w:val="true"/>
        </w:rPr>
        <w:t xml:space="preserve">» </w:t>
      </w:r>
      <w:r>
        <w:rPr>
          <w:rtl w:val="true"/>
        </w:rPr>
        <w:t>عند أهل اللغة و فقهاء الفريقين</w:t>
      </w:r>
      <w:r>
        <w:rPr>
          <w:rtl w:val="true"/>
        </w:rPr>
        <w:t>:</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كفرس بالتحريك وقد يسكن علی وزن فلس لضرورة الشعر،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الإنسان ومنزله ومسكنه الّذی يقيم به في الحال،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منه أی المكان الّذی قام به الإنسان، وجمعه المواطن كمسجد ومساجد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وَيَوْمَ حُنَيْن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خليل بن أحمد الفراهيدی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الوطن موطن الإنسان ومحلّه، وأوطان الأغنام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مرابضها الّتي تأوی إليها،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أوطن فلان أرض كذا،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اتخذها محلاً ومسكناً يقيم بها، والموطن كلّ مكان قام به الإنسان لأمر</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والطاء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صحيحة، فالوطن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الإنسان وأوطان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مرابضها، وأوطنتُ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اتخذتُها وطناً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7917_84726"/>
      <w:bookmarkStart w:id="111" w:name="pg7917_84726"/>
      <w:bookmarkEnd w:id="111"/>
    </w:p>
    <w:p>
      <w:pPr>
        <w:pStyle w:val="BookText"/>
        <w:rPr/>
      </w:pPr>
      <w:bookmarkStart w:id="112" w:name="pg7917_84726"/>
      <w:bookmarkEnd w:id="112"/>
      <w:r>
        <w:rPr>
          <w:rFonts w:ascii="IRNazanin" w:hAnsi="IRNazanin" w:eastAsia="IRNazanin"/>
          <w:color w:val="111111"/>
          <w:sz w:val="28"/>
          <w:sz w:val="28"/>
          <w:szCs w:val="28"/>
          <w:rtl w:val="true"/>
          <w:lang w:bidi="fa-IR"/>
        </w:rPr>
        <w:t xml:space="preserve">وقال ابن المنظور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الوطن المنزل تقيم به وهو موطن الإنسان ومحلّه، وقد خفّفه رؤبة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أوطنتُ وطناً لم يكن وطنی لو لم تكن عاملها لم اسكن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أوطان، وأوطان الغنم والبقر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مرابضها وأماكنها الّتي تأوی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والموطن مفعل منه وجمعه 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كلّ مقام قام به الإنسان لأمر فهو موطن 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منظر أرباب اللغة، وأمّا تعريفه عن منظر فقهاء الفريقين</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6355179_1051229030"/>
      <w:bookmarkStart w:id="114" w:name="_Toc38"/>
      <w:bookmarkEnd w:id="113"/>
      <w:r>
        <w:rPr>
          <w:rtl w:val="true"/>
        </w:rPr>
        <w:t xml:space="preserve">أقوال فقهاء الفريقين في بيان معنی </w:t>
      </w:r>
      <w:r>
        <w:rPr>
          <w:rtl w:val="true"/>
        </w:rPr>
        <w:t>«</w:t>
      </w:r>
      <w:r>
        <w:rPr>
          <w:rtl w:val="true"/>
        </w:rPr>
        <w:t>الوطن</w:t>
      </w:r>
      <w:r>
        <w:rPr>
          <w:rtl w:val="true"/>
        </w:rPr>
        <w:t>»:</w:t>
      </w:r>
      <w:bookmarkEnd w:id="114"/>
    </w:p>
    <w:p>
      <w:pPr>
        <w:pStyle w:val="BookText"/>
        <w:rPr/>
      </w:pPr>
      <w:r>
        <w:rPr>
          <w:rFonts w:ascii="IRNazanin" w:hAnsi="IRNazanin" w:eastAsia="IRNazanin"/>
          <w:color w:val="111111"/>
          <w:sz w:val="28"/>
          <w:sz w:val="28"/>
          <w:szCs w:val="28"/>
          <w:rtl w:val="true"/>
          <w:lang w:bidi="fa-IR"/>
        </w:rPr>
        <w:t xml:space="preserve">اختلف فقهاء الفريقين في تبيين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القاطع للسفر الّذی يوجب الإتمام والصيام بمجرد الوصول إليه ولو لم ينو فيه إقامة العشرة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يكفی في صدق الوطن أن يكون له فيه ملك مطلقاً سواء كان منزلاً أو غيره ولو كان شجرة واحدة، وسواء أقام فيه ستة أشهر أم لا، فتوی الّذی نسبه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ابن الجنيد الإسكافی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وجب عليه التقصير في سفر فنزل منزلاً أو قرية ملكها أو بعضها أتمّ وإن لم يقم المدة الّتي توجب التمام علی المسافر، وإن كان مجتازاً بها غير نازل لم يتمّ، وكذلك حكم منزل زوجة الرجل و ولده وأبيه وأخيه إن كان حكمه نافذاً فيه لا يزعجونه منه لو أراد المقام به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وهو أيضاً خيرة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 الدّين بن علی العاملی المعروف بالشهيد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يظهر من فحوی كلامهما، فقال العلامة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اتخذ بلداً دار إقامته كان حكمه حكم الملك وإن لم يكن له فيه ملك بحيث لو اجتاز عليه وجب عليه الإتمام فيه ما لم تغيّر نيّة الإقامة، ولو اتخذ بلدين فما زاد موضع إقامته كانا بحكم ملكه وإن لم يكن له فيهما ملك</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اتّخذ الإنسان داراً وطناً على الدوام، فإنّه يشترط فيه إقامة ستّة أشهرٍ يصلّی فيها على التمام‌حتّى ينقطع سفره بالوصول إليه كالملك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تغيّرت النيّة أو زال الملك تغيّر الحكم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المستفاد من ابن قدامة الفقيه المعروف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وإن قالوا في معنی الوطن ما سيأتی في القول السابع إلا أنّهم قد حكوا إجمالاً بالإتمام والصيام بمجرد الملك أو الضيعة حيث 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مرّ في طريقه علی بلد له فيه أهل أو مال فقال أحمد في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وقال في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إلا أن يكون مارّاً، وهذا قول ابن عباس، وقال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بمزرعة له أتمّ، وقال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مرّ بقرية فيها أهله أو ماله </w:t>
      </w:r>
    </w:p>
    <w:p>
      <w:pPr>
        <w:pStyle w:val="BookText"/>
        <w:rPr/>
      </w:pPr>
      <w:r>
        <w:rPr>
          <w:rFonts w:ascii="IRNazanin" w:hAnsi="IRNazanin" w:eastAsia="IRNazanin"/>
          <w:color w:val="111111"/>
          <w:sz w:val="28"/>
          <w:sz w:val="28"/>
          <w:szCs w:val="28"/>
          <w:rtl w:val="true"/>
          <w:lang w:bidi="fa-IR"/>
        </w:rPr>
        <w:t>أتمّ إذا أراد أن يقيم بها يوماً وليلة، وقال الشافعی وابن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يقصّر ما لم يجمع علی إقامة أربع لأنّه مسافر لم يجمع علی أربع</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يقال إنّ كلام الإسكافی وكذلك العلامة والشهيد هنا لم يكن ناظراً لبيان معنی الوطن العرفی بل إنّهم كانوا في مقام بيان موجبات قواطع السفر منها الوطن وفی عرضه عندهم مطلق الملك كما أفتی به العامة، فعليه لم يكن قولهم هذا مخالفاً لما ذهب إليه سائر الفقهاء في معنی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يشترط في صدق الوطن الملك ومضی إقامة ستة أشهر بقصد التوطّن متوالية كانت الإقامة أو متفرقة، اختار هذا القول ظاهراً المحقق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والوطن الّذی يتمّ فيه هو كلّ موضع له فيه ملك قد استوطنه ستة أشهر فصاعداً متواليةً أو متفرقة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أضاف إليه المحقق العاملی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واطلاق العبارة يقتضی عدم الفرق في الملك بين المنزل وغيره، وبهذا التعميم جزم العلامة ومن تأخّر عنه حتّی صرّحوا بالإكتفاء في ذلك بالشجرة الواحدة واستدلوا عليه بما رواه الشيخ في الموثق عن عَمَّارِ بْنِ مُوسَى السَّابَاطِی عَنْ أَبِی عَبْدِ اللَّهِ علیه السلام في الرَّجُلِ يَخْرُجُ في سَفَرٍ فَيَمُرُّ بِقَرْيَةٍ لَهُ أَوْ دَارٍ فَيَنْزِلُ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الصَّلَاةَ وَلَوْ لَمْ يَكُنْ لَهُ إِلَّا نَخْلَةٌ وَاحِدَةٌ وَلَا يَقْصُرْ، وَلْيَصُمْ إِذَا حَضَرَهُ الصَّوْمُ وَهُوَ فِيهَا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العلامة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كتابي الإرشاد والتبصرة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التقصير في الرباعيّة خاصّة بستة شروط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قطع السفر بنيّة الإقامة عشرة فما زاد في الأثناء، أو بوصوله بلداً له فيه ملك استوطنه ستة أشهر فصاعداً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شرائط قصر الصلاة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ينقطع سفره ببلد له فيه ملك قد استوطنه ستة أشهر فصاعداً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أيضاً صريح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سافر فمرّ في طريقه بضيعة له أو علی مال له أو كانت له أصهاراً و زوجة فنزل عليهم ولم ينو المقام عشرة أيام قصّر، وقد روی أنّه عليه التمام وقد بيّنّا الجمع بينهما وهو أنّ ما روی أنّه إن كان منزله أو ضيعته ممّا قد استوطنه ستة أشهر فصاعداً تمّم، وإن لم يكن استوطن ذلك قصّر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المحدث البحرانی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 الخلاف هنا في ما ينقطع به السفر من مجرد الملك أو خصوص المنزل، فالمشهور بين المتأخّرين الإكتفاء بمجرد الملك ولو نخلة واحدة بشرط الإستيطان في تلك البلدة ستة أشهر، وذهب آخرون إلی اشتراط المنزل</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في صدق الوطن أن يكون منزله مملوكاً مع إقامة الستة، فهو أخصّ من سابقه بإعتبار لزوم كون منزله مملوكاً، ممّن اختار هذا القول ابن إدريس الحلي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نزل في سفره قريةً أو مدينةً وله فيها منزل مملوك قد استوطنه ستة أشهر أتمّ وإن لم يقم المدّة الّتي توجب علی المسافر التمام، أو لم ينو المقام عشرة أيام، وإن لم يكن كذلك قصّر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صدق الوطن أن يكون له فيه منزل مع استيطانه ستة أشهر في السنة، فهو أخصّ من سابقيه باعتبار الستة فإنّها فيهما مطلقة وهنا مقيدة بالسنة فلا تكفی الستة غير متوالية من سنتين أو سنين متعددة بخلافهما، لكنه ليس فيه تصريح بلزوم التوالی بين الستة في السنة أيضاً، هذا القول هو مذهب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إِسْمَاعِيلُ بْنُ الْفَضْلِ أَبَا عَبْدِ اللَّهِ علیه السلام عَنْ رَجُلٍ يُسَافِرُ مِنْ أَرْضٍ إِلَى أَرْضٍ وَإِنَّمَا يَنْزِلُ قُرَاهُ وَضَيْعَتَهُ؟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قُرَاكَ وَأَرْضَكَ فَأَتِمَّ الصَّلَاةَ وَإِذَا كُنْتَ في غَيْرِ أَرْضِكَ فَقَصِّرْ</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 قال مصنف هذا الكتاب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يعنی بذلك إذا أراد المقام في قراه وأرضه عشرة أيّام، ومتی لم يرد المقام بها عشرة أيّام قصّر إلا أن يكون له بها منزل يكون فيه في السنة ستة أشهر، فإن كان كذلك أتمّ متی دخلها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الوطن هو ما يكون له فيه منزل مع استيطانه فيه فعلاً، فهو أعم بالنسبة إلی غير الأولی من هذه الأقوال باعتبار الاستيطان فإنّه فيه مطلق وفيها مقيّد بستة أشهر متوالية أو متفرقة، وأخصّ منها باعتبار فعليّة الاستيطان، هذا </w:t>
      </w:r>
    </w:p>
    <w:p>
      <w:pPr>
        <w:pStyle w:val="BookText"/>
        <w:rPr/>
      </w:pPr>
      <w:r>
        <w:rPr>
          <w:rFonts w:ascii="IRNazanin" w:hAnsi="IRNazanin" w:eastAsia="IRNazanin"/>
          <w:color w:val="111111"/>
          <w:sz w:val="28"/>
          <w:sz w:val="28"/>
          <w:szCs w:val="28"/>
          <w:rtl w:val="true"/>
          <w:lang w:bidi="fa-IR"/>
        </w:rPr>
        <w:t xml:space="preserve">القول هو ظاهر الشيخ الطوسی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والقاضی ابن البراج الطرابلسی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خرج إلی ضيعة له وكان له فيها موضع ينزله ويستوطنه وجب عليه التمام، فإن لم يكن له فيها مسكن فإنّه يجب عليه التقصير</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كانت له قرية له فيها موضع يستوطنه وينزل به وخرج إليها وكانت عدة فراسخ سفره علی ما قدمناه فعليه التمام، وإن لم يكن له فيها سكن ينزل به ولا يستوطنه كان له التقصير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كلامهما هو اعتبار دوام الاستيطان كما يعتبر دوام المنزل والإسكان، ومثلهما ما قاله أبوالصلاح الحلبی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ويلزم التقصير لمكلفه إذا غاب عنه أذان مصره، فإن دخل مصراً له فيها وطن فنزل فيه فعليه التمام ولو صلاة واحدة، فإن لم ينزله أو لم يكن له فيه وطن فعزم علی الإقامة عشراً تمّم، وإن لم يعزم علی هذه المدة قصّر ما بينه وبين شهر ثمّ تمّم ولو صلاة واحدة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لعدم انفكاك الوطن عن المنزل سيّما إذا لم يشترط في المنزل الملكيّة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هو ما يكون له فيه ملك أقام فيه ستة أشهر، أو يكون وطناً له عرفاً، وحاصله كفاية أحد الوطنين الشرعی أو العرفی، نسبه النراقی رحمه الله في مستنده إلی بعض متأخرّي الأصحاب 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صرّح بعض مشايخنا بعدم الخلاف نصّاً وفتویً في كفايته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الوطن هو ما قصده الإنسان للتوطّن والسكونة فيه تأبيداً، الّذی هو خيرة الشهيد الثانی والشيخ محمد حسن النجفی صاحب الجواهر والسيّد الطباطبائی والإمام الراحل رضوان الله تعالی عليهم وجمع آخر من فقهائنا في المقام، نسب السيّد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إلی ظاهر كلمات الأصحاب وقد خالفه بعض محشيها منهم السيّد البروجردی قدس سره </w:t>
      </w:r>
      <w:r>
        <w:rPr>
          <w:rStyle w:val="FootnoteAnchor"/>
          <w:rtl w:val="true"/>
        </w:rPr>
        <w:footnoteReference w:id="332"/>
      </w:r>
      <w:r>
        <w:rPr>
          <w:rFonts w:ascii="IRNazanin" w:hAnsi="IRNazanin" w:eastAsia="IRNazanin"/>
          <w:color w:val="111111"/>
          <w:sz w:val="28"/>
          <w:sz w:val="28"/>
          <w:szCs w:val="28"/>
          <w:rtl w:val="true"/>
          <w:lang w:bidi="fa-IR"/>
        </w:rPr>
        <w:t>وشيخنا الأستاذ مكارم الشيرازی دام ظله</w:t>
      </w:r>
      <w:r>
        <w:rPr>
          <w:rStyle w:val="FootnoteAnchor"/>
          <w:rtl w:val="true"/>
        </w:rPr>
        <w:footnoteReference w:id="333"/>
      </w:r>
      <w:r>
        <w:rPr>
          <w:rFonts w:ascii="IRNazanin" w:hAnsi="IRNazanin" w:eastAsia="IRNazanin"/>
          <w:color w:val="111111"/>
          <w:sz w:val="28"/>
          <w:sz w:val="28"/>
          <w:szCs w:val="28"/>
          <w:rtl w:val="true"/>
          <w:lang w:bidi="fa-IR"/>
        </w:rPr>
        <w:t>، وكيف كان فالتأبيد أيضاً هو ظاهر مذهب الحنابلة غير أنّ الحنفيّة والمالكيّة والشافعيّة من العامة قد صرّحوا به، قال زين الدّين بن علی العاملی المعروف بالشهيد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اتّخذ الإنسان داراً وطناً على الدوام، فإنّه يشترط فيه إقامة ستّة أشهرٍ يصلّی فيها على التمام‌حتّى ينقطع سفره بالوصول إليه كالمِلْكِ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تغيّرت النيّة أو زال الملك تغيّر الحكم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محمد حسن النجفی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بالوطن الّذی يتمّ فيه وإن عزم علی السفر قبل تخلّل العشرة هو كلّ موضع يتّخذه الإنسان مقراً ومحلاً له علی الدوام إلی الموت، لا أنّه قصد استيطانه مدّة وإن طالت مستمراَ علی ذلك غير عادل عنه كما نصّ عليه الفاضل والشهيد وغيرهما، بل نسبه في المدارك إلی سائر من </w:t>
      </w:r>
    </w:p>
    <w:p>
      <w:pPr>
        <w:pStyle w:val="BookText"/>
        <w:rPr/>
      </w:pPr>
      <w:r>
        <w:rPr>
          <w:rFonts w:ascii="IRNazanin" w:hAnsi="IRNazanin" w:eastAsia="IRNazanin"/>
          <w:color w:val="111111"/>
          <w:sz w:val="28"/>
          <w:sz w:val="28"/>
          <w:szCs w:val="28"/>
          <w:rtl w:val="true"/>
          <w:lang w:bidi="fa-IR"/>
        </w:rPr>
        <w:t xml:space="preserve">تأخّر عن العلامة من غير فرق بين ما نشأ فيه وما استجده ليتحقق حينئذ معنی الوطن الّذی نصّ في الصحاح والمصباح عن أنّه المكان والمقرّ، وأمر في النصّ والفتوی بالتمام فيه، ولا يعتبر في مفهومه عرفاً الاتحاد وإقامة الستة أشهر فيه وإن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الأقرب معلاً بأنّه ليتحقق الاستيطان الشرعی مع العرفی</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الطباطبائی اليزدی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كلمات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قصد التوطّن أبداً في صدق الوطن العرفی، فلا يكفی العزم علی السكنی إلی مدّة مديدة كثلاثين سنة أو أزيد، لكنّه مشكل، فلا يبعد الصدق العرفی بمثل ذلك، والأحوط إجراء الحكمين بمراعاة الإحتياط</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البروجردی رحمه الله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الوطن هو عبارة عن المكان الّذی يكون خروج الإنسان منه بسبب العوارض وحدوث الحوائج وعلی خلاف طبعه الأولی، والحاصل أنّه لا يصحّ الإلتزام بكون الملاك في صدق الوطن كونه مسقط رأس الشخص، أو مسكن آبائه وأجداده، أو مقرّه مع البناء علی الإقامة فيه مادام الحياة، بل المعتبر في صدق كون المكان وطناً للشخص هو أن يكون المكان مقرّه بحيث يكون خروجه منه بإزعاج مزعج بعد قضاء حوائجه الموجبة للخروج منه يرجع إلی ذلك المكان كالطيور الّتي ترجع إلی أوكارها بعد الخروج لتهيئة الرزق، فعلی ما قلناه من كونه الوطن هو الّذی يعدّ التباعد منه سفراً والكون فيه حضراً فما في العروة </w:t>
      </w:r>
    </w:p>
    <w:p>
      <w:pPr>
        <w:pStyle w:val="BookText"/>
        <w:rPr/>
      </w:pPr>
      <w:r>
        <w:rPr>
          <w:rFonts w:ascii="IRNazanin" w:hAnsi="IRNazanin" w:eastAsia="IRNazanin"/>
          <w:color w:val="111111"/>
          <w:sz w:val="28"/>
          <w:sz w:val="28"/>
          <w:szCs w:val="28"/>
          <w:rtl w:val="true"/>
          <w:lang w:bidi="fa-IR"/>
        </w:rPr>
        <w:t>الوثقی من أنّ المشهور بين الفقهاء اعتبار البناء علی الإقامة ما دام العمر في صدق الوطن ليس في محلّه لعدم اشتهاره بينهم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الراحل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المكان الّذی اتخذه مسكناً ومقراً له دائماً،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أعرض عن وطنه الأصلی أو المستجدّ وتوطن في غيره فإن لم يكن له فيه ملك أو كان ولم يكن قابلا للسكنى أو كان ولم يسكن فيه ستة أشهر بقصد التوطّن الأبدی يزول عنه حكم الوطنية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وحكی الجزيری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ظاهر الحنابلة وصريح الحنفيّة والمالكيّة والشافعيّة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الوطن هو المحل الّذی يقيم فيه المرء علی الدوام صيفاً وشتاءً، أو ما نوی الإقامة فيه علی التأييد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العلامة الحلي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أيضاً خيرة بعض المعاصرين كسيدي البروجردی</w:t>
      </w:r>
      <w:r>
        <w:rPr>
          <w:rStyle w:val="FootnoteAnchor"/>
          <w:rtl w:val="true"/>
        </w:rPr>
        <w:footnoteReference w:id="340"/>
      </w:r>
      <w:r>
        <w:rPr>
          <w:rFonts w:ascii="IRNazanin" w:hAnsi="IRNazanin" w:eastAsia="IRNazanin"/>
          <w:color w:val="111111"/>
          <w:sz w:val="28"/>
          <w:sz w:val="28"/>
          <w:szCs w:val="28"/>
          <w:rtl w:val="true"/>
          <w:lang w:bidi="fa-IR"/>
        </w:rPr>
        <w:t>والخوئی قدس الله أسرارهما وشيخنا الأستاذ مكارم الشيرازی دام ظله</w:t>
      </w:r>
      <w:r>
        <w:rPr>
          <w:rStyle w:val="FootnoteAnchor"/>
          <w:rtl w:val="true"/>
        </w:rPr>
        <w:footnoteReference w:id="341"/>
      </w:r>
      <w:r>
        <w:rPr>
          <w:rFonts w:ascii="IRNazanin" w:hAnsi="IRNazanin" w:eastAsia="IRNazanin"/>
          <w:color w:val="111111"/>
          <w:sz w:val="28"/>
          <w:sz w:val="28"/>
          <w:szCs w:val="28"/>
          <w:rtl w:val="true"/>
          <w:lang w:bidi="fa-IR"/>
        </w:rPr>
        <w:t xml:space="preserve">من أنّه يكفی في صدق الوطن كونه مقراً لإقامته فعلاً بحيث عاد إليه كلما خرج منه لحاجة </w:t>
      </w:r>
    </w:p>
    <w:p>
      <w:pPr>
        <w:pStyle w:val="BookText"/>
        <w:rPr/>
      </w:pPr>
      <w:r>
        <w:rPr>
          <w:rFonts w:ascii="Amiri" w:hAnsi="Amiri" w:eastAsia="Amiri" w:cs="Amiri"/>
          <w:color w:val="111111"/>
          <w:sz w:val="28"/>
          <w:sz w:val="28"/>
          <w:szCs w:val="28"/>
          <w:rtl w:val="true"/>
          <w:lang w:bidi="ar-SA"/>
        </w:rPr>
        <w:t xml:space="preserve">كأوطان الحيوانات وإن لم يكن مسقط رأسه ومسكن آبائه وأجداده ولم يكن له فيه ملك، قال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اتخذ بلداً دار إقامته كان حكمه حكم الملك وإن لم يكن له فيه ملك بحيث لو اجتاز عليه وجب عليه الإتمام فيه ما لم تغيّر نيّة الإقامة، ولو اتخذ بلدين فما زاد موضع إقامته كانا بحكم ملكه وإن لم يكن له فيهما ملك</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كلامه قدس سره هو كفاية صرف اتخاذ المحل بعنوان دار الإقامة واسكانه في صدق الوطن كما صرّح به علماء اللغة، من دون لزوم كونها علی الدوام، وذلك لكونه في مقام بيان تمام ما له دخل في تحقق قطع السفر به ومع ذلك لم يشر إلی هذا القيد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ثمانية أقوال ذكروها الفريقين في مفهوم الوطن، والظاهر إنّ الّذی يوجب إلی هذا الإختلاف العظيم هو الخلط في كلماتهم بين معنی الوطن اللغوی العرفی وبين معنی الوطن الشرعی التعبدی الحكمی علی القول بثبوته، فلو فككنا بين هذين المعنيين لَقلّة الأقوال جدّاً، وكيف كان محصّل الأقوال بعد إرجاع مطلقاتها إلی مقيّداتها أربعة، هی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يكفی في صدق الوطن أن يكون له فيه ملك مطلقاً سواء كان منزلاً أو غيره ولو كان شجرة واحدة، وسواء اقام فيه ستة أشهر أم لا، القول الّذی </w:t>
      </w:r>
    </w:p>
    <w:p>
      <w:pPr>
        <w:pStyle w:val="BookText"/>
        <w:rPr/>
      </w:pPr>
      <w:r>
        <w:rPr>
          <w:rFonts w:ascii="IRNazanin" w:hAnsi="IRNazanin" w:eastAsia="IRNazanin"/>
          <w:color w:val="111111"/>
          <w:sz w:val="28"/>
          <w:sz w:val="28"/>
          <w:szCs w:val="28"/>
          <w:rtl w:val="true"/>
          <w:lang w:bidi="fa-IR"/>
        </w:rPr>
        <w:t>يحكی عن صريح ابن الجنيد الإسكافی رحمه الله وفحوی كلام العلامة والشهيد قدس الله أسرارهما علی القول بكونهم كانوا في صدد بيان مفهوم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هو ما يكون له فيه ملك قد استوطنه فيه فعلاً ستة أشهر متواليةً بقصد التوطن وحيث لم ينفك الوطن عن المنزل فهو ملازم له، الّذی يستفاد من تجميع الأقوال الأربعة المتوسطة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الوطن هو ما قصده الإنسان للتوطّن والسكونة فيه تأبيداً، الّذی هو خيرة الشهيد الثانی وصاحب الجواهر والسيّد الطباطبائی والإمام الراحل وبعض آخر من فقهائنا العظام في المقام ونسبه السيّد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ظاهر كلمات الأصحاب رضوان الله تعالی عليهم، وكذلك كونه مذهب الحنابلة ظاهراً ومذهب الحنفيّة والمالكيّة والشافعيّة من العامة صريحاً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الوطن هو ما قصده الإنسان للتوطّن والسكونة فيه فعلاً بحيث عاد إليه كلما خرج منه لحاجة وإن لم يكن مسقط رأسه ومسكن آبائه وأجداه ولم يكن له فيه ملك أصلاً ، الّذی هو خيرة العلامة الحلي رحمه الله في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 المعاصرين كسيدي البروجردی</w:t>
      </w:r>
      <w:r>
        <w:rPr>
          <w:rStyle w:val="FootnoteAnchor"/>
          <w:rtl w:val="true"/>
        </w:rPr>
        <w:footnoteReference w:id="343"/>
      </w:r>
      <w:r>
        <w:rPr>
          <w:rFonts w:ascii="IRNazanin" w:hAnsi="IRNazanin" w:eastAsia="IRNazanin"/>
          <w:color w:val="111111"/>
          <w:sz w:val="28"/>
          <w:sz w:val="28"/>
          <w:szCs w:val="28"/>
          <w:rtl w:val="true"/>
          <w:lang w:bidi="fa-IR"/>
        </w:rPr>
        <w:t>والخوئی قدس الله أسرارهما وشيخنا الأستاذ مكارم الشيرازی دام ظله وما صرّح به علماء اللغة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والتحقيق أنّ بناء الأقوال الثلاثة الأولی علی القول بثبوت الوطن الشرعی وإن اختلفوا فيما يتحقّق به، وبناء الرابع علی المعنی اللغوی العرفی، علينا أن نبحث أولاً عن أدلة الأقوال حتّی نعلم أنّه هل يبقی مفهوم الوطن علی ما له من معناه اللغوی وهو موطن الإنسان ومنزله ومسكنه الّذی يقيم به في الحال، أو نُقل </w:t>
      </w:r>
      <w:bookmarkStart w:id="115" w:name="pg7917_84737"/>
    </w:p>
    <w:p>
      <w:pPr>
        <w:pStyle w:val="BookText"/>
        <w:rPr/>
      </w:pPr>
      <w:bookmarkEnd w:id="115"/>
      <w:r>
        <w:rPr>
          <w:rFonts w:ascii="IRNazanin" w:hAnsi="IRNazanin" w:eastAsia="IRNazanin"/>
          <w:color w:val="111111"/>
          <w:sz w:val="28"/>
          <w:sz w:val="28"/>
          <w:szCs w:val="28"/>
          <w:rtl w:val="true"/>
          <w:lang w:bidi="fa-IR"/>
        </w:rPr>
        <w:t>إلی المعنی الشرعی من كونه ما له فيه ملك مطلقاً أو مع استيطانه ستة أشهر مطلقاً أو بشرط كونها في السنة إلی غير ذلك من التفاسير، فنقول وعليه التكلان</w:t>
      </w:r>
      <w:r>
        <w:rPr>
          <w:rFonts w:eastAsia="IRNazanin" w:cs="IRNazanin"/>
          <w:color w:val="111111"/>
          <w:sz w:val="28"/>
          <w:szCs w:val="28"/>
          <w:rtl w:val="true"/>
          <w:lang w:bidi="fa-IR"/>
        </w:rPr>
        <w:t>:</w:t>
      </w:r>
    </w:p>
    <w:p>
      <w:pPr>
        <w:pStyle w:val="Heading2"/>
        <w:numPr>
          <w:ilvl w:val="1"/>
          <w:numId w:val="1"/>
        </w:numPr>
        <w:rPr/>
      </w:pPr>
      <w:bookmarkStart w:id="116" w:name="__RefHeading___Toc6355181_1051229030"/>
      <w:bookmarkStart w:id="117" w:name="_Toc39"/>
      <w:bookmarkEnd w:id="116"/>
      <w:r>
        <w:rPr>
          <w:rtl w:val="true"/>
        </w:rPr>
        <w:t>الكلام في أدلّة الأقوال</w:t>
      </w:r>
      <w:r>
        <w:rPr>
          <w:rtl w:val="true"/>
        </w:rPr>
        <w:t>:</w:t>
      </w:r>
      <w:bookmarkEnd w:id="117"/>
    </w:p>
    <w:p>
      <w:pPr>
        <w:pStyle w:val="BookText"/>
        <w:rPr/>
      </w:pPr>
      <w:r>
        <w:rPr>
          <w:rFonts w:ascii="IRNazanin" w:hAnsi="IRNazanin" w:eastAsia="IRNazanin"/>
          <w:color w:val="111111"/>
          <w:sz w:val="28"/>
          <w:sz w:val="28"/>
          <w:szCs w:val="28"/>
          <w:rtl w:val="true"/>
          <w:lang w:bidi="fa-IR"/>
        </w:rPr>
        <w:t>أمّا دليل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يكفی في صدق الوطن أن يكون له فيه ملك مطلقاً سواء كان منزلاً أو غيره ولو كان شجرة واحدة، وسواء أقام فيه ستة أشهر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قد استدل علی هذا القول بروايات 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لِی ضَيْعَةً عَلَى خَمْسَةَ عَشَرَ مِيلًا خَمْسَةِ فَرَاسِخَ فَرُبَّمَا خَرَجْتُ إِلَيْهَا فَأُقِيمُ فِيهَا ثَلَاثَةَ أَيَّامٍ أَوْ خَمْسَةَ أَيَّامٍ أَوْ سَبْعَةَ أَيَّامٍ فَأُتِمُّ الصَّلَاةَ أَمْ أُقَصِّرُ؟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في الطَّرِيقِ وَأَتِمَّ في الضَّيْعَةِ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صحيحة إِسْمَاعِيلَ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يُسَافِرُ مِنْ أَرْضٍ إِلَى أَرْضٍ وَإِنَّمَا يَنْزِلُ قُرَاهُ وَضَيْعَتَهُ؟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قُرَاكَ وَأَرْضَكَ فَأَتِمَّ الصَّلَاةَ وَإِذَا كُنْتَ في غَيْرِ أَرْضِكَ فَقَصِّرْ</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صحيحة 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يَخْرُجُ إِلَى ضَيْعَتِهِ وَيُقِيمُ الْيَوْمَ وَالْيَوْمَيْنِ وَالثَّلَاثَةَ أَ يَقْصُرُ أَمْ يُتِمُّ؟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الصَّلَاةَ كُلَّمَا أَتَى ضَيْعَةً مِنْ ضِيَاعِهِ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موثقة عَمَّارِ بْنِ مُوسَى السَّابَاطِی عَنْ أَبِی عَبْدِ اللَّهِ علیه السلام في الرَّجُلِ يَخْرُجُ في سَفَرٍ فَيَمُرُّ بِقَرْيَةٍ لَهُ أَوْ دَارٍ فَيَنْزِلُ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الصَّلَاةَ وَلَوْ لَمْ يَكُنْ لَهُ إِلَّا نَخْلَةٌ وَاحِدَةٌ وَلَا يَقْصُرْ، وَلْيَصُمْ إِذَا حَضَرَهُ الصَّوْمُ وَهُوَ فِيهَا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خبر مُوسَى بْنِ الْخَزْرَجِ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ضَيْعَتِی وَمِنْ مَنْزِلِی إِلَيْهَا اثْنَا عَشَرَ فَرْسَخاً أُتِمُّ الصَّلَاةَ أَمْ أُقَصِّرُ؟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مرفوعة الرضوی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دَخَلتَ قَريَةً وَلَك فِيهَا حِصَّةٌ فَأتمَّ الصَّلاةَ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 الخبرين الأخيرين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كان موسی بن الخزرج غير ظاهر الحال عند علماء الرجال والمرفوعة كما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ينجبر بما تقدّم من الأخبار المتظافرة الّتي كانت أكثرها صحاح، إلا أنّ في مقابلها أخبار مستفيضة أخری تدلّ علی خلافها، منها الصّحاح الثلاث لابن يقطين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يَتَّخِذُ الْمَنْزِلَ فَيَمُرُّ بِهِ أَ يُتِمُّ أَمْ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مَنْزِلٍ لَا تَسْتَوْطِنُهُ فَلَيْسَ لَكَ بِمَنْزِلٍ وَلَيْسَ لَكَ أَنْ تُتِمَّ فِيهِ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يَقْطِينٍ عَنْ أَخِيهِ الْحُسَيْنِ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علیه السلام عَنْ رَجُلٍ يَمُرُّ بِبَعْضِ الْأَمْصَارِ وَلَهُ بِالْمِصْرِ دَارٌ وَلَيْسَ الْمِصْرُ وَطَنَهُ أَ يُتِمُّ صَلَاتَهُ أَمْ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w:t>
      </w:r>
    </w:p>
    <w:p>
      <w:pPr>
        <w:pStyle w:val="BookText"/>
        <w:rPr/>
      </w:pPr>
      <w:r>
        <w:rPr>
          <w:rFonts w:ascii="Amiri" w:hAnsi="Amiri" w:eastAsia="Amiri" w:cs="Amiri"/>
          <w:color w:val="111111"/>
          <w:sz w:val="28"/>
          <w:sz w:val="28"/>
          <w:szCs w:val="28"/>
          <w:rtl w:val="true"/>
          <w:lang w:bidi="ar-SA"/>
        </w:rPr>
        <w:t>الصَّلَاةَ وَالضِّيَاعُ مِثْلُ ذَلِكَ إِذَا مَرَّ بِهَا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ضِيَاعاً وَمَنَازِلَ بَيْنَ الْقَرْيَةِ وَالْقَرْيَتَيْنِ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الْفَرْسَخَانِ وَالثَّلَاثَةُ؟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مَنْزِلٍ مِنْ مَنَازِلِكَ لَا تَسْتَوْطِنُهُ فَعَلَيْكَ فِيهِ التَّقْصِيرُ</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سَعْدِ بْنِ أَبِی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عَلِیُّ بْنُ يَقْطِينٍ أَبَا الْحَسَنِ الْأَوَّلَ علیه السلام عَنِ الدَّارِ تَكُونُ لِلرَّجُلِ بِمِصْرٍ أَوِ الضَّيْعَةِ فَيَمُرُّ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مِمَّا قَدْ سَكَنَهُ أَتَمَّ فِيهِ الصَّلَاةَ، وَإِنْ كَانَ مِمَّا لَمْ يَسْكُنْهُ فَلْيَقْصُرْ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حَمَّادِ بْنِ عُثْمَانَ عَنْ أَبِی عَبْدِ اللَّهِ علیه السلام في الرَّجُلِ يُسَافِرُ فَيَمُرُّ بِالْمَنْزِلِ لَهُ في الطَّرِيقِ يُتِمُّ الصَّلَاةَ أَمْ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إِنَّمَا هُوَ الْمَنْزِلُ الَّذِی تَوَطَّنَهُ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ضَيْعَتَهُ ثُمَّ لَمْ يُرِدِ الْمُقَامَ عَشَرَةَ أَيَّامٍ قَصَّرَ وَإِنْ أَرَادَ الْمُقَامَ عَشَرَةَ أَيَّامٍ أَتَمَّ الصَّلَاةَ</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مُوسَى بْنِ حَمْزَةَ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لِی ضَيْعَةً دُونَ بَغْدَادَ فَأَخْرُجُ مِنَ الْكُوفَةِ أُرِيدُ بَغْدَادَ فَأُقِيمُ في تِلْكَ الضَّيْعَةِ أُقَصِّرُ أَوْ أُتِمُّ؟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تَنْوِ الْمُقَامَ عَشَرَةَ أَيَّامٍ فَقَصِّرْ</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في ضَيْعَتِهِ فَقَصَّرَ في صَلَاتِهِ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احتمال حمل الأخبار القسم الأولی الدالة علی إتمام الصلاة في هذه الأمكنة علی التقيّة لما حكی ابن قدامة الحنبلی وبعض فقهائنا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الملك مطلقاً من قواطع السفر عند العامة أو عند جماعة منهم</w:t>
      </w:r>
      <w:r>
        <w:rPr>
          <w:rStyle w:val="FootnoteAnchor"/>
          <w:rtl w:val="true"/>
        </w:rPr>
        <w:footnoteReference w:id="358"/>
      </w:r>
      <w:r>
        <w:rPr>
          <w:rFonts w:ascii="IRNazanin" w:hAnsi="IRNazanin" w:eastAsia="IRNazanin"/>
          <w:color w:val="111111"/>
          <w:sz w:val="28"/>
          <w:sz w:val="28"/>
          <w:szCs w:val="28"/>
          <w:rtl w:val="true"/>
          <w:lang w:bidi="fa-IR"/>
        </w:rPr>
        <w:t>، وكيف كان إنّ الأخبار القسم الأولی علی رغم كونها موافقة لهؤلاء الفقهاء، قد أعرض الأصحاب عنها أيضاً مع كونها بمرأی ومنظرهم، لم نعرف عاملاً بها إلا ما يحكی عن ابن الجنيد الإسكافی وقليل ممّن اختاره ظاهراً علی القول بكونهم كانوا في صدد بيان مفهوم الوطن أو أنّ الملك مطلقاً من قواطع السفر في عرض الوطن، وهو نادر يمكن دعوی الإجماع المركب علی خلافه إذ كلّ من عرّف قواطع السفر أو الوطن قال إمّا بانضمام غير الملك إليه أو قال باشتراط غير ذلك، زائداً علی كون الأخبار القسم الثانية أكثر عدداً من الأولی، فبذلك يظهر ضعف هذا القول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دليل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يكفی في صدق الوطن أن يكون له فيه ملك قد استوطنه فيه فعلاً ستة أشهر متواليةً بقصد التوطن وحيث لم ينفك الوطن عن المنزل فهو ملازم له، الّذی يستفاد من تجميع الأقوال الخمسة المتوسطات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قد استدل علی هذا القول بما تقدم في حجة القول الأول وبصحيحة مُحَمَّدِ بْنِ إِسْمَاعِيلَ بْنِ بَزِيعٍ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يَقْصُرُ في ضَيْعَتِهِ؟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يَنْوِ مُقَامَ عَشَرَةِ أَيَّامٍ إِلَّا أَنْ يَكُونَ لَهُ فِيهَا مَنْزِلٌ يَسْتَوْطِنُهُ،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فِيهَا مَنْزِلٌ يُقِيمُ فِيهِ سِتَّةَ أَشْهُرٍ، فَإِذَا كَانَ كَذَلِكَ يُتِمُّ فِيهَا مَتَى 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وَأَخْبَرَنِی مُحَمَّدُ بْنُ إِسْمَاعِيلَ أَنَّهُ صَلَّى في ضَيْعَتِهِ فَقَصَّرَ في صَلَاتِهِ،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إِسْحَاقَ بْنِ سَعْدٍ وَأَحْمَدُ بْنُ مُحَمَّدٍ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ضَيْعَتَهُ الّتي قَصَّرَ فِيهَا الْحَمْرَاءُ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دليل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الوطن هو ما قصده الإنسان للتوطّن والسكونة فيه تأبيداً، الّذی هو خيرة الشهيد الثانی وصاحب الجواهر والسيّد الطباطبائی والإمام الراحل وبعض آخر من فقهائنا في المقام ونسبه السيّد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ظاهر كلمات الأصحاب رضوان الله تعالی عليهم، وكذلك كونه مذهب الحنابلة ظاهراً ومذهب الحنفيّة والمالكيّة والشافعيّة من العامة صريحاً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أنّه ليس لهؤلآء الفقهاء دليل إلا ما يدعی من ظهور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لقصد التوطن دائماً كما عرفت في كلام صاحب الجواهر من أنّ الوطن عند </w:t>
      </w:r>
    </w:p>
    <w:p>
      <w:pPr>
        <w:pStyle w:val="BookText"/>
        <w:rPr/>
      </w:pPr>
      <w:r>
        <w:rPr>
          <w:rFonts w:ascii="IRNazanin" w:hAnsi="IRNazanin" w:eastAsia="IRNazanin"/>
          <w:color w:val="111111"/>
          <w:sz w:val="28"/>
          <w:sz w:val="28"/>
          <w:szCs w:val="28"/>
          <w:rtl w:val="true"/>
          <w:lang w:bidi="fa-IR"/>
        </w:rPr>
        <w:t xml:space="preserve">أرباب اللغة هو المقرّ والمكان، أو من باب استظهار نيّة الدوام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محمد بن اسماعيل بن بزيع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عليه بأنّ الفعل المضارع وإن كان استظهار الدوام والاستمرار منه ممكناً إلا أنّه ليس بنصٍ في ذلك ما لم يدلّ عليه دليل وقرينة كما إذا كان في مقام انشاء حكم وجعل أمر علی نحو القضايا الحقيقيّة كصحيحة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الْوُضُوءِ بَعْدَ مَا فَرَغَ مِنَ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يَمْضِی عَلَى صَلَاتِهِ وَلَا يُعِيدُ</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ومثله في صحيحة أَبِی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شَكَّ وَهُوَ قَائِمٌ فَلَا يَدْرِی أَ رَكَعَ أَمْ لَمْ يَرْكَعْ؟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w:t>
      </w:r>
    </w:p>
    <w:p>
      <w:pPr>
        <w:pStyle w:val="BookText"/>
        <w:rPr/>
      </w:pPr>
      <w:r>
        <w:rPr>
          <w:rFonts w:ascii="Amiri" w:hAnsi="Amiri" w:eastAsia="Amiri" w:cs="Amiri"/>
          <w:color w:val="111111"/>
          <w:sz w:val="28"/>
          <w:sz w:val="28"/>
          <w:szCs w:val="28"/>
          <w:rtl w:val="true"/>
          <w:lang w:bidi="ar-SA"/>
        </w:rPr>
        <w:t>وَيَسْجُدُ</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وصحيحة أخری من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شَكَّ في الرَّكْعَةِ الْأُولَى؟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يَسْتَأْنِفُ</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 أی يستأنف صلاته دائماً كلّما شك بهذا النحو، هذا أولاً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الوطن متخذ من مكان إسكان الشخص وموطنه، الّذی يعدّ عند الأصوليين مشتقاً </w:t>
      </w:r>
      <w:r>
        <w:rPr>
          <w:rStyle w:val="FootnoteAnchor"/>
          <w:rtl w:val="true"/>
        </w:rPr>
        <w:footnoteReference w:id="363"/>
      </w:r>
      <w:r>
        <w:rPr>
          <w:rFonts w:ascii="IRNazanin" w:hAnsi="IRNazanin" w:eastAsia="IRNazanin"/>
          <w:color w:val="111111"/>
          <w:sz w:val="28"/>
          <w:sz w:val="28"/>
          <w:szCs w:val="28"/>
          <w:rtl w:val="true"/>
          <w:lang w:bidi="fa-IR"/>
        </w:rPr>
        <w:t xml:space="preserve">ومن المعلوم عندهم عدم اشتراط بقاء المبدء فيها إلی المستقبل لصحّة حملها عليها فعلاً حتّی في مثل الصفات المشبهات، ولاأقلّ من الشك ونفيه بأصالة عدم الزيادة، نعم إنّهم اتفقوا علی كون المشتق مجازاً </w:t>
      </w:r>
    </w:p>
    <w:p>
      <w:pPr>
        <w:pStyle w:val="BookText"/>
        <w:rPr/>
      </w:pPr>
      <w:r>
        <w:rPr>
          <w:rFonts w:ascii="Amiri" w:hAnsi="Amiri" w:eastAsia="Amiri" w:cs="Amiri"/>
          <w:color w:val="111111"/>
          <w:sz w:val="28"/>
          <w:sz w:val="28"/>
          <w:szCs w:val="28"/>
          <w:rtl w:val="true"/>
          <w:lang w:bidi="ar-SA"/>
        </w:rPr>
        <w:t>فيما يتتلبس به في الاستقبال ومن هنا نقول بأنّه لا عبرة بمن كان من عزمه التوطّن في مكان في المستقبل أن يكون هناك وطنه الآن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الأدلة النقليّة أنّ وظيفة المكلفين جميعاً هی الإتمام</w:t>
      </w:r>
      <w:r>
        <w:rPr>
          <w:rStyle w:val="FootnoteAnchor"/>
          <w:rtl w:val="true"/>
        </w:rPr>
        <w:footnoteReference w:id="364"/>
      </w:r>
      <w:r>
        <w:rPr>
          <w:rFonts w:ascii="Amiri" w:hAnsi="Amiri" w:eastAsia="Amiri" w:cs="Amiri"/>
          <w:color w:val="111111"/>
          <w:sz w:val="28"/>
          <w:sz w:val="28"/>
          <w:szCs w:val="28"/>
          <w:rtl w:val="true"/>
          <w:lang w:bidi="ar-SA"/>
        </w:rPr>
        <w:t>والصيام</w:t>
      </w:r>
      <w:r>
        <w:rPr>
          <w:rStyle w:val="FootnoteAnchor"/>
          <w:rtl w:val="true"/>
        </w:rPr>
        <w:footnoteReference w:id="365"/>
      </w:r>
      <w:r>
        <w:rPr>
          <w:rFonts w:ascii="Amiri" w:hAnsi="Amiri" w:eastAsia="Amiri" w:cs="Amiri"/>
          <w:color w:val="111111"/>
          <w:sz w:val="28"/>
          <w:sz w:val="28"/>
          <w:szCs w:val="28"/>
          <w:rtl w:val="true"/>
          <w:lang w:bidi="ar-SA"/>
        </w:rPr>
        <w:t xml:space="preserve">خرج من هذا العموم المسافر والمرأة الحائضة والنفساء والمريض إجمالاً </w:t>
      </w:r>
      <w:r>
        <w:rPr>
          <w:rStyle w:val="FootnoteAnchor"/>
          <w:rtl w:val="true"/>
        </w:rPr>
        <w:footnoteReference w:id="366"/>
      </w:r>
      <w:r>
        <w:rPr>
          <w:rFonts w:ascii="IRNazanin" w:hAnsi="IRNazanin" w:eastAsia="IRNazanin"/>
          <w:color w:val="111111"/>
          <w:sz w:val="28"/>
          <w:sz w:val="28"/>
          <w:szCs w:val="28"/>
          <w:rtl w:val="true"/>
          <w:lang w:bidi="fa-IR"/>
        </w:rPr>
        <w:t xml:space="preserve">، فإذا شككنا فيمن وصل إلی وطنه الإتخاذی المستجد ولم يكن من قصده السكونة فيه تأبيداً أم كان غافلاً عنه ولم ينو إقامة العشرة فيه فعلاً هل يجب عليه الصيام والتمام أو عليه التقصير والإفطار؟ فالمرجع حينئذ فيالخاص المنفصل المجمل مفهوماً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الدائر أمره بين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p>
    <w:p>
      <w:pPr>
        <w:pStyle w:val="BookText"/>
        <w:rPr/>
      </w:pPr>
      <w:r>
        <w:rPr>
          <w:rFonts w:ascii="Amiri" w:hAnsi="Amiri" w:eastAsia="Amiri" w:cs="Amiri"/>
          <w:color w:val="111111"/>
          <w:sz w:val="28"/>
          <w:sz w:val="28"/>
          <w:szCs w:val="28"/>
          <w:rtl w:val="true"/>
          <w:lang w:bidi="ar-SA"/>
        </w:rPr>
        <w:t>اختصاص الحكم بغير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شموله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التمسك بعموم العام</w:t>
      </w:r>
      <w:r>
        <w:rPr>
          <w:rStyle w:val="FootnoteAnchor"/>
          <w:rtl w:val="true"/>
        </w:rPr>
        <w:footnoteReference w:id="367"/>
      </w:r>
      <w:r>
        <w:rPr>
          <w:rFonts w:ascii="IRNazanin" w:hAnsi="IRNazanin" w:eastAsia="IRNazanin"/>
          <w:color w:val="111111"/>
          <w:sz w:val="28"/>
          <w:sz w:val="28"/>
          <w:szCs w:val="28"/>
          <w:rtl w:val="true"/>
          <w:lang w:bidi="fa-IR"/>
        </w:rPr>
        <w:t>، أی وجوب الصيام والإتمام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كلاماً من المحقّق الهمدانی رحمه الله ناظراً إلی ما نحن بصدده حيث 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مقتضى القاعدة الأوّلية الّتي شرّعت عليها الصلاة هو الإتمام، والقصر إنّما يجب بعروض السفر الجامع لشرائط التقصير، فالمكلّف ما لم يكن مسافراً لم يشرّع في حقّه التقصير، وإنّما يصير مسافراً بالتباعد من منزله الّذی هو دار إقامته، وإذا وصل إلى منزله من سفره عاد حاضراً الّذی هو ضدّ المسافر ويسمّى ذلك الموضع الّذی هو موضع إقامته في العرف وطناً، ولايشترط في صدق هذا الإسم الملك ولا المنزل، بل ولا إقامة السّتة أشهر، أصليّاً كان ذلك الوطن أم مستجداً، مع أنّ الحكم بالتمام لدى وصوله إلى مستقره ليس منوطاً بصدق كونه وطناً له، بل بخروجه عن كونه مسافراً، فالبدوی الطالب للماء والكلاء الّذی بيته معه إذا نزل في مكان، ثمّ سافر من منزله متى عاد إليه خرج عن كونه مسافرا ً وإن لم ينو إقامة العشرة، بل ولو مرّ به في أثناء طريقه فإنّه حين وصوله إلی منزله صدق عليه أنّه حضر أهله ومستقرّه الّذی هو ضدّ المسافر، فوجب عليه الإتمام حينئذ سواء قلنا بتسميته في العرف وطناً له أم لم نقل لما أشرنا إليه من أنّ المدار على خروجه عن حدّ المسافر،لا دخوله في حدّ المقيم في وطنه، كی يكون التشكيك في صدق اسم الوطن عليه عرفاً موجباً للتشكيك في حكمه فهذا ممّا لا إشكال فيه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دليل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الوطن هو ما قصده الإنسان للتوطّن والسكونة فيه فعلاً بحيث عاد إليه كلما خرج منه لحاجة وإن لم يكن مسقط رأسه ومسكن آبائه وأجداه ولم يكن له فيه ملك أصلاً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يستظهر دليل هذا القول ممّا ذكرنا في ملاحظة دليل القول الثالث، زائداً علی أنّه لا يمكن سلب عنوان الوطن عن المكان الّذی لم يكن من عزم ساكنه السكونة فيه علی الدوام إلی حين الموت أو لم يكن له فيه ملك أو لم يكن مسقط رأسه ومسكن آبائه وأجداده، بل يصدق كونه وطناً له فعلاً عند العرف، وأنت خبير بأنّ عدم صحّة السلب وصحة الحمل بالحمل الأولی الذاتی أو الشائع الصناعی علامة لكون وضع اللفظ لنفس المعنی أو كونه من مصاديقه وأفراده حقيقة</w:t>
      </w:r>
      <w:r>
        <w:rPr>
          <w:rStyle w:val="FootnoteAnchor"/>
          <w:rtl w:val="true"/>
        </w:rPr>
        <w:footnoteReference w:id="369"/>
      </w:r>
      <w:r>
        <w:rPr>
          <w:rFonts w:ascii="Amiri" w:hAnsi="Amiri" w:eastAsia="Amiri" w:cs="Amiri"/>
          <w:color w:val="111111"/>
          <w:sz w:val="28"/>
          <w:sz w:val="28"/>
          <w:szCs w:val="28"/>
          <w:rtl w:val="true"/>
          <w:lang w:bidi="ar-SA"/>
        </w:rPr>
        <w:t>، نعم يعتبر فيه الإقامة فيه بمقدار يصدق عليه عرفاً أنّه وطنه فربّما يصدق ذلك بالإقامة فيه بعد القصد المزبور شهراً أو أقلّ فلا يشترط إقامة الستة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المتوطّن عرفاً ولغة هو عبارة أخری عن الحاضر ويقابله المسافر الّذی نائی عن أهله خارج عن موضع حضوره سواء كان له فيه ملك أم لا، وسواء كان هناك مسقط رأسه ومسكن آبائه وأجداه أو لم يكن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 ما ذكرنا أشار إليه اجمالاً السيّد البروجردی رحمه الله علی ما في تقريرات درسه ما هذا حاصله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الوطن مفهوم منتزع عرفاً عن مكان إقامة الشخص فعلاً من دون أن يلاحظ فيه الإعتبارات السابقة ككون المكان محل ولادته أو مسكن آبائه وأجداده، ولا الحالات اللاحقة مثل كونه عازماً علی الإقامة فيه </w:t>
      </w:r>
    </w:p>
    <w:p>
      <w:pPr>
        <w:pStyle w:val="BookText"/>
        <w:rPr/>
      </w:pPr>
      <w:r>
        <w:rPr>
          <w:rFonts w:ascii="IRNazanin" w:hAnsi="IRNazanin" w:eastAsia="IRNazanin"/>
          <w:color w:val="111111"/>
          <w:sz w:val="28"/>
          <w:sz w:val="28"/>
          <w:szCs w:val="28"/>
          <w:rtl w:val="true"/>
          <w:lang w:bidi="fa-IR"/>
        </w:rPr>
        <w:t>إلی الأبد أو إلی أمد بعيد، بل هو مفهوم يحكی عن علقة وإضافة فعليّة بين الشخص ومكان استقراره في حال الحاضر بحيث يرجع إليه كلما خرج منه لحاجة ولأمر طارء عليه، وهذا ما يسمّی عند العرف بالوطن، سواء في ذلك أن يكون له في هذا البلد ملك أو منزل مملوك أو غير مملوك أو لم يكن كمن يكون من سكان المدارس أو المساجد والمعابر، وسواء قصد الإقامة فيه علی الدوام أو كان قاصداً للإقامة فيه مدة مديدة إقامة سائر الناس في منازلهم من جهة اقتضاء وضعه الفعلی لذلك، فالطلاب المجتمعون في مجامع الحوزات العلمية المقيمون فيها عشرين سنة أو أزيد ربما يعدّون متوطنين في تلك المجامع العلمية وإن لم يكن من قصدهم البقاء فيها دائماً، والتاجر الّذی ارتحل عن مسقط رأسه إلى بلد آخر وصار فيه مشتغلاً بشغله وتجارته واتخذ فيه دار الإقامة وإقامة أهله ربما يعدّ هذا البلد وطناً له وإن كان من قصده أن يرجع في آخر عمره إلى مسقط رأسه، وهكذا، فما هو المقرّ الفعلی للشخص بحيث يبقى فيه لو خلّی وطبعه يسمى وطناً له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الراحل قدس سره بعد تصريحه بأنّ الوطن هو المكان الّذی اتخذه مسكناً ومقراً له دائماً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يعتبر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ملك ولا إقامة ستة أشهر، نعم يعتبر في المستجدّ الإقامة فيه بمقدار يصدق عرفاً أنّه وطنه ومسكنه، بل قديصدق الوطن بواسطة طول الإقامة إذا أقام في بلد بلا نية للإقامة دائماً ولا نية تركها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118" w:name="pg7917_84747"/>
    </w:p>
    <w:p>
      <w:pPr>
        <w:pStyle w:val="BookText"/>
        <w:rPr/>
      </w:pPr>
      <w:bookmarkEnd w:id="118"/>
      <w:r>
        <w:rPr>
          <w:rFonts w:ascii="IRNazanin" w:hAnsi="IRNazanin" w:eastAsia="IRNazanin"/>
          <w:color w:val="111111"/>
          <w:sz w:val="28"/>
          <w:sz w:val="28"/>
          <w:szCs w:val="28"/>
          <w:rtl w:val="true"/>
          <w:lang w:bidi="fa-IR"/>
        </w:rPr>
        <w:t xml:space="preserve">وكذلك السيّد اليزدی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يعتبر فيه بعد الإتحاد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مسكناً ومقراً له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ملك له فيه، نعم يعتبر فيه الإقامة فيه بمقدار يصدق عليه عرفاً أنّه وطنه، والظاهر أنّ الصدق المذكور يختلف بحسب الأشخاص والخصوصيّات فربّما يصدق بالإقامة فيه بعد القصد المزبور شهراً أو أقلّ، فلايشترط الإقامة ستة أشهر وإن كان أحوط، فقبله يجمع بين القصر والتمام إذا لم ينو إقامة عشرة أيّام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تمام الكلام في الفرع الأول </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6355183_1051229030"/>
      <w:bookmarkStart w:id="120" w:name="_Toc40"/>
      <w:bookmarkEnd w:id="119"/>
      <w:r>
        <w:rPr>
          <w:rtl w:val="true"/>
        </w:rPr>
        <w:t>أمّا الفرع الثانی</w:t>
      </w:r>
      <w:r>
        <w:rPr>
          <w:rtl w:val="true"/>
        </w:rPr>
        <w:t xml:space="preserve">: </w:t>
      </w:r>
      <w:r>
        <w:rPr>
          <w:rtl w:val="true"/>
        </w:rPr>
        <w:t>تقسيم الوطن إلی الأصلی، والمستجدّ أو الإتخاذی، والشرعی التعبدی</w:t>
      </w:r>
      <w:r>
        <w:rPr>
          <w:rtl w:val="true"/>
        </w:rPr>
        <w:t>:</w:t>
      </w:r>
      <w:bookmarkEnd w:id="120"/>
    </w:p>
    <w:p>
      <w:pPr>
        <w:pStyle w:val="BookText"/>
        <w:rPr/>
      </w:pPr>
      <w:r>
        <w:rPr>
          <w:rFonts w:ascii="IRNazanin" w:hAnsi="IRNazanin" w:eastAsia="IRNazanin"/>
          <w:color w:val="111111"/>
          <w:sz w:val="28"/>
          <w:sz w:val="28"/>
          <w:szCs w:val="28"/>
          <w:rtl w:val="true"/>
          <w:lang w:bidi="fa-IR"/>
        </w:rPr>
        <w:t>إنّ الوطن يقسّم في كلمات الفقهاء إلی الأصلی وهو ما يكون محل ولادة الشخص ومحل إقامته واستقراره وموطن والديه من بدو الأمر وحين ولادته، وأخری ما يكون وطناً اتخاذياَ مستجداً وهو ما يتخذه الإنسان مسكناً ومقراً لتعيّشه من بعد ما هاجر من وطنه الأصلی علی وجه لا يصدق حين إقامته فيه عنوان المسافر، ومنهم من قال بثبوت الوطن الشرعی في قبال الوطنين الأصلی والمتّخذ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الأعظم الأنصاری رحمه الله ما هذا خلاصته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الوطن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الوطن الأصلی الّذی نشأ فيه، ولا إشكال ولا خلاف ظاهراً في كونه قاطعاً ما لم يهجر، سواء كان له فيه ملكٌ أم لا، وسواء استوطنه ستّة أشهر أم لا؛ لأنّ أدلّة اعتبار الملك واستيطان المدّة مختصّةٌ بغيره، كما لا يخفى، فلو فرضنا أنّ ولداً تولّد </w:t>
      </w:r>
    </w:p>
    <w:p>
      <w:pPr>
        <w:pStyle w:val="BookText"/>
        <w:rPr/>
      </w:pPr>
      <w:r>
        <w:rPr>
          <w:rFonts w:ascii="Amiri" w:hAnsi="Amiri" w:eastAsia="Amiri" w:cs="Amiri"/>
          <w:color w:val="111111"/>
          <w:sz w:val="28"/>
          <w:sz w:val="28"/>
          <w:szCs w:val="28"/>
          <w:rtl w:val="true"/>
          <w:lang w:bidi="ar-SA"/>
        </w:rPr>
        <w:t>في بلدٍ ثمّ سافر به أبوه بعد خمسة أشهر إلى بلدٍ آخر لا بنيّة الهجرة فعاد إليه بعد البلوغ فالظاهر وجوب التمام عليه، نعم لو هجره وليس له ملكٌ فالظاهر انقطاع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المتّخذ، بأن يتّخذ الرجل الغريب مكاناً دار إقامةٍ له على الدوام، ولا خلاف ظاهراً في عدم اعتبار الملك؛ لأنّ أدلّة اعتبار الملك مختصّةٌ بما يتّفق عبور المسافر عليه ومروره به بعد الخروج عن دار</w:t>
      </w:r>
    </w:p>
    <w:p>
      <w:pPr>
        <w:pStyle w:val="BookText"/>
        <w:rPr/>
      </w:pPr>
      <w:r>
        <w:rPr>
          <w:rFonts w:ascii="IRNazanin" w:hAnsi="IRNazanin" w:eastAsia="IRNazanin"/>
          <w:color w:val="111111"/>
          <w:sz w:val="28"/>
          <w:sz w:val="28"/>
          <w:szCs w:val="28"/>
          <w:rtl w:val="true"/>
          <w:lang w:bidi="fa-IR"/>
        </w:rPr>
        <w:t>مقامته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الشرعی، وهو عند المشهور بين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منزلٍ قد أقام فيه ستّة أشهر مع ثبوت ملك له فيه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أبوالحسن الإصفهانی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الوطن وهو بمعناه العرفی واضح وهو مسقط الرأس، والوطن الإتخاذی، ويظهر من بعض الأساطين أنّ له معنی ثالثاً وهو الوطن الشرعی</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العامّة وإن لم يصرّحوا بالوطن الشرعی إلا أنّهم قائلون به إجمالاً لما أفتوا بأنّ الملك من قواطع السفر، قال ابن قدامة الفقيه المعروف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مرّ في طريقه علی بلدٍ له فيه أهلٌ أو مالٌ فقال أحمد في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وقال في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إلا أن يكون مارّاً، وهذا قول ابن عباس، وقال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بمزرعة له أتمّ، وقال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بقرية فيها أهله أو ماله أتمّ إذا أراد أن يقيم بها يوماً وليلة، وقال الشافعی وابن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يقصّر ما لم يجمع علی إقامة أربع لأنّه مسافر لم يجمع علی أربع</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كلام بين الفقهاء في أنّ الوطن إمّا أصلی أو اتخاذی، إنّما الكلام في أنّه هل كان هناك وطن آخر يسمّی بالوطن الشرعی تفسيراً للوطن الإتخاذی، أو في عرض القسمين المتقدمين من باب الحقيقة الشرعيّة والتنزيل الموضوعی والتصرف في عقد الوضع أو من باب التنزيل الحكمی التّعبدی والتصرف في عقد الحمل</w:t>
      </w:r>
      <w:r>
        <w:rPr>
          <w:rStyle w:val="FootnoteAnchor"/>
          <w:rtl w:val="true"/>
        </w:rPr>
        <w:footnoteReference w:id="377"/>
      </w:r>
      <w:r>
        <w:rPr>
          <w:rFonts w:ascii="IRNazanin" w:hAnsi="IRNazanin" w:eastAsia="IRNazanin"/>
          <w:color w:val="111111"/>
          <w:sz w:val="28"/>
          <w:sz w:val="28"/>
          <w:szCs w:val="28"/>
          <w:rtl w:val="true"/>
          <w:lang w:bidi="fa-IR"/>
        </w:rPr>
        <w:t>حتّی نرجع إليه أيضاً في أحكام الوطن من قطع السفر به أم لا؟ وعلی فرض كونه أنّه ما هو؟</w:t>
      </w:r>
    </w:p>
    <w:p>
      <w:pPr>
        <w:pStyle w:val="BookText"/>
        <w:rPr/>
      </w:pPr>
      <w:r>
        <w:rPr>
          <w:rFonts w:ascii="IRNazanin" w:hAnsi="IRNazanin" w:eastAsia="IRNazanin"/>
          <w:color w:val="111111"/>
          <w:sz w:val="28"/>
          <w:sz w:val="28"/>
          <w:szCs w:val="28"/>
          <w:rtl w:val="true"/>
          <w:lang w:bidi="fa-IR"/>
        </w:rPr>
        <w:t>نفاه بعض من فقهائنا العظام بأنّ الوطن منحصر في العرفی أو الأصلی وأنّ مآل الوطنين الإتخاذی والشرعی هو الوطن العرفی، منهم السيّد صاحب العروة رحمه الله وبعض محشّيها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الوطن شرعی غير ثابت،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عدم ثبوت الوطن الشرعی وأنّه منحصر في العرفی</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الراحل قدس سره بعد ما نسب القول بالوطن الشرعی إلی المشهور استقوی أنّ الأمر خلافه حيث قال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كان له ملك وقد سكن فيه ستة أشهر بعد اتخاذه وطناً دائماً أو كونه وطناً أصلياً فالمشهور على أنّه بحكم الوطن الفعلی، ويسمّونه بالوطن الشرعی، فيوجبون عليه التمام بالمرور عليه ما دام ملكه باقياً فيه، بل قال بعضهم بوجوب التمام إذا كان له فيه ملك غير قابل للسكنى ولو نخلة ونحوها، بل فيما إذا سكن ستة أشهر و لو لم يكن بقصد التوطن دائماً بل بقصد التجارة مثلاً، والأقوى خلاف ذلك كلّه، </w:t>
      </w:r>
    </w:p>
    <w:p>
      <w:pPr>
        <w:pStyle w:val="BookText"/>
        <w:rPr/>
      </w:pPr>
      <w:r>
        <w:rPr>
          <w:rFonts w:ascii="IRNazanin" w:hAnsi="IRNazanin" w:eastAsia="IRNazanin"/>
          <w:color w:val="111111"/>
          <w:sz w:val="28"/>
          <w:sz w:val="28"/>
          <w:szCs w:val="28"/>
          <w:rtl w:val="true"/>
          <w:lang w:bidi="fa-IR"/>
        </w:rPr>
        <w:t>فلا يجری حكم الوطن فيما ذكر كلّه، ويزول حكم الوطن مطلقاً بالاعراض، وإن كان الأحوط الجمع بين إجراء حكم الوطن وغيره فيها خصوصاً الصورة الأولى</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حين أنّه صحّحه بعض آخر، منهم السيّد الخوئی رحمه الله بل ونسبه إلی المشهور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ذكره المشهور من ثبوت الوطن الشرعی هو الصحيح وإنّما يتحقّق</w:t>
      </w:r>
    </w:p>
    <w:p>
      <w:pPr>
        <w:pStyle w:val="BookText"/>
        <w:rPr/>
      </w:pPr>
      <w:r>
        <w:rPr>
          <w:rFonts w:ascii="Amiri" w:hAnsi="Amiri" w:eastAsia="Amiri" w:cs="Amiri"/>
          <w:color w:val="111111"/>
          <w:sz w:val="28"/>
          <w:sz w:val="28"/>
          <w:szCs w:val="28"/>
          <w:rtl w:val="true"/>
          <w:lang w:bidi="ar-SA"/>
        </w:rPr>
        <w:t>بوجود منزل مملوك له في محلّ قد سكنه ستّة أشهر متّصلة عن قصد ونيّة، فإذا تحقّق ذلك أتمّ المسافر صلاته كلّما دخله إلا أن يزول ملكه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فالمستفاد من عبارات مثبتي الوطن الشرعی أنّه يشترط في ثبوته اجمالاً تحقق أمور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فيه ملك أو منزل مملوك</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استوطنه ستة أشهر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يتخذه محلاً للاستقرار والسكونة فيه علی الدوام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علی ذلك كلّ من استوطن موضعاً لم يكن هذا وطنه الأصلی وقد أقام فيه فيما مضی ستة أشهر مطلقاً أو استوطن المدة بقصد التوطّن الدائمی وكان له فيه ملك أو منزل مملوك، فما دام ملكه باقياً هاهنا يجب عليه الصّيام والإتمام متی يمرّ عليه وإن أعرض عنه ولم يكن حينه متوطناً فيه، فإذا مرّ الشخص بهذا </w:t>
      </w:r>
    </w:p>
    <w:p>
      <w:pPr>
        <w:pStyle w:val="BookText"/>
        <w:rPr/>
      </w:pPr>
      <w:r>
        <w:rPr>
          <w:rFonts w:ascii="Amiri" w:hAnsi="Amiri" w:eastAsia="Amiri" w:cs="Amiri"/>
          <w:color w:val="111111"/>
          <w:sz w:val="28"/>
          <w:sz w:val="28"/>
          <w:szCs w:val="28"/>
          <w:rtl w:val="true"/>
          <w:lang w:bidi="ar-SA"/>
        </w:rPr>
        <w:t>الموضع حال السفر ولم يكن مروره فيه بعنوان الإقامة العشرة يحكم عليه بكونه غير مسافر تعبداً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قد أشار محمد حسين الكاشف الغطاء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 قالوا بوطن آخر وهو الوطن الشرعی وجعلوه عبارة عن الملك الّذی استوطنه ستة أشهر فاجروا عليه أحكام الوطن الحقيقی حتّی بعد الإعراض عنه فأوجبوا عليه التمام والصيام إذا مرّ به وجعلوه كالوطن من قواطع السفر وإن لم يقصد فيه إقامة عشرة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استدلّوا عليه بصحيحة مُحَمَّدِ بْنِ إِسْمَاعِيلَ بْنِ بَزِيعٍ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يَقْصُرُ في ضَيْعَتِهِ؟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يَنْوِ مُقَامَ عَشَرَةِ أَيَّامٍ إِلَّا أَنْ يَكُونَ لَهُ فِيهَا مَنْزِلٌ يَسْتَوْطِنُهُ،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فِيهَا مَنْزِلٌ يُقِيمُ فِيهِ سِتَّةَ أَشْهُرٍ، فَإِذَا كَانَ كَذَلِكَ يُتِمُّ فِيهَا مَتَى 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وَأَخْبَرَنِی مُحَمَّدُ بْنُ إِسْمَاعِيلَ أَنَّهُ صَلَّى في ضَيْعَتِهِ فَقَصَّرَ في صَلَاتِهِ،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إِسْحَاقَ بْنِ سَعْدٍ وَأَحْمَدُ بْنُ مُحَمَّدٍ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ضَيْعَتَهُ الّتي قَصَّرَ فِيهَا الْحَمْرَاءُ</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بتقريب دلالة الضيعة علی مطلق الملك أو أنّ المنزل يلازم الملك غالباً، وتفسير الاستيطان في كلام الإمام علیه السلام بالستة، وكون فعل المضارع دالاً علی الدوام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يلاحظ عليه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بما تقدّم في ردّ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يكفی في صدق الوطن أن يكون للإنسان فيه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الوطن هو ما قصده الإنسان للتوطن </w:t>
      </w:r>
    </w:p>
    <w:p>
      <w:pPr>
        <w:pStyle w:val="BookText"/>
        <w:rPr/>
      </w:pPr>
      <w:r>
        <w:rPr>
          <w:rFonts w:ascii="Amiri" w:hAnsi="Amiri" w:eastAsia="Amiri" w:cs="Amiri"/>
          <w:color w:val="111111"/>
          <w:sz w:val="28"/>
          <w:sz w:val="28"/>
          <w:szCs w:val="28"/>
          <w:rtl w:val="true"/>
          <w:lang w:bidi="ar-SA"/>
        </w:rPr>
        <w:t>والسكونة فيه تأبيداً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علی القول بثبوت الحقيقة الشرعيّة لا يكون ذلك إلابالوضع التعيينی الصريح كما في قول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رَأيتُونِی أصَلِّی</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بناءً علی كون الصلاة مستحدثة في الإسلام لا في الشرائع السابقة عليه، أو بالوضع التعيّنی الّذی منشأه كثرة الاستعمال، لاسبيل للثانی لانحصار الدليل في المقام في صحيحة ابن بزيع المتقدمة، ولا للأوّل لاحتمال كون الإمام علیه السلام كان في صدد بيان الوطن العرفی وأنّه المكان الّذی يكون الشخص مقيماً فيه الآن، داره وتكسّبه وأهله وعياله فيه فعلاً، وقد كان من قصده السكونة فيه مدة كستة أشهر علی الأقل مثلاً، ولا أقل من الاحتمال و بطلان الاستدلال لوضوح ما عرفت في محله أنّه لو دار الأمر بين نقل لفظ من معناه اللغوی إلی المعنی الشرعی فالأصل عدمه إلا بقرينة صارفة واضحة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يشهد علی كون الصحيحة واردة لبيان الوطن العرفی لا الشرعی أنّه علی فرض الأخير للزم أن يكون مراد الإمام علیه السلام من الاستيطان هو السكونة الكذائيّة في السابق زائدة عليها الملكيّة،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صرّح بذلك مثبتي الحقيقة الشرعيّة حتّی يكون هناك وطنه تعبداً بحكم الشرع لتلك العلقة المالكية السابقة وتكون فائدة الملكيّة منحصرة في صورة الإعراض عن إدامة الاستيطان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فعليّة الاستيطان الآن الّتي هی معتبرة في الوطن العرفی، إلا أنّ العرفی لايعتبر فيه الملك ولا داومه بل المعتبر فيه كفاية الاستيطان الفعلی فقط، فيرد هنا سؤالٌ أنّه أیّ فائدة حينئذ في الملكيّة؟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علی فرض حمل الصحيحة علی بيان الوطن الشرعی يلزم أن نتصرّف 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تصرفين غير 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أنيكون الفعل المضارع بمعنی الماضی، أو بقاء الفعل المضارع بحاله وتقدير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كما تری، بخلاف ما لوكانت الرواية واردة لبيان الوطن العرفی، فالأولی أن يقال لا دلالة في الصحيحة علی المدّعی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أشار الشيخ محمد حسن النجفی رحمه الله إلی هذين التصرفين إجمالاً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كلّ حال فالوطن 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كلّ موضع يتّخذه الإنسان مقراً ومحلاً له علی الدوام إلی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كلّ موضع له فيه ملك قد استوطنه فيما مضی من الزمان ستة أشهر فصاعداً كما هو المشهور نقلاً وتحصيلاً بل لاخلاف فيه إلا من نادر، بل في الروض وعن التذكرة الإجماع عليه وهو الحجّة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فبناءً علی ذلك كلّ من اتّخذ موضعاً داراً للإقامة والسكونة فيه فعلاً بحيث يصدق عليه عرفاً أنّه حاضر غير مسافر وأنّه في بيته وأهله و وطنه، يجری عليه أحكام الحاضرين من دون فرق بين ما كان هناك وطنه الأصلی أو الإتخاذی، فإذا أعرض عنه وهجره وجعل موضعاً آخر داراً للسكونة وللإقامة فيه ولأهله وعياله صار هذا الموضع الجديد وطنه الفعليّة، فلو سافر من هذا الوطن الجديد و وصل إلی وطنه السابق فلا شك في أنّه الآن مسافر غير حاضر فيجب عليه القصر بلا ريب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ممّا يدلّ علی ذلك زائداً علی ما تقدّم موثقة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يَكُونُ بِالْبَصْرَةِ وَهُوَ مِنْ أَهْلِ الْكُوفَةِ لَهُ بِهَا دَارٌ وَمَنْزِلٌ فَيَمُرُّبِالْكُوفَةِ وَإِنَّمَا هُوَ مُجْتَازٌ لَا يُرِيدُ الْمُقَامَ إِلَّا بِقَدْرِ مَا يَتَجَهَّزُ يَوْماً أَوْ يَوْمَيْنِ؟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 في جَانِبِ الْمِصْرِ وَيَقْصُرُ،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التَّمَامُ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بتقريب أنّ السائل كان من أهل الكوفة فيما مضی وقد أعرض عنها وتوطّن فعلاً في البصرة، إلا أنّ له علاقة ملك ومنزل في الكوفة والمفروض أنّه مجتاز بها يريد المقام فيه أقلّ من عشرة أيّام، فسئل أنّه هل يوجب مجرد مروره هذا علی الكوفة التمام؟ فأجاب الإمام علیه السلام بعدم الإيجاب حتّی يدخل بيته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دلالة الصحيحة علی المدعی إنّ الإصرار علی القول بثبوت الحقيقة الشرعيّة في المقام شهرة فتوائيّة قال به مشهور المتأخّرين بل متأخّر المتأخّرين</w:t>
      </w:r>
      <w:r>
        <w:rPr>
          <w:rStyle w:val="FootnoteAnchor"/>
          <w:rtl w:val="true"/>
        </w:rPr>
        <w:footnoteReference w:id="387"/>
      </w:r>
      <w:r>
        <w:rPr>
          <w:rFonts w:ascii="IRNazanin" w:hAnsi="IRNazanin" w:eastAsia="IRNazanin"/>
          <w:color w:val="111111"/>
          <w:sz w:val="28"/>
          <w:sz w:val="28"/>
          <w:szCs w:val="28"/>
          <w:rtl w:val="true"/>
          <w:lang w:bidi="fa-IR"/>
        </w:rPr>
        <w:t>قد ثبت في محلّه عدم كونها حجة ودليلاً علی الحكم الشرعی</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الوطن الأصلی والعرفی لاينقص عن الوطن الشرعی فالقول بثبوته يلازم بأنّه لايتصور الإعراض عن الوطن الأصلی والعرفی أيضاً إذا كان ملك متوطنه باقياً بعد الإعراض</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لوكان المراد من الوطن الواقع عنه السؤال في الصحيحة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الاستيطان؟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الوطن العرفی، فهو أمر واضح لا يخفی علی أحد فكيف كان </w:t>
      </w:r>
    </w:p>
    <w:p>
      <w:pPr>
        <w:pStyle w:val="BookText"/>
        <w:rPr/>
      </w:pPr>
      <w:r>
        <w:rPr>
          <w:rFonts w:ascii="IRNazanin" w:hAnsi="IRNazanin" w:eastAsia="IRNazanin"/>
          <w:color w:val="111111"/>
          <w:sz w:val="28"/>
          <w:sz w:val="28"/>
          <w:szCs w:val="28"/>
          <w:rtl w:val="true"/>
          <w:lang w:bidi="fa-IR"/>
        </w:rPr>
        <w:t>حقيقته أو محقّقه مخفيّاً علی مثل ابن بزيع حتّی يحتاج إلی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حمل السؤال علی معنی آخر خفیّ عنده وهو أنّ الوطن الشرعی بما ذا يحقّقه؟قلنا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قلت من أنّ الوطن العرفی بعد معروفيّة موضوعه لايناسب أن يكون واقعاً مورداً للسئوال عن كيفيّة تحقّقه أمر صحيح، لكن بعد ما كان الوطن العرفی يقسّم إلی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الأصلی وهو ما يكون محل ولادة الشخص ومحل إقامته واستقراره وموطن والديه من بدو الأمر وحين ولادته، وأخری ما يكون وطناً اتخاذياَ مستجداً وهو ما يتخذه الإنسان مسكناً ومقراً لتعيّشه من بعد ما هاجر من وطنه الأصلی، فمن القريب كون السؤال ناظراً إلی هذا المعنی الثانی بعد ما كان المرتكز في ذهن السائل هو القسم الأول منه، يشهد لذلك سؤاله عن الضيعة لا عن مولده لما يتّفق بعضاً أن يكون ضيعة الشخص ومكسبه في غير مولده وموطنه، وحيث كان هذا المعنی الثانی غير مرتكز عنده أجاب الإمام علیه السلام بما يتحقّق معها الوطن الإتخاذی بعنوان صغری من صغرياته علی سبيل المثال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فتخلّص ممّا ذكرنا إلی هنا أنّ القول بثبوت الحقيقة الشرعيّة في المقام ممّا لا دليل عليه بل الدليل علی خلافه</w:t>
      </w:r>
      <w:r>
        <w:rPr>
          <w:rFonts w:eastAsia="IRNazanin" w:cs="IRNazanin"/>
          <w:color w:val="111111"/>
          <w:sz w:val="28"/>
          <w:szCs w:val="28"/>
          <w:rtl w:val="true"/>
          <w:lang w:bidi="fa-IR"/>
        </w:rPr>
        <w:t xml:space="preserve">. </w:t>
      </w:r>
      <w:bookmarkStart w:id="121" w:name="pg7917_84756"/>
    </w:p>
    <w:p>
      <w:pPr>
        <w:pStyle w:val="Heading2"/>
        <w:numPr>
          <w:ilvl w:val="1"/>
          <w:numId w:val="1"/>
        </w:numPr>
        <w:rPr/>
      </w:pPr>
      <w:bookmarkStart w:id="122" w:name="__RefHeading___Toc6355185_1051229030"/>
      <w:bookmarkStart w:id="123" w:name="_Toc41"/>
      <w:bookmarkEnd w:id="121"/>
      <w:bookmarkEnd w:id="122"/>
      <w:r>
        <w:rPr>
          <w:rtl w:val="true"/>
        </w:rPr>
        <w:t>أمّا الفرع الثالث</w:t>
      </w:r>
      <w:r>
        <w:rPr>
          <w:rtl w:val="true"/>
        </w:rPr>
        <w:t xml:space="preserve">: </w:t>
      </w:r>
      <w:r>
        <w:rPr>
          <w:rtl w:val="true"/>
        </w:rPr>
        <w:t xml:space="preserve">هل يعتبر في صدق عنوان </w:t>
      </w:r>
      <w:r>
        <w:rPr>
          <w:rtl w:val="true"/>
        </w:rPr>
        <w:t>«</w:t>
      </w:r>
      <w:r>
        <w:rPr>
          <w:rtl w:val="true"/>
        </w:rPr>
        <w:t>الوطن</w:t>
      </w:r>
      <w:r>
        <w:rPr>
          <w:rtl w:val="true"/>
        </w:rPr>
        <w:t xml:space="preserve">» </w:t>
      </w:r>
      <w:r>
        <w:rPr>
          <w:rtl w:val="true"/>
        </w:rPr>
        <w:t>أن يكون له فيه ملك؟</w:t>
      </w:r>
      <w:bookmarkEnd w:id="123"/>
    </w:p>
    <w:p>
      <w:pPr>
        <w:pStyle w:val="BookText"/>
        <w:rPr/>
      </w:pPr>
      <w:r>
        <w:rPr>
          <w:rFonts w:ascii="IRNazanin" w:hAnsi="IRNazanin" w:eastAsia="IRNazanin"/>
          <w:color w:val="111111"/>
          <w:sz w:val="28"/>
          <w:sz w:val="28"/>
          <w:szCs w:val="28"/>
          <w:rtl w:val="true"/>
          <w:lang w:bidi="fa-IR"/>
        </w:rPr>
        <w:t>قد عرفت أنّ الوطن يستعمل إجمالاً في كلمات الفقهاء في المعانی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الأصلی، والمستجدّ أو الإتخاذی، والشرعی التعبدی، فالجواب عن هذا السؤال مبنی علی بيان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هذه المعانی الثلاث؟ فإن كان المراد منه الأوّلان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الأصلی والإتخاذی فلايعتبر فيهما سوی الصدق العرفی اللغوی أی اتخاذ كونه مقراً ومسكناً لنفسه وعياله وأولاده بحيث لو سئل عن مسكنه؟ لأجاب أسكن البلد الفلانی، كان له ملك أو لا، كما صرّح به أرباب اللغة منهم خليل بن أحمد الفراهيدی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العين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الوطن موطن الإنسان ومحله، وأوطان الأغنام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مرابضها الّتي تأوی إليها،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أوطن فلان أرض كذا،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اتخذها محلاً ومسكناً يقيم بها، والموطن كلّ مكان قام به الإنسان لأمر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بعض الفقهاء من الفريقين كالإمام الراحل قدس سره في المقام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ملك ولا إقامة ستة أشهر، نعم يعتبر في المستجدّ الإقامة فيه بمقدار يصدق عرفاً أنّه وطنه ومسكنه، بل قد يصدق الوطن بواسطة طول الإقامة إذا أقام في بلد بلا نية للإقامة دائماً ولا نية تركها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حكاية الجزيری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ظاهر الحنابلة وصريح الحنفيّة والمالكيّة والشافعيّة أنّهم 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الوطن هو المحل الّذی يقيم فيه المرء علی الدوام صيفاً وشتاءً، أو ما نوی الإقامة فيه علی التأييد</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دون أن يضافوا إليه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وببيان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المتوطّن كما صرّح به أرباب اللغة أيضاً هو عبارة أخری عن الحاضر ويقابله المسافر الّذی نائی عن أهله، خرج عن موضع حضوره سواء كان له فيه ملك أم لا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غاية ما يستفاد من عباراة مثبتي الوطن الشرعی، أنّ الملك لا فائدة له لإنشاء الوطن وايجاده، بل ثمرة ذلك بناءً علی ذلك إنّما هو لزوال حكم الوطن، فإن كان له فيه ملك لاسيّما إذا كان قابلاً للسكنی وقد سكن فيه ستّة أشهر بقصد التوطّن الأبدی فإنّه لايزول عنه حكم الوطنيّة حتّی بعد الإعراض عنه لصيرورة الوطن حينئذ وطناً شرعيّاً، بخلاف ما إذا لم يكن له فيه ملك وقد أعرض عنه إلی وطن آخر فإنّه يزول عنه حكم الوطنيّة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الراحل قدس سره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المكان الّذی اتخذه مسكناً ومقراً له دائماً،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أعرض عن وطنه الأصلی أو المستجدّ وتوطن في غيره فإن لم يكن له فيه ملك أو كان ولم يكن قابلاً للسكنى أو كان ولم يسكن فيه ستة أشهر بقصد التوطن الأبدی يزول عنه حكم الوطنية، وأمّا إذا كان له ملك وقد سكن فيه ستة أشهر بعد اتخاذه وطناً دائماً أو كونه وطناً أصلياً فالمشهور على أنّه بحكم الوطن الفعلی، ويسمّونه بالوطن الشرعی، </w:t>
      </w:r>
    </w:p>
    <w:p>
      <w:pPr>
        <w:pStyle w:val="BookText"/>
        <w:rPr/>
      </w:pPr>
      <w:r>
        <w:rPr>
          <w:rFonts w:ascii="IRNazanin" w:hAnsi="IRNazanin" w:eastAsia="IRNazanin"/>
          <w:color w:val="111111"/>
          <w:sz w:val="28"/>
          <w:sz w:val="28"/>
          <w:szCs w:val="28"/>
          <w:rtl w:val="true"/>
          <w:lang w:bidi="fa-IR"/>
        </w:rPr>
        <w:t>فيوجبون عليه التمام بالمرور عليه ما دام ملكه باقياً فيه، بل قال بعضهم بوجوب التمام إذا كان له فيه ملك غير قابل للسكنى ولو نخلة ونحوها، بل فيما إذا سكن ستة أشهر ولو لم يكن بقصد التوطن دائماً بل بقصد التجارة مثلاً، والأقوى خلاف ذلك كلّه، فلا يجری حكم الوطن فيما ذكر كلّه، ويزول حكم الوطن مطلقاً بالاعراض، وإن كان الأحوط الجمع بين إجراء حكم الوطن وغيره فيها خصوصاً الصورة الأولى</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الطباطبائی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أعرض عن وطنه الأصلی أو المستجدّ وتوطّن في غيره فإن لم يكن له فيه ملك أصلاً أو كان ولم يكن قابلاً للسكنى، كما إذا كان له فيه نخلة أو نحوها، أو كان قابلاً له ولكن ولم يسكن فيه ستة أشهر بقصد التوطن الأبدی يزول عنه حكم الوطنية فلايوجب المرور عليه قطع حكم السفر، وأمّا إذا كان له فيه ملك قد سكن فيه بعد اتّخاذه وطناً له دائماً ستّة أشهر، فالمشهور علی أنّه بحكم الوطن العرفی وإن أعرض عنه إلی غيره ويسمّونه بالوطن الشرعی، ويوجبون عليه التمام إذا مرّ عليه ما دام بقاء ملكه فيه لكنّ الأقوی عدم جريان حكم الوطن عليه بعد الإعراض، فالوطن الشرعی غير ثابت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إن كان المراد منه المعنی الثالث أی الوطن الشرعی فإنّه يعتبر فيه الملكيّة بلاريب بل ادعی عليه الإجماع، لما عرفت من أنّ المستفاد من عبارات مثبتي الوطن الشرعی أنّه يشترط في ثبوته اجمالاً تحقق أمور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فيه ملك أو منزل مملوك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استوطنه ستة أشهر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يتخذه محلاً للاستقرار والسكونة فيه علی الدوام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استدلّوا عليه بصحيحة مُحَمَّدِ بْنِ إِسْمَاعِيلَ بْنِ بَزِيعٍ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يَقْصُرُ في ضَيْعَتِهِ؟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يَنْوِ مُقَامَ عَشَرَةِ أَيَّامٍ إِلَّا أَنْ يَكُونَ لَهُ فِيهَا مَنْزِلٌ يَسْتَوْطِنُهُ،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فِيهَا مَنْزِلٌ يُقِيمُ فِيهِ سِتَّةَ أَشْهُرٍ، فَإِذَا كَانَ كَذَلِكَ يُتِمُّ فِيهَا مَتَى دَخَلَهَا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محمد حسن النجفی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كلّ حال فالوطن 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كلّ موضع يتّخذه الإنسان مقراً ومحلاً له علی الدوام إلی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كلّ موضع له فيه ملك قد استوطنه فيما مضی من الزمان ستة أشهر فصاعداً كما هو المشهور نقلاً وتحصيلاً بل لاخلاف فيه إلا من نادر، بل في الروض وعن التذكرة الإجماع عليه وهو الحجّة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المستفاد من ابن قدامة الفقيه المعروف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إنّهم وإن قالوا في معنی الوطن ما مرّ 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المحلّ الّذی يقيم فيه المرء علی الدوام صيفاً وشتاءً، أو ما نوی الإقامة فيه علی التأييد، إلا أنّهم قد حكوا إجمالاً بالإتمام والصيام بمجرد الملك أو الضيعة حيث قال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مرّ في طريقه علی بلدٍ له فيه أهلٌ أو مالٌ فقال أحمد في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وقال في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إلا أن يكون مارّاً، وهذا قول ابن عباس، وقال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بمزرعة له أتمّ، وقال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مرّ بقرية فيها أهله أو ماله </w:t>
      </w:r>
    </w:p>
    <w:p>
      <w:pPr>
        <w:pStyle w:val="BookText"/>
        <w:rPr/>
      </w:pPr>
      <w:r>
        <w:rPr>
          <w:rFonts w:ascii="IRNazanin" w:hAnsi="IRNazanin" w:eastAsia="IRNazanin"/>
          <w:color w:val="111111"/>
          <w:sz w:val="28"/>
          <w:sz w:val="28"/>
          <w:szCs w:val="28"/>
          <w:rtl w:val="true"/>
          <w:lang w:bidi="fa-IR"/>
        </w:rPr>
        <w:t>أتمّ إذا أراد أن يقيم بها يوماً وليلة، وقال الشافعی وابن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يقصّر ما لم يجمع علی إقامة أربع لأنّه مسافر لم يجمع علی أربع</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يمكن حمل كلامهم علی أنّ الملك من أحد مسقطات السفر لا أنّه أمارة للوطن، وكيف كان بعد ما عرفت في الفرع السابق تفصيلاً أنّ مختارنا في المقام أنّ القول بثبوت الحقيقة الشرعيّة ممّا لا دليل عليه بل الدليل علی خلافه، وأنّ ما ورد في الصحيحة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يَكُونَ لَهُ فِيهَا مَنْزِلٌ يَسْتَوْطِنُهُ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لبيان الوطن العرفی لا الشرعی، فليس لهذا القول مجالاً حتی نبحث أنّه هل يعتبر في صدقه أن يكون له فيه ملك أم لا؟</w:t>
      </w:r>
    </w:p>
    <w:p>
      <w:pPr>
        <w:pStyle w:val="BookText"/>
        <w:rPr/>
      </w:pPr>
      <w:r>
        <w:rPr>
          <w:rFonts w:ascii="IRNazanin" w:hAnsi="IRNazanin" w:eastAsia="IRNazanin"/>
          <w:color w:val="111111"/>
          <w:sz w:val="28"/>
          <w:sz w:val="28"/>
          <w:szCs w:val="28"/>
          <w:rtl w:val="true"/>
          <w:lang w:bidi="fa-IR"/>
        </w:rPr>
        <w:t xml:space="preserve">وأمّا ما دعی من دعوی الإجماع عليه، فيمكن المناقشة فيه بأنّه علی فرض ثبوته إجماع من جانب المتأخّرين بل متأخّري المتأخّرين، زائداً علی أنّه إجماع مدركی مأخذه الرواية وليس بإجماع تعبّدی صرف كاشف عن قول المعصوم علیه السلام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حان هنا وقت الجواب عن المسألة الثانية الرئيسيّة الّتي يجب أن نجيب عنها، نطرحها تحت عنوان الفرع الآتی</w:t>
      </w:r>
      <w:r>
        <w:rPr>
          <w:rFonts w:eastAsia="IRNazanin" w:cs="IRNazanin"/>
          <w:color w:val="111111"/>
          <w:sz w:val="28"/>
          <w:szCs w:val="28"/>
          <w:rtl w:val="true"/>
          <w:lang w:bidi="fa-IR"/>
        </w:rPr>
        <w:t xml:space="preserve">: </w:t>
      </w:r>
      <w:bookmarkStart w:id="124" w:name="pg7917_84761"/>
    </w:p>
    <w:p>
      <w:pPr>
        <w:pStyle w:val="Heading2"/>
        <w:numPr>
          <w:ilvl w:val="1"/>
          <w:numId w:val="1"/>
        </w:numPr>
        <w:rPr/>
      </w:pPr>
      <w:bookmarkStart w:id="125" w:name="__RefHeading___Toc6355187_1051229030"/>
      <w:bookmarkStart w:id="126" w:name="_Toc42"/>
      <w:bookmarkEnd w:id="124"/>
      <w:bookmarkEnd w:id="125"/>
      <w:r>
        <w:rPr>
          <w:rtl w:val="true"/>
        </w:rPr>
        <w:t>أمّا الفرع الرابع</w:t>
      </w:r>
      <w:r>
        <w:rPr>
          <w:rtl w:val="true"/>
        </w:rPr>
        <w:t xml:space="preserve">: </w:t>
      </w:r>
      <w:r>
        <w:rPr>
          <w:rtl w:val="true"/>
        </w:rPr>
        <w:t>هل ملاك الإتمام كونه غير مسافر أو كونه متوطّناً؟</w:t>
      </w:r>
      <w:bookmarkEnd w:id="126"/>
    </w:p>
    <w:p>
      <w:pPr>
        <w:pStyle w:val="BookText"/>
        <w:rPr/>
      </w:pPr>
      <w:r>
        <w:rPr>
          <w:rFonts w:ascii="IRNazanin" w:hAnsi="IRNazanin" w:eastAsia="IRNazanin"/>
          <w:color w:val="111111"/>
          <w:sz w:val="28"/>
          <w:sz w:val="28"/>
          <w:szCs w:val="28"/>
          <w:rtl w:val="true"/>
          <w:lang w:bidi="fa-IR"/>
        </w:rPr>
        <w:t xml:space="preserve">مسألة الّتي لا تنقص أهميّتها عن مسألة اثبات الوطن الشرعی بل هی أكثر أهميّة منها هی مسألة اثبات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ملاك الإتمام كون الشخص غير مسافر أو كونه متوطّناً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سيتّضح لك إن شاءالله تعالی أنّ مسألة القصر والإتمام ليست دائرة مدار صدق الوطن وعدمه حتّی يبذل الفقيه جهده في تبيين مفهومه وتشريح شرائطه من أنّه هل يعتبر في صدقه نيّة الدوام أم لا؟ أو هل يشترط أن يكون له فيه منزلاً مملوكاً أو لا؟ بل إنّهما كانا يدوران حول كونه مسافراً أو غير مسافر، والوطن حيث كان من إحدی مسقطات السفر تتمّ به الصّلاة وإلا ليس له دخل، فيكفی في لزوم الإتمام عليه عدم صدق كونه مسافراً وإن لم يصدق أنّه متوطّن، قد دلّت علی ذلك أخبار كثيرة متواترة،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الْعِيصِ بْنِ الْقَاسِمِ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الْمُسَافِرُ مُقَصِّراً حَتَّى يَدْخُلَ بَيْتَهُ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الْفَضْلِ بْنِ شَاذَانَ عَنِ الرِّضَا علیه السلام فِي كِتَابِهِ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وَالتَّقْصِيرُ في ثَمَانِيَةِ فَرَاسِخَ وَمَا زَادَ وَإِذَا قَصَّرْتَ أَفْطَرْتَ</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الْمُسَافِرِ في كَمْ يُقَصِّرُ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مَسِيرَةِ يَوْمٍ وَذَلِكَ بَرِيدَانِ وَهُمَا ثَمَانِيَةُ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وصحيحة زُرَارَةَ وَ مُحَمَّدِ بْنِ مُسْلِمٍ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الصَّلَاةِ في السَّفَرِ كَيْفَ هِیَ؟ وَكَمْ هِیَ؟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w:t>
      </w:r>
    </w:p>
    <w:p>
      <w:pPr>
        <w:pStyle w:val="BookText"/>
        <w:rPr/>
      </w:pPr>
      <w:r>
        <w:rPr>
          <w:rFonts w:ascii="Amiri" w:hAnsi="Amiri" w:eastAsia="Amiri" w:cs="Amiri"/>
          <w:color w:val="111111"/>
          <w:sz w:val="28"/>
          <w:sz w:val="28"/>
          <w:szCs w:val="28"/>
          <w:rtl w:val="true"/>
          <w:lang w:bidi="ar-SA"/>
        </w:rPr>
        <w:t>ضَرَبْتُمْ في الْأَرْضِ فَلَيْسَ عَلَيْكُمْ جُناحٌ أَنْ تَقْصُرُوا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التَّقْصِيرُ في السَّفَرِ وَاجِباً كَوُجُوبِ التَّمَامِ في الْحَضَرِ،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افْعَلُوا، فَكَيْفَ أَوْجَبَ ذَلِكَ؟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وَلَيْسَ قَدْ قَالَ اللَّهُ عَزَّ وَجَلَّ في الصَّفَا وَالْمَرْوَةِ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p>
    <w:p>
      <w:pPr>
        <w:pStyle w:val="BookText"/>
        <w:rPr/>
      </w:pPr>
      <w:r>
        <w:rPr>
          <w:rFonts w:ascii="Amiri" w:hAnsi="Amiri" w:eastAsia="Amiri" w:cs="Amiri"/>
          <w:color w:val="111111"/>
          <w:sz w:val="28"/>
          <w:sz w:val="28"/>
          <w:szCs w:val="28"/>
          <w:rtl w:val="true"/>
          <w:lang w:bidi="ar-SA"/>
        </w:rPr>
        <w:t>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أَنَّ الطَّوَافَ بِهِمَا وَاجِبٌ مَفْرُوضٌ؟ لِأَنَّ اللَّهَ عَزَّ وَجَلَّ ذَكَرَهُ في كِتَابِهِ وَصَنَعَهُ نَبِيُّهُ، وَكَذَلِكَ التَّقْصِيرُ في السَّفَرِ شَیْ‌ءٌ صَنَعَهُ النَّبِیّ صَلَّى اَللَّهُ عَلَيْهِ وَ آلِهِ وَ سَلَّمْ وَذَكَرَهُ</w:t>
      </w:r>
    </w:p>
    <w:p>
      <w:pPr>
        <w:pStyle w:val="BookText"/>
        <w:rPr/>
      </w:pPr>
      <w:r>
        <w:rPr>
          <w:rFonts w:ascii="Amiri" w:hAnsi="Amiri" w:eastAsia="Amiri" w:cs="Amiri"/>
          <w:color w:val="111111"/>
          <w:sz w:val="28"/>
          <w:sz w:val="28"/>
          <w:szCs w:val="28"/>
          <w:rtl w:val="true"/>
          <w:lang w:bidi="ar-SA"/>
        </w:rPr>
        <w:t>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زُرَارَةَ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رَسُولُ اللَّه صَلَّى اَللَّهُ عَلَيْهِ وَ آلِهِ وَ سَلَّمْ قَوْماً صَامُوا حِينَ أَفْطَرَ وَقَصَّرَ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الْعُصَاةُ إِلَى يَوْمِ الْقِيَامَةِ، وَإِنَّا لَنَعْرِفُ أَبْنَاءَهُمْ وَأَبْنَاءَ أَبْنَائِهِمْ إِلَى يَوْمِنَا هَذَا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مُحَمَّدِ بْنِ أَبِی عُمَيْرٍ عَنْ غَيْرِ وَاحِدٍ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الْحُسَيْنِ علیه السلام إِذَا سَافَرَ صَلَّى رَكْعَتَيْنِ ثُمَّ رَكِبَ رَاحِلَتَهُ وَبَقِیَ مَوَالِيهِ يَتَنَفَّلُونَ فَيَقِفُ يَنْتَظِرُهُمْ فَقِيلَ لَهُ أَ لَا تَنْهَاهُمْ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أَكْرَهُ أَنْ أَنْهَى عَبْداً إِذَا صَلَّى وَالسُّنَّةُ أَحَبُّ إِلَیَّ</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رجال السند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البرقی، ومحمّد بن خالد البرقی، ومحمّد بن أبی عمير، وأبو حمزة الثمالی وإن قال النجاشی في محمّد بنخالد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ضعيف في الحديث</w:t>
      </w:r>
      <w:r>
        <w:rPr>
          <w:rStyle w:val="FootnoteAnchor"/>
          <w:rtl w:val="true"/>
        </w:rPr>
        <w:footnoteReference w:id="404"/>
      </w:r>
      <w:r>
        <w:rPr>
          <w:rFonts w:ascii="IRNazanin" w:hAnsi="IRNazanin" w:eastAsia="IRNazanin"/>
          <w:color w:val="111111"/>
          <w:sz w:val="28"/>
          <w:sz w:val="28"/>
          <w:szCs w:val="28"/>
          <w:rtl w:val="true"/>
          <w:lang w:bidi="fa-IR"/>
        </w:rPr>
        <w:t>، كلّهم ثقات، ولا يقدح إرسال ابن أبی عمير لكونه من الأجلاء الّتي أجمعوا الأصحاب علی تصحيح ما يصحّ عنهم وأقرّوا لهم بالفقه وكونهم ممّن لايروون ولايرسلون إلا عن الثقات</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ومرفوعة الصدوق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السَّفَرِ أَرْبَعاً فَأَنَا إِلَى اللَّهِ مِنْهُ بَرِی‌ءٌ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يَعْنِی مُتَعَمِّداً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ومرفوعة الثانية منه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الْمُتَمِّمُ في السَّفَرِ كَالْمُقَصِّرِ في الْحَضَرِ</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غير ذلك من الأخبار والأحاديث، فبناءً علی ذلك كلّ من توطّن في موضع غير وطنه الأصلی لابصورة دائميّة بل بصورة موقتة محدودة سواء كان لأجل التحصيل والتدريس، أو للشغل والتجارة، أو للتوظّف والمؤاجرة كسنة أو أزيد، فيجب عليهم الإتمام لا بملاك أنّهم مقيمون بحيث لو خرجوا منها بمقدار المسافة الشرعيّة ثمّ عادوا إليها لم يلزمهم تجديد النيّة وقصد الإقامة، بل بملاك كونهم ما داموا كذلك لا يعدّون من المسافرين ولم يعدّوا حينها من الضاربين في </w:t>
      </w:r>
      <w:bookmarkStart w:id="127" w:name="pg7917_84764"/>
    </w:p>
    <w:p>
      <w:pPr>
        <w:pStyle w:val="BookText"/>
        <w:rPr/>
      </w:pPr>
      <w:bookmarkEnd w:id="127"/>
      <w:r>
        <w:rPr>
          <w:rFonts w:ascii="IRNazanin" w:hAnsi="IRNazanin" w:eastAsia="IRNazanin"/>
          <w:color w:val="111111"/>
          <w:sz w:val="28"/>
          <w:sz w:val="28"/>
          <w:szCs w:val="28"/>
          <w:rtl w:val="true"/>
          <w:lang w:bidi="fa-IR"/>
        </w:rPr>
        <w:t>الأرض، فلايضرّ خروجهم من تلك الأمكنة سواء كان بمقدار المسافة أو أقلّ أو أزيد كمن خرج من وطنه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وبذلك يظهر أنّه لو اشتغل شخص بعمل في غير بلده الأصلی ولكن يسافر كلّ يوم لأجل شغله إلی تلك البلد كالمعلّم الّذی يبيت مع أهله في بلد ويشتغل بالدراسة نهاراً في بلد آخر ولم يزل علی هذا المنوال مدّة طويلة فهو يتمّ صلاته في كلّ من البلدين وإن تخلّلت بينهما المسافة الشرعيّة، وما ذلك إلا أنّه لايصدق عليه في كلا البلدين عنوان المسافر إذا كان عمله مستمراً، والمكلّف ما لم يكن مسافراً لم يشرّع في حقّه التقصير</w:t>
      </w:r>
      <w:r>
        <w:rPr>
          <w:rFonts w:eastAsia="IRNazanin" w:cs="IRNazanin"/>
          <w:color w:val="111111"/>
          <w:sz w:val="28"/>
          <w:szCs w:val="28"/>
          <w:rtl w:val="true"/>
          <w:lang w:bidi="fa-IR"/>
        </w:rPr>
        <w:t>.</w:t>
      </w:r>
    </w:p>
    <w:p>
      <w:pPr>
        <w:pStyle w:val="Heading2"/>
        <w:numPr>
          <w:ilvl w:val="1"/>
          <w:numId w:val="1"/>
        </w:numPr>
        <w:rPr/>
      </w:pPr>
      <w:bookmarkStart w:id="128" w:name="__RefHeading___Toc6355189_1051229030"/>
      <w:bookmarkStart w:id="129" w:name="_Toc43"/>
      <w:bookmarkEnd w:id="128"/>
      <w:r>
        <w:rPr>
          <w:rtl w:val="true"/>
        </w:rPr>
        <w:t>أمّا الفرع الخامس</w:t>
      </w:r>
      <w:r>
        <w:rPr>
          <w:rtl w:val="true"/>
        </w:rPr>
        <w:t xml:space="preserve">: </w:t>
      </w:r>
      <w:r>
        <w:rPr>
          <w:rtl w:val="true"/>
        </w:rPr>
        <w:t>كيف يصدق الإعراض عن الوطن الأصلی والمستجدّ والشرعی التعبّدی؟</w:t>
      </w:r>
      <w:bookmarkEnd w:id="129"/>
    </w:p>
    <w:p>
      <w:pPr>
        <w:pStyle w:val="BookText"/>
        <w:rPr/>
      </w:pPr>
      <w:r>
        <w:rPr>
          <w:rFonts w:ascii="IRNazanin" w:hAnsi="IRNazanin" w:eastAsia="IRNazanin"/>
          <w:color w:val="111111"/>
          <w:sz w:val="28"/>
          <w:sz w:val="28"/>
          <w:szCs w:val="28"/>
          <w:rtl w:val="true"/>
          <w:lang w:bidi="fa-IR"/>
        </w:rPr>
        <w:t>بعد ما مرّ أنّ الوطن يستعمل إجمالاً في كلمات الفقهاء في المعانی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الأصلی، والمستجدّ أو الإتخاذی، والشرعی التعبّدی، فيختلف الإعراض عنه أيضاً علی كلّ من هذه المبانی، فأمّا علی القول بانحصاره في الوطن العرفی اللغوی، وأنّ الوطن الشرعی غير ثابت بل الدليل علی خلافه، وأنّ مآل الوطنين لإتخاذی والشرعی هو الوطن العرفی، فيحصل الإعراض بأحد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القصدی العملی، والإعراض العرفی القهری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الإعراض القصدی العملی بأن قصد الهجرة وهجر منه عملاً بأن توجّه إلی غيره، وإن لم يتّخذ بعده وطناً آخر، يتعرّض له السيّد الطباطبائی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يزول حكم الوطنيّة بالإعراض والخروج وإن لم يتّخذ بعد وطناً آخر، فيمكن أن يكون بلا وطن مدّة مديدة</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الراحل قدس سره بعد ما نسب القول بالوطن الشرعی إلی المشهور ذهب إلی أنّ الأقوی خلافه، ثمّ يتعرّض لصورة الإعراض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أعرض عن وطنه الأصلی أو المستجد وتوطّن في غيره فإن لم يكن له فيه ملك، أو كان ولم يكن قابلاً للسكنی، أو كان ولم يسكن فيه ستة أشهر بقصد التوطّن الأبدی يزول عنه حكم الوطنيّة، وأمّا إذا كان له ملك وقد سكن فيه ستة أشهر بعد اتخاذه وطناً دائماً أو كونه وطناً أصلياً فالمشهور على أنّه بحكم الوطن الفعلی، ويسمّونه بالوطن الشرعی، فيوجبون عليه التمام بالمرور عليه ما دام ملكه باقياً فيه، بل قال بعضهم بوجوب التمام إذا كان له فيه ملك غير قابل للسكنى ولو نخلة ونحوها، بل فيما إذا سكن ستة أشهر ولو لم يكن بقصد التوطن دائماً بل بقصد التجارة مثلاً، والأقوى خلاف ذلك كلّه، فلا يجری حكم الوطن فيما ذكر كلّه، ويزول حكم الوطن مطلقاً بالاعراض، وإن كان الأحوط الجمع بين إجراء حكم الوطن وغيره فيها خصوصاً الصورة الأولى</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مراده من الإعراض في ذيل كلامه للزوال كما صرّح به في صدر كلامه، هو الإعراض القصدی العملی، فالقول برعاية الإحتياط حينئذ إذا كان له فيه ملك احتياط مندوبی نشأ إمّا من صحيحة محمّد بن اسماعيل بن بزيع </w:t>
      </w:r>
    </w:p>
    <w:p>
      <w:pPr>
        <w:pStyle w:val="BookText"/>
        <w:rPr/>
      </w:pPr>
      <w:r>
        <w:rPr>
          <w:rFonts w:ascii="Amiri" w:hAnsi="Amiri" w:eastAsia="Amiri" w:cs="Amiri"/>
          <w:color w:val="111111"/>
          <w:sz w:val="28"/>
          <w:sz w:val="28"/>
          <w:szCs w:val="28"/>
          <w:rtl w:val="true"/>
          <w:lang w:bidi="ar-SA"/>
        </w:rPr>
        <w:t xml:space="preserve">المتقدمة </w:t>
      </w:r>
      <w:r>
        <w:rPr>
          <w:rStyle w:val="FootnoteAnchor"/>
          <w:rtl w:val="true"/>
        </w:rPr>
        <w:footnoteReference w:id="410"/>
      </w:r>
      <w:r>
        <w:rPr>
          <w:rFonts w:ascii="IRNazanin" w:hAnsi="IRNazanin" w:eastAsia="IRNazanin"/>
          <w:color w:val="111111"/>
          <w:sz w:val="28"/>
          <w:sz w:val="28"/>
          <w:szCs w:val="28"/>
          <w:rtl w:val="true"/>
          <w:lang w:bidi="fa-IR"/>
        </w:rPr>
        <w:t>مع ما فيها من الملاحظات، أو لأجل مراعاة عدم مخالفة هؤلاء القائلين بالوطن الشرعی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يمكن أن نستدلّ علی ذلك بموثقة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يَكُونُ بِالْبَصْرَةِ وَهُوَ مِنْ أَهْلِ الْكُوفَةِ لَهُ بِهَا دَارٌ وَمَنْزِلٌ فَيَمُرُّبِالْكُوفَةِ وَإِنَّمَا هُوَ مُجْتَازٌ لَا يُرِيدُ الْمُقَامَ إِلَّا بِقَدْرِ مَا يَتَجَهَّزُ يَوْماً أَوْ يَوْمَيْنِ؟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 في جَانِبِ الْمِصْرِ وَيَقْصُرُ،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التَّمَامُ</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بتقريب أنّ السائل كان من أهل الكوفة سابقاً وقد أعرض عنها وتوطّن في البصرة حالاً، إلا أنّ له علاقة ملك ومنزل في الكوفة والمفروض أنّه مجتاز بها فعلاً يريد المقام فيه أقلّ من عشرة أيّام، فسئل أنّه هل يوجب مجرد مروره هذا علی الكوفة التمام؟ فأجاب الإمام علیه السلام بأنّه لا يكون الا إذا دخل بيته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الإعراض العرفی القهری بأن يطول مدّة خروجه عن وطنه السابق مقداراً يصحّ عرفاً سلب عنوان المقيم والمتوطن عنه بالنسبة إلی تلك البلد، لما ثبت في محلّه بأنّ عدم صحّة السلب وصحة الحمل بالحمل الأولی الذاتی أو الشائع الصناعی علامة لكون وضع اللفظ لنفس المعنی أو كونه من مصاديقه وأفراده حقيقة، وأنّ صحّة سلبه بالحملين أو بأحدهما دليل علی عدم كونه منها</w:t>
      </w:r>
      <w:r>
        <w:rPr>
          <w:rStyle w:val="FootnoteAnchor"/>
          <w:rtl w:val="true"/>
        </w:rPr>
        <w:footnoteReference w:id="412"/>
      </w:r>
      <w:r>
        <w:rPr>
          <w:rFonts w:ascii="IRNazanin" w:hAnsi="IRNazanin" w:eastAsia="IRNazanin"/>
          <w:color w:val="111111"/>
          <w:sz w:val="28"/>
          <w:sz w:val="28"/>
          <w:szCs w:val="28"/>
          <w:rtl w:val="true"/>
          <w:lang w:bidi="fa-IR"/>
        </w:rPr>
        <w:t>، ونعبّر عن هذا بالإعراض العرفی القهری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أيضاً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سبق إلی مسجد أو مشهد أو نحوهما فهو أحقّ بها ما لم يطل خروجه عنها بمقدار ليلة أو يوم وإن لم يكن من قصده الإعراض عنها، </w:t>
      </w:r>
    </w:p>
    <w:p>
      <w:pPr>
        <w:pStyle w:val="BookText"/>
        <w:rPr/>
      </w:pPr>
      <w:r>
        <w:rPr>
          <w:rFonts w:ascii="Amiri" w:hAnsi="Amiri" w:eastAsia="Amiri" w:cs="Amiri"/>
          <w:color w:val="111111"/>
          <w:sz w:val="28"/>
          <w:sz w:val="28"/>
          <w:szCs w:val="28"/>
          <w:rtl w:val="true"/>
          <w:lang w:bidi="ar-SA"/>
        </w:rPr>
        <w:t>بل قد خرج لمجرد التوضّوء أو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ذلك إلا من باب سلب اسم الجالس بالنسبة إليه، وحيث لا خصوصيّة فيها نتعدّی منها إلی المقام ونقول كلّ من طال خروجه عن وطنه مدّة معتدّة بها بحيث يصحّ عنه سلب اسم المتوطّن عرفاً فيزول عنه حكم الوطنيّة،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طَلْحَةَ بْنِ زَيْدٍ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فَمَنْ سَبَقَ إِلَى مَكَانٍ فَهُوَ أَحَقُّ بِهِ إِلَى اللَّيْلِ، وَكَانَ لَا يَأْخُذُ عَلَى بُيُوتِ السُّوقِ كِرَاءً</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ومرسلة مُحَمَّدِ بْنِ إِسْمَاعِيلَ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بِمَكَّةَ أَوْ بِالْمَدِينَةِ أَوِ الْحِيرَةِ أَوِ الْمَوَاضِعِ الّتي يُرْجَى فِيهَا الْفَضْلُ فَرُبَّمَا خَرَجَ الرَّجُلُ يَتَوَضَّأُ فَيَجِی‌ءُ آخَرُ فَيَصِيرُ مَكَانَهُ،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مَوْضِعٍ فَهُوَ أَحَقُّ بِهِ يَوْمَهُ وَلَيْلَتَهُ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العرف في صحّة حمل الألفاظ إلی معانيها وعدمه فرّق في المصلّی والباسط وأمثالهما بين من كان سجادته وبساطه موجودةً في موضعه، وبين من لم يكن كذلك، ففی المقام أيضاً فرّق بين من بقی منزله وداره في وطنه السابق وبين من لم يكن، مع الإذعان بأنّ مجرد الدار ما لم تكن مقرونة بقرينة لادلالة فيها لبقاء علقة الوطنيّة، لما نری أنّ بعض الأغنياء المتموّلين كثيراً ما يهيّئون لأنفسهم دوراً وبيوتاً في بعض الأمصار والبلاد الّتي يسافرون إليها أحياناً لأجل الشغل أو التفريح من دون أن يكون من قصدهم التوطّن فيها أبداً كما هو ظاهر الأمر في موثقة ابن بكير السابقة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إذا لم يكن خروجه بهذا المقدار بأن تردّد في صدق اسم الوطن عليه ولم يهجر عنه بنحو الإعراض العملی العرفی، فيستصحب موضوع الوطنبالنسبة إليه كلّما وصل إلی وطنه وإن لم ينو فيه الإقامة العشرة الّتي توجب التمام عليه، أو مرّ به ولو آناًمّا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قلنا بأنّ الوطن منحصر في الوطن العرفی اللغوی وأنّ مآل الوطنين الشرعی والإتخاذی هو العرفی، وأمّا بناءً علی القول بثبوت الوطن الشرعی فمن توطّن موضعاً وإن لم يكن هذا وطنه الأصلی وقد أقام فيه فيما مضی ستة أشهر مطلقاً أو استوطن المدة بقصد التوطن الدائمی وكان له فيه ملك أو منزل مملوك، فما دام ملكه باقياً هاهنا يجب عليه الصيام والإتمام متی يمرّ به وإن أعرض عنه، فإذا مرّ الشخص بهذا الموضع حال سفره ولم يكن مروره فيه بعنوان الإقامة العشرة يحكم عليه بكونه غير مسافر تعبداً وشرعاً، فزوال حكم الوطنيّة بالنسبة إليه لا يكون إلا بزوال ملكه فيها، أو بعدم الملك له هاهنا من بدو الأمر، أو بعدم وجود شرط آخر من الشروط المذكورة حسب المبانی المختلفة الّتي مرّت الإشارة إليها في بيان معنی الوطن، إلی ذلك أشار الإمام الراحل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أعرض عن وطنه الأصلی أو المستجد وتوطّن في غيره فإن لم يكن له فيه ملك، أو كان ولم يكن قابلاً للسكنی، أو كان ولم يسكن فيه ستة أشهر بقصد التوطّن الأبدی يزول عنه حكم الوطنيّة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وبذلك يظهر حكم المسألة في الفرع الآتی أيضاً</w:t>
      </w:r>
      <w:r>
        <w:rPr>
          <w:rFonts w:eastAsia="IRNazanin" w:cs="IRNazanin"/>
          <w:color w:val="111111"/>
          <w:sz w:val="28"/>
          <w:szCs w:val="28"/>
          <w:rtl w:val="true"/>
          <w:lang w:bidi="fa-IR"/>
        </w:rPr>
        <w:t xml:space="preserve">. </w:t>
      </w:r>
      <w:bookmarkStart w:id="130" w:name="pg7917_84769"/>
    </w:p>
    <w:p>
      <w:pPr>
        <w:pStyle w:val="Heading2"/>
        <w:numPr>
          <w:ilvl w:val="1"/>
          <w:numId w:val="1"/>
        </w:numPr>
        <w:rPr/>
      </w:pPr>
      <w:bookmarkStart w:id="131" w:name="__RefHeading___Toc6355191_1051229030"/>
      <w:bookmarkStart w:id="132" w:name="_Toc44"/>
      <w:bookmarkEnd w:id="130"/>
      <w:bookmarkEnd w:id="131"/>
      <w:r>
        <w:rPr>
          <w:rtl w:val="true"/>
        </w:rPr>
        <w:t>أمّا الفرع السادس</w:t>
      </w:r>
      <w:r>
        <w:rPr>
          <w:rtl w:val="true"/>
        </w:rPr>
        <w:t xml:space="preserve">: </w:t>
      </w:r>
      <w:r>
        <w:rPr>
          <w:rtl w:val="true"/>
        </w:rPr>
        <w:t xml:space="preserve">ما هو حكم عبادتي الصوم والصلاة لو تردّد في بقاء صدق عنوان </w:t>
      </w:r>
      <w:r>
        <w:rPr>
          <w:rtl w:val="true"/>
        </w:rPr>
        <w:t>«</w:t>
      </w:r>
      <w:r>
        <w:rPr>
          <w:rtl w:val="true"/>
        </w:rPr>
        <w:t>الوطن</w:t>
      </w:r>
      <w:r>
        <w:rPr>
          <w:rtl w:val="true"/>
        </w:rPr>
        <w:t xml:space="preserve">» </w:t>
      </w:r>
      <w:r>
        <w:rPr>
          <w:rtl w:val="true"/>
        </w:rPr>
        <w:t>و زواله إذا مرّ به ولم ينو إقامة عشرأيّام؟</w:t>
      </w:r>
      <w:bookmarkEnd w:id="132"/>
    </w:p>
    <w:p>
      <w:pPr>
        <w:pStyle w:val="BookText"/>
        <w:rPr/>
      </w:pPr>
      <w:r>
        <w:rPr>
          <w:rFonts w:ascii="IRNazanin" w:hAnsi="IRNazanin" w:eastAsia="IRNazanin"/>
          <w:color w:val="111111"/>
          <w:sz w:val="28"/>
          <w:sz w:val="28"/>
          <w:szCs w:val="28"/>
          <w:rtl w:val="true"/>
          <w:lang w:bidi="fa-IR"/>
        </w:rPr>
        <w:t xml:space="preserve">بعد ما تبيّن معنی الوطن حسب المبانی المختلفة، تصل النوبة إلی بيان حكم عبادتي الصوم والصلاة لو تردّد في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زواله إذا مرّ به ولم ينو فيه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القول بانحصار الوطن في الوطن العرفی اللغوی، فبمجرد الإعراض العملی يزول عنه حكم الوطنيّة وإن كان له فيه ملك أو دار، فمن لم يكن من عزمه العود إلی وطنه السابق لأجل التعيّش والسكونة فيها فمتی يمرّ بها يقصّر ويفطر مثل امرأة الّتي تزوّجت وانتقلت من بلدها إلی بلد زوجها بعد تزويجها، فهذه المرأة متی تذهب إلی بلد أبيها وأقاربها لأجل زيارة والديها وصلة رحمها وأمثالهما ولم تنو فيها الإقامة تقصّر صلاتها وتفطر صيامها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الأمر علی هذا المبنی لو طال خروجه عن وطنه بحيث يصحّ عنه عرفاً سلب عنوان المقيم والمتوطن بالنسبة إلی ذلك البلد يفطر ويقصّر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يكن خروجه بقدر يصحّ عرفاً سلب عنوان المقيم والمتوطن عنه بالنسبة إلی وطنه، أو شك في بقائه وعدمه ولم يهجر عنه بنحو الإعراض العملی العرفی، فيستصحب موضوع الوطن بالنسبة إليه كلّما وصل إليه وإن لم ينو فيه الإقامة العشرة الّتي توجب التمام عليه، أو مرّ به ولو آناًمّا، فيتمّ به صلاته ويصوم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بناءً علی القول بثبوت الوطن الشرعی، فقد عرفت آنفاً بأنّ من توطّن موضعاً وإن لم يكن هذا وطنه الأصلی وقد أقام فيه فيما مضی ستة أشهر مطلقاً أو استوطن المدّة بقصد التوطّن الدائمی وكان له فيه ملك أو منزل مملوك، فما دام ملكه باقياً هاهنا يجب عليه بعنوان الوطن الشرعی التعبّدی الصيام والإتمام متی يمرّ به وإن أعرض عنه، فزوال حكم الوطنيّة بالنسبة إليه لا يكون إلا بزوال الملك </w:t>
      </w:r>
    </w:p>
    <w:p>
      <w:pPr>
        <w:pStyle w:val="BookText"/>
        <w:rPr/>
      </w:pPr>
      <w:r>
        <w:rPr>
          <w:rFonts w:ascii="IRNazanin" w:hAnsi="IRNazanin" w:eastAsia="IRNazanin"/>
          <w:color w:val="111111"/>
          <w:sz w:val="28"/>
          <w:sz w:val="28"/>
          <w:szCs w:val="28"/>
          <w:rtl w:val="true"/>
          <w:lang w:bidi="fa-IR"/>
        </w:rPr>
        <w:t>عنه، أو بعدم الملك له هاهنا من بدو الأمر، أو بعدم وجود شرط آخر من الشروط المذكورة حسب أقوال المختلفة الّتي مرّت الإشارة إليها في بيان معنی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تمّ بحمد الله والمنّة ما أردنا أن نبحث عنه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الوطن الأصلی والمُستَجَدّ أو الإتخاذی والوطن الشرعی التّعبدی وفروعاتها الستّة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7917_84772"/>
      <w:bookmarkStart w:id="134" w:name="pg7917_84772"/>
      <w:bookmarkEnd w:id="134"/>
    </w:p>
    <w:p>
      <w:pPr>
        <w:pStyle w:val="Heading2"/>
        <w:numPr>
          <w:ilvl w:val="1"/>
          <w:numId w:val="1"/>
        </w:numPr>
        <w:rPr/>
      </w:pPr>
      <w:bookmarkStart w:id="135" w:name="pg7917_84772"/>
      <w:bookmarkStart w:id="136" w:name="__RefHeading___Toc6355193_1051229030"/>
      <w:bookmarkStart w:id="137" w:name="_Toc45"/>
      <w:bookmarkEnd w:id="135"/>
      <w:bookmarkEnd w:id="136"/>
      <w:r>
        <w:rPr>
          <w:rtl w:val="true"/>
        </w:rPr>
        <w:t>المقالة الثالثة</w:t>
      </w:r>
      <w:r>
        <w:rPr>
          <w:rtl w:val="true"/>
        </w:rPr>
        <w:t>:</w:t>
      </w:r>
      <w:bookmarkEnd w:id="13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المطاف </w:t>
      </w:r>
      <w:r>
        <w:rPr>
          <w:rStyle w:val="FootnoteAnchor"/>
          <w:rtl w:val="true"/>
        </w:rPr>
        <w:footnoteReference w:id="416"/>
      </w:r>
      <w:r>
        <w:rPr>
          <w:rFonts w:ascii="Amiri" w:hAnsi="Amiri" w:eastAsia="Amiri" w:cs="Amiri"/>
          <w:color w:val="111111"/>
          <w:sz w:val="28"/>
          <w:sz w:val="28"/>
          <w:szCs w:val="28"/>
          <w:rtl w:val="true"/>
          <w:lang w:bidi="ar-SA"/>
        </w:rPr>
        <w:t>وحدّه المقالة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المطاف وحدّه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7917_84774"/>
      <w:bookmarkStart w:id="139" w:name="pg7917_84774"/>
      <w:bookmarkEnd w:id="139"/>
    </w:p>
    <w:p>
      <w:pPr>
        <w:pStyle w:val="Heading2"/>
        <w:numPr>
          <w:ilvl w:val="1"/>
          <w:numId w:val="1"/>
        </w:numPr>
        <w:rPr/>
      </w:pPr>
      <w:bookmarkStart w:id="140" w:name="pg7917_84774"/>
      <w:bookmarkStart w:id="141" w:name="__RefHeading___Toc6355195_1051229030"/>
      <w:bookmarkStart w:id="142" w:name="_Toc46"/>
      <w:bookmarkEnd w:id="140"/>
      <w:bookmarkEnd w:id="141"/>
      <w:r>
        <w:rPr>
          <w:rtl w:val="true"/>
        </w:rPr>
        <w:t>هل للطواف حدّ سائغ فمن يخرج عنه لم يكن طائفاً؟</w:t>
      </w:r>
      <w:bookmarkEnd w:id="142"/>
    </w:p>
    <w:p>
      <w:pPr>
        <w:pStyle w:val="BookText"/>
        <w:rPr/>
      </w:pPr>
      <w:r>
        <w:rPr>
          <w:rFonts w:ascii="IRNazanin" w:hAnsi="IRNazanin" w:eastAsia="IRNazanin"/>
          <w:color w:val="111111"/>
          <w:sz w:val="28"/>
          <w:sz w:val="28"/>
          <w:szCs w:val="28"/>
          <w:rtl w:val="true"/>
          <w:lang w:bidi="fa-IR"/>
        </w:rPr>
        <w:t>الطّواف هو الواجب الثانی في العمرة، وهو عند الفقهاء عبارةٌ عن دوران سبعة أشواط حول الكعبة المكرّمة بتفصيل وشرائط مذكور في الكتب الفقهيّة، نبحث في هذا المجال فعلاً عن مسألة مقدار المطاف وسعته وما له من الفروع والمسائل، نذكر في الإبتداء أقوال المطروحة فيها وأدلّتها، ثمّ نتعرّض لما هو مختارنا في المقام</w:t>
      </w:r>
      <w:r>
        <w:rPr>
          <w:rFonts w:eastAsia="IRNazanin" w:cs="IRNazanin"/>
          <w:color w:val="111111"/>
          <w:sz w:val="28"/>
          <w:szCs w:val="28"/>
          <w:rtl w:val="true"/>
          <w:lang w:bidi="fa-IR"/>
        </w:rPr>
        <w:t>:</w:t>
      </w:r>
    </w:p>
    <w:p>
      <w:pPr>
        <w:pStyle w:val="Heading2"/>
        <w:numPr>
          <w:ilvl w:val="1"/>
          <w:numId w:val="1"/>
        </w:numPr>
        <w:rPr/>
      </w:pPr>
      <w:bookmarkStart w:id="143" w:name="__RefHeading___Toc6355197_1051229030"/>
      <w:bookmarkStart w:id="144" w:name="_Toc47"/>
      <w:bookmarkEnd w:id="143"/>
      <w:r>
        <w:rPr>
          <w:rtl w:val="true"/>
        </w:rPr>
        <w:t>بيان الأقوال المسئلة وهي إجمالاً ثلاثة</w:t>
      </w:r>
      <w:r>
        <w:rPr>
          <w:rtl w:val="true"/>
        </w:rPr>
        <w:t>:</w:t>
      </w:r>
      <w:bookmarkEnd w:id="14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المعروف والمشهور بين الأصحاب، بل ادّعی أنّه ممّا كاد أن يكون إجماعاً، أو أجمعوا عليه أو مقطوع عندهم، وهو وجوب كونه بين الكعبة ومقام إبراهيم علیه السلام مراعياً قدر ما بينهما من البُعد إجمالاً في جميع أطراف البيت، وحدّ ذلك المقدار ستّةٌ وعشرون ذراعاً ونصف ذراع تقريباً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تباعد من البيت حتّی يطوف بالسقاية وزمزم لم يجزه، 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يجزيه، 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ذكرناه مقطوع علی إجزائه وما ذكروه ليس علی إجزائه دليل، فالاحتياط يقتضی ما قلناه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الفيض الكاشانی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المفاتيح</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يطوف بين البيت والمقام، مراعياً قدر ما بينهما من جميع الجهات على المشهور، بل كاد يكون إجماعاً للنصّ، خلافاً للإسكافی والصدوق فجوزاه خارج المقام مع الضرورة، للصحيح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الطواف </w:t>
      </w:r>
    </w:p>
    <w:p>
      <w:pPr>
        <w:pStyle w:val="BookText"/>
        <w:rPr/>
      </w:pPr>
      <w:r>
        <w:rPr>
          <w:rFonts w:ascii="Amiri" w:hAnsi="Amiri" w:eastAsia="Amiri" w:cs="Amiri"/>
          <w:color w:val="111111"/>
          <w:sz w:val="28"/>
          <w:sz w:val="28"/>
          <w:szCs w:val="28"/>
          <w:rtl w:val="true"/>
          <w:lang w:bidi="ar-SA"/>
        </w:rPr>
        <w:t>خلف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ذلك، وما أرى به بأساً فلا تفعله الا أن لا تجد منه بداً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الطباطبائی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يكون طوافه بين المقام والبيت مراعياً قدر ما بينهما من جميع الجهات مطلقاً على المشهور،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كاد أن يكون إجماعاً، وفی الغنية الإجماع عليه صريحاً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النّراقی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المقام عن الطواف بأن يكون الطواف بين البيت والمقام، مراعياً قدر ما بينهما من جميع الجهات، علی المشهور بين الأصحاب،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 أن يكون إجماعاً، وعن الغنية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عليه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معتدّ به أجده في وجوب كون الطواف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البيت، بل عن الغنية الإجماع عليه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علی ذلك الإجماع وأنّه طريقة الإحتياط وموجب لليقين لبرائة الذمّة، حيث قال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في الطواف النية، ومقارنتها، واستمرار حكمها، والطهارة من الحدث والنجس، وستر العورة، والبداءة بالحجر الأسود والختام به، وأن يكون سبعة أشواط، وأن يكون البيت عن يسار الطائف، وأن يكون </w:t>
      </w:r>
    </w:p>
    <w:p>
      <w:pPr>
        <w:pStyle w:val="BookText"/>
        <w:rPr/>
      </w:pPr>
      <w:r>
        <w:rPr>
          <w:rFonts w:ascii="IRNazanin" w:hAnsi="IRNazanin" w:eastAsia="IRNazanin"/>
          <w:color w:val="111111"/>
          <w:sz w:val="28"/>
          <w:sz w:val="28"/>
          <w:szCs w:val="28"/>
          <w:rtl w:val="true"/>
          <w:lang w:bidi="fa-IR"/>
        </w:rPr>
        <w:t>خارج الحجر، وأن يكون بين البيت والمقام، فمن ترك شيئاً من ذلك لم يجزه الطواف، بدليل الإجماع الماضی ذكره، وطريقة الاحتياط، واليقين لبراءة الذمة، لأنّه لا خلاف في براءة الذمة منه إذا فعل على الوجه الّذی ذكرناه، وليس على براءتها منه إذا فعل على خلافه دليل</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وادّعی العلامة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كذلك عندنا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يجب عندنا أن يكون الطّواف بين البيت والمقام ويدخل الحجر في طوافه، فلوطاف في المسجد خلف المقام لم يصحّ طوافه لأنّه خرج بالتّباعد عن القدر الواجب فلم يكن مجزئاً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روى الصدوق عن أبان عن محمّد الحلبی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الطواف خلف المقام،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ذلك وما أرى به بأساً فلا تفعله إلّا أن لا تجد منه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يعطی الجواز مع الحاجة كالزحام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24"/>
      </w:r>
      <w:r>
        <w:rPr>
          <w:rFonts w:ascii="Amiri" w:hAnsi="Amiri" w:eastAsia="Amiri" w:cs="Amiri"/>
          <w:color w:val="111111"/>
          <w:sz w:val="28"/>
          <w:sz w:val="28"/>
          <w:szCs w:val="28"/>
          <w:rtl w:val="true"/>
          <w:lang w:bidi="ar-SA"/>
        </w:rPr>
        <w:t>أنّه مقطوع عند الأصحاب، فقال في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قطع الأصحاب بأنّه يجب مراعاة قدر ما بين البيت والمقام من جميع الجهات، وفی رواية محمّد بن مسلم المتقدمة دلالة عليه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وهوأيضاً خيرة الإمام الراحل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واجبات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الطّواف بين البيت ومقام إبراهيم علیه السلام ومقدار الفصل بينهما في سائر الجوانب، فلا يزيد عنه،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الفصل بينهما ستة وعشرين ذراعاً ونصف ذراع، فلا بدّ أن لا يكون الطّواف في جميع الأطراف زائداً على هذا المقدار، 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جعل مقام إبراهيم داخلاً في طوافه، فلو أدخله بطل، ولو أدخله </w:t>
      </w:r>
    </w:p>
    <w:p>
      <w:pPr>
        <w:pStyle w:val="BookText"/>
        <w:rPr/>
      </w:pPr>
      <w:r>
        <w:rPr>
          <w:rFonts w:ascii="Amiri" w:hAnsi="Amiri" w:eastAsia="Amiri" w:cs="Amiri"/>
          <w:color w:val="111111"/>
          <w:sz w:val="28"/>
          <w:sz w:val="28"/>
          <w:szCs w:val="28"/>
          <w:rtl w:val="true"/>
          <w:lang w:bidi="ar-SA"/>
        </w:rPr>
        <w:t>في بعضه أعاد ذلك البعض، والأحوط إعادة الطواف بعد إتمام دوره بإخراجه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 خارج المقام إذا اقتضاه الضّرورة، مراعياً في ذلك الأقرب إلی المقام فالأقرب، هذا القول منسوب إلی ابن الجنيد الإسكافی رحمه الله </w:t>
      </w:r>
      <w:r>
        <w:rPr>
          <w:rStyle w:val="FootnoteAnchor"/>
          <w:rtl w:val="true"/>
        </w:rPr>
        <w:footnoteReference w:id="427"/>
      </w:r>
      <w:r>
        <w:rPr>
          <w:rFonts w:ascii="IRNazanin" w:hAnsi="IRNazanin" w:eastAsia="IRNazanin"/>
          <w:color w:val="111111"/>
          <w:sz w:val="28"/>
          <w:sz w:val="28"/>
          <w:szCs w:val="28"/>
          <w:rtl w:val="true"/>
          <w:lang w:bidi="fa-IR"/>
        </w:rPr>
        <w:t xml:space="preserve">، وقد أفتی به بعض فقهائنا المعاصرين كالشّيخ الفاضل رحمه الله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 خارج المقام إختياراً علی كراهةٍ الّذی اختاره الصّدوق رحمه الله ظاهراً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 حيث لم يتعرّض أصلاً لصحيحة محمّد بن مسلم الآتی الدالّة علی لزم كون الطواف بين البيت والمقام، وهو أيضاً خيرة بعض فقهائنا المعاصرين كالمحقّق الخوئی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Style w:val="FootnoteAnchor"/>
          <w:rtl w:val="true"/>
        </w:rPr>
        <w:footnoteReference w:id="430"/>
      </w:r>
      <w:r>
        <w:rPr>
          <w:rFonts w:ascii="IRNazanin" w:hAnsi="IRNazanin" w:eastAsia="IRNazanin"/>
          <w:color w:val="111111"/>
          <w:sz w:val="28"/>
          <w:sz w:val="28"/>
          <w:szCs w:val="28"/>
          <w:rtl w:val="true"/>
          <w:lang w:bidi="fa-IR"/>
        </w:rPr>
        <w:t>، وشيخنا الاستاذ آية الله مكارم الشّيرازی، والسيّد القائد الخامنه ای، والشّيخ الوحيد الخراسانی، والسيّد علیّ السيستانی، والشّيخ حسين النّوری الهمدانی أدام الله أظلالهم</w:t>
      </w:r>
      <w:r>
        <w:rPr>
          <w:rStyle w:val="FootnoteAnchor"/>
          <w:rtl w:val="true"/>
        </w:rPr>
        <w:footnoteReference w:id="431"/>
      </w:r>
      <w:r>
        <w:rPr>
          <w:rFonts w:ascii="IRNazanin" w:hAnsi="IRNazanin" w:eastAsia="IRNazanin"/>
          <w:color w:val="111111"/>
          <w:sz w:val="28"/>
          <w:sz w:val="28"/>
          <w:szCs w:val="28"/>
          <w:rtl w:val="true"/>
          <w:lang w:bidi="fa-IR"/>
        </w:rPr>
        <w:t>، إلّا أنّ بعضهم كالسيّد السّيستانی والشّيخ الوحيد صرّحوا بكراهة ذلك، وبعض آخر منهم صرّحوا بأنّ رعاية الحدّ بين البيت والمقام حسنٌ ومندوبٌ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والعامّة أيضاً بمذاهبهم الأربعة من القائلين بذلك لكنّه بلا كراهة، والمجوّزين منهم لم ينحصروا في الشافعيّة فقط كما يظهر من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المتقدّمة، قال ابن قدامة الحنبلی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تباعد من البيت في الطواف أجزأه ما لم يخرج من المسجد، سواء حال بينه وبين البيت حائل مَن فيه أو غيره، أو لم يحل، لأنّ الحائل في المسجد لا يضرّ كما لو صلّی في المسجد مؤتمّاً بالإمام من وراء حائل، وقد روت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رسول الل صَلَّى اَللَّهُ عَلَيْهِ وَ آلِهِ وَ سَلَّمْ أنّی أشتكی،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طوفی من وراء الناس وأنت راكبة،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فطفت ورسول الل صَلَّى اَللَّهُ عَلَيْهِ وَ آلِهِ وَ سَلَّمْ حينئذ يصلّی إلی جنب البيت، متفق عليه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الجزيری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للطواف مطلقاً بأنواعه شروط، فلا يصحّ إلا بها، فالشافعيّة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للطواف في ذاته ثمانية 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في المسجد وإن تسع، فيصحّ الطواف ما دام في المسجد ولو في هوائه أو علی سطحه ولو مرتفعاً عن البيت، ولو حال حائل بين الطائف والبيت،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والمالكيّة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لصحّة الطواف 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داخل المسجد، فلا يصحّ علی سطحه ولا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والحنابلة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لصحّة الطواف 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ومنها أن يكون بالمسجد فلا يصحّ خارجه، ويصحّ علی سطحه، والحنفيّة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لصحّة الطواف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داخل المسجد الحرام حتّی لو طاف بالكعبة من وراء زمزم، أو من وراء العمد جاز، أمّا إذا طاف خارج المسجد فإنّ طوافه لا يصحّ</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145" w:name="pg7917_84779"/>
    </w:p>
    <w:p>
      <w:pPr>
        <w:pStyle w:val="Heading2"/>
        <w:numPr>
          <w:ilvl w:val="1"/>
          <w:numId w:val="1"/>
        </w:numPr>
        <w:rPr/>
      </w:pPr>
      <w:bookmarkStart w:id="146" w:name="__RefHeading___Toc6355199_1051229030"/>
      <w:bookmarkStart w:id="147" w:name="_Toc48"/>
      <w:bookmarkEnd w:id="145"/>
      <w:bookmarkEnd w:id="146"/>
      <w:r>
        <w:rPr>
          <w:rtl w:val="true"/>
        </w:rPr>
        <w:t>أدلّة الأقوال</w:t>
      </w:r>
      <w:r>
        <w:rPr>
          <w:rtl w:val="true"/>
        </w:rPr>
        <w:t>:</w:t>
      </w:r>
      <w:bookmarkEnd w:id="147"/>
    </w:p>
    <w:p>
      <w:pPr>
        <w:pStyle w:val="BookText"/>
        <w:rPr/>
      </w:pPr>
      <w:r>
        <w:rPr>
          <w:rFonts w:ascii="Amiri" w:hAnsi="Amiri" w:eastAsia="Amiri" w:cs="Amiri"/>
          <w:color w:val="111111"/>
          <w:sz w:val="28"/>
          <w:sz w:val="28"/>
          <w:szCs w:val="28"/>
          <w:rtl w:val="true"/>
          <w:lang w:bidi="ar-SA"/>
        </w:rPr>
        <w:t>أدلّة القول بلزوم كون الطّواف بين البيت والمقام مراعياً قدر ما بينهما من البُعد في جميع أطراف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لهذا القول مضافاً إلی الشّهرة ، أو الإجماع المدّعاة بما رواه الكلينی رحمه الله موثوقاً بل صحيحاً عن مُحَمَّد بْنِ يَحْيَى وَغَيْرُهُ عَنْ مُحَمَّدِ بْنِ أَحْمَدَ عَنْ مُحَمَّدِ بْنِ عِيسَى عَنْ يَاسِينَ الضَّرِيرِ عَنْ حَرِيزِ بْنِ عَبْدِ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الطَّوَافِ بِالْبَيْتِ الَّذِی مَنْ خَرَجَ مِنْهُ لَمْ يَكُنْ طَائِفاً بِالْبَيْتِ؟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عَلَى عَهْدِ رَسُولِ اللَّه صَلَّى اَللَّهُ عَلَيْهِ وَ آلِهِ وَ سَلَّمْ يَطُوفُونَ بِالْبَيْتِ وَالْمَقَامِ وَأَنْتُمُ الْيَوْمَ تَطُوفُونَ مَا بَيْنَ الْمَقَامِ وَبَيْنَ الْبَيْتِ، فَكَانَ الْحَدُّ مَوْضِعَ الْمَقَامِ الْيَوْمَ، فَمَنْ جَازَهُ فَلَيْسَ بِطَائِفٍ، وَالْحَدُّ قَبْلَ الْيَوْمِ وَالْيَوْمَ وَاحِدٌ قَدْرَ مَا بَيْنَ الْمَقَامِ وَبَيْنَ الْبَيْتِ مِنْ نَوَاحِی الْبَيْتِ كُلِّهَا، فَمَنْ طَافَ فَتَبَاعَدَ مِنْ نَوَاحِيهِ أَبْعَدَ مِنْ مِقْدَارِ ذَلِكَ كَانَ طَائِفاً بِغَيْرِ الْبَيْتِ بِمَنْزِلَةِ مَنْ طَافَ بِالْمَسْجِدِ، لِأَنَّهُ طَافَ في غَيْرِ حَدٍّ وَلَا طَوَافَ لَهُ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كما تری دالّة بالصّراحة علی أنّ من طاف بالبيت خارج المقام، فإنّه بمنزلة من طاف بغير البيت كمن طاف بالمسجد، فلا طواف له، لأنّه طاف في غير حدّه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رجال الحديث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 الضّرير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فكلّهم ثقات، وهم محمّد بن يعقوب الكلينی، ومحمّد بن يحيی العطّار، ومحمّد بن أحمد بن يحيی بن عمران الأشعری، ومحمّد بن عيسی بن عبيد، وحريز بن عبدالله السجستانی، ومحمّد بن مسلم رياح الثّقفی الّذی كان من أصحاب الإجماع ومن خواص </w:t>
      </w:r>
    </w:p>
    <w:p>
      <w:pPr>
        <w:pStyle w:val="BookText"/>
        <w:rPr/>
      </w:pPr>
      <w:r>
        <w:rPr>
          <w:rFonts w:ascii="Amiri" w:hAnsi="Amiri" w:eastAsia="Amiri" w:cs="Amiri"/>
          <w:color w:val="111111"/>
          <w:sz w:val="28"/>
          <w:sz w:val="28"/>
          <w:szCs w:val="28"/>
          <w:rtl w:val="true"/>
          <w:lang w:bidi="ar-SA"/>
        </w:rPr>
        <w:t>صحابي إمامي الباقر والصادق عَلَيْهِمَا اَلسَّلاَمُ، إلا أنّه أضمر اسم الإمام المسئول عنه ولم يذكر اسمه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أنّ إضماره لا يضر باعتبارها بعد ما كان المضمر مثل محمّد بن مسلم لما حكی السيّد الخوئی رحمه الله في ترجمته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الشيخ المفيد رحمه الله في رسالته العدديّة عدّه بكونه من الفقهاء والأعلام المأخوذ عنهم الحلال والحرام والفتيا والأحكام، الّذين لايطعن عليهم ولا طريق إلی ذمّ واحد منهم، أو أنّه ممّن اجتمعت العصابة علی تصديقهم وانقيادهم لهم بالفقه، ثمّ أنّه ذكر رواياتاً في مدحه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البقباق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أَحَبُّ النَّاسِ إِلَیَّ أَحْيَاءً وَأَمْوَاتاً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الْعِجْلِیُّ، وَزُرَارَةُ بْنُ أَعْيَنَ، وَمُحَمَّدُ بْنُ مُسْلِمٍ، وَالْأَحْوَلُ، أَحَبُّ النَّاسِ أَحْيَاءً وَأَمْوَاتاً</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ومنها ما رواه الكشی في رجاله صحيحاً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الْعِجْلِیُّ، وَأَبُو بَصِيرٍ لَيْثُ بْنُ الْبَخْتَرِیِّ الْمُرَادِیُّ، وَمُحَمَّدُ بْنُ مُسْلِمٍ، وَ زُرَارَةُ، أَرْبَعَةٌ نُجَبَاءُ أُمَنَاءُ اللَّهِ عَلَى حَلَالِهِ وَحَرَامِهِ لَوْ لَا هَؤُلَاءِ انْقَطَعَتْ آثَارُ النُّبُوَّةِ وَانْدَرَسَتْ</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ومنها صحيحة عَبْدِ اللَّهِ بْنِ أَبِی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 سَاعَةٍ أَلْقَاكَ وَلَا يُمْكِنُ الْقُدُومُ وَيَجِی‌ءُ الرَّجُلُ مِنْ أَصْحَابِنَا فَيَسْأَلُنِی وَلَيْسَ عِنْدِی كُلُّ مَا يَسْأَلُنِی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 مِنْ مُحَمَّدِ بْنِ مُسْلِمٍ الثَّقَفِیِّ؟ فَإِنَّهُ سَمِعَ مِنْ أَبِی وَكَانَ عِنْدَهُ وَجِيهاً</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 ثمّ اضاف الخوئی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الروايات في مدح محمّد بن مسلم وجلالة شأنه وعظم مقامه متظافرةٌ مستفيضةٌ، </w:t>
      </w:r>
    </w:p>
    <w:p>
      <w:pPr>
        <w:pStyle w:val="BookText"/>
        <w:rPr/>
      </w:pPr>
      <w:r>
        <w:rPr>
          <w:rFonts w:ascii="IRNazanin" w:hAnsi="IRNazanin" w:eastAsia="IRNazanin"/>
          <w:color w:val="111111"/>
          <w:sz w:val="28"/>
          <w:sz w:val="28"/>
          <w:szCs w:val="28"/>
          <w:rtl w:val="true"/>
          <w:lang w:bidi="fa-IR"/>
        </w:rPr>
        <w:t>تقدّمت هذه الرّويات في ترجمة يزيد بن معاوية، وزرارة بن أعين، وليث بن البختری، ومحمّد بن علی بن النعمان الأحول</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إلی ذلك كلّه ما نقله الكشی رحمه الله في رجاله عَن حَمْدَوَيْهِ عَنْ مُحَمَّدِ بْنِ عِيسَى عَنْ يَاسِينَ الضَّرِيرِ عَنْ حَرِيزٍ عَنْ مُحَمَّدِ بْنِ مُسْلِمٍ قَالَ مَا شَجَرَ في رَأْيِی شَیْ‌ءٌ قَطُّ إِلَّا سَأَلْتُ عَنْهُ أَبَا جَعْفَرٍ علیه السلام حَتَّى سَأَلْتُهُ عَنْ ثَلَاثِينَ أَلْفَ حَدِيثٍ وَسَأَلْتُ أَبَا عَبْدِ اللَّهِ علیه السلام عَنْ سِتَّةَ عَشَرَ أَلْفَ حَدِيثٍ</w:t>
      </w:r>
      <w:r>
        <w:rPr>
          <w:rStyle w:val="FootnoteAnchor"/>
          <w:rtl w:val="true"/>
        </w:rPr>
        <w:footnoteReference w:id="439"/>
      </w:r>
      <w:r>
        <w:rPr>
          <w:rFonts w:ascii="IRNazanin" w:hAnsi="IRNazanin" w:eastAsia="IRNazanin"/>
          <w:color w:val="111111"/>
          <w:sz w:val="28"/>
          <w:sz w:val="28"/>
          <w:szCs w:val="28"/>
          <w:rtl w:val="true"/>
          <w:lang w:bidi="fa-IR"/>
        </w:rPr>
        <w:t>، فبناءً علی ذلك لا يبقی شك ولا ريب في أنّ محمّد بن مسلم الثقفی لا يسأل مسائل دينه ولا أحكامه إلا عن الإمام المعصوم علیه السلام، إلا أنّه مردد بين الإمامين الباقر علیه السلام أو الصادق علیه السلام وهذا المقدار غير ضارّ باعتبار الرّواية حيث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الغالب و المعمول في المحاورات العرفيّة أنّ الراوی السائل يذكر اسم الإمام المسئول عنه في ابتداء كتابه أو مسائله ولم يكرر اسمه علیه السلام في ابتداء كلّ مسألة لجهة الاختصار، فما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ثلاثين ألف حديث أو ستة عشر ألف حديث، أنّه سأله علیه السلام في ثلاثين ألف أو ستة عشر ألف 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الضَّرير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وقع في طريق الرّواية ولم يرد له توثيقٌ صريحٌ في الرّجال فيمكن أن يقال بأنّه ثقة أيضاً علی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روی عن الضّرير هو محمّد بن عيسی بن عبيد الثّقة ومن البعيد عادتاً أن يكون شيخه لا أقلّ غير موثوق عند شخصه، لأنّ الظاهر أنّ رواية </w:t>
      </w:r>
    </w:p>
    <w:p>
      <w:pPr>
        <w:pStyle w:val="BookText"/>
        <w:rPr/>
      </w:pPr>
      <w:r>
        <w:rPr>
          <w:rFonts w:ascii="Amiri" w:hAnsi="Amiri" w:eastAsia="Amiri" w:cs="Amiri"/>
          <w:color w:val="111111"/>
          <w:sz w:val="28"/>
          <w:sz w:val="28"/>
          <w:szCs w:val="28"/>
          <w:rtl w:val="true"/>
          <w:lang w:bidi="ar-SA"/>
        </w:rPr>
        <w:t>الثقة الجليل عن شخص يدلّ على كونه موثّقاً معتمداً عليه عند ذلك الثقة، وإن جهلنا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عدم توثيق الضّرير بواسطه نقل محمّد بن عيسی فالخبر لا الرّاوی لا أقلّ يكون موثوقاً عند الكلينی رحمه الله لما شهد في مقدمة كتابه بأنّ ما فيه من الأخبار والأحاديث وارداً من ناحية الصّادقين</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 مع وضوح أنّ المعيار في قبول الخبر عند الأصحاب هو وثاقة الخبر لا الرّاوی وأنّ وثاقة الرّاوی طريق إلی وثاقته، بل يمكن أن يقال إنّ دليل الحكم في المقام حيث كان منحصراً بهذا الحديث فنقله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دليلٌ علی كون رجال الحديث ومنهم الضّرير كلّهم موثوقاً عند الكلينی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حيث كانت في مرأی ومنظر الأصحاب وقد أفتی كثير منهم لولا الإجماع علی مضمونها فهو دليل علی صحّتها، قد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كلّما ازدادت ضعفاً إذا عمل بها الأصحاب ازدادت قوّة، قال النائينی رحمه الله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الشهرة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عبارة عن اشتهار العمل بالرواية والاستناد إليها في مقام الفتوى، وهذه الشهرة هی الّتي تكون جابرة لضعف الرّواية وكاسرة لصحتها إذا كانت الشّهرة من قدماء الأصحاب القريبين من عهد الحضور، لمعرفتهم بصحة الرّواية وضعفها، ولا عبرة بالشّهرة العملية إذا كانت من المتأخرين، خصوصاً إذا خالفت شهرة القدماء</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تصريح العلامة رحمه الله بتصحيح أخبار الّتي كانت أسنادها موثوقاً إذا كان أحدهم ياسين الضّرير،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أنّ الشيخ الطوسی رحمه الله ذكر أحاديث كثيرة في كتاب التهذيب والاستبصار عن رجال لم يلق زمانهم وإنّما روى عنهم بوسائط وحذفها في الكتابين ثمّ ذكر في آخرهما طريقه إلى كلّ رجل رجل ممّا ذكره في الكتابين، وكذلك فعل الشيخ أبو جعفر ابن بابويه ونحن نذكر في هذه الفائدة على سبيل الإجمال صحة طرقهما إلى كلّ واحد واحد ممّن يوثق به، أو يحسن حاله، أو وثق وإن كان على مذهب فاسد ولم يحضرنی حاله دون من ترد روايته ويترك قوله وإن كان فاسد الطريق ذكرناه، وإن كان في الطريق من لا يحضرنا معرفة حاله من جرح أو تعديل تركناه أيضاً كلّ ذلك على سبيل الإجمال، إذ التفصيل موكول إلى كتابنا الكبير، وإنّما قصدنا ذلك للاختصار ولبلوغ الغاية بمعرفة صحة طرقهما وفسادها بذلك، فطريق الشيخ الطوسی رحمه الله 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ياسين الضرير البصری صحيح</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حكی المحقق الحائری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الداماد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من المعهود من ديدن النجاشی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 الضرير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إمامی مستقيم المذهب لنقله ما نقله من غير غميزة عليه في دينه، وليس فيه من أئمّه الرجال مدح ولا ذمّ، فإنّ حديثه قوی</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فكلّ واحد من هذه الأمور علی حدّه فإن لم يكن دليلاً علی واثقة الخبر أو الرّاوی، فاجتماعها في مورد واحد علی الأقلّ يوجبها قطعاً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دليل القول بجوازه خارج المقام إذا اقتضاه الضّرورة، مراعياً في ذلك الأقرب إلی المقام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رجوع هذا القول إلی القول الأوّل، حيث أنّ كلّ من قال بهذا القول يقول بأنّ المطاف في حالة الإختيار هو ما بين البيت والمقام، وأيضاً كلّ من قال بالقول الأوّل يقول بأنّ من لم يمكنه الطّواف في الحدّ إختياراً يجوز له الطّواف بعد المقام إضطراراً مراعياً في ذلك الأقرب إليه فالأقرب</w:t>
      </w:r>
      <w:r>
        <w:rPr>
          <w:rStyle w:val="FootnoteAnchor"/>
          <w:rtl w:val="true"/>
        </w:rPr>
        <w:footnoteReference w:id="444"/>
      </w:r>
      <w:r>
        <w:rPr>
          <w:rFonts w:ascii="Amiri" w:hAnsi="Amiri" w:eastAsia="Amiri" w:cs="Amiri"/>
          <w:color w:val="111111"/>
          <w:sz w:val="28"/>
          <w:sz w:val="28"/>
          <w:szCs w:val="28"/>
          <w:rtl w:val="true"/>
          <w:lang w:bidi="ar-SA"/>
        </w:rPr>
        <w:t>، فليس هذا القول قولاً مستقلاً برأسه، وكيف كان حيث كان هذا القول فاقداً للنّصّ الخاصّ يمكن أن يستدلّ له بالعمومات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وحديث الرّفع</w:t>
      </w:r>
      <w:r>
        <w:rPr>
          <w:rStyle w:val="FootnoteAnchor"/>
          <w:rtl w:val="true"/>
        </w:rPr>
        <w:footnoteReference w:id="446"/>
      </w:r>
      <w:r>
        <w:rPr>
          <w:rFonts w:ascii="Amiri" w:hAnsi="Amiri" w:eastAsia="Amiri" w:cs="Amiri"/>
          <w:color w:val="111111"/>
          <w:sz w:val="28"/>
          <w:sz w:val="28"/>
          <w:szCs w:val="28"/>
          <w:rtl w:val="true"/>
          <w:lang w:bidi="ar-SA"/>
        </w:rPr>
        <w:t>، إذ من التّسعة المرفوعة عن الامّة المرحومة ما اضطرّوا إليه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يخفی في أنّ الأحكام الإضطراريّة أحكامٌ واقعيّةٌ ثانويّة، في مقابل الأحكام الواقعيّة الأوّليّة، بمعنی أنّه يُعمل بها عند عدم إمكان العمل بالأحكام الواقعيّة الأوليّة، ومن أجله يقال إنّ الأحكام الواقعيّة الثّانويّة أحكامٌ شخصيّةٌ في </w:t>
      </w:r>
    </w:p>
    <w:p>
      <w:pPr>
        <w:pStyle w:val="BookText"/>
        <w:rPr/>
      </w:pPr>
      <w:r>
        <w:rPr>
          <w:rFonts w:ascii="Amiri" w:hAnsi="Amiri" w:eastAsia="Amiri" w:cs="Amiri"/>
          <w:color w:val="111111"/>
          <w:sz w:val="28"/>
          <w:sz w:val="28"/>
          <w:szCs w:val="28"/>
          <w:rtl w:val="true"/>
          <w:lang w:bidi="ar-SA"/>
        </w:rPr>
        <w:t>مقابل الأحكام الواقعيّة الأوّليّة الّتي هی أحكامٌ نوعيّةٌ، فبناءً علی ذلك يلزم الجمود والاقتصار كمّاً وكيفاً علی الموارد المتيقّنة الشخصيّة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خصوص ما نحن فيه كلّما صادق الإضطرار مثلاً في شوط أو شوطين، أو بالنّسبة إلی فرد أو فردين، لا يجوز التّعدی منه إلی سائر الأشواط أو الأفراد، وهذا هو عبارةٌ اخری عن القاعدة الكليّة المسلّمة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لزوم كونه في الأقرب إلی المقام فالأقرب، فحيث كان بعد المقام علی القول الأوّل خارجاً عن الحد مطلقاًّ، فلا يجب مراعاته لعدم كونه من أفراد المأموربه حتّی يلزم رعايته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الميسور لايسقط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قول أميرالمؤمنين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فإذا خرج الطّائف من المطاف ولو بخطوة كان بمنزلة من طاف بالمسجد، فالأقرب إلی المقام بالنسبة إليه مساوياً له مع غيره في عدم كونهما من أفراد المأموربه إلّا من باب الإحتياط النّدبی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استدلّ النّراقی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 xml:space="preserve">لهذا القول بما سيأتی في دليل القول الثّالث من صحيحة الحلبیّ، والظّاهر أنّه أشار إلی الشّيخ الحرّ العاملی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أنّه ذكر روايتي محمّد بن مسلم والحلبیّ الآتیّ في باب واحد وجعل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وجوب كون الطّواف بين الكعبة والمقام، وعدم جواز التّباعد عنها بأكثر من ذلك من جميع الجهات، وبطلان الطّواف لو خرج عن </w:t>
      </w:r>
    </w:p>
    <w:p>
      <w:pPr>
        <w:pStyle w:val="BookText"/>
        <w:rPr/>
      </w:pPr>
      <w:r>
        <w:rPr>
          <w:rFonts w:ascii="Amiri" w:hAnsi="Amiri" w:eastAsia="Amiri" w:cs="Amiri"/>
          <w:color w:val="111111"/>
          <w:sz w:val="28"/>
          <w:sz w:val="28"/>
          <w:szCs w:val="28"/>
          <w:rtl w:val="true"/>
          <w:lang w:bidi="ar-SA"/>
        </w:rPr>
        <w:t>هذا القدر إختياراً ويجوز في الضّرورة</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مع أنّها أجنبيةٌ عنه إذ صحيحة الحلبیّ صريحةٌ بجواز الطّواف خلف المقام في حالة الإختيار علی كراهةٍ ترتفع كراهته أيضاً بالضّرورة، وهذا القول مدعيةٌ بعدم جواز الطّواف خلف المقام في حالة الإختيار إلّا إذا اقتضاه الضّرورة زائداً علی أنّ صحيحة أو موثّقة محمّد بن مسلم الدّالّة علی لزوم كون الطّواف بين البيت والمقام، لم تتعرّض لحكم حالة الإضطرار أصلاً، فالدّليل غير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دليل القول الثّالث وهو جوازه خارج المقام إختياراً علی كراهةٍ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لهذا القول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مُحَمَّدِ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الطَّوَافِ خَلْفَ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ذَلِكَ وَمَا أَرَى بِهِ بَأْساً، فَلَا تَفْعَلْهُ إِلَّا أَنْ لَا تَجِدَ مِنْهُ بُدّاً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والصّحيحة كما تری صريحةٌ في جواز الطّواف خلف المقام علی كراهةٍ ترتفع كراهته لدی الإضطرار، لقوله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ذَلِكَ وَمَا أَرَى بِهِ بَأْساً، فَلَا تَفْعَلْهُ إِلَّا أَنْ لَا تَجِدَ مِنْهُ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فالمستفاد منها أنّ أصل جواز الطّواف إجمالاً بالنّسبة إلی مقدار المطاف غير محدد بحدّ، بل المعيار هو صدق الطّواف حول البيت عرفاً، وإن كان عن خلف المقام، لكنّه يستحب أن يكون بين البيت والمقام، غير أنّ الحديث حيث قد أعرض عنه مشهور القدماء فهو يلازم وهنه وضعفه وذلك لما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كلّما ازدادت صحّة إذا أعرض عنها الأصحاب ازدادت ضعفاً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لوكان المطاف مقدّراً بين البيت والمقام، فهو حكم صعب شاق لا يتحمله غالب النّاس، قد يوجب إتلاف النفوس لا سيّما بالنسبة إلی الطواف </w:t>
      </w:r>
      <w:bookmarkStart w:id="148" w:name="pg7917_84787"/>
    </w:p>
    <w:p>
      <w:pPr>
        <w:pStyle w:val="BookText"/>
        <w:rPr/>
      </w:pPr>
      <w:bookmarkEnd w:id="148"/>
      <w:r>
        <w:rPr>
          <w:rFonts w:ascii="IRNazanin" w:hAnsi="IRNazanin" w:eastAsia="IRNazanin"/>
          <w:color w:val="111111"/>
          <w:sz w:val="28"/>
          <w:sz w:val="28"/>
          <w:szCs w:val="28"/>
          <w:rtl w:val="true"/>
          <w:lang w:bidi="fa-IR"/>
        </w:rPr>
        <w:t>خلف الحجر علی وجه لا يناسب مع كون الإسلام دين الحنفيّة السهلة السمحة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6355201_1051229030"/>
      <w:bookmarkStart w:id="150" w:name="_Toc49"/>
      <w:bookmarkEnd w:id="149"/>
      <w:r>
        <w:rPr>
          <w:rtl w:val="true"/>
        </w:rPr>
        <w:t>في إمكان الجمع بين الأدلّة</w:t>
      </w:r>
      <w:r>
        <w:rPr>
          <w:rtl w:val="true"/>
        </w:rPr>
        <w:t>:</w:t>
      </w:r>
      <w:bookmarkEnd w:id="15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إرجاع القول الثّانی إلی القول الأوّل بأنّه هو ذلك القول في حالته الضّرورة والإضطرار، لا أنّه قول مستقل في المسئلة، فبقی في المقام قولي الأوّل والثّالث، ومنشأهما كما تقدّم إختلاف مفهوم صحيحتي محمّد بن مسلم</w:t>
      </w:r>
      <w:r>
        <w:rPr>
          <w:rStyle w:val="FootnoteAnchor"/>
          <w:rtl w:val="true"/>
        </w:rPr>
        <w:footnoteReference w:id="453"/>
      </w:r>
      <w:r>
        <w:rPr>
          <w:rFonts w:ascii="IRNazanin" w:hAnsi="IRNazanin" w:eastAsia="IRNazanin"/>
          <w:color w:val="111111"/>
          <w:sz w:val="28"/>
          <w:sz w:val="28"/>
          <w:szCs w:val="28"/>
          <w:rtl w:val="true"/>
          <w:lang w:bidi="fa-IR"/>
        </w:rPr>
        <w:t>، الدّالّة علی أنّ الطائف خلف المقام بمنزلة الطّائف في غير الحدّ ولاطواف له أصلاً، والحلبیّ</w:t>
      </w:r>
      <w:r>
        <w:rPr>
          <w:rStyle w:val="FootnoteAnchor"/>
          <w:rtl w:val="true"/>
        </w:rPr>
        <w:footnoteReference w:id="454"/>
      </w:r>
      <w:r>
        <w:rPr>
          <w:rFonts w:ascii="IRNazanin" w:hAnsi="IRNazanin" w:eastAsia="IRNazanin"/>
          <w:color w:val="111111"/>
          <w:sz w:val="28"/>
          <w:sz w:val="28"/>
          <w:szCs w:val="28"/>
          <w:rtl w:val="true"/>
          <w:lang w:bidi="fa-IR"/>
        </w:rPr>
        <w:t xml:space="preserve">، الدّالّة علی جواز الطّواف خلف المقام علی كراهةٍ، فنبحث هنا في أنّه هل يمكن الجمع بينهما بالجمع العرفی المقبول حتّی لا تصل النوبة إلی إعمال مرجّحات باب التعارض؟ أو يلزم طرح أحدهما والأخذ بالآخر، وأنّه ما هو؟ </w:t>
      </w:r>
    </w:p>
    <w:p>
      <w:pPr>
        <w:pStyle w:val="BookText"/>
        <w:rPr/>
      </w:pPr>
      <w:r>
        <w:rPr>
          <w:rFonts w:ascii="Amiri" w:hAnsi="Amiri" w:eastAsia="Amiri" w:cs="Amiri"/>
          <w:color w:val="111111"/>
          <w:sz w:val="28"/>
          <w:sz w:val="28"/>
          <w:szCs w:val="28"/>
          <w:rtl w:val="true"/>
          <w:lang w:bidi="ar-SA"/>
        </w:rPr>
        <w:t>التحقيق عدم إمكان الجمع العرفی بينهما، لأنّهما كانتا في جهتين مختلفين، حيث إنّ ظاهر قوله علیه السلام في صحيحة أو موثّقة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طَافَ فَتَبَاعَدَ مِنْ نَوَاحِيهِ أَبْعَدَ مِنْ مِقْدَارِ ذَلِكَ كَانَ طَائِفاً بِغَيْرِ الْبَيْتِ بِمَنْزِلَةِ مَنْ طَافَ بِالْمَسْجِدِ، لِأَنَّهُ طَافَ في غَيْرِ حَدٍّ، وَلَا طَوَافَ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بطلان الطّواف إختياراً فيما زاد عن المقام، وظاهر قوله علیه السلام في صحيحة الحلبیّ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ذَلِكَ وَمَا أَرَى بِهِ بَأْساً، فَلَا تَفْعَلْهُ إِلَّا أَنْ لَا تَجِدَ مِنْهُ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جوازه إختياراً علی كراهةٍ، فكيف يمكن لنا الجمع العرفی بين الصّحة والبطلان في موضوع واحد وفی حالة متساوية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لنا من إعمال المرجّحات حينئذ، فبمقتضی ما روى العلّامة مرفوعاً إلى زرارة بن أعين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يَأْتِی عَنْكُمُ الْخَبَرَانِ أَوِ الْحَدِيثَانِ الْمُتَعَارِضَانِ فَبِأَيِّهِمَا آخُذُ؟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خُذْ بِمَا اشْتَهَرَ بَيْنَ أَصْحَابِكَ وَدَعِ الشَّاذَّ النَّادِرَ،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سَيِّدِی إِنَّهُمَا مَعاً مَشْهُورَانِ مَرْوِيَّانِ مَأْثُورَانِ عَنْكُمْ؟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بِقَوْلِ أَعْدَلِهِمَا عِنْدَكَ وَأَوْثَقِهِمَا في نَفْسِكَ،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وَافَقَ مِنْهُمَا مَذْهَبَ الْعَامَّةِ فَاتْرُكْهُ، وَخُذْ بِمَا خَالَفَهُمْ،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مَعاً مُوَافِقَيْنِ لَهُمْ أَوِ مُخَالِفَيْنِ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فَخُذْ بِمَا فِيهِ الْحَائِطَةُ لِدِينِكَ وَاتْرُكْ مَا خَالَفَ الِاحْتِيَاطَ،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لِلِاحْتِيَاطِ أَوْ مُخَالِفَانِ لَهُ فَكَيْفَ أَصْنَعُ؟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فَتَخَيَّرْ أَحَدَهُمَا فَتَأْخُذَ بِهِ وَتَدَعَ الْأَخِيرَ</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 xml:space="preserve">، حيث إنّ القول الأوّل لا أقلّ مشهوراً بين قدماء الأصحاب أوّلاً، ومخالفاً لما أفتی به العامّة بمذاهبهم الأربعة ثانياً، لأنّهم كما مرّ لم يشترطوا كون الطّواف بين البيت والمقام أصلاً، بل أفتوا بجوازه إذا كان داخل </w:t>
      </w:r>
    </w:p>
    <w:p>
      <w:pPr>
        <w:pStyle w:val="BookText"/>
        <w:rPr/>
      </w:pPr>
      <w:r>
        <w:rPr>
          <w:rFonts w:ascii="Amiri" w:hAnsi="Amiri" w:eastAsia="Amiri" w:cs="Amiri"/>
          <w:color w:val="111111"/>
          <w:sz w:val="28"/>
          <w:sz w:val="28"/>
          <w:szCs w:val="28"/>
          <w:rtl w:val="true"/>
          <w:lang w:bidi="ar-SA"/>
        </w:rPr>
        <w:t>المسجد الحرام حيثما اتّسع</w:t>
      </w:r>
      <w:r>
        <w:rPr>
          <w:rStyle w:val="FootnoteAnchor"/>
          <w:rtl w:val="true"/>
        </w:rPr>
        <w:footnoteReference w:id="456"/>
      </w:r>
      <w:r>
        <w:rPr>
          <w:rFonts w:ascii="IRNazanin" w:hAnsi="IRNazanin" w:eastAsia="IRNazanin"/>
          <w:color w:val="111111"/>
          <w:sz w:val="28"/>
          <w:sz w:val="28"/>
          <w:szCs w:val="28"/>
          <w:rtl w:val="true"/>
          <w:lang w:bidi="fa-IR"/>
        </w:rPr>
        <w:t>، و زائداً علی كونه مبرءً للذّمة وموافقاً للإحتياط ثالثاً، فنقدّمه علی القول الثّالث الدّالّة علی جواز الطّواف خارج المقام إختياراً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والمحقق النّراقی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ما نقل القول بوجوب كون الطّواف بين البيت و المقام عن المشهور بل كونه إجماعيّاً، والقول بعدم وجوبه عن الصّدوق،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شذوذ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ومخالفته للشّهرة القديمة، بل إجماع القدماء، بل مطلقاً، لعدم قائل صريحٍ به أصلاً ولا ظاهر سوی الصّدوق الغير القادح مخالفته في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حسناً، إلّا أنّ ما ذكرناه يمنع المصير إليه، ويخرج الموثّقة عن حيّز الحجيّة، فالقول الأوّل هو المفتی به والمعوّل</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حكم صعب شاق لا يتحمله غالب النّاس، لايناسب لكون الإسلام دين الحنفيّة السهلة السمحة، فيلاحظ عليه زائداً علی أنّه أمر استحسانی لا يصلح لأن يكون دليلاً لإثبات الأحكام الشرعيّة، مع إمكان رفع اليد عن الأحكام الشرعيّة الأوليّة لخصوص المضطرين غير القادرين منها بأدلّة الإضطرار وأنّه تبارك وتعالی لم يكلّف عباده إلّا دون ما يطيقونهم</w:t>
      </w:r>
      <w:r>
        <w:rPr>
          <w:rStyle w:val="FootnoteAnchor"/>
          <w:rtl w:val="true"/>
        </w:rPr>
        <w:footnoteReference w:id="458"/>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أنّه لا منافاة بينه وبين جعل حكم من الأحكام الشّريعة علی وجه يشقّ علی غالب المكلّفين كما في أحكام الجهاد أوالصّوم في الصّيف ولا سيّما </w:t>
      </w:r>
      <w:bookmarkStart w:id="151" w:name="pg7917_84790"/>
    </w:p>
    <w:p>
      <w:pPr>
        <w:pStyle w:val="BookText"/>
        <w:rPr/>
      </w:pPr>
      <w:bookmarkEnd w:id="151"/>
      <w:r>
        <w:rPr>
          <w:rFonts w:ascii="IRNazanin" w:hAnsi="IRNazanin" w:eastAsia="IRNazanin"/>
          <w:color w:val="111111"/>
          <w:sz w:val="28"/>
          <w:sz w:val="28"/>
          <w:szCs w:val="28"/>
          <w:rtl w:val="true"/>
          <w:lang w:bidi="fa-IR"/>
        </w:rPr>
        <w:t>بالنسبة إلی النواحی الحارّة، إذ كون الإسلام دين الحنفيّة السّمحة ناظر إلی غالب الأحكام لاكلّ واحد واحد منها، وكيف كان فهو اجتهاد في مقابل النصّ</w:t>
      </w:r>
      <w:r>
        <w:rPr>
          <w:rFonts w:eastAsia="IRNazanin" w:cs="IRNazanin"/>
          <w:color w:val="111111"/>
          <w:sz w:val="28"/>
          <w:szCs w:val="28"/>
          <w:rtl w:val="true"/>
          <w:lang w:bidi="fa-IR"/>
        </w:rPr>
        <w:t>.</w:t>
      </w:r>
    </w:p>
    <w:p>
      <w:pPr>
        <w:pStyle w:val="Heading2"/>
        <w:numPr>
          <w:ilvl w:val="1"/>
          <w:numId w:val="1"/>
        </w:numPr>
        <w:rPr/>
      </w:pPr>
      <w:bookmarkStart w:id="152" w:name="__RefHeading___Toc6355203_1051229030"/>
      <w:bookmarkStart w:id="153" w:name="_Toc50"/>
      <w:bookmarkEnd w:id="152"/>
      <w:r>
        <w:rPr>
          <w:rtl w:val="true"/>
        </w:rPr>
        <w:t>بقی هنا شيئان</w:t>
      </w:r>
      <w:r>
        <w:rPr>
          <w:rtl w:val="true"/>
        </w:rPr>
        <w:t>:</w:t>
      </w:r>
      <w:bookmarkEnd w:id="15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المحقّق الخوئی قدس سره علی ما تقريراته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القائلين بالقول الثالث أی جواز الطّواف خارج المقام إختياراً، لكنّه اختار ذلك لما لم يثبت عنده وثاقة الضَّرير وكان مبنائه في الأصول علی رغم المشهور عدم انجبار الأخبار الضّعاف بالشّهرة، وكذا عدم وهن الخبر بإعراض المشهور</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وقع بعنوان ياسين الضرير في أسناد جملة من الرّوايات، تبلغ ثلاثة وعشرين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عن حريز، وحريز بن عبد الله، وعبد الرّحمن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عنه محمّد بن عيسى، ونوح بن شعيب النيشابوری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الكلينی بسنده، عن أحمد بن محمّد بن عيسى، عن ياسين الضرير، عن حريز باب كفارة ما أصاب المحرم، ورواها الشيخ في التهذيب باب الكفارة عن خطإ المحرم، إلا أن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بدل أحمد بن محمد بن عيسى، وهو الصحيح، فإنّ راوی كتاب ياسين الضرير، هو محمّد بن عيسى، والوافی والوسائل عن كلّ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رواها الكلينی في الكافی كتاب الحج، باب حدّ موضع الطواف إلا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بدل أحمد بن محمّد بن عيسى، و هو الصحيح، الموافق للوافی و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الحديث وتفصيل طبقات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21/14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أنّه أيضاً من القائلين بالقول الأوّل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لكنّه ينبغی له أن يقول في المقام أيضاً بمقالة المشهور أو لا أقلّ تحرّزاً عن مخالفتهم احتاط فيه بنحو الاحتياط الوجوبی، وذلك لأنّ القول بكون المطاف بين البيت والمقام قد اتّفقت عليه الخاصّة والعامّة ومبرء للذمّة يقيناً، بخلاف القول بجوازه وراء المقام، فإنّه دلّت علی جوازه خبر واحد موافق لما أفتی به العامّة بأجمعهم وقد أعرض عنه قدماء الأصحاب إلا واحد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الأصل في المقام عند الشك في الأدلة النقليّة، أو بعد فرض حصول التعارض وتساقطها هو البرائة أو الإشتغال؟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الشك في المقام من قبيل الشك في الجزئيّة والشرطيّة الّتي يجب علی الشارع بيانها وأنّه يصدق علی أیّ حال أنّه طاف البيت، فبناءً علی ذلك يعمّه إطلاق دليل الطواف 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 فلا وجه حينئذ للجمود علی القول الأوّل والتمسك بأصالة الإشتغال لحصول الفراغ اليقينی عن عهدة التكليف، بل نتمسك لنفيه بالبرائة، نعم لا مانع منه حينئذ إلا من باب الاحتياط الندبی</w:t>
      </w:r>
      <w:r>
        <w:rPr>
          <w:rFonts w:eastAsia="IRNazanin" w:cs="IRNazanin"/>
          <w:color w:val="111111"/>
          <w:sz w:val="28"/>
          <w:szCs w:val="28"/>
          <w:rtl w:val="true"/>
          <w:lang w:bidi="fa-IR"/>
        </w:rPr>
        <w:t xml:space="preserve">. </w:t>
      </w:r>
      <w:bookmarkStart w:id="154" w:name="pg7917_84792"/>
    </w:p>
    <w:p>
      <w:pPr>
        <w:pStyle w:val="Heading2"/>
        <w:numPr>
          <w:ilvl w:val="1"/>
          <w:numId w:val="1"/>
        </w:numPr>
        <w:rPr/>
      </w:pPr>
      <w:bookmarkStart w:id="155" w:name="__RefHeading___Toc6355205_1051229030"/>
      <w:bookmarkStart w:id="156" w:name="_Toc51"/>
      <w:bookmarkEnd w:id="154"/>
      <w:bookmarkEnd w:id="155"/>
      <w:r>
        <w:rPr>
          <w:rtl w:val="true"/>
        </w:rPr>
        <w:t>هاهنا فروعٌ</w:t>
      </w:r>
      <w:r>
        <w:rPr>
          <w:rtl w:val="true"/>
        </w:rPr>
        <w:t xml:space="preserve">: </w:t>
      </w:r>
      <w:r>
        <w:rPr>
          <w:rtl w:val="true"/>
        </w:rPr>
        <w:t>الأوّل</w:t>
      </w:r>
      <w:r>
        <w:rPr>
          <w:rtl w:val="true"/>
        </w:rPr>
        <w:t xml:space="preserve">: </w:t>
      </w:r>
      <w:r>
        <w:rPr>
          <w:rtl w:val="true"/>
        </w:rPr>
        <w:t>ما هو ماهيّة مقام إبراهيم علیه السلام وحقيقته؟</w:t>
      </w:r>
      <w:bookmarkEnd w:id="156"/>
    </w:p>
    <w:p>
      <w:pPr>
        <w:pStyle w:val="BookText"/>
        <w:rPr/>
      </w:pPr>
      <w:r>
        <w:rPr>
          <w:rFonts w:ascii="Amiri" w:hAnsi="Amiri" w:eastAsia="Amiri" w:cs="Amiri"/>
          <w:color w:val="111111"/>
          <w:sz w:val="28"/>
          <w:sz w:val="28"/>
          <w:szCs w:val="28"/>
          <w:rtl w:val="true"/>
          <w:lang w:bidi="ar-SA"/>
        </w:rPr>
        <w:t>المَقام بفتح الميم لغةً اسم لمكان القيام، والمُقام بضمّها اسم لمكان الإقامة</w:t>
      </w:r>
      <w:r>
        <w:rPr>
          <w:rStyle w:val="FootnoteAnchor"/>
          <w:rtl w:val="true"/>
        </w:rPr>
        <w:footnoteReference w:id="461"/>
      </w:r>
      <w:r>
        <w:rPr>
          <w:rFonts w:ascii="Amiri" w:hAnsi="Amiri" w:eastAsia="Amiri" w:cs="Amiri"/>
          <w:color w:val="111111"/>
          <w:sz w:val="28"/>
          <w:sz w:val="28"/>
          <w:szCs w:val="28"/>
          <w:rtl w:val="true"/>
          <w:lang w:bidi="ar-SA"/>
        </w:rPr>
        <w:t>، وفی الإصطلاح يطلق للصّخرة الّتي قام عليها إبراهيم علیه السلام عند بنائه البيت، أو عند ندائه لدعوة النّاس إلی الحجّ، ومن عظمته ذكره في القرآن تارة بعنوان آية بيّنة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لَلَّذی بِبَكَّةَ مُبارَكاً وَهُدىً لِلْعالَمينَ، فيهِ آياتٌ بَيِّناتٌ مَقامُ إِبْراهيمَ وَمَنْ دَخَلَهُ كانَ آمِناً</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واُخری بعنوان قبلة للمصلّين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الْبَيْتَ مَثابَةً لِلنَّاسِ وَأَمْناً وَاتَّخِذُوا مِنْ مَقامِ إِبْراهيمَ مُصَلًّى وَعَهِدْنا إِلى إِبْراهيمَ وَإِسْماعيلَ أَنْ طَهِّرا بَيْتِیَ لِلطَّائِفينَ وَالْعاكِفينَ وَالرُّكَّعِ السُّجُودِ</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البلاغي في تفسيره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مقام إبراهيم من آيات البيت الباهرة الخالدة، وهو الصّخرة الّتي قام عليها إبراهيم الخليل فأثّرت فيها قدماه الشريفتان تأثيراً بيّناً كما تؤثّر في الطّين الرّطب، وهذه الصّخرة وذلك الأثر محفوظان إلى الآن على رغم القرون المتطاولة وتتابع الحوادث وتقلب الأحوال، وفی ذلك أيضاً آية كبيرة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محمّد حسن النّجفی رحمه الله في تعريف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المقام الّذی هو لغة موضع قدم القائم، والمراد به هنا مقام إبراهيم علیه السلام أى الحجر الّذی وقف عليه لبناء البيت كما عن ابن أجير، أو للأذان بالحجّ كما عن غيره، بل عن العلوی وابن جماعة أنّه لما أمر بالنّداء وأقام على المقام تطاول المقام حتّى كان كأطول جبلٍ على ظهر الأرض فنادى، أو لما عن ابن عباس من أنّه لما جاء بطلب ابنه إسماعيل فلم يجده 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فأبى،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اغسل رأسك فأتته بحجر فوضع رجله عليه وهو راكب فغسلت شقه، ثمّ رفعته وقد غابت رجله فيه، فوضعته تحت الشق الآخر وغسلته فغابت رجله الثّانية فيه، فجعله الله من الشّعائر، وعن الأزرقی أنّه لما فرغ من الأذان عليه جعله قبلة فكان يصلّی إليه مستقبل الباب، وذكر أيضاً أنّ ذرع المقام ذراع، وأنّ القدمين داخلان فيه سبعة أصابع، وعن ابن جماعة أنّ مقدار ارتفاعه من الأرض نصف ذراع وربع وثمن بذراع القماش، وأنّ أعلاه مربع من كلّ جهة نصف ذراع وربع، وموضع غوص القدمين ملبس بفضة، وعمقه من فوق الفضة سبع قراريط ونصف قيراط بالذراع المتقدّم أی ذراع مصر المستعمل في زمانه، ولعلّ اختلافهما باعتبار الذراع باليد والحديد</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إلی إحدی هذين التسميتين في مرسلة غَالِبِ بْنِ عُثْمَانَ عَنْ رَجُلٍ مِنْ أَصْحَابِنَا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لَمَّا أَمَرَ إِبْرَاهِيمَ يُنَادِی في النَّاسِ الْحَجَّ قَامَ عَلَى الْمَقَامِ فَارْتَفَعَ بِهِ حَتَّى صَارَ بِإِزَاءِ أَبِی قُبَيْسٍ، فَنَادَى في النَّاسِ بِالْحَجِّ، فَأَسْمَعَ مَنْ في أَصْلَابِ الرِّجَالِ وَأَرْحَامِ النِّسَاءِ إِلَى أَنْ تَقُومَ السَّاعَةُ</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157" w:name="pg7917_84794"/>
    </w:p>
    <w:p>
      <w:pPr>
        <w:pStyle w:val="BookText"/>
        <w:rPr/>
      </w:pPr>
      <w:bookmarkEnd w:id="157"/>
      <w:r>
        <w:rPr>
          <w:rFonts w:ascii="Amiri" w:hAnsi="Amiri" w:eastAsia="Amiri" w:cs="Amiri"/>
          <w:color w:val="111111"/>
          <w:sz w:val="28"/>
          <w:sz w:val="28"/>
          <w:szCs w:val="28"/>
          <w:rtl w:val="true"/>
          <w:lang w:bidi="ar-SA"/>
        </w:rPr>
        <w:t xml:space="preserve">وكيف كان قد حكی أنّ المقام والحجر الأسود كانتا من جملة أحجار الجنّة علی وجه الأرض، ففی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الْمُنْذِرِ الثَّوْرِیِّ عَنْ أَبِی جَعْفَرٍ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ثَلَاثَةُ أَحْجَارٍ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 اسْتَوْدَعَهُ إِبْرَاهِيمَ علیه السلام، وَمَقَامُ إِبْرَاهِيمَ،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بَنِی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اسْتَوْدَعَ إِبْرَاهِيمَ الْحَجَرَ الْأَبْيَضَ، وَكَانَ أَشَدَّ بَيَاضاً مِنَ الْقَرَاطِيسِ فَاسْوَدَّ مِنْ خَطَايَا بَنِی آدَمَ</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8" w:name="__RefHeading___Toc6355207_1051229030"/>
      <w:bookmarkStart w:id="159" w:name="_Toc52"/>
      <w:bookmarkEnd w:id="158"/>
      <w:r>
        <w:rPr>
          <w:rtl w:val="true"/>
        </w:rPr>
        <w:t>الثّانی</w:t>
      </w:r>
      <w:r>
        <w:rPr>
          <w:rtl w:val="true"/>
        </w:rPr>
        <w:t>:</w:t>
      </w:r>
      <w:bookmarkEnd w:id="159"/>
    </w:p>
    <w:p>
      <w:pPr>
        <w:pStyle w:val="BookText"/>
        <w:rPr/>
      </w:pPr>
      <w:r>
        <w:rPr>
          <w:rFonts w:ascii="IRNazanin" w:hAnsi="IRNazanin" w:eastAsia="IRNazanin"/>
          <w:color w:val="111111"/>
          <w:sz w:val="28"/>
          <w:sz w:val="28"/>
          <w:szCs w:val="28"/>
          <w:rtl w:val="true"/>
          <w:lang w:bidi="fa-IR"/>
        </w:rPr>
        <w:t>أنّه علی القول باختصاص المطاف بالبيت والمقام هل المعتبر وقوع الطّواف بين البيت والمحفظة الّتي يحفظ فيها المقام، أو بين البيت والمقام نفسه؟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التحقيق أنّه لا مدخليّة للمحفظة في الحكم مع صحّة سلب اسمه عنها عرفاً وتبادر نفسه إلی الذّهن عند سماع اسمه بلا قرينة، الّذَين عدّ في علم الأصول من علائم الحقيقة والمجاز</w:t>
      </w:r>
      <w:r>
        <w:rPr>
          <w:rStyle w:val="FootnoteAnchor"/>
          <w:rtl w:val="true"/>
        </w:rPr>
        <w:footnoteReference w:id="468"/>
      </w:r>
      <w:r>
        <w:rPr>
          <w:rFonts w:ascii="IRNazanin" w:hAnsi="IRNazanin" w:eastAsia="IRNazanin"/>
          <w:color w:val="111111"/>
          <w:sz w:val="28"/>
          <w:sz w:val="28"/>
          <w:szCs w:val="28"/>
          <w:rtl w:val="true"/>
          <w:lang w:bidi="fa-IR"/>
        </w:rPr>
        <w:t>، زائداً علی عدم ثبت بناء ومحفظة له في الكتب التّاريخيّة إلی زمن خلافة عمر بعد ما انتقل المقام إلی موضعه الفعلی بعد رفعه بسيل أم نهشل</w:t>
      </w:r>
      <w:r>
        <w:rPr>
          <w:rStyle w:val="FootnoteAnchor"/>
          <w:rtl w:val="true"/>
        </w:rPr>
        <w:footnoteReference w:id="469"/>
      </w:r>
      <w:r>
        <w:rPr>
          <w:rFonts w:ascii="IRNazanin" w:hAnsi="IRNazanin" w:eastAsia="IRNazanin"/>
          <w:color w:val="111111"/>
          <w:sz w:val="28"/>
          <w:sz w:val="28"/>
          <w:szCs w:val="28"/>
          <w:rtl w:val="true"/>
          <w:lang w:bidi="fa-IR"/>
        </w:rPr>
        <w:t xml:space="preserve">، فالمعتبر إحتساب الحدّ في هذة الدّائرة الفرضی إلی </w:t>
      </w:r>
    </w:p>
    <w:p>
      <w:pPr>
        <w:pStyle w:val="BookText"/>
        <w:rPr/>
      </w:pPr>
      <w:r>
        <w:rPr>
          <w:rFonts w:ascii="Amiri" w:hAnsi="Amiri" w:eastAsia="Amiri" w:cs="Amiri"/>
          <w:color w:val="111111"/>
          <w:sz w:val="28"/>
          <w:sz w:val="28"/>
          <w:szCs w:val="28"/>
          <w:rtl w:val="true"/>
          <w:lang w:bidi="ar-SA"/>
        </w:rPr>
        <w:t xml:space="preserve">نفس المقام كما استظهره أو صرّح به بعض فقهائنا منهم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المقام حقيقة هو العمود من الصخر الّذی كان إبراهيم علیه السلام يصعد عليه عند بنائه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اليوم عليه بناء يطلق على جميعه مع ما في داخله المقام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يستعمله الفقهاء في بعض عباراتهم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أطلقوا هنا كون الطواف بين البيت والمقام، وكذلك النصوص، فهل المعتبر كونه بين البيت وحائط البناء الّذی على المقام الأصلی، أم بينه وبين العمود المخصوص؟ كلّ محتمل، وإن كان الاستعمال الشرعی في الثانی أقوى</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المراد بالمقام نفس الصّخرة، لا ما عليه من البناء، ترجيحاً للاستعمال الشّرعی علی العرفی لوثبت</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والمحدّث البحرانی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متى كان المقام حقيقة إنّما هو الصّخر المذكور فالإطلاق على البناء إنّما وقع مجازاً بحسب العرف، والأحكام إنّما تترتّب على المعنى الحقيقی كما لا يخفى</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المعتبر وقوع الطّواف بين البيت وحائط البناء الّذی هو علی المقام الأصلی، أو بين الصّخرة الّتي هی المقام هنا؟ الظّاهر الثّانی</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160" w:name="pg7917_84797"/>
    </w:p>
    <w:p>
      <w:pPr>
        <w:pStyle w:val="Heading2"/>
        <w:numPr>
          <w:ilvl w:val="1"/>
          <w:numId w:val="1"/>
        </w:numPr>
        <w:rPr/>
      </w:pPr>
      <w:bookmarkStart w:id="161" w:name="__RefHeading___Toc6355209_1051229030"/>
      <w:bookmarkStart w:id="162" w:name="_Toc53"/>
      <w:bookmarkEnd w:id="160"/>
      <w:bookmarkEnd w:id="161"/>
      <w:r>
        <w:rPr>
          <w:rtl w:val="true"/>
        </w:rPr>
        <w:t>الثّالث</w:t>
      </w:r>
      <w:r>
        <w:rPr>
          <w:rtl w:val="true"/>
        </w:rPr>
        <w:t xml:space="preserve">: </w:t>
      </w:r>
      <w:r>
        <w:rPr>
          <w:rtl w:val="true"/>
        </w:rPr>
        <w:t>حِجر إسماعيل علیه السلام من البيت أو خارج عنه؟</w:t>
      </w:r>
      <w:bookmarkEnd w:id="162"/>
    </w:p>
    <w:p>
      <w:pPr>
        <w:pStyle w:val="BookText"/>
        <w:rPr/>
      </w:pPr>
      <w:r>
        <w:rPr>
          <w:rFonts w:ascii="Amiri" w:hAnsi="Amiri" w:eastAsia="Amiri" w:cs="Amiri"/>
          <w:color w:val="111111"/>
          <w:sz w:val="28"/>
          <w:sz w:val="28"/>
          <w:szCs w:val="28"/>
          <w:rtl w:val="true"/>
          <w:lang w:bidi="ar-SA"/>
        </w:rPr>
        <w:t>حجر إسماعيل علیه السلام هوما احيط بجدار قوسی قصير من جهة شمال الكعبة المعظّمة بين الرّكنين العراقی والشّامی وقد يسمّی بالحطيم أيضاً، الّذی يستفاد من بعض الأخبار أنّه بيت إسماعيل، فيه مدفن إسماعيل وامّه هاجر وبعض بناته، وفيه أيضاً قبور بعض الأنبياء صلوات الله عليهم أجمعين،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تُسَمُّونَهُ الْحَطِيمَ، وَإِنَّمَا كَانَ لِغَنَمِ إِسْمَاعِيلَ، وَإِنَّمَا دَفَنَ فِيهِ أُمَّهُ وَكَرِهَ أَنْ يُوطَأَ قَبْرُهَا فَحَجَّرَ عَلَيْهِ، وَفِيهِ قُبُورُ أَنْبِيَاءَ</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ومرسلة الْمُفَضَّلِ بْنِ عُمَرَ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بَيْتُ إِسْمَاعِيلَ وَفِيهِ قَبْرُ هَاجَرَ وَقَبْرُ إِسْمَاعِيلَ</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في الْحِجْرِ مِمَّا يَلِی الرُّكْنَ الثَّالِثَ عَذَارَى بَنَاتِ إِسْمَاعِيلَ</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فِيهِ قُبُورَ الْأَنْبِيَاءِ علیهم السلام ، وَمَا في الْحِجْرِ شَیْ‌ءٌ مِنَ الْبَيْتِ وَلَا قُلَامَةُ ظُفُرٍ</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وقع الكلام بين الفقهاء في أنّ الحجر هل هو من البيت أو خارجٌ عنه؟ علی قولين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إليه العامّة بأجمعهم واختاره من فقهائنا العلامة الحلي رحمه الله ، ونسبه الشّهيد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المشهور من أنّه بتمامه أو بجزئه من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العلامة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أن يكون بجميع بدنه خارجاً من البيت، فلايجوز أن يمشی على شاذروان البيت، لأنّه من البيت، والطّواف المأمور به هو الطّواف بالبيت،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وإنّما يكون طائفاً به لوكان خارجاً عنه، وإلّا كان طائفاً فيه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يدخل الحجر في طوافه، وهو الّذی بين الرّكنين الشّاميّين، وهو موضع محوّطٌ عليه بجدار قصير بينه وبين كلّ واحد من الرّكنين فتحة، والميزاب منصوبٌ عليه، فلو مشى على حائطه أو دخل من إحدى الفتحتين وخرج من الأخرى وسلك الحجر، لم يجزئ، لأنّه يكون ماشياً في البيت، بل يجب أن يطوف حول الحِجر، وهو أحد قولي الشافعی لأنّ النَّبِیِّ صَلَّى اَللَّهُ عَلَيْهِ وَ آلِهِ وَ سَلَّمْ كذا طاف، ومن طريق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اختصر في الحجر الطّواف فليعد طوافه من الحجر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إبراهيم بن سفيان إلى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طافت طواف الحجّ، فلمّا كانت في الشوط السّابع اختصرت، فطافت في الحجر، وصلّت ركعتي الفريضة، وسعت و طافت طواف النّساء، ثمّ أتت منّى،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والقول الثّانی للشّافعی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هو من البيت من الحجر قدر ستّة أذرع تتّصل بالبيت، لأنّ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أن أصلّی ركعتين في البيت، فقال النَّبِیِّ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 في الحجر، فإنّ ستّة أذرع منه </w:t>
      </w:r>
    </w:p>
    <w:p>
      <w:pPr>
        <w:pStyle w:val="BookText"/>
        <w:rPr/>
      </w:pPr>
      <w:r>
        <w:rPr>
          <w:rFonts w:ascii="Amiri" w:hAnsi="Amiri" w:eastAsia="Amiri" w:cs="Amiri"/>
          <w:color w:val="111111"/>
          <w:sz w:val="28"/>
          <w:sz w:val="28"/>
          <w:szCs w:val="28"/>
          <w:rtl w:val="true"/>
          <w:lang w:bidi="ar-SA"/>
        </w:rPr>
        <w:t>من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أو سبعة أذرع، بنوا الأمر فيه على التقريب،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سلك الحجر، أجزأه، وليس بجيّد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ويجب أن يكون بين البيت والمقام، ويجب أن يدخل الحجر في طوافه، فلو سلك الحجر أو على جداره، أو على شاذروان الكعبة لم يجزئه، وبه قال الشافعیّ، وقال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سلك الحجر،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الحجر من البيت وكذا الشاذروان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واجبات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الحجر في طوافه، فلو طاف فيه أو مشى على حائطه لم يجزئ، سواء قلنا بأنّه من البيت كما هو</w:t>
      </w:r>
    </w:p>
    <w:p>
      <w:pPr>
        <w:pStyle w:val="BookText"/>
        <w:rPr/>
      </w:pPr>
      <w:r>
        <w:rPr>
          <w:rFonts w:ascii="IRNazanin" w:hAnsi="IRNazanin" w:eastAsia="IRNazanin"/>
          <w:color w:val="111111"/>
          <w:sz w:val="28"/>
          <w:sz w:val="28"/>
          <w:szCs w:val="28"/>
          <w:rtl w:val="true"/>
          <w:lang w:bidi="fa-IR"/>
        </w:rPr>
        <w:t xml:space="preserve">المشهور أو لا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الله بن قدامة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كان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كون الحجر داخلاً في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أمر بالطّواف بالبيت جميعه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وَلْيَطَّوَّفُوا بِالْبَيْتِ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والحجر منه، فمن لم يطف به لم يعتدّ بطوافه، وبهذا قال عطاء، ومالك، والشّافعی، وأبوثور، وابن المنذر، وقال أصحاب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بمكة قضی ما بقی، وإن رجع إلی الكوفة فعليه دمٌ، ونحوه قال الحسن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أنّه من البيت بدليل ما روت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عليه وسلّم عن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البيت، وعنها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قومك استقصروا من بنيان البيت، </w:t>
      </w:r>
    </w:p>
    <w:p>
      <w:pPr>
        <w:pStyle w:val="BookText"/>
        <w:rPr/>
      </w:pPr>
      <w:r>
        <w:rPr>
          <w:rFonts w:ascii="IRNazanin" w:hAnsi="IRNazanin" w:eastAsia="IRNazanin"/>
          <w:color w:val="111111"/>
          <w:sz w:val="28"/>
          <w:sz w:val="28"/>
          <w:szCs w:val="28"/>
          <w:rtl w:val="true"/>
          <w:lang w:bidi="fa-IR"/>
        </w:rPr>
        <w:t>ولولا حداثة عهدهم بالشّرك أعدتُ ما تركوا منها، فإن بدا لقومك من بعدی أن يبنوا فهلمی لأريك ما تركوا منها، فأراها قريباً من سبعة أذرع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رواهما مسلم، وعنها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إنِّی نذرتُ أن أصلِّی في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في الحجر، فإنّ الحجر من البيت، وفی لفظ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أحبُّ أن أدخل البيت فاصلِّي فيه، فأخذرسول الله بيدي فأدخلني الحجر،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في الحجر إن أردت دخول البيت، فإنّما هو قطعةٌ من البيت،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حديثٌ حسنٌ صحيحٌ، فمن ترك الطّواف بالحجر لم يطف بجميع البيت فلم يصحّ، كما لو ترك الطّواف ببعض البناء، ولأنّ النّبیّ صلّی الله عليه وسلّم طاف من وراء الحجر، وقد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لتأخذوا عنَّی مناسككم</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وحكی الجزيری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الحنفيّة في واجبات الطّواف وسننه اموراً،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يطوف وراء الحطيم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بعضه من البيت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يلاحظ علی ما ذكره العلامة والشهيد رحمهما الله من أنّ الحجر من البيت، فزائداً علی كونه كلاماً شاذاً بيننا، معارض بما سيأتی من الرّوايات، فلا يمكن الذهاب إليه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إليه المشهور من الفقهاء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ما تقدّم عن العلامة في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الشّهيد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لم يكن فيه شیءٌ من البيت، قال النّراقی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ليس الحجر من البيت كما قيل، بل نسبه في الدروس إلی المشهور، وعليه في الجملة رواية عامّية، لأنّه خلاف الأصحّ، كما دلّ عليه الصّحيح وغيره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استدلّوا علی هذا القول برواياتٌ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الْحِجْرِ أَ مِنَ الْبَيْتِ هُوَ أَوْ فِيهِ شَیْ‌ءٌ مِنَ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لَا،وَلَا قُلَامَةُ ظُفُرٍ، وَلَكِنَّ إِسْمَاعِيلَ دَفَنَ أُمَّهُ فِيهِ فَكَرِهَ أَنْ يُوطَأَ، فَجَعَلَ عَلَيْهِ حِجْراً، وَ فِيهِ قُبُورُ أَنْبِيَاءَ</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كُنْتُ أُصَلِّی في الْحِجْرِ، فَقَالَ لِی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الْمَكْتُوبَةَ في هَذَا الْمَوْضِعِ فَإِنَّ في الْحِجْرِ مِنَ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صَلِّ فِيهِ حَيْثُ شِئْتَ</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والمروی عن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وَالْحِجْرُ لَيْسَ هُوَ مِنَ الْبَيْتِ وَلَا فِيهِ شَیْ‌ءٌ مِنْهُ، وَإِنَّهُمْ سَمَّوْهُ الْحَطِيمَ، وَقَالُوا إِنَّمَا هُوَ لِغَنَمِ إِسْمَاعِيلَ وَلَكِنْ دَفَنَ إِسْمَاعِيلُ أُمَّهُ فِيهِ فَكَرِهَ أَنْ يُوطَأَ قَبْرُهَا فَحَجَّرَ عَلَيْهِ، وَفِيهِ قُبُورُ أَنْبِيَاء</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 سواءٌ قلنا بعدم كون الحجر من البيت كما هو الصّحيح، أوكونه منه علی مذهب العلامة ومن تبعه، فإنّه يجب علی الطّائف أن يدخل الحجر في طوافه، فإن اختصر في طوافه وسلك الحجر في شوط أو بعض الأشواط فعليه جبرها، إلّا أنّ فيه تفصيلاً بين فوت المولاة العرفيّة وعدمها، وكذالك بين كونه قبل تجاوز النّصف وبعده، ليس هذا موضع بحثه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 عليه بروايات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فَاخْتَصَرَ شَوْطاً وَاحِداً في الْحِجْرِ؟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ذَلِكَ الشَّوْطَ</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حَفْصِ بْنِ الْبَخْتَرِیِّ عَنْ أَبِی عَبْدِ اللَّهِ علیه السلام في الرَّجُلِ يَطُوفُ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فَيَخْتَصِرُ في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يَقْضِی مَا اخْتَصَرَ مِنْ طَوَافِهِ</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وصحيحة مُعَاوِيَةَ بْنِ عَمَّارٍ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اخْتَصَرَ في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طَوَافَهُ مِنَ الْحَجَرِ الْأَسْوَدِ إِلَى الْحَجَرِ الْأَسْوَدِ</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إِبْرَاهِيمَ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طَافَتْ طَوَافَ الْحَجِّ فَلَمَّا كَانَتْ في الشَّوْطِ السَّابِعِ اخْتَصَرَتْ وَطَافَتْ في الْحِجْرِ، وَصَلَّتْ رَكْعَتَيِ الْفَرِيضَةِ، وَسَعَتْ، وَطَافَتْ طَوَافَ النِّسَاءِ، ثُمَّ أَتَتْ مِنًى؟ فَكَتَبَ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تُعِيدُ</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163" w:name="pg7917_84803"/>
    </w:p>
    <w:p>
      <w:pPr>
        <w:pStyle w:val="Heading2"/>
        <w:numPr>
          <w:ilvl w:val="1"/>
          <w:numId w:val="1"/>
        </w:numPr>
        <w:rPr/>
      </w:pPr>
      <w:bookmarkStart w:id="164" w:name="__RefHeading___Toc6355211_1051229030"/>
      <w:bookmarkStart w:id="165" w:name="_Toc54"/>
      <w:bookmarkEnd w:id="163"/>
      <w:bookmarkEnd w:id="164"/>
      <w:r>
        <w:rPr>
          <w:rtl w:val="true"/>
        </w:rPr>
        <w:t>الرابع</w:t>
      </w:r>
      <w:r>
        <w:rPr>
          <w:rtl w:val="true"/>
        </w:rPr>
        <w:t xml:space="preserve">: </w:t>
      </w:r>
      <w:r>
        <w:rPr>
          <w:rtl w:val="true"/>
        </w:rPr>
        <w:t>إحتساب الحدّ في جانب الحجر من الحجر أو من البيت؟</w:t>
      </w:r>
      <w:bookmarkEnd w:id="165"/>
    </w:p>
    <w:p>
      <w:pPr>
        <w:pStyle w:val="BookText"/>
        <w:rPr/>
      </w:pPr>
      <w:r>
        <w:rPr>
          <w:rFonts w:ascii="IRNazanin" w:hAnsi="IRNazanin" w:eastAsia="IRNazanin"/>
          <w:color w:val="111111"/>
          <w:sz w:val="28"/>
          <w:sz w:val="28"/>
          <w:szCs w:val="28"/>
          <w:rtl w:val="true"/>
          <w:lang w:bidi="fa-IR"/>
        </w:rPr>
        <w:t>قد مرّ أنّ حجر إسماعيل علیه السلام داخلٌ في المطاف سواء قلنا بعدم كونه من البيت كما هو المشهور والمختار أم قلنا بكونه منه، فبناءً علی القول باختصاص المطاف بالبيت والمقام، اختلفوا في إحتساب الحدّ في جانبه من البيت أو من الحجر؟ فذهب بعضٌ إلی إحتسابه من البيت وهم المشهور، وآخرون إلی إحتسابه من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الأصحاب إلی زمن الشهيد الثانی رضوان الله تعالی عليهم حيث عنونوا المسألة مطلقة بأنّه يجب علی الطائف أن يطوف بين البيت والمقام من دون أن يفصّلوا لحكمها في جانب الحجر، أنّهم احتسبوا الحدّ من جميع نواحي البيت منه ومقتضاه أنّه يضيق المطاف في جانبه بمقداره، قال المحقّق البحرانی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قطع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مراعاة قدر ما بين البيت والمقام من جميع الجهات، ثمّ صرّحوا بأنّه يجب أن تحسب المسافة من جهة الحجر من خارجه، بأن ينزّل منزلة البيت وإن كان خارجاً من البيت، لوجوب إدخاله في الطّواف، فلايكون محسوباً من المسافة، واحتمل شيخنا في المسالك احتسابه منها على القول بخروجه وان لم يجز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الأول فلا ريب فيه، لما عرفت من دلالة رواية محمّد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مسلم</w:t>
      </w:r>
      <w:r>
        <w:rPr>
          <w:rStyle w:val="FootnoteAnchor"/>
          <w:rtl w:val="true"/>
        </w:rPr>
        <w:footnoteReference w:id="492"/>
      </w:r>
      <w:r>
        <w:rPr>
          <w:rFonts w:ascii="IRNazanin" w:hAnsi="IRNazanin" w:eastAsia="IRNazanin"/>
          <w:color w:val="111111"/>
          <w:sz w:val="28"/>
          <w:sz w:val="28"/>
          <w:szCs w:val="28"/>
          <w:rtl w:val="true"/>
          <w:lang w:bidi="fa-IR"/>
        </w:rPr>
        <w:t>عليه، وأمّا الثّانی فلا يخلو من الإشكال، لأنّ مقتضى ما صرّحوا 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مدلول الرّواية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المسافة المعتبرة من </w:t>
      </w:r>
    </w:p>
    <w:p>
      <w:pPr>
        <w:pStyle w:val="BookText"/>
        <w:rPr/>
      </w:pPr>
      <w:r>
        <w:rPr>
          <w:rFonts w:ascii="IRNazanin" w:hAnsi="IRNazanin" w:eastAsia="IRNazanin"/>
          <w:color w:val="111111"/>
          <w:sz w:val="28"/>
          <w:sz w:val="28"/>
          <w:szCs w:val="28"/>
          <w:rtl w:val="true"/>
          <w:lang w:bidi="fa-IR"/>
        </w:rPr>
        <w:t>البيت الى المقام معتبرة من جميع الجهات، ومن جملتها جهة الحجر، ويؤكّده قوله علیه السلام في الرّواية المذكورة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الحدّ موضع المقام اليوم، فمن جازه فليس بطائف، والحدُ قبل اليوم واليوم واحدٌ، قدر ما بين المقام وبين البيت من نواحی البيت كلّها، فمن طاف فتباعد من نواحيه أبعد من مقدار ذلك كان طائفاً بغير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في أنّ من تباعد من جميع نواحي البيت بأزيد من هذه المسافة المعتبرة من البيت إلى المقام كان طائفاً بغير البيت، وهذا ظاهرٌ في جهة الحجر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فالاستثناء في هذه الجهة يحتاج إلى دليل، ومجرد وجوب إدخاله في الطّواف لا يستلزم ذلك، وبالجملة فإنّ ما ذكره شيخنا المشار إليه من الإحتمال لا يبعد تعينه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في غاية الإشكال، والاحتياط يقتضی المحافظة تمام المحافظة على عدم البعد عن الحجر على وجه يلزم منه الخروج عن تلك المسافة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الخوئی رحمه الله علی ما في تقريراته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والمشهور بين الأصحاب وجوب كون الطّواف بين الكعبة والمقام مراعياً ذلك القدر من البُعد في جميع أطراف البيت حتّی جهة حجر إسماعيل ولذا يضيق المطاف حينئذ من تلك الجهة ويكون قريباً من ستة أذرع ونصف ذراع، ويقرب في سائر الجوانب بستة وعشرين ذراعاً ونصف ذراع</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وأرسله إرسال المسلمات الإمام الراحل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يضيق محل الطواف خلف حجر إسماعيل بمقداره، وقالوا بقی هناك ستة أذرع ونصف تقريباً، فيجب أن لا يتجاوز هذا الحدّ، ولو تخلف أعاد هذا الجزء في الحدّ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إنّ أوّل من صرّح باحتسابه من الحجر الشّهيد الثّانی قدس سره في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المسالك</w:t>
      </w:r>
      <w:r>
        <w:rPr>
          <w:rFonts w:eastAsia="IRNazanin" w:cs="IRNazanin"/>
          <w:color w:val="111111"/>
          <w:sz w:val="28"/>
          <w:szCs w:val="28"/>
          <w:rtl w:val="true"/>
          <w:lang w:bidi="fa-IR"/>
        </w:rPr>
        <w:t>»</w:t>
      </w:r>
      <w:r>
        <w:rPr>
          <w:rStyle w:val="FootnoteAnchor"/>
          <w:rtl w:val="true"/>
        </w:rPr>
        <w:footnoteReference w:id="49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وتحتسب المسافة من جهة الحجر من خارجه وإن جعلناه خارجاً من البيت</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وتبعه المولی محمّد تقی المجلسی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المشهور بين الأصحاب أنّه لا بدّ أن يكون الطواف بين البيت والمقام، ويكون المسافة من الجوانب الثلاثة الأخر أيضاً بمقدار تلك المسافة، والمسافة من جانب الحجر من الحجر لا من الكعبة، فلو بعد عن تلك المسافة ولو بخطوة كان باطلاً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لاإشكال في إحتساب المسافة من جهة الحجر من خارجه بناءً علی أنّه من البيت، 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وإن قلنا بخروجه عنه لوجوب إدخاله في الطّواف فلا يكون محسوباً من المسافة، وفيه أنّه خلاف ظاهر الخبر المزبور ولذا احتمل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احتسابه منها وإن لم يجز سلوكه، ولا ريب في أنّه الأحوط</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وكذا بعض فقهائنا المعاصرين منهم السيّد محمّدرضا الگلپايگانی رحمه الله ، والشّيخ لطف الله الصّافی الگلپايگانی</w:t>
      </w:r>
      <w:r>
        <w:rPr>
          <w:rStyle w:val="FootnoteAnchor"/>
          <w:rtl w:val="true"/>
        </w:rPr>
        <w:footnoteReference w:id="500"/>
      </w:r>
      <w:r>
        <w:rPr>
          <w:rFonts w:ascii="Amiri" w:hAnsi="Amiri" w:eastAsia="Amiri" w:cs="Amiri"/>
          <w:color w:val="111111"/>
          <w:sz w:val="28"/>
          <w:sz w:val="28"/>
          <w:szCs w:val="28"/>
          <w:rtl w:val="true"/>
          <w:lang w:bidi="ar-SA"/>
        </w:rPr>
        <w:t xml:space="preserve">، والشّيخ محمّد الفاضل رحمه الله </w:t>
      </w:r>
      <w:r>
        <w:rPr>
          <w:rStyle w:val="FootnoteAnchor"/>
          <w:rtl w:val="true"/>
        </w:rPr>
        <w:footnoteReference w:id="501"/>
      </w:r>
      <w:r>
        <w:rPr>
          <w:rFonts w:ascii="Amiri" w:hAnsi="Amiri" w:eastAsia="Amiri" w:cs="Amiri"/>
          <w:color w:val="111111"/>
          <w:sz w:val="28"/>
          <w:sz w:val="28"/>
          <w:szCs w:val="28"/>
          <w:rtl w:val="true"/>
          <w:lang w:bidi="ar-SA"/>
        </w:rPr>
        <w:t>، والسيّد موسی الشّبيری الزّنجانی</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التحقيق أنّ المسئلة مبتنيةٌ علی الفرع السابق وهوكون الحجر من البيت، أو خارجاً عنه، فبناءً علی كونه من البيت فلا شك حينئذ في إحتساب الحدّ في جانب الحجر من الحجر لا البيت، وعلی كونه خارجاً منه فإنّ الظّاهر والمتبادر من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أو موثّقة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طَافَ فَتَبَاعَدَ مِنْ نَوَاحِيهِ أَبْعَدَ مِنْ مِقْدَارِ ذَلِكَ كَانَ طَائِفاً بِغَيْرِ الْبَيْتِ بِمَنْزِلَةِ مَنْ طَافَ بِالْمَسْجِدِ، لِأَنَّهُ طَافَ في غَيْرِ حَدٍّ، وَلَا طَوَافَ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تضيق محل الطواف خلف حجر إسماعيل بمقداره، فعلی القول بالاشتراط لا يلزم من المنع من سلوك الحجر حينه، اتّساع دائرة المطاف في جهته، ولا أقلّ من الشك والأخذ بالاحتياط والقدر المتيقّن</w:t>
      </w:r>
      <w:r>
        <w:rPr>
          <w:rFonts w:eastAsia="Amiri" w:cs="Amiri" w:ascii="Amiri" w:hAnsi="Amiri"/>
          <w:color w:val="111111"/>
          <w:sz w:val="28"/>
          <w:szCs w:val="28"/>
          <w:rtl w:val="true"/>
          <w:lang w:bidi="ar-SA"/>
        </w:rPr>
        <w:t xml:space="preserve">. </w:t>
      </w:r>
      <w:bookmarkStart w:id="166" w:name="pg7917_84807"/>
    </w:p>
    <w:p>
      <w:pPr>
        <w:pStyle w:val="Heading2"/>
        <w:numPr>
          <w:ilvl w:val="1"/>
          <w:numId w:val="1"/>
        </w:numPr>
        <w:rPr/>
      </w:pPr>
      <w:bookmarkStart w:id="167" w:name="__RefHeading___Toc6355213_1051229030"/>
      <w:bookmarkStart w:id="168" w:name="_Toc55"/>
      <w:bookmarkEnd w:id="166"/>
      <w:bookmarkEnd w:id="167"/>
      <w:r>
        <w:rPr>
          <w:rtl w:val="true"/>
        </w:rPr>
        <w:t>الخامس</w:t>
      </w:r>
      <w:r>
        <w:rPr>
          <w:rtl w:val="true"/>
        </w:rPr>
        <w:t xml:space="preserve">: </w:t>
      </w:r>
      <w:r>
        <w:rPr>
          <w:rtl w:val="true"/>
        </w:rPr>
        <w:t>عدم جواز الطّواف علی أساس البيت المسمّی ب</w:t>
      </w:r>
      <w:r>
        <w:rPr>
          <w:rtl w:val="true"/>
        </w:rPr>
        <w:t>- «</w:t>
      </w:r>
      <w:r>
        <w:rPr>
          <w:rtl w:val="true"/>
        </w:rPr>
        <w:t>شاذروان</w:t>
      </w:r>
      <w:r>
        <w:rPr>
          <w:rtl w:val="true"/>
        </w:rPr>
        <w:t>»:</w:t>
      </w:r>
      <w:bookmarkEnd w:id="168"/>
    </w:p>
    <w:p>
      <w:pPr>
        <w:pStyle w:val="BookText"/>
        <w:rPr/>
      </w:pPr>
      <w:r>
        <w:rPr>
          <w:rFonts w:ascii="IRNazanin" w:hAnsi="IRNazanin" w:eastAsia="IRNazanin"/>
          <w:color w:val="111111"/>
          <w:sz w:val="28"/>
          <w:sz w:val="28"/>
          <w:szCs w:val="28"/>
          <w:rtl w:val="true"/>
          <w:lang w:bidi="fa-IR"/>
        </w:rPr>
        <w:t>لا يجوز المشی علی أساس البيت حين الطّواف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والشاذروان بفتح الذال من جدار البيت الحرام، وهو الّذی ترك من عرض الأساس خارجاً، ويُسمّى تأزير لأنّه كالإزار للبيت </w:t>
      </w:r>
      <w:r>
        <w:rPr>
          <w:rStyle w:val="FootnoteAnchor"/>
          <w:rtl w:val="true"/>
        </w:rPr>
        <w:footnoteReference w:id="503"/>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شاذروان الكعبة بفتح الذال المعجمة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بعض من أساسها أبقته قريش خارجاً منها شبه الدكات، لما كانت الأموال الطيبة قاصرة عن بنائها كما كانت فضيّقوها، معرّب چادربند، أی الموضع الّذی يشد فيه أستار الكعبة بالأطناب، ويسمّی التأزير، لأنّه كالإزار لها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والكلمة 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المهملة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كنگره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عمارتها را گويند</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والمسألة خالية عن النصّ غير ما روی الشّيخ الحرّ العاملی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جماعةٍ من فقهائنا 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الشَّاذَرْوَانَ كَانَ مِنَ الْكَعْبَةِ</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xml:space="preserve">، وكيف كان احتجّوا لذلك بأنّه إذا كان شاذروان جزئاً من البيت فيكون الماشی عليه طائفاً في البيت ولا يكون ما بين البيت والمقام، وادّعی إنّه ممّا لا يكون فيه خلاف ولا إشكال، وأرسله بعض إرسال المسلمات، وحكی الجزيری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w:t>
      </w:r>
    </w:p>
    <w:p>
      <w:pPr>
        <w:pStyle w:val="BookText"/>
        <w:rPr/>
      </w:pPr>
      <w:r>
        <w:rPr>
          <w:rFonts w:ascii="Amiri" w:hAnsi="Amiri" w:eastAsia="Amiri" w:cs="Amiri"/>
          <w:color w:val="111111"/>
          <w:sz w:val="28"/>
          <w:sz w:val="28"/>
          <w:szCs w:val="28"/>
          <w:rtl w:val="true"/>
          <w:lang w:bidi="ar-SA"/>
        </w:rPr>
        <w:t>كذلك عند الشّافعيّة والمالكيّة والحنابلة</w:t>
      </w:r>
      <w:r>
        <w:rPr>
          <w:rStyle w:val="FootnoteAnchor"/>
          <w:rtl w:val="true"/>
        </w:rPr>
        <w:footnoteReference w:id="507"/>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ظهرة من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الطّواف عندهم علی الشّاذروان لأنّه ليس من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مشی الطائف في طوافه علی أساس البيت الّذی هو القدر الباقی من أساس الحائط بعد عمارته المسمّی بالشاذروان، أو علی حائط الحجر لم يجزه بلا خلاف ولا إشكال، لعدم صدق الطواف بالبيت والحجر، إذ الأوّل من الكعبة فيما قطع به الأصحاب علی ما في المدارك، بل هو المحكی عن غيرهم من الشافعيّة والحنابلة وبعض متأخّري المالكيّة، نعم عن ابن ظهرة من الحنفيّة جواز الطواف عندنا علی شاذروان، لأنّه ليس من البيت</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الراحل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شرائط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حائط البيت وأساسه، فلو مشى عليهما لم يجز ويجب جبرانه،كما لو مشى على جدران الحجر وجب الجبران وإعادة ذاك الجزء، ولا بأس بوضع اليد على الجدار عند الشاذروان، والأولى تركه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الخوئی رحمه الله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ولا شك في لزوم كون الطواف حول البيت، فلا بُدّ أن يكون البيت الشّريف بتمامه مطافاً، فاللازم أن يجعل الشّاذروان داخل في المطاف لأنّ الشّاذروان أساس البيت وقاعدته، فلا يصحّ الطّواف داخل الكعبة وكذا لو طاف من فوق الشّاذروان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يكون الطّائف خارجاً من البيت ومن الشّاذروان، فلو طاف داخل البيت، أو من فوق الشّاذروان بطل طوافه برأسه، والحكم بالنّسبة إلى البيت واضحٌ، وأمّا بالنّسبة إلى الشّاذروان فالمعروف أنّه من أساس البيت وباعدته ومن نفس جدار الكعبة كما جاءت بذلك الآثار التاريخيّة، وهو القدر الباقی من أساس الحائط بعد عمارته أخيراً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شُك في دخول الشّاذروان في البيت وعدمه فالأصل أيضاً يقتضی جعله مطافاً واجراء حكم البيت عليه، وذلك لأنّه لو أخرجه عن المطاف ولم يطف حوله لم يحرز كون الطواف طوافاً بالبيت بعكس ما لو أدخله في المطاف إذاً فلا بدّ من إدخاله في البيت ليحرز كون الطّواف بالبيت من باب المقدمة العلميّة لحصول الطّواف بالبيت، ولذا لو فرضنا أنّ الكعبة الشّريفة خربت بتمامها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إدخال ما شُك فيه من البيت في المطاف ولا بدّ من الطّواف في مكان يحرز كونه خارج البيت، 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الشّاذروان من البيت وعدمه من قبيل الشك بين الأقل والأكثر والأصل تقتضی عدم دخوله في البيت، ضعيفةٌ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أصالة عدم دخول الشّاذروان في البيت لاتحقق كون الطواف طوافاً بالبيت ولاتوجب إحراز ذلك، نعم وقع الكلام في البطلان وعدمه فيما لو طاف من فوق الشّاذروان وأمّا أصل الحكم وهو جعل الشّاذروان مطافاً فممّا لاخلاف فيه أصلاً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ابن قدامة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طاف علی جدار الحجر وشاذروان الكعبة وهو ما فضل من حائطها لم يجز، لأنّ ذلك من البيت فإذا لم يطف به فلم يطف بكلّ البيت، لأنّ النّبیّ صلّی الله عليه وسلّم طاف من وراء ذلك</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والتحقيق أنّه لا ينبغی شك و لا ترديد في عدم جواز الطواف علی أساس البيت حتّی لو لم يثبت بالدّليل القطعی كون الشّاذروان من البيت، وذلك للزوم إحراز البينيّة بين البيت والمقام لصحّة الطواف وإلا فهو محكوم بالبطلان</w:t>
      </w:r>
      <w:r>
        <w:rPr>
          <w:rFonts w:eastAsia="IRNazanin" w:cs="IRNazanin"/>
          <w:color w:val="111111"/>
          <w:sz w:val="28"/>
          <w:szCs w:val="28"/>
          <w:rtl w:val="true"/>
          <w:lang w:bidi="fa-IR"/>
        </w:rPr>
        <w:t xml:space="preserve">. </w:t>
      </w:r>
      <w:bookmarkStart w:id="169" w:name="pg7917_84811"/>
    </w:p>
    <w:p>
      <w:pPr>
        <w:pStyle w:val="Heading2"/>
        <w:numPr>
          <w:ilvl w:val="1"/>
          <w:numId w:val="1"/>
        </w:numPr>
        <w:rPr/>
      </w:pPr>
      <w:bookmarkStart w:id="170" w:name="__RefHeading___Toc6355215_1051229030"/>
      <w:bookmarkStart w:id="171" w:name="_Toc56"/>
      <w:bookmarkEnd w:id="169"/>
      <w:bookmarkEnd w:id="170"/>
      <w:r>
        <w:rPr>
          <w:rtl w:val="true"/>
        </w:rPr>
        <w:t>السادس</w:t>
      </w:r>
      <w:r>
        <w:rPr>
          <w:rtl w:val="true"/>
        </w:rPr>
        <w:t>:</w:t>
      </w:r>
      <w:bookmarkEnd w:id="171"/>
    </w:p>
    <w:p>
      <w:pPr>
        <w:pStyle w:val="BookText"/>
        <w:rPr/>
      </w:pPr>
      <w:r>
        <w:rPr>
          <w:rFonts w:ascii="IRNazanin" w:hAnsi="IRNazanin" w:eastAsia="IRNazanin"/>
          <w:color w:val="111111"/>
          <w:sz w:val="28"/>
          <w:sz w:val="28"/>
          <w:szCs w:val="28"/>
          <w:rtl w:val="true"/>
          <w:lang w:bidi="fa-IR"/>
        </w:rPr>
        <w:t>لو لمس الطّائف الجدار عند الشّاذروان، أو وضع يده علی جدار الحجر حال الطّواف فهل يبطل طوافه أم لا؟</w:t>
      </w:r>
    </w:p>
    <w:p>
      <w:pPr>
        <w:pStyle w:val="BookText"/>
        <w:rPr/>
      </w:pPr>
      <w:r>
        <w:rPr>
          <w:rFonts w:ascii="IRNazanin" w:hAnsi="IRNazanin" w:eastAsia="IRNazanin"/>
          <w:color w:val="111111"/>
          <w:sz w:val="28"/>
          <w:sz w:val="28"/>
          <w:szCs w:val="28"/>
          <w:rtl w:val="true"/>
          <w:lang w:bidi="fa-IR"/>
        </w:rPr>
        <w:t xml:space="preserve">إنّ الأقوال هنا عند الفريقين دائر بين القول بالمنع والقول بالجواز إمّا بنحو الفتوی، أو الاحتياط الوجوبی أو الندبی، وكيف كان المسألة خالية عن النصّ، فيجب أن نعامل معها بالعمومات والقواعد، قال العلامة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كان يطوف ويمسّ الجدار بيده في موازاة الشاذروان أو أدخل يده في موازاة ما هو من البيت من الحجر، فالأقرب عدم الصحّة، وهو أحد وجهي الشافعية لأنّ بعض بدنه في البيت، ونحن شرطنا خروج بدنه بأسره من البيت، والثانی للشافعية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لأنّ معظم بدنه خارج، وحينئذ يصدق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طائف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 لأنّ بعض بدنه في البيت، كما لو كان يضع إحدي رجليه أحياناً على الشاذروان ويقف بالأخرى</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وتاسعها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واجبات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 بجميع بدنه عن البيت، فلو مشى على شاذروانه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ولو كان يمسّ الجدار بيده أو</w:t>
      </w:r>
    </w:p>
    <w:p>
      <w:pPr>
        <w:pStyle w:val="BookText"/>
        <w:rPr/>
      </w:pPr>
      <w:r>
        <w:rPr>
          <w:rFonts w:ascii="Amiri" w:hAnsi="Amiri" w:eastAsia="Amiri" w:cs="Amiri"/>
          <w:color w:val="111111"/>
          <w:sz w:val="28"/>
          <w:sz w:val="28"/>
          <w:szCs w:val="28"/>
          <w:rtl w:val="true"/>
          <w:lang w:bidi="ar-SA"/>
        </w:rPr>
        <w:t>بدنه وهو خارج عنه في مشيه فالأقرب البطلان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يمس الجدار بيده في موازاة الشاذروان صحّ طوافه، وهو أحد وجهي الشافعية؛ لصدق أنّه طائف بالبيت؛ لخروج معظمه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في التذكرة ورجّح البطلان، كما إذا وضع أحد رجليه على الشاذروان، </w:t>
      </w:r>
    </w:p>
    <w:p>
      <w:pPr>
        <w:pStyle w:val="BookText"/>
        <w:rPr/>
      </w:pPr>
      <w:r>
        <w:rPr>
          <w:rFonts w:ascii="IRNazanin" w:hAnsi="IRNazanin" w:eastAsia="IRNazanin"/>
          <w:color w:val="111111"/>
          <w:sz w:val="28"/>
          <w:sz w:val="28"/>
          <w:szCs w:val="28"/>
          <w:rtl w:val="true"/>
          <w:lang w:bidi="fa-IR"/>
        </w:rPr>
        <w:t>وهو خيرة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مسّه لا في موازاته فلا بأس به، وهو مبنی على اختصاصه ببعض الجوانب كما عرفت</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بأس بوضع اليد علی الجدار عند الشّاذروان، والأولی تركه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هی فتواه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ومحشيه هنا أيضاً دائر بينهما</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العناوين الموجودة للمقام في الكتاب والأخبار،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يَطُوفُونَ بِالْبَيْتِ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والطّواف عند أهل اللغة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الشّیء علی شیء</w:t>
      </w:r>
      <w:r>
        <w:rPr>
          <w:rStyle w:val="FootnoteAnchor"/>
          <w:rtl w:val="true"/>
        </w:rPr>
        <w:footnoteReference w:id="517"/>
      </w:r>
      <w:r>
        <w:rPr>
          <w:rFonts w:ascii="IRNazanin" w:hAnsi="IRNazanin" w:eastAsia="IRNazanin"/>
          <w:color w:val="111111"/>
          <w:sz w:val="28"/>
          <w:sz w:val="28"/>
          <w:szCs w:val="28"/>
          <w:rtl w:val="true"/>
          <w:lang w:bidi="fa-IR"/>
        </w:rPr>
        <w:t>، أو الحركة حول شیء</w:t>
      </w:r>
      <w:r>
        <w:rPr>
          <w:rStyle w:val="FootnoteAnchor"/>
          <w:rtl w:val="true"/>
        </w:rPr>
        <w:footnoteReference w:id="518"/>
      </w:r>
      <w:r>
        <w:rPr>
          <w:rFonts w:ascii="IRNazanin" w:hAnsi="IRNazanin" w:eastAsia="IRNazanin"/>
          <w:color w:val="111111"/>
          <w:sz w:val="28"/>
          <w:sz w:val="28"/>
          <w:szCs w:val="28"/>
          <w:rtl w:val="true"/>
          <w:lang w:bidi="fa-IR"/>
        </w:rPr>
        <w:t>، وحيث إنّ عدم صحّة سلب اللفظ بمعناه المعلوم المرتكز في الذّهن إجمالاً عن معنی تكون علامة كونه حقيقةً فيه</w:t>
      </w:r>
      <w:r>
        <w:rPr>
          <w:rStyle w:val="FootnoteAnchor"/>
          <w:rtl w:val="true"/>
        </w:rPr>
        <w:footnoteReference w:id="519"/>
      </w:r>
      <w:r>
        <w:rPr>
          <w:rFonts w:ascii="IRNazanin" w:hAnsi="IRNazanin" w:eastAsia="IRNazanin"/>
          <w:color w:val="111111"/>
          <w:sz w:val="28"/>
          <w:sz w:val="28"/>
          <w:szCs w:val="28"/>
          <w:rtl w:val="true"/>
          <w:lang w:bidi="fa-IR"/>
        </w:rPr>
        <w:t>، ولا يسلب هذا العنوان عن هذا المعنی عمّن لمس الجدار عند الشّاذروان، أو وضع يده علی جدار الحجر حال الطّواف، فنقول بجواز ذلك حين الطّواف وإن كان الإحتياط في نفسه حسنٌ، لكنّ الإحتياط شیء والإفتاء بالمنع شیء آخر</w:t>
      </w:r>
      <w:r>
        <w:rPr>
          <w:rFonts w:eastAsia="IRNazanin" w:cs="IRNazanin"/>
          <w:color w:val="111111"/>
          <w:sz w:val="28"/>
          <w:szCs w:val="28"/>
          <w:rtl w:val="true"/>
          <w:lang w:bidi="fa-IR"/>
        </w:rPr>
        <w:t xml:space="preserve">. </w:t>
      </w:r>
      <w:bookmarkStart w:id="172" w:name="pg7917_84813"/>
    </w:p>
    <w:p>
      <w:pPr>
        <w:pStyle w:val="BookText"/>
        <w:rPr/>
      </w:pPr>
      <w:bookmarkEnd w:id="172"/>
      <w:r>
        <w:rPr>
          <w:rFonts w:ascii="IRNazanin" w:hAnsi="IRNazanin" w:eastAsia="IRNazanin"/>
          <w:color w:val="111111"/>
          <w:sz w:val="28"/>
          <w:sz w:val="28"/>
          <w:szCs w:val="28"/>
          <w:rtl w:val="true"/>
          <w:lang w:bidi="fa-IR"/>
        </w:rPr>
        <w:t>نعم لو كانت الأدلة اللفظيّة مجملة من هذه الجهة فللزم علينا أن نرجع إلی الأصول العمليّة، والأصل الجاری في مثل المقام هو الاحتياط والاشتغال تحصيلاً للفراغ اليقينی</w:t>
      </w:r>
      <w:r>
        <w:rPr>
          <w:rFonts w:eastAsia="IRNazanin" w:cs="IRNazanin"/>
          <w:color w:val="111111"/>
          <w:sz w:val="28"/>
          <w:szCs w:val="28"/>
          <w:rtl w:val="true"/>
          <w:lang w:bidi="fa-IR"/>
        </w:rPr>
        <w:t>.</w:t>
      </w:r>
    </w:p>
    <w:p>
      <w:pPr>
        <w:pStyle w:val="Heading2"/>
        <w:numPr>
          <w:ilvl w:val="1"/>
          <w:numId w:val="1"/>
        </w:numPr>
        <w:rPr/>
      </w:pPr>
      <w:bookmarkStart w:id="173" w:name="__RefHeading___Toc6355217_1051229030"/>
      <w:bookmarkStart w:id="174" w:name="_Toc57"/>
      <w:bookmarkEnd w:id="173"/>
      <w:r>
        <w:rPr>
          <w:rtl w:val="true"/>
        </w:rPr>
        <w:t>السابع</w:t>
      </w:r>
      <w:r>
        <w:rPr>
          <w:rtl w:val="true"/>
        </w:rPr>
        <w:t xml:space="preserve">: </w:t>
      </w:r>
      <w:r>
        <w:rPr>
          <w:rtl w:val="true"/>
        </w:rPr>
        <w:t>موضع المقام في عهد النّبیّ الأعظ صَلَّى اَللَّهُ عَلَيْهِ وَ آلِهِ وَ سَلَّمْ وموضعه اليوم</w:t>
      </w:r>
      <w:r>
        <w:rPr>
          <w:rtl w:val="true"/>
        </w:rPr>
        <w:t>:</w:t>
      </w:r>
      <w:bookmarkEnd w:id="174"/>
    </w:p>
    <w:p>
      <w:pPr>
        <w:pStyle w:val="BookText"/>
        <w:rPr/>
      </w:pPr>
      <w:r>
        <w:rPr>
          <w:rFonts w:ascii="Amiri" w:hAnsi="Amiri" w:eastAsia="Amiri" w:cs="Amiri"/>
          <w:color w:val="111111"/>
          <w:sz w:val="28"/>
          <w:sz w:val="28"/>
          <w:szCs w:val="28"/>
          <w:rtl w:val="true"/>
          <w:lang w:bidi="ar-SA"/>
        </w:rPr>
        <w:t>قد دلّت بعض القرائن والشّواهد علی أنّ مقام إبراهيم علیه السلام في عهده علیه السلام، وكذا في عهد النّبیّ الأعظ صَلَّى اَللَّهُ عَلَيْهِ وَ آلِهِ وَ سَلَّمْ حين فتح مكة المكرمة إلی أوائل خلافة عمر كان ملاصقاً بالكعبة المعظّمة، ثمّ إنّه انتقله إلی موضعه الّذی هو فيه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في صحيحة محمّد بن مسلم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عَلَى عَهْدِ رَسُولِ اللَّه صَلَّى اَللَّهُ عَلَيْهِ وَ آلِهِ وَ سَلَّمْ يَطُوفُونَ بِالْبَيْتِ وَالْمَقَامِ، وَأَنْتُمُ الْيَوْمَ تَطُوفُونَ مَا بَيْنَ الْمَقَامِ وَبَيْنَ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أَدْرَكْتَ الْحُسَيْنَ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أَذْكُرُ وَأَنَا مَعَهُ في الْمَسْجِدِ الْحَرَامِ وَقَدْ دَخَلَ فِيهِ السَّيْلُ وَالنَّاسُ يَتَخَوَّفُونَ عَلَى الْمَقَامِ يَخْرُجُ الْخَارِجُ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بِهِ السَّيْلُ، وَيَخْرُجُ مِنْهُ الْخَارِجُ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صَنَعَ هَؤُلَاءِ؟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يَخَافُونَ أَنْ يَكُونَ السَّيْلُ قَدْ ذَهَبَ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أَنَّ اللَّهَ تَعَالَى قَدْ جَعَلَهُ عَلَماً لَمْ يَكُنْ لِيَذْهَبَ بِهِ فَاسْتَقِرُّوا، وَكَانَ مَوْضِعُ الْمَقَامِ الَّذِی وَضَعَهُ إِبْرَاهِيمُ علیه السلام عِنْدَ جِدَارِ الْبَيْتِ، فَلَمْ يَزَلْ هُنَاكَ حَتَّى حَوَّلَهُ أَهْلُ الْجَاهِلِيَّةِ إِلَى الْمَكَانِ الَّذِی هُوَ فِيهِ الْيَوْمَ، فَلَمَّا فَتَحَ النَّبِیّ صَلَّى اَللَّهُ عَلَيْهِ وَ آلِهِ وَ سَلَّمْ مَكَّةَ رَدَّهُ إِلَى الْمَوْضِعِ الَّذِی وَضَعَهُ إِبْرَاهِيمُ علیه السلام فَلَمْ يَزَلْ هُنَاكَ إِلَى أَنْ وَلِیَ عُمَرُ بْنُ الْخَطَّابِ، فَسَأَلَ النَّاسَ مَنْ مِنْكُمْ يَعْرِفُ الْمَكَانَ الَّذِی كَانَ فِيهِ الْمَقَامُ؟ </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قَدْ كُنْتُ أَخَذْتُ مِقْدَارَهُ بِنِسْعٍ فَهُوَ عِنْدِی،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بِهِ، فَأَتَاهُ بِهِ، فَقَاسَهُ، ثُمَّ رَدَّهُ إِلَى ذَلِكَ الْمَكَانِ</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إِبْرَاهِيمَ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أُصَلِّی رَكْعَتَيْ طَوَافِ الْفَرِيضَةِ خَلْفَ الْمَقَامِ حَيْثُ هُوَ السَّاعَةَ أَوْ حَيْثُ كَانَ عَلَى عَهْدِ رَسُولِ اللَّهِ صَلَّی الله صَلَّى اَللَّهُ عَلَيْهِ وَ آلِهِ وَ 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هُوَ السَّاعَةَ</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الشّيخ الحُرّ العاملی رحمه الله في ذيل صحيحة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في عدّة أحاديث أنّ المقام كان لاصقاً بالبيت فحوّله عمر إلی حيث هو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يظهر من قوله علیه السلام في صحيحة محمّد بن مسلم أنّ المطاف قدره ما بين البيت والمقام من دون أن يكون المقام بذاته دخيلاً في ذلك، فعليه لو تغيّر المقام من موضعه الّذی كان فيه اليوم إلی موضع أقرب أو أبعد إلی البيت كان المعيار هو هذه المسافة الفعليّة، كما دلّ عليه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 قَبْلَ الْيَوْمِ وَالْيَوْمَ وَاحِدٌ قَدْرَ مَا بَيْنَ الْمَقَامِ وَبَيْنَ الْبَيْتِ مِنْ نَوَاحِي الْبَيْتِ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مدخلية للمقام نفسه في الطواف، فلو حوّل عن مكانه وجب الطواف في المقدار المخصوص كما دلّ عليه الخبران المزبوران، بل خبر زرارة صريح، هذا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175" w:name="pg7917_84815"/>
    </w:p>
    <w:p>
      <w:pPr>
        <w:pStyle w:val="Heading2"/>
        <w:numPr>
          <w:ilvl w:val="1"/>
          <w:numId w:val="1"/>
        </w:numPr>
        <w:rPr/>
      </w:pPr>
      <w:bookmarkStart w:id="176" w:name="__RefHeading___Toc6355219_1051229030"/>
      <w:bookmarkStart w:id="177" w:name="_Toc58"/>
      <w:bookmarkEnd w:id="175"/>
      <w:bookmarkEnd w:id="176"/>
      <w:r>
        <w:rPr>
          <w:rtl w:val="true"/>
        </w:rPr>
        <w:t>الثامن</w:t>
      </w:r>
      <w:r>
        <w:rPr>
          <w:rtl w:val="true"/>
        </w:rPr>
        <w:t xml:space="preserve">: </w:t>
      </w:r>
      <w:r>
        <w:rPr>
          <w:rtl w:val="true"/>
        </w:rPr>
        <w:t>في التّدانی من البيت حال الطّواف</w:t>
      </w:r>
      <w:r>
        <w:rPr>
          <w:rtl w:val="true"/>
        </w:rPr>
        <w:t>:</w:t>
      </w:r>
      <w:bookmarkEnd w:id="177"/>
    </w:p>
    <w:p>
      <w:pPr>
        <w:pStyle w:val="BookText"/>
        <w:rPr/>
      </w:pPr>
      <w:r>
        <w:rPr>
          <w:rFonts w:ascii="IRNazanin" w:hAnsi="IRNazanin" w:eastAsia="IRNazanin"/>
          <w:color w:val="111111"/>
          <w:sz w:val="28"/>
          <w:sz w:val="28"/>
          <w:szCs w:val="28"/>
          <w:rtl w:val="true"/>
          <w:lang w:bidi="fa-IR"/>
        </w:rPr>
        <w:t>المطاف وإن كان مقداره علی ما عرفت من البيت إلی المقام أو إلی خلفه في ساحة المسجد علی كراهة علی القولين اللّذَين تقدّم ذكرهما في أوّل المبحث، لكنّه قد يقال باستحباب التّدانی من البيت حين الطّواف، فإنّه وإن لم يرد به نصٌّ إلّا أنّه صرّح به بعض الفقهاء من الفريقين، باعتبار أنّ التّدانی من بيوت الملوك محبوب لكافة النّاس فكيف بالتّدانی من بيت مالك الملوك؟</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قال الشّيخ محمّد بن الحسن الإصفهانی المعروف بالفاضل الإصفهانی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ويستحبّ التّدانی من البيت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المقصود، فالدّنو منه</w:t>
      </w:r>
    </w:p>
    <w:p>
      <w:pPr>
        <w:pStyle w:val="BookText"/>
        <w:rPr/>
      </w:pPr>
      <w:r>
        <w:rPr>
          <w:rFonts w:ascii="IRNazanin" w:hAnsi="IRNazanin" w:eastAsia="IRNazanin"/>
          <w:color w:val="111111"/>
          <w:sz w:val="28"/>
          <w:sz w:val="28"/>
          <w:szCs w:val="28"/>
          <w:rtl w:val="true"/>
          <w:lang w:bidi="fa-IR"/>
        </w:rPr>
        <w:t>أولى</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الثّانی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التّدانی من البيت وإن قلّت الخُطى، فجاز اشتمال القليلة على مزية وثواب زائد عن الكثيرة، وإن كان قد ورد في كلّ خُطوة من الطّواف سبعون ألف حسنة، ويمكن الجمع بين تكثيرها والتّدانی، بتكثير الطواف</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العامّة صرّح بذلك الحنابلة مطلقاً، والشّافعيّة والمالكيّة لخصوص الرّجال والصّبيان دون النّساء</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الدّنو من البيت لأنّه هو المقصود</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نقف علی نصّ يثبت به استحاب التّدانی وما يقال بأنّ البيت حيث هو مقصود للطائفين فكلّما قرب الطائف إليه فهو أفضل، فإنّه استحسان لم يثبت به حكم من الأحكام الخمسة التّكليفيّة، لا سيّما بملاحظة ما ورد من الثواب لكلّ خُطوة منه الّذی يلازم عادة البعد منه، كما لا وجه لتوجيهه بالتّسامح في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يظهر أيضاً ضعف الحكم باستحباب الرّمل حينه الّذی حكم به العامّة بأجمعهم، قال في المغنی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إسراع المشی مع مقاربة الخطو من غير وثب، وهو سنّة في الأشواط الثلاثة الأولی من طواف القدوم، ولا نعلم فيه بين أهل العلم خلافاً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178" w:name="pg7917_84817"/>
    </w:p>
    <w:p>
      <w:pPr>
        <w:pStyle w:val="Heading2"/>
        <w:numPr>
          <w:ilvl w:val="1"/>
          <w:numId w:val="1"/>
        </w:numPr>
        <w:rPr/>
      </w:pPr>
      <w:bookmarkStart w:id="179" w:name="__RefHeading___Toc6355221_1051229030"/>
      <w:bookmarkStart w:id="180" w:name="_Toc59"/>
      <w:bookmarkEnd w:id="178"/>
      <w:bookmarkEnd w:id="179"/>
      <w:r>
        <w:rPr>
          <w:rtl w:val="true"/>
        </w:rPr>
        <w:t>التاسع</w:t>
      </w:r>
      <w:r>
        <w:rPr>
          <w:rtl w:val="true"/>
        </w:rPr>
        <w:t xml:space="preserve">: </w:t>
      </w:r>
      <w:r>
        <w:rPr>
          <w:rtl w:val="true"/>
        </w:rPr>
        <w:t>في جواز الطّواف فوق المطاف أو تحته</w:t>
      </w:r>
      <w:r>
        <w:rPr>
          <w:rtl w:val="true"/>
        </w:rPr>
        <w:t>:</w:t>
      </w:r>
      <w:bookmarkEnd w:id="180"/>
    </w:p>
    <w:p>
      <w:pPr>
        <w:pStyle w:val="BookText"/>
        <w:rPr/>
      </w:pPr>
      <w:r>
        <w:rPr>
          <w:rFonts w:ascii="IRNazanin" w:hAnsi="IRNazanin" w:eastAsia="IRNazanin"/>
          <w:color w:val="111111"/>
          <w:sz w:val="28"/>
          <w:sz w:val="28"/>
          <w:szCs w:val="28"/>
          <w:rtl w:val="true"/>
          <w:lang w:bidi="fa-IR"/>
        </w:rPr>
        <w:t>إنّ ما نبحث عنه إلی هنا من مسئلة المطاف وسعته إلی المقام أوخلفه علی القولين المذكورين، فهو ناظر لحكمه في ساحة المسجد الحرام، ثمّ إنّه لو فرض علی كلا الحالتين إمكان الطّواف فوق المطاف في هوائه وفضائه، أو تحته من أرضه، فهل يجوز ذلك وإن كان منخفضاً أومرتفعاً عن البيت؟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المطاف إختياراً مختصّ بساحة المسجد أو يعمّ أيضاً لما فوقه في هوائه وفضائه، أو لما تحته من أرضه في نفس المكان؟</w:t>
      </w:r>
    </w:p>
    <w:p>
      <w:pPr>
        <w:pStyle w:val="BookText"/>
        <w:rPr/>
      </w:pPr>
      <w:r>
        <w:rPr>
          <w:rFonts w:ascii="IRNazanin" w:hAnsi="IRNazanin" w:eastAsia="IRNazanin"/>
          <w:color w:val="111111"/>
          <w:sz w:val="28"/>
          <w:sz w:val="28"/>
          <w:szCs w:val="28"/>
          <w:rtl w:val="true"/>
          <w:lang w:bidi="fa-IR"/>
        </w:rPr>
        <w:t xml:space="preserve">المسألة غير معنونة عند قدماء الأصحاب، والمعاصرين منهم صرّحوا غالباً بجوازه إذا أحرز كون الطبقة الجديدة محاذياً للبيت،وإلا فلا، والعامّة بين قائل بالجواز مطلقاً وهم الشافعيّة والحنابلة منهم، وقائل بالعدم وهم المالكيّة منهم، قال الجزيری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للطواف في ذاته ثمانية شروط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المسجد وإن اتسع، فيصحّ الطواف ما دام في المسجد، ولو في هوائه أو على سطحه، ولو مرتفعاً عن البيت، ولو حال حائل بين الطائف والبيت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لصحة الطواف شروط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على سطحه ولا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لصحة الطواف شروط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ومنها أن يكون بالمسجد فلا يصحّ خارجه، ويصحّ على سطحه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إنّه لم نری في ما بأيدينا من الأحاديث والأخبار الواردة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تكون ناظرة بحكم المسئلة إلّا ما ورد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الصّلاة علی </w:t>
      </w:r>
    </w:p>
    <w:p>
      <w:pPr>
        <w:pStyle w:val="BookText"/>
        <w:rPr/>
      </w:pPr>
      <w:r>
        <w:rPr>
          <w:rFonts w:ascii="IRNazanin" w:hAnsi="IRNazanin" w:eastAsia="IRNazanin"/>
          <w:color w:val="111111"/>
          <w:sz w:val="28"/>
          <w:sz w:val="28"/>
          <w:szCs w:val="28"/>
          <w:rtl w:val="true"/>
          <w:lang w:bidi="fa-IR"/>
        </w:rPr>
        <w:t>جبل أبی قبيس ونحوه ممّا هو أعلی من الكعبة، أو أسفل منها مع استقبال جهتها</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 منها موثّقة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فَوْقَ أَبِی قُبَيْسٍ الْعَصْرَ فَهَلْ يُجْزِی ذَلِكَ وَالْكَعْبَةُ تَحْتِی؟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إِنَّهَا قِبْلَةٌ مِنْ مَوْضِعِهَا إِلَى السَّمَاءِ</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ومرفوعة مُحَمَّدُ بْنُ عَلِیِّ بْنِ الْحُسَيْنِ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أَسَاسُ الْبَيْتِ مِنَ الْأَرضِ السَّابِعَةِ السُّفْلَى إِلَى الْأَرْضِ السَّابِعَةِ الْعُلْيَا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قوله علیه السلام في المرفوعة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أَسَاسُ الْبَيْتِ مِنَ الْأَرْضِ السَّابِعَةِ السُّفْلَى إِلَى الْأَرْضِ السَّابِعَةِ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صريحاً بأنّ الكعبة المعظّمة ليست نفس البنية الشّريفة، بل محلّها من تخوم الأرض في السّابعة السّفلی إلى سطح الأرض في السّابعة العليا، إلّا أنّه ضعيفة سنداً لا يمكن الإسناد بها، وأمّا قوله علیه السلام في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قِبْلَةٌ مِنْ مَوْضِعِهَا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المراد بقوله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أخری عن كونها كعبة من موضعها إلی السّماء السابعة، فيثبت به جواز الطّواف في هواء المطاف وفضائه وإن كان مرتفعاً عن البيت المرئی بكثير، كما يحتمل أن يكون المراد به مجرد جواز الصّلاة في الأمكنة المرتفعة عن البيت لكونها شطراً وجهةً للكعبة بأن يكون مفسّراً لقوله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وَحَيْثُ ما </w:t>
      </w:r>
    </w:p>
    <w:p>
      <w:pPr>
        <w:pStyle w:val="BookText"/>
        <w:rPr/>
      </w:pPr>
      <w:r>
        <w:rPr>
          <w:rFonts w:ascii="Amiri" w:hAnsi="Amiri" w:eastAsia="Amiri" w:cs="Amiri"/>
          <w:color w:val="111111"/>
          <w:sz w:val="28"/>
          <w:sz w:val="28"/>
          <w:szCs w:val="28"/>
          <w:rtl w:val="true"/>
          <w:lang w:bidi="ar-SA"/>
        </w:rPr>
        <w:t>كُنْتُمْ فَوَلُّوا وُجُوهَكُمْ شَطْرَهُ وَإِنَّ الَّذينَ أُوتُوا الْكِتابَ لَيَعْلَمُونَ أَنَّهُالْحَقُّ مِنْ رَبِّهِمْ وَمَا اللَّهُ بِغافِلٍ عَمَّا يَعْمَلُونَ</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لا أنّها كعبة من موضعها إلی السّماء وإن كانت بحذاء البيت المعمور، أو العرش</w:t>
      </w:r>
      <w:r>
        <w:rPr>
          <w:rStyle w:val="FootnoteAnchor"/>
          <w:rtl w:val="true"/>
        </w:rPr>
        <w:footnoteReference w:id="535"/>
      </w:r>
      <w:r>
        <w:rPr>
          <w:rFonts w:ascii="Amiri" w:hAnsi="Amiri" w:eastAsia="Amiri" w:cs="Amiri"/>
          <w:color w:val="111111"/>
          <w:sz w:val="28"/>
          <w:sz w:val="28"/>
          <w:szCs w:val="28"/>
          <w:rtl w:val="true"/>
          <w:lang w:bidi="ar-SA"/>
        </w:rPr>
        <w:t>، وإذا جاء الاحتمال بطل الاستدلال، زائداً علی أنّ المستفاد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w:t>
      </w:r>
    </w:p>
    <w:p>
      <w:pPr>
        <w:pStyle w:val="BookText"/>
        <w:rPr/>
      </w:pPr>
      <w:r>
        <w:rPr>
          <w:rFonts w:ascii="Amiri" w:hAnsi="Amiri" w:eastAsia="Amiri" w:cs="Amiri"/>
          <w:color w:val="111111"/>
          <w:sz w:val="28"/>
          <w:sz w:val="28"/>
          <w:szCs w:val="28"/>
          <w:rtl w:val="true"/>
          <w:lang w:bidi="ar-SA"/>
        </w:rPr>
        <w:t>بِالْبَيْتِ الْعَتِيقِ</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تحصيلاً الفراغ اليقينی هو لزوم كون الطّواف حول الكعبة المعظّمة الّتي تسمّی بالبيت العتيق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دار الأمر بين الطّواف خارج المطاف في ساحة المسجد إضطراراً، وبين الطّواف في فضاء المطاف وهوائه فوق الكعبة المعظّمة، أوتحته من أرضه في نفس دائرة المطاف، فالطّواف فوق الكعبة المعظّمة ودونها في نفس دائرة المطاف أولی من الطّواف خارج المطاف وإن كان في ساحة المسجد، إذ عدم كون خلف المقام مطافاً علی ما اخترناه في ساحة المسجد يقينی وفوق الكعبة وتحتها مشكوك، وكيف كان الاحتياط يقتضی أن يجمع بينهما حينئذ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تمّ بحمد الله والمنّة ما أردنا أن نبحث عنه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المطاف وفروعاته التسعة المتعلّقة به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181" w:name="pg7917_8482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 w:name="__RefHeading___Toc6355223_1051229030"/>
      <w:bookmarkStart w:id="183" w:name="_Toc60"/>
      <w:bookmarkEnd w:id="181"/>
      <w:bookmarkEnd w:id="182"/>
      <w:r>
        <w:rPr>
          <w:rtl w:val="true"/>
        </w:rPr>
        <w:t>المقالة الرابعة</w:t>
      </w:r>
      <w:r>
        <w:rPr>
          <w:rtl w:val="true"/>
        </w:rPr>
        <w:t>:</w:t>
      </w:r>
      <w:r>
        <w:rPr>
          <w:rtl w:val="true"/>
        </w:rPr>
        <w:t>إثبات الهلال عند العامة مع عدم إثباته أو العلم بخلافه عندنا في جواز الإفطار وكفاية الحجّ</w:t>
      </w:r>
      <w:r>
        <w:rPr>
          <w:rtl w:val="true"/>
        </w:rPr>
        <w:t>:</w:t>
      </w:r>
      <w:bookmarkEnd w:id="18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بعض العبادات كالصوم والحجّ وقتها مشروط بإثبات الهلال، قال الله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فِيهِ الْقُرْآنُ هُدىً لِلنَّاسِ وَبَيِّناتٍ مِنَ الْهُدى وَالْفُرْقانِ فَمَنْ شَهِدَ مِنْكُمُ الشَّهْرَ فَلْيَصُمْهُ وَمَنْ كانَ مَرِيضاً أَوْ عَلى سَفَرٍ فَعِدَّةٌ مِنْ أَيَّامٍ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الْأَهِلَّةِ قُلْ هِیَ مَواقِيتُ لِلنَّاسِ وَالْحَج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وعن الصّادق علیه السلام في بيان المراد من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هِیَ مَواقِيتُ لِلنَّاسِ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لِصَوْمِهِمْ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وَفِطْرِهِمْ وَحَجِّهِمْ</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 وحيث إنّ مكان مناسك الحجّ كوقته مشترك لعامّة المسلمين من الشّيعة وأهل السنّة والجماعة لا سيّما في مثل مسئلة الوقوف بعرفات والوقوف بالمشعر الحرام الّتي يمكن أن يقال إنّه لا اتّحاد ولا اشتراك في جميع مناسك الحجّ مثل ما يكون في الوقوفين علی وجه لا تجوّز حكومة الحجاز ومقامات الحرمين الشّريفين علی ما تشهد بعض مذكرات أسفار المؤلفة للحجّ، لفئة من المسلمين أن يقفوا في الموقفين في غير وقت الّذی يقف فيهما النّاس</w:t>
      </w:r>
      <w:r>
        <w:rPr>
          <w:rStyle w:val="FootnoteAnchor"/>
          <w:rtl w:val="true"/>
        </w:rPr>
        <w:footnoteReference w:id="539"/>
      </w:r>
      <w:r>
        <w:rPr>
          <w:rFonts w:ascii="Amiri" w:hAnsi="Amiri" w:eastAsia="Amiri" w:cs="Amiri"/>
          <w:color w:val="111111"/>
          <w:sz w:val="28"/>
          <w:sz w:val="28"/>
          <w:szCs w:val="28"/>
          <w:rtl w:val="true"/>
          <w:lang w:bidi="ar-SA"/>
        </w:rPr>
        <w:t>، وهذا الأمر منهم غير بعيد إذ فقهاء العامّة من الأشاعرة والمعتزلة يسلكون مذهب التّصويب</w:t>
      </w:r>
      <w:r>
        <w:rPr>
          <w:rStyle w:val="FootnoteAnchor"/>
          <w:rtl w:val="true"/>
        </w:rPr>
        <w:footnoteReference w:id="540"/>
      </w:r>
      <w:r>
        <w:rPr>
          <w:rFonts w:ascii="IRNazanin" w:hAnsi="IRNazanin" w:eastAsia="IRNazanin"/>
          <w:color w:val="111111"/>
          <w:sz w:val="28"/>
          <w:sz w:val="28"/>
          <w:szCs w:val="28"/>
          <w:rtl w:val="true"/>
          <w:lang w:bidi="fa-IR"/>
        </w:rPr>
        <w:t xml:space="preserve">الّذی أجمع الإماميّة علی بطلانه، فلا مانع عندهم أن ينشاء الشّارع الحكم بثبوت الهلال علی طبق ما يؤدّی إليه نظر مفتی العامّة وحاكمهم، فربّما يثبت عندهم أو عند </w:t>
      </w:r>
    </w:p>
    <w:p>
      <w:pPr>
        <w:pStyle w:val="BookText"/>
        <w:rPr/>
      </w:pPr>
      <w:r>
        <w:rPr>
          <w:rFonts w:ascii="IRNazanin" w:hAnsi="IRNazanin" w:eastAsia="IRNazanin"/>
          <w:color w:val="111111"/>
          <w:sz w:val="28"/>
          <w:sz w:val="28"/>
          <w:szCs w:val="28"/>
          <w:rtl w:val="true"/>
          <w:lang w:bidi="fa-IR"/>
        </w:rPr>
        <w:t xml:space="preserve">بعض منهم هلال شهر ذی حجّة الحرامولم يثبت عندنا بحيث يكون يوم التروية عندنا بحسب الاستصحاب علی ما بُيّن في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يوم عرفة عندهم</w:t>
      </w:r>
      <w:r>
        <w:rPr>
          <w:rStyle w:val="FootnoteAnchor"/>
          <w:rtl w:val="true"/>
        </w:rPr>
        <w:footnoteReference w:id="541"/>
      </w:r>
      <w:r>
        <w:rPr>
          <w:rFonts w:ascii="IRNazanin" w:hAnsi="IRNazanin" w:eastAsia="IRNazanin"/>
          <w:color w:val="111111"/>
          <w:sz w:val="28"/>
          <w:sz w:val="28"/>
          <w:szCs w:val="28"/>
          <w:rtl w:val="true"/>
          <w:lang w:bidi="fa-IR"/>
        </w:rPr>
        <w:t xml:space="preserve">، وقد أشار إلی هذه العويصة والمشكلة الشيخ محمّد حسن النّجفی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بقی هنا شیءٌ مهمٌّ تشتدّ الحاجة إليه وهو أنّه لو قامت البيّنة عند قاضی العامّة وحكم بالهلال علی وجه يكون يوم التروية عندنا عرفة عندهم، فهل يصحّ للإمامیّ الوقوف معهم ويجزی لأنّه من أحكام التّقيّة ويعسر التكليف بغيره، أو لا يجزی لعدم ثبوتها في الموضوع الّذی محلّ الفرض منه، كما يؤمی إليه وجوب القضاء في حكمهم بالعيد في شهر رمضان الّذی دلّت عليه النصوص الّتي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أفطر يوماً ثمَّ أقضيه أحب إلىَّ من أن يضرب عنقی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أجد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كلاماً في ذلك، ولا يبعد القول بالاجزاء هنا إلحاقاً له بالحكم للحرج، واحتمال مثله في القضاء، وقد عثرت على الحكم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للعلامة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مع ذلك فالاحتياط لا ينبغی تركه، والله العالم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فبناءً علی ذلك إمّا لم يتبيّن عندنا العلم بمخالفة حكمهم مع الواقع، وإمّا يتّفق العلم بالمخالفة</w:t>
      </w:r>
      <w:r>
        <w:rPr>
          <w:rStyle w:val="FootnoteAnchor"/>
          <w:rtl w:val="true"/>
        </w:rPr>
        <w:footnoteReference w:id="543"/>
      </w:r>
      <w:r>
        <w:rPr>
          <w:rFonts w:ascii="IRNazanin" w:hAnsi="IRNazanin" w:eastAsia="IRNazanin"/>
          <w:color w:val="111111"/>
          <w:sz w:val="28"/>
          <w:sz w:val="28"/>
          <w:szCs w:val="28"/>
          <w:rtl w:val="true"/>
          <w:lang w:bidi="fa-IR"/>
        </w:rPr>
        <w:t xml:space="preserve">، وعلی كلا الحالين إمّا يمكن أن نعمل علی وفق مذهب </w:t>
      </w:r>
    </w:p>
    <w:p>
      <w:pPr>
        <w:pStyle w:val="BookText"/>
        <w:rPr/>
      </w:pPr>
      <w:r>
        <w:rPr>
          <w:rFonts w:ascii="Amiri" w:hAnsi="Amiri" w:eastAsia="Amiri" w:cs="Amiri"/>
          <w:color w:val="111111"/>
          <w:sz w:val="28"/>
          <w:sz w:val="28"/>
          <w:szCs w:val="28"/>
          <w:rtl w:val="true"/>
          <w:lang w:bidi="ar-SA"/>
        </w:rPr>
        <w:t xml:space="preserve">الحقّ بلا خوف وضرر، وإمّا لا يمكن، نبحث في هذه المقالة إن شاء الله عن حكم تلك الصّور الأربعة بالتّفصيل، وقبل الخوض في المبحث نذكر كلام الإمام الرّاحل رحمه الله في المقام فإنّه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ثبت هلال ذی الحجة عند القاضی من العامة وحكم به ولم يثبت عندنا فإن أمكن العمل على طبق المذهب الحق بلا تقيّة وخوف وجب، وإلا وجبت التبعيّة عنهم، وصحّ الحجّ لولم تتبيّن المخالفة للواقع، بل لا يبعد الصّحة مع العلم بالمخالفة، ولا تجوز المخالفة، بل في صحّة الحجّ مع مخالفة التقية إشكال، ولمّا كان أفق الحجاز والنجد مخالفاً لآفاقنا سيما أفق إيران فلا يحصل العلم بالمخالفة إلا نادراً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184" w:name="pg7917_84825"/>
    </w:p>
    <w:p>
      <w:pPr>
        <w:pStyle w:val="Heading2"/>
        <w:numPr>
          <w:ilvl w:val="1"/>
          <w:numId w:val="1"/>
        </w:numPr>
        <w:rPr/>
      </w:pPr>
      <w:bookmarkStart w:id="185" w:name="__RefHeading___Toc6355225_1051229030"/>
      <w:bookmarkStart w:id="186" w:name="_Toc61"/>
      <w:bookmarkEnd w:id="184"/>
      <w:bookmarkEnd w:id="185"/>
      <w:r>
        <w:rPr>
          <w:rtl w:val="true"/>
        </w:rPr>
        <w:t>زمان الوقوف بعرفات</w:t>
      </w:r>
      <w:r>
        <w:rPr>
          <w:rtl w:val="true"/>
        </w:rPr>
        <w:t>:</w:t>
      </w:r>
      <w:bookmarkEnd w:id="186"/>
    </w:p>
    <w:p>
      <w:pPr>
        <w:pStyle w:val="BookText"/>
        <w:rPr/>
      </w:pPr>
      <w:r>
        <w:rPr>
          <w:rFonts w:ascii="IRNazanin" w:hAnsi="IRNazanin" w:eastAsia="IRNazanin"/>
          <w:color w:val="111111"/>
          <w:sz w:val="28"/>
          <w:sz w:val="28"/>
          <w:szCs w:val="28"/>
          <w:rtl w:val="true"/>
          <w:lang w:bidi="fa-IR"/>
        </w:rPr>
        <w:t>واعلم أنّ لكلّ من الوقوفين وقت اختياریٌ وزمانٌ اضطراریٌ، فوقت إختياری عرفة باجماع الفريقين إلّا الحنابلة من العامّة محدّدٌ من زوال يوم العرفة إلی غروبها</w:t>
      </w:r>
      <w:r>
        <w:rPr>
          <w:rStyle w:val="FootnoteAnchor"/>
          <w:rtl w:val="true"/>
        </w:rPr>
        <w:footnoteReference w:id="545"/>
      </w:r>
      <w:r>
        <w:rPr>
          <w:rFonts w:ascii="IRNazanin" w:hAnsi="IRNazanin" w:eastAsia="IRNazanin"/>
          <w:color w:val="111111"/>
          <w:sz w:val="28"/>
          <w:sz w:val="28"/>
          <w:szCs w:val="28"/>
          <w:rtl w:val="true"/>
          <w:lang w:bidi="fa-IR"/>
        </w:rPr>
        <w:t>، واضطراری عرفة من غروب ليلة النّحر إلی الفجر</w:t>
      </w:r>
      <w:r>
        <w:rPr>
          <w:rStyle w:val="FootnoteAnchor"/>
          <w:rtl w:val="true"/>
        </w:rPr>
        <w:footnoteReference w:id="546"/>
      </w:r>
      <w:r>
        <w:rPr>
          <w:rFonts w:ascii="IRNazanin" w:hAnsi="IRNazanin" w:eastAsia="IRNazanin"/>
          <w:color w:val="111111"/>
          <w:sz w:val="28"/>
          <w:sz w:val="28"/>
          <w:szCs w:val="28"/>
          <w:rtl w:val="true"/>
          <w:lang w:bidi="fa-IR"/>
        </w:rPr>
        <w:t>، وأمّا الحنابلة فذهبوا إلی أنّ وقت المعتبر شرعاً للوقوف من فجر اليوم التّاسع من شهر ذی الحجّة إلی فجر اليوم العاشر وهو يوم النّحر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الوقوف من حين تزول الشّمس إلى طلوع الفجر من يوم النّحر، وبه قال جميع الفقهاء إلا أحمد بن حنبل فإنّه خالف في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طلوع الفجر من يوم عرفة و وافق في الآخر، و روی في بعض أخبارنا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طلوع الشّمس، وفی شاذها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الزّوال من يوم النّحر، ولم يقل به أحد من الفقهاء، 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وطريقة الاحتياط</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حكم المسئلة بحسب الواقع ومقام الثبوت، وأمّا بحسب الظّاهر ومقام الإثبات فإمّا أن يثبت هلال شهر ذی حجّة الحرام عند قاطبة المسلمين فالحكم واضح ولا كلام لنا فيه، لكنّه كثيراً ما يتّفق إثباته عند حاكمهم ولم يثبت عندنا بحيث يكون يوم التّروية عندنا بحسب الاستصحاب يوم عرفة عندهم، وحينئذ إمّا لم تتبيّن عندنا العلم بمخالفة حكمه مع الواقع، وقد يتّفق العلم بالمخالفة كما إذا حكم حاكمهم بإثبات الهلال علی خلاف الصناعة العلميّة والقواعد </w:t>
      </w:r>
      <w:bookmarkStart w:id="187" w:name="pg7917_84826"/>
    </w:p>
    <w:p>
      <w:pPr>
        <w:pStyle w:val="BookText"/>
        <w:rPr/>
      </w:pPr>
      <w:bookmarkEnd w:id="187"/>
      <w:r>
        <w:rPr>
          <w:rFonts w:ascii="IRNazanin" w:hAnsi="IRNazanin" w:eastAsia="IRNazanin"/>
          <w:color w:val="111111"/>
          <w:sz w:val="28"/>
          <w:sz w:val="28"/>
          <w:szCs w:val="28"/>
          <w:rtl w:val="true"/>
          <w:lang w:bidi="fa-IR"/>
        </w:rPr>
        <w:t>المقرّرة عندنا، وعلی كلا التّقديرين إمّا يمكن أن نعمل علی وفق مذهب الحقّ بلا خوف ولا ضرر، وإمّا أن لا يمكن، فصار أقسام المسئلة أربعة</w:t>
      </w:r>
      <w:r>
        <w:rPr>
          <w:rFonts w:eastAsia="IRNazanin" w:cs="IRNazanin"/>
          <w:color w:val="111111"/>
          <w:sz w:val="28"/>
          <w:szCs w:val="28"/>
          <w:rtl w:val="true"/>
          <w:lang w:bidi="fa-IR"/>
        </w:rPr>
        <w:t>:</w:t>
      </w:r>
    </w:p>
    <w:p>
      <w:pPr>
        <w:pStyle w:val="Heading2"/>
        <w:numPr>
          <w:ilvl w:val="1"/>
          <w:numId w:val="1"/>
        </w:numPr>
        <w:rPr/>
      </w:pPr>
      <w:bookmarkStart w:id="188" w:name="__RefHeading___Toc6355227_1051229030"/>
      <w:bookmarkStart w:id="189" w:name="_Toc62"/>
      <w:bookmarkEnd w:id="188"/>
      <w:r>
        <w:rPr>
          <w:rtl w:val="true"/>
        </w:rPr>
        <w:t>طرق إثبات الهلال ومحل الكلام منها</w:t>
      </w:r>
      <w:r>
        <w:rPr>
          <w:rtl w:val="true"/>
        </w:rPr>
        <w:t>:</w:t>
      </w:r>
      <w:bookmarkEnd w:id="189"/>
    </w:p>
    <w:p>
      <w:pPr>
        <w:pStyle w:val="BookText"/>
        <w:rPr/>
      </w:pPr>
      <w:r>
        <w:rPr>
          <w:rFonts w:ascii="IRNazanin" w:hAnsi="IRNazanin" w:eastAsia="IRNazanin"/>
          <w:color w:val="111111"/>
          <w:sz w:val="28"/>
          <w:sz w:val="28"/>
          <w:szCs w:val="28"/>
          <w:rtl w:val="true"/>
          <w:lang w:bidi="fa-IR"/>
        </w:rPr>
        <w:t>إنّ طرق إثبات الهلال</w:t>
      </w:r>
      <w:r>
        <w:rPr>
          <w:rStyle w:val="FootnoteAnchor"/>
          <w:rtl w:val="true"/>
        </w:rPr>
        <w:footnoteReference w:id="549"/>
      </w:r>
      <w:r>
        <w:rPr>
          <w:rFonts w:ascii="IRNazanin" w:hAnsi="IRNazanin" w:eastAsia="IRNazanin"/>
          <w:color w:val="111111"/>
          <w:sz w:val="28"/>
          <w:sz w:val="28"/>
          <w:szCs w:val="28"/>
          <w:rtl w:val="true"/>
          <w:lang w:bidi="fa-IR"/>
        </w:rPr>
        <w:t>علی ما ثبت في محلّه منحصرة 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المكلّف بنفسه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المفيد للعلم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ثلاثين يوماً من هلال الشّهر الماضی</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البيّنة الشّرعيّة، وهی خبر عدلين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بعض الفقهاء حكم الحاكم الّذی لم يعلم خطأه ولاخطأ مستنده</w:t>
      </w:r>
    </w:p>
    <w:p>
      <w:pPr>
        <w:pStyle w:val="BookText"/>
        <w:rPr/>
      </w:pPr>
      <w:r>
        <w:rPr>
          <w:rFonts w:ascii="Amiri" w:hAnsi="Amiri" w:eastAsia="Amiri" w:cs="Amiri"/>
          <w:color w:val="111111"/>
          <w:sz w:val="28"/>
          <w:sz w:val="28"/>
          <w:szCs w:val="28"/>
          <w:rtl w:val="true"/>
          <w:lang w:bidi="ar-SA"/>
        </w:rPr>
        <w:t xml:space="preserve">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شهر رمضان و وجوب صومه أحد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رؤية الهلال، أو شهادة شاهدين، فإن غمّ عدّ شعبان ثلاثين يوماً ويصام بعد ذلك بنية الفرض، فأمّا العدد والحساب فلا يلتفت إليهما ولايعمل بهما، وبه قالت الفقهاء أجمع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وحكوا عن قوم شذاذ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بهذين وبالعدد، فإذا أخبر ثقاة من أهل الحساب والعلم والنجوم بدخول الشّهر وجب قبول قولهم، وذهب قوم من أصحابنا إلى القول بالعدد، وذهب شاذ منهم إلى القول بالجدول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يقبل في رؤية هلال رمضان إلّا شهادة شاهدين، فأمّا الواحد فلا يقبل منه هذا مع الغيم، وأمّا مع الصّحو فلا يقبل إلا خمسون قسامة، أو اثنان من خارج البلد، وللشّافعی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قلناه من اعتبار الشاهدين، وبه قال مالك، والأوزاعی، والليث بن سعد وسواء كان صحوا أو غيماً،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يقبل شهادة واحد، وعليه أكثر أصحابه، وبه قال في الصّحابة عمر، وابن عمر، وحكوه عن علیّ علیه السلام، وبه قال في الفقهاء أحمد بن حنبل، وقال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يوم غيم قبلت شاهداً واحداً، وإن كان صحواً لم يقبل إلا التواتر فيه والخلق العظيم</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الطّباطبائی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طرق ثبوت</w:t>
      </w:r>
      <w:r>
        <w:rPr>
          <w:rStyle w:val="FootnoteAnchor"/>
          <w:rtl w:val="true"/>
        </w:rPr>
        <w:footnoteReference w:id="551"/>
      </w:r>
      <w:r>
        <w:rPr>
          <w:rFonts w:ascii="IRNazanin" w:hAnsi="IRNazanin" w:eastAsia="IRNazanin"/>
          <w:color w:val="111111"/>
          <w:sz w:val="28"/>
          <w:sz w:val="28"/>
          <w:szCs w:val="28"/>
          <w:rtl w:val="true"/>
          <w:lang w:bidi="fa-IR"/>
        </w:rPr>
        <w:t>هلال رمضان وشوّال للصوم والإفطار، وهی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المكلف نفسه،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الشّياع المفيد للعلم، وفی حكمه كلّ ما يفيد العلم ولو بمعاونة القرائن، فمن حصل له العلم بأحد الوجوه المذكورة وجب عليه العمل به وإن لم يوافقه أحدٌ، بل وإن شهد و ردّ الحاكمُ شهادته،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ثلاثين يوماً من هلال شعبان أو ثلاثين يوماً من هلال رمضان فإنّه يجب الصوم معه في الأول والإفطار في الثّانی،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الشّرعيّة، وهی خبر عدلين سواء شهدا عند الحاكم وقبل شهادتهما أولم يشهدا عنده، أو شهدا و ردّ شهادتهما فكلّ من شهد عنده عدلان عنده يجوز بل يجب عليه </w:t>
      </w:r>
    </w:p>
    <w:p>
      <w:pPr>
        <w:pStyle w:val="BookText"/>
        <w:rPr/>
      </w:pPr>
      <w:r>
        <w:rPr>
          <w:rFonts w:ascii="IRNazanin" w:hAnsi="IRNazanin" w:eastAsia="IRNazanin"/>
          <w:color w:val="111111"/>
          <w:sz w:val="28"/>
          <w:sz w:val="28"/>
          <w:szCs w:val="28"/>
          <w:rtl w:val="true"/>
          <w:lang w:bidi="fa-IR"/>
        </w:rPr>
        <w:t>ترتيب الأثر من الصوم أو الإفطار، ولا فرق بين أن تكون البينة من البلد أو من خارجه وبين وجود العلّة في السّماء وعدمها، نعم يشترط توافقهما في الأوصاف فلواختلفا فيها لا اعتبار بها، نعم لوأطلقا أو وصف أحدهما وأطلق الآخر كفى ولا يعتبر اتحادهما في زمان الرؤية مع توافقهما على الرؤية في الليل، ولا يثبت بشهادة النساء ولا بعدل واحد ولو مع ضمّ اليمين،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الحاكم الّذی لم يعلم خطاؤه ولا خطاء مستنده كما إذا استند إلی الشّياع الظّنی، ولا يثبت بقول المنجمين ولا بغيبوبة الشّفق في الليلة الأخرى، ولا برؤيته يوم الثلاثين قبل الزّوال، فلا يحكم بكون ذلك اليوم أول الشّهر ولا بغير ذلك ممّا يفيد الظّن ولوكان قويّاً إلا</w:t>
      </w:r>
    </w:p>
    <w:p>
      <w:pPr>
        <w:pStyle w:val="BookText"/>
        <w:rPr/>
      </w:pPr>
      <w:r>
        <w:rPr>
          <w:rFonts w:ascii="Amiri" w:hAnsi="Amiri" w:eastAsia="Amiri" w:cs="Amiri"/>
          <w:color w:val="111111"/>
          <w:sz w:val="28"/>
          <w:sz w:val="28"/>
          <w:szCs w:val="28"/>
          <w:rtl w:val="true"/>
          <w:lang w:bidi="ar-SA"/>
        </w:rPr>
        <w:t>للأسير والمحبوس</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الرّاحل رحمه الله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يثبت الهلال بالرؤية وإن تفرّد به الرائی، والتواتر والشّياع المفيدين للعلم، ومضی ثلاثين يوماً من الشّهر السّابق، وبالبيّنة الشّرعيّة، وهی شهادة عدلين، وحكم الحاكم إذا لم يعلم خطأه ولا خطأ مستنده، ولا اعتبار بقول المنجمين، ولا بتطوق الهلال أو غيبوبته بعد الشفق في ثبوت كونه لليلة السابقة وإن أفاد الظنّ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ذلك فاعلم أنّ محلّ كلامنا في هذه المقالة هو ما إذا ثبت الهلال عندنا لكنّه لم يحكم به مفتی العامة وقاضيهم</w:t>
      </w:r>
      <w:r>
        <w:rPr>
          <w:rStyle w:val="FootnoteAnchor"/>
          <w:rtl w:val="true"/>
        </w:rPr>
        <w:footnoteReference w:id="554"/>
      </w:r>
      <w:r>
        <w:rPr>
          <w:rFonts w:ascii="IRNazanin" w:hAnsi="IRNazanin" w:eastAsia="IRNazanin"/>
          <w:color w:val="111111"/>
          <w:sz w:val="28"/>
          <w:sz w:val="28"/>
          <w:szCs w:val="28"/>
          <w:rtl w:val="true"/>
          <w:lang w:bidi="fa-IR"/>
        </w:rPr>
        <w:t xml:space="preserve">، أو ثبت عنده لكنّه علی خلاف الصناعة العلميّة والقواعد المقرّرة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قبول شهادة من شرب قليلاً من </w:t>
      </w:r>
      <w:bookmarkStart w:id="190" w:name="pg7917_84830"/>
    </w:p>
    <w:p>
      <w:pPr>
        <w:pStyle w:val="BookText"/>
        <w:rPr/>
      </w:pPr>
      <w:bookmarkEnd w:id="190"/>
      <w:r>
        <w:rPr>
          <w:rFonts w:ascii="Amiri" w:hAnsi="Amiri" w:eastAsia="Amiri" w:cs="Amiri"/>
          <w:color w:val="111111"/>
          <w:sz w:val="28"/>
          <w:sz w:val="28"/>
          <w:szCs w:val="28"/>
          <w:rtl w:val="true"/>
          <w:lang w:bidi="ar-SA"/>
        </w:rPr>
        <w:t>النّبيذ بوجه لايسكر منه عادتاً عند الشّافعية والحنفيّة</w:t>
      </w:r>
      <w:r>
        <w:rPr>
          <w:rStyle w:val="FootnoteAnchor"/>
          <w:rtl w:val="true"/>
        </w:rPr>
        <w:footnoteReference w:id="555"/>
      </w:r>
      <w:r>
        <w:rPr>
          <w:rFonts w:ascii="Amiri" w:hAnsi="Amiri" w:eastAsia="Amiri" w:cs="Amiri"/>
          <w:color w:val="111111"/>
          <w:sz w:val="28"/>
          <w:sz w:val="28"/>
          <w:szCs w:val="28"/>
          <w:rtl w:val="true"/>
          <w:lang w:bidi="ar-SA"/>
        </w:rPr>
        <w:t>، أو شهدت النّساء به خاصّة</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هوكثير الإبتلاء في زماننا هذا، إذا لم يمكننا التخطّی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الورود في بيان المسألة وحكم صورها المتصورة، فبما أنّ مسألة إثبات الهلال عند حاكم العامّة وقاضيهم متفرعٌ علی قبول حكمه عندنا، ينبغی أن ننظر إجمالاً إلی الأقوال وحكم مسألة ثبوت الهلال بحكم الحاكم، عند الإماميّة، فنقول</w:t>
      </w:r>
      <w:r>
        <w:rPr>
          <w:rFonts w:eastAsia="IRNazanin" w:cs="IRNazanin"/>
          <w:color w:val="111111"/>
          <w:sz w:val="28"/>
          <w:szCs w:val="28"/>
          <w:rtl w:val="true"/>
          <w:lang w:bidi="fa-IR"/>
        </w:rPr>
        <w:t>:</w:t>
      </w:r>
    </w:p>
    <w:p>
      <w:pPr>
        <w:pStyle w:val="Heading2"/>
        <w:numPr>
          <w:ilvl w:val="1"/>
          <w:numId w:val="1"/>
        </w:numPr>
        <w:rPr/>
      </w:pPr>
      <w:bookmarkStart w:id="191" w:name="__RefHeading___Toc6355229_1051229030"/>
      <w:bookmarkStart w:id="192" w:name="_Toc63"/>
      <w:bookmarkEnd w:id="191"/>
      <w:r>
        <w:rPr>
          <w:rtl w:val="true"/>
        </w:rPr>
        <w:t>إثبات الهلال بحكم الحاكم عند الإماميّة</w:t>
      </w:r>
      <w:r>
        <w:rPr>
          <w:rtl w:val="true"/>
        </w:rPr>
        <w:t>:</w:t>
      </w:r>
      <w:bookmarkEnd w:id="192"/>
    </w:p>
    <w:p>
      <w:pPr>
        <w:pStyle w:val="BookText"/>
        <w:rPr/>
      </w:pPr>
      <w:r>
        <w:rPr>
          <w:rFonts w:ascii="Amiri" w:hAnsi="Amiri" w:eastAsia="Amiri" w:cs="Amiri"/>
          <w:color w:val="111111"/>
          <w:sz w:val="28"/>
          <w:sz w:val="28"/>
          <w:szCs w:val="28"/>
          <w:rtl w:val="true"/>
          <w:lang w:bidi="ar-SA"/>
        </w:rPr>
        <w:t xml:space="preserve">عدّ بعضٌ من فقهائنا العظام أنّ من طرق إثبات الهلال عند الإماميّة حكم الحاكم به،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xml:space="preserve">إلی ظاهر الأصحاب،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 والموسوعة</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إلی المشهور،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إمكان تحصيل الإجماع عليه، وقد تأمّل أو توقّف في حجيّته بعض آخر كصاحب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محشي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القائلين بحجيّة ذلك من الإماميّة العلامة الحلي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عامل معه معاملة الإرسال المسلم، وجعل رؤية الشخص بنفسه في </w:t>
      </w:r>
    </w:p>
    <w:p>
      <w:pPr>
        <w:pStyle w:val="BookText"/>
        <w:rPr/>
      </w:pPr>
      <w:r>
        <w:rPr>
          <w:rFonts w:ascii="Amiri" w:hAnsi="Amiri" w:eastAsia="Amiri" w:cs="Amiri"/>
          <w:color w:val="111111"/>
          <w:sz w:val="28"/>
          <w:sz w:val="28"/>
          <w:szCs w:val="28"/>
          <w:rtl w:val="true"/>
          <w:lang w:bidi="ar-SA"/>
        </w:rPr>
        <w:t>ثبوت الهلال ومن جهة إفادته القطع واليقين مثل ما لو حكم به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ويلزم صوم رمضان من رأى الهلال وإن كان واحداً انفرد برؤيته، سواء كان عدلاً أو غير عدل، شهد عند الحاكم أو لم يشهد، قبلت شهادته أو ردّت، ذهب إليه علماؤنا أجمع، وبه قال مالك والليث، والشافعی، وابن المنذر، وأصحاب الرّأی لما رواه العامّة عن النَّبِیِّ صَلَّى اَللَّهُ عَلَيْهِ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لرؤيته وأفطروا لرؤيته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وتكليف الرسو صَلَّى اَللَّهُ عَلَيْهِ وَ آلِهِ وَ سَلَّمْ كما يتناول الواحد يتناول الجميع وبالعكس، ومن طريق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الصّادق علیه السلام وقد سئل عن الأهلّة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أهلّه الشهور، فإذا رأيت الهلال فصم، وإذا رأيته فأفطر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ولأنّه يتيقّن أنّه من رمضان، فلزمه صومه، كما لو حكم به الحاكم، ولأنّ الرؤية أبلغ في باب العلم من الشّاهدين، بل الشّاهدان يفيدان الظنّ، والرؤية تفيد القطع، فإذا تعلّق حكم الوجوب بأضعف الطريقين فبالأقوى أولى</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واستقرب الشّهيد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 بذلك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يكفی قول الحاكم وحده في ثبوت الهلال؟ الأقرب نعم،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الصوم أو الفطر، ففی وجوب استفساره على السامع ثلاثة أوجه، ثالثها إن كان السامع مجتهداً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السبزواری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قبول قول الحاكم الشرعی وحده في ثبوت الهلال وجهان،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وهو خيرة الدّروس لعموم ما دلّ على أنّ الحاكم يحكم بعلمه، ولأنّه لوقامت عنده البيّنة فحكم بذلك وجب الرّجوع إلى قوله </w:t>
      </w:r>
    </w:p>
    <w:p>
      <w:pPr>
        <w:pStyle w:val="BookText"/>
        <w:rPr/>
      </w:pPr>
      <w:r>
        <w:rPr>
          <w:rFonts w:ascii="Amiri" w:hAnsi="Amiri" w:eastAsia="Amiri" w:cs="Amiri"/>
          <w:color w:val="111111"/>
          <w:sz w:val="28"/>
          <w:sz w:val="28"/>
          <w:szCs w:val="28"/>
          <w:rtl w:val="true"/>
          <w:lang w:bidi="ar-SA"/>
        </w:rPr>
        <w:t>كغيره من الأحكام والعلم أقوى من البينة، ولأنّ المرجع في الاكتفاء بشهادة العدلين وما يتحقق به العدالة،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مقبولاً في جميع الموارد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البحرانی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يجب على المكلف العمل في الصوم والفطر بحكم الحاكم الشرعی؟ والظاهر أنّ هذا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الهلال بالشاهدين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فيه ولا اشكال، وإنما الإشكال في أنّه هل يجب على المكلف العمل بحكم الحاكم الشرعی متى ثبت ذلك عنده وحكم به أم لا بد من سماعه بنفسه من الشاهدين؟ ظاهر الأصحاب الأوّل، بل زاد بعضهم كما سيأتی في المقام إن شاء الله تعالى الاكتفاء برؤية الحاكم الشرعی</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كاشف الغطاء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فيما يثبت به دخول شهر رمضان وغيره، وهو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ثلاثين للشهر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الشياع المفيد للعلم، أو الظنّ المؤاخی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الشياع العملیّ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العدلين من الرّجال دون النساء والخناثى المُشكلة على المُثبت للهلال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الفقيه المجتهد المأمون بالنسبة إلى مقلّديه، سواء حكم برؤيةٍ أو ببيّنة أو غيرهما، ولو شهد من غير حكم، كان كغيره من الشهود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محمّد حسن النّجفی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ثبوته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الحاكم المستند إلى علمه، لإطلاق ما دلّ على نفوذه وأنّ الرّاد عليه كالرّاد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فرق بين موضوعات المخاصمات وغيرها كالعدالة والفسق والاجتهاد والنّسب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والتشكيك فيه هو تشكيك فيما يمكن تحصيل الإجماع عليه، خصوصاً في أمثال هذه الموضوعات العامة الّتي هی من المعلوم الرجوع فيها إلى الحكام، كما لا يخفى على من له خبرة بالشرع وسياسته، وبكلمات الأصحاب في المقامات المختلفة، فما صدر من بعض متأخري المتأخرين من الوسوسة في ذلك من غير فرق بين حكمه المستند إلى علمه أو البيّنة أو غيرهما لا ينبغی الالتفات إليه، لما عرفت من ثبوت الهلال بذلك، بل الظاهر عدم الفرق في ذلك بين الحاكم الآخر وغيره، فيجب الصوم أو الفطر على الجميع، نعم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الصوم أو الفطر من غير تصريح بكونه لرؤية أو شهادة ففی الدروس في وجوب استفساره على السامع ثلاثة أوجه، ثالثها إن كان السامع مجتهداً استفسره،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يقوى في النظر عدم وجوب استفساره، ضرورة كون ذلك منه حكماً، فيجب اتباعه به، لإطلاق ما دلّ عليه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عبد الأعلی السبزواری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اعتبار حكم الحاكم في الجملة من المسلّمات العقلائية عند الناس، لأنّ لكلّ مذهب وملّة حاكم وحكم في أمورهم الدّينية والدّنيوية خصوصاً الأمور النّوعية الّتي يحتاج النوع إليها، فالمقتضی للحجيّة في حكم الجامع للشرائط موجود والمانع عنه مفقود، فلابدّ من الاعتبار، فيصحّ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مورد يرجع فيه النّاس بفطرتهم إلى </w:t>
      </w:r>
    </w:p>
    <w:p>
      <w:pPr>
        <w:pStyle w:val="BookText"/>
        <w:rPr/>
      </w:pPr>
      <w:r>
        <w:rPr>
          <w:rFonts w:ascii="Amiri" w:hAnsi="Amiri" w:eastAsia="Amiri" w:cs="Amiri"/>
          <w:color w:val="111111"/>
          <w:sz w:val="28"/>
          <w:sz w:val="28"/>
          <w:szCs w:val="28"/>
          <w:rtl w:val="true"/>
          <w:lang w:bidi="ar-SA"/>
        </w:rPr>
        <w:t>الحاكم يكون حكمه فيه معتبراً إلّا مع ثبوت الرّدع، وقد ثبت الرّدع عن حكم من لم يكن جامعاً للشرائط من المسلمين فكيف بغيرهم ؟</w:t>
      </w:r>
    </w:p>
    <w:p>
      <w:pPr>
        <w:pStyle w:val="BookText"/>
        <w:rPr/>
      </w:pPr>
      <w:r>
        <w:rPr>
          <w:rFonts w:ascii="IRNazanin" w:hAnsi="IRNazanin" w:eastAsia="IRNazanin"/>
          <w:color w:val="111111"/>
          <w:sz w:val="28"/>
          <w:sz w:val="28"/>
          <w:szCs w:val="28"/>
          <w:rtl w:val="true"/>
          <w:lang w:bidi="fa-IR"/>
        </w:rPr>
        <w:t>وأمّا الفقيه الإمامیّ الجامع للشرائط، فمقتضى فطرة الشّيعة اعتبار حكمه إلّا مع ثبوت الرّدع، لأنّهم يرون حكمه حكم الإمام علیه السلام، وتقتضيه العمومات والإطلاقات، كالتوقيع الرفيع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رواه حديثنا، فإنّهم حجتی عليكم، وأنا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وإطلاق قول أبی جعفر علیه السلام في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عند الإمام شاهدان أنّهما رأيا الهلال منذ ثلاثين يوماً أمر الإمام بإفطار ذلك اليوم، إذا كانا شهدا قبل زوال الشّمس، وإن شهدا بعد زوال الشمس أمر الإمام بالإفطار ذلك اليوم، وأخّر الصّلاة إلى الغد فصلّى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من كان منكم قد روى حديثنا، ونظر في حلالنا وحرامنا وعرف أحكامنا، فليرضوا به حكماً، فإنّی قد جعلته عليكم حاكماً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غير ذلك من الأخبار الّتي وردت للامتنان على الشّيعة إلى ظهور الحجة، لسوقهم إلى ملاذ وملجأ في جميع أمورهم كما هو المفطور في النفوس في جميع المذاهب والأديان، فالمقتضی للحجيّة في حكم الجامع للشرائط موجود والمانع عنه مفقود فلابدّ من الاعتبار</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كلام الإمام الرّاحل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يثبت الهلال بالرؤية وإن تفرّد به الرائی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وحكم الحاكم إذا لم يعلم خطأه ولاخطأ مستنده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القائلين بعدم الحجيّة أوالمتوقّفين فيها، فأوّل من وقفنا عليه من الأصحاب الشّيخ يوسف البحرانی رحمه الله فإنّه بعد ما ذكر مستند من قال بوجوب العمل بحكم الحاكم،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فالمسألة عندی موضع توقّف وإشكال لعدم الدّليل الواضح في وجوب الأخذ بحكم الحاكم بحيث يشمل موضع النزاع</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المحقّق النّراقی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يجب قبول حكم الحاكم في ثبوت الهلال، أم لا؟ وهو إمّا يكون بحكمه بعد ثبوته عنده بشاهدين أو الشياع، أو بعد رؤيته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الأول، ففی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الأصحاب وجوب القبول، ونقل عن بعض أفاضل متأخّري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ومال هو إليه أيضاً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بعمومها أو إطلاقها على وجوب الرّجوع إلى حكم الفقيه، وقوله علیه السلام في مقبولة ابن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حكم بحكمنا فلم يقبل منه فإنّما استخف بحكم اللّه وعلينا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والتوقيع الرفيع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رواه أحاديثنا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وخصوص صحيحة محمّد بن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عند الإمام شاهدان أنّهما رأيا الهلال منذ ثلاثين يوماً أمر الإمام بالإفطار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ودليل الثانی وهو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والأخبار المعلّقة للصّوم والفطر على الرؤية أو مضی الثلاثين، والناهية عن اتّباع الشكّ والظنّ في أمر الهلال، وقول الحاكم لايفيد أزيد من الظنّ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يقبل قوله في غير مقام المرافعة في رؤية الهلال، و وقوع النجاسة في هذا الإناء، و وقوع التذكية على ذلك الجلد، ونحو ذلك ممّا ليس فيه إخبار عن قول الشارع، لعدم دليل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الأخبار إنّما هی واردة في أحكام الأئمة وعلومهم، وقضاياهم ونحو ذلك، فلا يشمل شيء منها مثل رؤية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الأخبار الآمرة بالرجوع إلى الفقهاء وحكمهم واردة فيما يتعلق بالدعاوی والقضاء بين الخصوم، والفتوى في الأحكام الشرعية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السيّد الخوئی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مسألة الهلال لم تكن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يأمر فيه بالرجوع إلی رواة الأحاديث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تجب فيها مراجعة الإمام علیه السلام حتّى في عصر حضوره وإمكان الوصول إليه، بل للمكلّف الامتناع عن ذلك والاقتصار على الطرق المقرّرة لإثباته، فإن توفّرت لديه وقامت الحجّة الشرعيّة أفطر، وإلّا بقی على صومه، ولم يعهد في عصر أحد من الأئمّة علیهم السلام حتّى مولانا أمير المؤمنين علیه السلام المتصدّی للخلافة الظاهريّة مراجعة النّاس ومطالبتهم إيّاه في موضوع الهلال على النهج المتداول في العصر الحاضر بالإضافة إلى مراجع التقليد، إذ لم يذكر ذلك ولا في رواية واحدة ولو ضعيفة ، وعلی الجملة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حجّتی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في كلّ ما أنا حجّة فيه، فلا تجب مراجعة الفقيه إلا فيما تجب فيه مراجعةالإمام علیه السلام وهو مورده منحصر في أحد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الشّبهات </w:t>
      </w:r>
      <w:bookmarkStart w:id="193" w:name="pg7917_84837"/>
    </w:p>
    <w:p>
      <w:pPr>
        <w:pStyle w:val="BookText"/>
        <w:rPr/>
      </w:pPr>
      <w:bookmarkEnd w:id="193"/>
      <w:r>
        <w:rPr>
          <w:rFonts w:ascii="IRNazanin" w:hAnsi="IRNazanin" w:eastAsia="IRNazanin"/>
          <w:color w:val="111111"/>
          <w:sz w:val="28"/>
          <w:sz w:val="28"/>
          <w:szCs w:val="28"/>
          <w:rtl w:val="true"/>
          <w:lang w:bidi="fa-IR"/>
        </w:rPr>
        <w:t>الحكميّة، أو باب الدعاوی والمرافعات، وموضوع الهلال خارج عنهما معاً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جملة من أقوال فقهائنا العظام رضوان الله تعالی عليهم نفياً وإثباتاً حول مسألة ثبوت الهلال بحكم الحاكم، نذكر هنا ما يستدلّ به لكلا القولين في المقام</w:t>
      </w:r>
      <w:r>
        <w:rPr>
          <w:rFonts w:eastAsia="IRNazanin" w:cs="IRNazanin"/>
          <w:color w:val="111111"/>
          <w:sz w:val="28"/>
          <w:szCs w:val="28"/>
          <w:rtl w:val="true"/>
          <w:lang w:bidi="fa-IR"/>
        </w:rPr>
        <w:t>.</w:t>
      </w:r>
    </w:p>
    <w:p>
      <w:pPr>
        <w:pStyle w:val="Heading2"/>
        <w:numPr>
          <w:ilvl w:val="1"/>
          <w:numId w:val="1"/>
        </w:numPr>
        <w:rPr/>
      </w:pPr>
      <w:bookmarkStart w:id="194" w:name="__RefHeading___Toc6355231_1051229030"/>
      <w:bookmarkStart w:id="195" w:name="_Toc64"/>
      <w:bookmarkEnd w:id="194"/>
      <w:r>
        <w:rPr>
          <w:rtl w:val="true"/>
        </w:rPr>
        <w:t>أدلّة إثبات الهلال وعدمه بحكم الحاكم عند الإماميّة</w:t>
      </w:r>
      <w:r>
        <w:rPr>
          <w:rtl w:val="true"/>
        </w:rPr>
        <w:t>:</w:t>
      </w:r>
      <w:bookmarkEnd w:id="195"/>
    </w:p>
    <w:p>
      <w:pPr>
        <w:pStyle w:val="BookText"/>
        <w:rPr/>
      </w:pPr>
      <w:r>
        <w:rPr>
          <w:rFonts w:ascii="IRNazanin" w:hAnsi="IRNazanin" w:eastAsia="IRNazanin"/>
          <w:color w:val="111111"/>
          <w:sz w:val="28"/>
          <w:sz w:val="28"/>
          <w:szCs w:val="28"/>
          <w:rtl w:val="true"/>
          <w:lang w:bidi="fa-IR"/>
        </w:rPr>
        <w:t>فبعد ما عرفت الأقوال في المسألة نتعرّض إبتداءً لذكر أدلّة النّافين، فنقّبعها بذكر أدلّة المثبتين، ثمّ نختار منها ما هو يقتضيه القواعد والمبانی المقررة للاستنباط، أمّا النّافون</w:t>
      </w:r>
      <w:r>
        <w:rPr>
          <w:rStyle w:val="FootnoteAnchor"/>
          <w:rtl w:val="true"/>
        </w:rPr>
        <w:footnoteReference w:id="572"/>
      </w:r>
      <w:r>
        <w:rPr>
          <w:rFonts w:ascii="Amiri" w:hAnsi="Amiri" w:eastAsia="Amiri" w:cs="Amiri"/>
          <w:color w:val="111111"/>
          <w:sz w:val="28"/>
          <w:sz w:val="28"/>
          <w:szCs w:val="28"/>
          <w:rtl w:val="true"/>
          <w:lang w:bidi="ar-SA"/>
        </w:rPr>
        <w:t>فقد استدلّوا علی مذهبهم تارة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ومرادهم بذلك هو أصالة عدم حجيّة ما شك في حجيّته الّذی كان مستنده حكم العقلاء وعموم ما دلّ علی المنع عن العمل بالظنّ 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لا يُؤْمِنُونَ بِالْآخِرَةِ لَيُسَمُّونَ الْمَلائِكَةَ تَسْمِيَةَ الْأُنْثى وَما لَهُمْ بِهِ مِنْ عِلْمٍ إِنْ يَتَّبِعُونَ إِلَّا الظَّنَّ وَإِنَّ الظَّنَّ لا يُغْنِی مِنَ الْحَقِّ شَيْئا</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وغاية ما يستفيد من حكم الحاكم ليس إلا الظنّ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 الدالّة علی إثبات الصّوم والفطر بالرؤية، أو مضی ثلاثين يوماً من الشهر الماضی، والناهية عن اتّباع الشكّ والظنّ في أمر الهلال</w:t>
      </w:r>
      <w:r>
        <w:rPr>
          <w:rStyle w:val="FootnoteAnchor"/>
          <w:rtl w:val="true"/>
        </w:rPr>
        <w:footnoteReference w:id="574"/>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صحيحة مُحَمَّدِ بْنِ مُسْلِمٍ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وَإِذَا رَأَيْتُمُوهُ فَأَفْطِرُوا وَلَيْسَ بِالرَّأْیِ وَلَا بِالتَّظَنِّی وَلَكِنْ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إِسْحَاقَ بْنِ عَمَّارٍ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لِرُؤْيَتِهِ وَأَفْطِرْ لِرُؤْيَتِهِ وَإِيَّاكَ وَالشَّكَّ وَالظَّنَّ فَإِنْ خَفِیَ عَلَيْكُمْ فَأَتِمُّوا الشَّهْرَ الْأَوَّلَ ثَلَاثِينَ</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بتقريب أنّ الإمام علیه السلام قد حصر الصوم والإفطار بالرؤية وحكم عند الشّك بإتمام الشّهر الأوّل ثلاثين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من السيّد الخوئی رحمه الله بأنّ أدلّة ولاية الفقيه قاصرة عن مثل هذا حيث إنّ مسألة الهلال ليست ممّا تجب فيها مراجعة الإمام علیه السلام حتّی في عصر حضوره، فللمكلّف الامتناع عن ذلك والاقتصار على الطرق المقرّرة لإثباته، لاسيّما أنّه لم يعهد في عصر أحد من الأئمّة علیهم السلام حتّى مولانا أمير المؤمنين علیه السلام المتصدّی للخلافة الظاهريّة مراجعة النّاس ومطالبتهم إيّاه في موضوع الهلال كما هو المتداول في العصر الحاضر في مراجعتهم إلى مراجع التقليد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المثبتون فإنّهم استدلّوا علی مذهبهم بالأدلّة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والأخبار، والإجماع، أمّا دليله من الإجماع، فقال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للحاكم أن يحكم بعلمه في جميع الأحكام من الأموال، والحدود، والقصاص وغير ذلك، سواء كان من حقوق الله تعالی أو من حقوق </w:t>
      </w:r>
    </w:p>
    <w:p>
      <w:pPr>
        <w:pStyle w:val="BookText"/>
        <w:rPr/>
      </w:pPr>
      <w:r>
        <w:rPr>
          <w:rFonts w:ascii="Amiri" w:hAnsi="Amiri" w:eastAsia="Amiri" w:cs="Amiri"/>
          <w:color w:val="111111"/>
          <w:sz w:val="28"/>
          <w:sz w:val="28"/>
          <w:szCs w:val="28"/>
          <w:rtl w:val="true"/>
          <w:lang w:bidi="ar-SA"/>
        </w:rPr>
        <w:t xml:space="preserve">الآدميين، فالحكم فيه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دليلنا إجماع الفرقة وأخبارهم، وأيضاً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 وقال تعالی لنبيّه محمّ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حَكَمْتَ فَاحْكُمْ بَيْنَهُمْ بِالْقِسْطِ</w:t>
      </w:r>
      <w:r>
        <w:rPr>
          <w:rFonts w:eastAsia="Amiri" w:cs="Amiri" w:ascii="Amiri" w:hAnsi="Amiri"/>
          <w:color w:val="111111"/>
          <w:sz w:val="28"/>
          <w:szCs w:val="28"/>
          <w:rtl w:val="true"/>
          <w:lang w:bidi="ar-SA"/>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وأيضاً لو لم يقض بعلمه أفضی إلی ايقاف الأحكام أو فسق الحكام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للحاكم أن يحكم بعلمه في جميع الأشياء من الأموال والحدود والقصاص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في ذلك ما علمه في حال الولاية أو قبلها، بدليل إجماع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يقبل شهادة النّساء فيما يوجب حداً، لا على الانفراد من الرجال ولا معهم، بلا خلاف إلا في الزنى عندنا على ما قدمناه، ولا تقبل شهادتهنّ على كلّ حال في الطلاق، ولا في رؤية الهلال، بدليل إجماع الطائفة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تصريحه في ذيل كلامه بعدم قبول شهادة النّساء برؤية الهلال، أنّ مراده بجميع الأشياء، 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في صدر كلامه هو تعميم العمل بحكم الحاكم لمثل إثبات الهلال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عندنا للحاكم أن يقضی بعلمه في جميع الأشياء، لأنّه لو لم يقض بعلمه، أفضى إلى إيقاف الأحكام، أو فسق الحكّام</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دليله من الكتاب فقوله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حَكَمْتَ فَاحْكُمْ بَيْنَهُمْ بِالْقِسْطِ</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 بتقريب أنّ الخليفة إذا كان منصوباً من قبل الله تعالی فحكمه حكمه فلزم العمل به، وقد ذمّ الله عزّ وجلّ من دعی إلی حكمه فأعرض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w:t>
      </w:r>
    </w:p>
    <w:p>
      <w:pPr>
        <w:pStyle w:val="BookText"/>
        <w:rPr/>
      </w:pPr>
      <w:r>
        <w:rPr>
          <w:rFonts w:ascii="Amiri" w:hAnsi="Amiri" w:eastAsia="Amiri" w:cs="Amiri"/>
          <w:color w:val="111111"/>
          <w:sz w:val="28"/>
          <w:sz w:val="28"/>
          <w:szCs w:val="28"/>
          <w:rtl w:val="true"/>
          <w:lang w:bidi="ar-SA"/>
        </w:rPr>
        <w:t>دُعُوا إِلَى اللّٰهِ وَ رَسُولِهِ لِيَحْكُمَ بَيْنَهُمْ إِذٰا فَرِيقٌ مِنْهُمْ مُعْرِضُونَ</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ومدح قوماً إذا دعوا إليه فأجابوه،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قَوْلَ الْمُؤْمِنِينَ إِذٰا دُعُوا إِلَى اللّٰهِ وَ رَسُولِهِ لِيَحْكُمَ بَيْنَهُمْ أَنْ يَقُولُوا سَمِعْنٰا وَأَطَعْنٰا وَأُولٰئِكَ هُمُ الْمُفْلِحُونَ</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والحاكم الشرعی أيضاً حيث كان بما ثبت في محلّه وسيأتی من الأدلّة منصوباً من جانب الإمام علیه السلام، حكمه حكم الإمام علیه السلام فلا يجوز استنكافه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دليله من الأخبار، فإنّه قد وردت روايات عامّة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في مقبولة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رَجُلَيْنِ مِنْ أَصْحَابِنَا يَكُونُ بَيْنَهُمَا مُنَازَعَةٌ في دَيْنٍ أَوْ مِيرَاثٍ فَتَحَاكَمَا إِلَى السُّلْطَانِ أَوْ إِلَى الْقُضَاةِ، أَ يَحِلُّ ذَلِكَ؟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تَحَاكَمَ إِلَى الطَّاغُوتِ فَحَكَمَ لَهُ فَإِنَّمَا يَأْخُذُ سُحْتاً وَإِنْ كَانَ حَقُّهُ ثَابِتاً، لِأَنَّهُ أَخَذَ بِحُكْمِ الطَّاغُوتِ وَقَدْ أَمَرَ اللَّهُ </w:t>
      </w:r>
    </w:p>
    <w:p>
      <w:pPr>
        <w:pStyle w:val="BookText"/>
        <w:rPr/>
      </w:pPr>
      <w:r>
        <w:rPr>
          <w:rFonts w:ascii="Amiri" w:hAnsi="Amiri" w:eastAsia="Amiri" w:cs="Amiri"/>
          <w:color w:val="111111"/>
          <w:sz w:val="28"/>
          <w:sz w:val="28"/>
          <w:szCs w:val="28"/>
          <w:rtl w:val="true"/>
          <w:lang w:bidi="ar-SA"/>
        </w:rPr>
        <w:t>عَزَّ وَجَلَّ أَنْ يُكْفَرَ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مَنْ كَانَ مِنْكُمْ قَدْ رَوَى حَدِيثَنَا وَنَظَرَ في حَلَالِنَا وَحَرَامِنَا وَعَرَفَ أَحْكَامَنَا، فَلْيَرْضَوْا بِهِ حَكَماً فَإِنِّی قَدْ جَعَلْتُهُ عَلَيْكُمْحَاكِماً، فَإِذَا حَكَمَ بِحُكْمِنَا فَلَمْ يُقْبَلْ مِنْهُ فَإِنَّمَا بِحُكْمِ اللَّهِ اسْتُخِفَّ وَعَلَيْنَا رُدَّ، وَالرَّادُّ عَلَيْنَا الرَّادُّ عَلَى اللَّهِ، وَهُوَ عَلَى حَدِّ الشِّرْكِ بِاللَّهِ عَزَّ وَجَلَّ</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الصّدوق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مُحَمَّدِ بْنِ عِصَامٍ عَنْ مُحَمَّدِ بْنِ يَعْقُوبَ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الْعَمْرِیَّ أَنْ يُوصِلَ لِی كِتَاباً قَدْ سَأَلْتُ فِيهِ عَنْ مَسَائِلَ أَشْكَلَتْ عَلَیَّ، فَوَرَدَ التَّوْقِيعُ بِخَطِّ مَوْلَانَا صَاحِبِ الزَّمَانِ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سَأَلْتَ عَنْهُ أَرْشَدَكَ اللَّهُ وَثَبَّتَكَ،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الْحَوَادِثُ الْوَاقِعَةُ فَارْجِعُوا فِيهَا إِلَى رُوَاةِ حَدِيثِنَا فَإِنَّهُمْ حُجَّتِی عَلَيْكُمْ وَأَنَا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زائداً علی ما وردت من الأخبار الخاصّة في باب القضاء وفصل الخصومات كصحيحة الْحُسَيْنِ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الْإِمَامِ إِذَا نَظَرَ إِلَى رَجُلٍ يَزْنِی أَوْ يَشْرَبُ الْخَمْرَ أَنْ يُقِيمَ عَلَيْهِ الْحَدَّ وَلَا يَحْتَاجُ إِلَى بَيِّنَةٍ مَعَ نَظَرِهِ لِأَنَّهُ أَمِينُ اللَّهِ في خَلْقِهِ وَإِذَا نَظَرَ إِلَى رَجُلٍ يَسْرِقُ أَنْ يَزْبُرَهُ وَيَنْهَاهُ وَيَمْضِیَ وَيَدَعَهُ،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إِذَا كَانَ لِلَّهِ فَالْوَاجِبُ عَلَى الْإِمَامِ إِقَامَتُهُ وَإِذَا كَانَ لِلنَّاسِ فَهُوَ لِلنَّاسِ</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ومرفوعة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الْحَكَمُ بْنُ عُيَيْنَةَ وَسَلَمَةُ بْنُ كُهَيْلٍ عَلَى أَبِی جَعْفَرٍ علیه السلام فَسَأَلَاهُ عَنْ شَاهِدٍ وَيَمِينٍ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بِهِ رَسُولُ اللَّ صَلَّى اَللَّهُ عَلَيْهِ وَ آلِهِ وَ سَلَّمْ </w:t>
      </w:r>
    </w:p>
    <w:p>
      <w:pPr>
        <w:pStyle w:val="BookText"/>
        <w:rPr/>
      </w:pPr>
      <w:r>
        <w:rPr>
          <w:rFonts w:ascii="Amiri" w:hAnsi="Amiri" w:eastAsia="Amiri" w:cs="Amiri"/>
          <w:color w:val="111111"/>
          <w:sz w:val="28"/>
          <w:sz w:val="28"/>
          <w:szCs w:val="28"/>
          <w:rtl w:val="true"/>
          <w:lang w:bidi="ar-SA"/>
        </w:rPr>
        <w:t xml:space="preserve">وَقَضَى بِهِ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كَانَ قَاعِداً في مَسْجِدِ الْكُوفَةِ فَمَرَّ بِهِ عَبْدُ اللَّهِ بْنُ قُفْلٍ التَّيْمِیُّ وَمَعَهُ دِرْعُ طَلْحَةَ، فَقَالَ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يَوْمَالْبَصْرَةِ، فَقَالَ لَهُ عَبْدُ اللَّهِ بْنُ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بَيْنِی وَبَيْنَكَ قَاضِيَكَ الَّذِی رَضِيتَهُ لِلْمُسْلِمِينَ فَجَعَلَ بَيْنَهُ وَبَيْنَهُ شُرَيْحاً،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 الْبَصْرَةِ، 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مَا تَقُولُ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الْحَسَنُ علیه السلام فَشَهِدَ أَنَّهَا دِرْعُ طَلْحَةَ أُخِذَتْ غُلُولًا يَوْمَ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وَاحِدٌ وَلَا أَقْضِی بِشَهَادَةِ شَاهِدٍ حَتَّى يَكُونَ مَعَهُ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قَنْبَراً فَشَهِدَ أَنَّهَا دِرْعُ طَلْحَةَ أُخِذَتْ غُلُولًا يَوْمَ الْبَصْرَةِ، 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مَمْلُوكٌ وَلَا أَقْضِی بِشَهَادَةِ 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عَلِیٌّ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فَإِنَّ هَذَا قَضَى بِجَوْرٍ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شُرَيْحٌ عَنْ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أَقْضِی بَيْنَ اثْنَيْنِ حَتَّى تُخْبِرَنِی مِنْ أَيْنَ قَضَيْتُ بِجَوْرٍ ثَلَاثَ مَرَّاتٍ؟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وَيْحَكَ إِنِّی لَمَّا أَخْبَرْتُكَ أَنَّهَا دِرْعُ طَلْحَةَ أُخِذَتْ غُلُولًا يَوْمَ الْبَصْرَةِ فَقُلْتَ هَاتِ عَلَى مَا تَقُولُ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رَسُولُ اللَّه صَلَّى اَللَّهُ عَلَيْهِ وَ آلِهِ وَ سَلَّمْ حَيْثُمَا وُجِدَ غُلُولٌ أُخِذَ بِغَيْرِ بَيِّنَةٍ، فَقُلْتُ إِنَّكَ رَجُلٌ لَمْ يَسْمَعِ الْحَدِيثَ فَهَذِهِ وَاحِدَةٌ ثُمَّ أَتَيْتُكَ بِالْحَسَنِ فَشَهِدَ فَقُلْتَ هَذَا وَاحِدٌ وَلَا أَقْضِی بِشَهَادَةِ رَجُلٍ وَاحِدٍ حَتَّى يَكُونَ مَعَهُ آخَرُ وَقَدْ قَضَى رَسُولُ اللَّه صَلَّى اَللَّهُ عَلَيْهِ وَ آلِهِ وَ سَلَّمْ بِشَهَادَةِ وَاحِدٍ وَيَمِينٍ فَهَاتَانِ ثِنْتَانِ، ثُمَّ أَتَيْتُكَ بِقَنْبَرٍ فَشَهِدَ أَنَّهَا دِرْعُ طَلْحَةَ أُخِذَتْ غُلُولًا يَوْمَ الْبَصْرَةِ فَقُلْتَ هَذَا مَمْلُوكٌ وَلَا أَقْضِی بِشَهَادَةِ مَمْلُوكٍ وَلَا بَأْسَ بِشَهَادَةِ مَمْلُوكٍ إِذَا كَانَ عَدْلًا،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قَالَ وَيْحَكَ إِمَامُ الْمُسْلِمِينَ يُؤْمَنُ مِنْ أَمْرِهِمْ عَلَى مَا هُوَ أَعْظَمُ مِنْ هَذَا</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والتّحقيق أنّ الناظر المنصف إذا نظر في هذه الأدلّة بعضها مع بعض يطمئن بأنّ الإمام علیه السلام كان في صدد بيان مناط كلّی بأنّ حكم الإمام لايردّ لأنّه منصوب من قبل الله فحكمه حكم الله والرّاد عليه رادّ علی الله عزّ وجلّ لا أنّ ذلك منحصر في هذه الأمثلة، ومثله الفقيه العادل الإمامی بمقتضی ما ثبت في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وبذلك يخرج عن كونه ظناً غير معتبر شرعاً، فلهم أن يحكموا حتّی بالنسبة إلی غير مقلّديهم بمقتضی علمهم في باب إثبات الهلال وغيره، علی وجه لا يبقی مجالاً حينئذ للرّجوع إلی الأصل، أو الأخبار الدالّة علیإثبات الصّوم والفطر بالرؤية أو مضی الثلاثين، والناهية عن اتّباع الشكّ والظنّ في أمر الهلال، إذ الأصل دليل حيث لا دليل، فتلك الأخبار مخصَّصة بهذه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الدالّة علی إثبات الصّوم والفطر بالرؤية أو مضی الثلاثين، والناهية عن اتّباع الشكّ والظنّ في أمر الهلال، لم تكن ناظرة إلی ما نحن بصدده من إثبات الهلال بحكم الحاكم وعدمه، بل هی ناظرة إلی شیءٍ آخر و هو أنّه إذا شهد واحد برؤية الهلال ولم تكن في السّماء علّة، فلا وجه لعدم رؤيته الآخرون كما صرحت بذلك صحيحة أَبِی أَيُّوبَ إِبْرَاهِيمَ بْنِ عُثْمَانَ الْخَرَّازِ عَنْ أَبِی عَبْدِ اللَّهِ علیه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يُجْزِی في رُؤْيَةِ الْهِلَالِ؟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شَهْرَ رَمَضَانَ فَرِيضَةٌ مِنْ فَرَائِضِ اللَّهِ فَلَا تُؤَدُّوا بِالتَّظَنِّی، وَلَيْسَ رُؤْيَةُ الْهِلَالِ أَنْ يَقُومَ عِدَّةٌ فَيَقُولَ وَاحِدٌ قَدْ رَأَيْتُهُ وَيَقُولَ الْآخَرُونَ لَمْ نَرَهُ، إِذَا رَآهُ وَاحِدٌ رَآهُ مِائَةٌ، وَإِذَا رَآهُ مِائَةٌ رَآهُ أَلْفٌ، وَلَا يُجْزِی في رُؤْيَةِ الْهِلَالِ إِذَا لَمْ يَكُنْ في السَّمَاءِ عِلَّةٌ أَقَلُّ مِنْ شَهَادَةِ خَمْسِينَ، وَإِذَا كَانَتْ في السَّمَاءِ عِلَّةٌ قُبِلَتْ شَهَادَةُ رَجُلَيْنِ يَدْخُلَانِ وَيَخْرُجَانِ مِنْ مِصْرٍ</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فعليه فالفقيه الإمامی نائب عن الإمام علیه السلام في كلّ شیء من شأنه الرّجوع إلی الإمام علیه السلام الّذی منه حكمه بإثبات الهلال، يخرج منه ما كان مشروطاً بالعصمة والمصونة الذاتيّة، وذلك لأنّ الرّجوع إليهم في خصوص الأحكام </w:t>
      </w:r>
    </w:p>
    <w:p>
      <w:pPr>
        <w:pStyle w:val="BookText"/>
        <w:rPr/>
      </w:pPr>
      <w:r>
        <w:rPr>
          <w:rFonts w:ascii="IRNazanin" w:hAnsi="IRNazanin" w:eastAsia="IRNazanin"/>
          <w:color w:val="111111"/>
          <w:sz w:val="28"/>
          <w:sz w:val="28"/>
          <w:szCs w:val="28"/>
          <w:rtl w:val="true"/>
          <w:lang w:bidi="fa-IR"/>
        </w:rPr>
        <w:t xml:space="preserve">والفتاوی معلوم لدی الجميع علی وجه لايحتاج إلی الفهم والسّؤال، وقد صرّح بذلك الحاج آقا رضا الهمدانی رحمه الله حيث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تدبّر في هذا التوقيع الشريف يرى أنّه علیه السلام قد أراد بهذا التوقيع إتمام الحجّة على شيعته في زمان غيبته بجعل الرّواة حجّة عليهم على وجه لايسع لأحد أن يتخطّى عمّا فرضه اللّه معتذراً بغيبة الإمام، لامجرّدحجّية قولهم في نقل الرّواية أو الفتوى؛ فإنّ هذا مع أنّه لايناسبه التعبير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حجتی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لايتفرّع عليه مرجعيتهم في الحوادث الواقعة الّتي هی عبارة عن الجزئيات الخارجية الّتي من شأنها الإيكال إلى الإمام، كفصل الخصومات و ولاية الأوقاف والأيتام وقبالة الأراضی الخراجية الّتي قصرت عنها أيدي سلاطين الجور الّذين يجوز التقبّل منهم، وغير ذلك من موارد الحاجة إلى الرجوع إلى الإمام، فلو رأى مثلاً صلاح اليتيم أن يأخذ ماله من هذا الشخص الّذی لا ولاية له عليه شرعاً، وينصب شخصاً آخر قيّما عليه في ضبط أمواله وصرفها في حوائجه فليس لمن عنده مال اليتيم أن يمتنع من ذلك ويستعمل رأيه في التصرّف فيه على حسب ما يراه صلاحاً لحال اليتيم، وكذا في الأوقاف ونظائرها وإن أفتى له الفقيه عموماً بجواز التصرّف فيها بالّتي هی أحسن، فإنّه لو امتنع من دفع المال إلى من نصبه الفقيه قيّما عليه بزعمه أنّ بقاءه عنده أصلح بحال اليتيم من دفعه إلى ذلك الشخص فسرق المال، لم يعذر ذلك الشخص في ما رآه بعد أن نصب الإمام علیه السلام الفقيه حجّة عليه في الحوادث الواقعة الّتي منها هذا المورد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يفهم من تفريع إرجاع العوام إلى الرّواة على جعلهم حجّة عليهم، أنّه أريد بجعلهم حجّة إقامتهم مقامه في ما يرجع فيه إليه، لامجرّد حجّية قولهم في نقل الرواية والفتوى، فيتمّ المطلوب</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ما تقدّم من السيّد الخوئی رحمه الله من قصور أدلّة النيابة عن مثل المقام إذ مسألة الهلال ليست ممّا تجب فيها مراجعة الإمام علیه السلام حتّی في عصر حضوره، فللمكلّف الامتناع عن ذلك والاقتصار على الطرق المقرّرة لإثباته، لاسيّما أنّه لم يعهد في عصر أحد من الأئمّة علیهم السلام حتّى مولانا أمير المؤمنين علیه السلام المتصدّیللخلافة الظاهريّة مراجعة النّاس ومطالبتهم إيّاه في موضوع الهلال كما هو المتداول في العصر الحاضر في مراجعتهم إلى مراجع التقليد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مراجعة الإمام علیه السلام لإثبات ذلك شیء، و وجوب إطاعته بعد ما حكم به شیء آخر، إذ ليس لأحد أن يمتنع من تسليم حكمه بعده،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الأمر في إثبات هلال شوال وعدمه دائر بين وجوب الصيام وحرمته، فمن المعلوم أنّ النّاس كلّما عارضهم شك لإثباته يراجعون لفهم وظيفتهم إلی حكامهم بحيث ربما نری كثيراً من العوام الّذين لم يلتزموا بالتقليد في أحكام دينهم من المراجع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كانوا من المجتهدين، يراجعون المراجع لإثبات هلالي رمضان وشوال، كما تقدّم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في أمثال هذه الموضوعات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هی من المعلوم الرجوع فيها إلى الحكام، كما لا يخفى على من له خبرة بالشرع وسياسته، وبكلمات الأصحاب في المقامات المختلفة، فما صدر من بعض متأخري المتأخرين من الوسوسة في ذلك من غير فرق بين حكمه المستند إلى علمه أو البيّنة أو غيرهما لا ينبغی الالتفات إليه، </w:t>
      </w:r>
    </w:p>
    <w:p>
      <w:pPr>
        <w:pStyle w:val="BookText"/>
        <w:rPr/>
      </w:pPr>
      <w:r>
        <w:rPr>
          <w:rFonts w:ascii="Amiri" w:hAnsi="Amiri" w:eastAsia="Amiri" w:cs="Amiri"/>
          <w:color w:val="111111"/>
          <w:sz w:val="28"/>
          <w:sz w:val="28"/>
          <w:szCs w:val="28"/>
          <w:rtl w:val="true"/>
          <w:lang w:bidi="ar-SA"/>
        </w:rPr>
        <w:t>لما عرفت من ثبوت الهلال بذلك، بل الظاهر عدم الفرق في ذلك بين الحاكم الآخر وغيره، فيجب الصوم أو الفطر على الجميع</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قصّة المعروف عن داود بن الحصين، حيث إنّه روی عن رجل من أصحابه عن أبی عبدالله علیه السلام أَنَّهُ قَالَ وَهُوَ بِالْحِيرَةِ في زَمَانِ أَبِی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دَخَلْتُعَلَيْهِ وَقَدْ شَكَّ النَّاسُ في الصَّوْمِ وَهُوَ وَاللَّهِ مِنْ شَهْرِ رَمَضَانَ فَسَلَّمْتُ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أَ صُمْتَ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وَالْمَائِدَةُ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فَأَكَلْتُ،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مَعَكَ وَالْفِطْرُ مَعَكَ، فَقَالَ الرَّجُلُ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يَوْماً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أُفْطِرُ يَوْماً مِنْ شَهْرِ رَمَضَانَ أَحَبُّ إِلَیَّ مِنْ أَنْ يُضْرَبَ عُنُقِی</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لكن حيث إنّ حجيّة العلم إذا اخذ بنحو الطّريقيّة ذاتيّةٌ، وحجيّة كلّ شیء بسببه وليست بجعل أحد علی وجه لا نحتاج في حجّيته إلی جعل تشريعی حتّی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حينئذ حجةٌ من دون فرق بين كون القاطع قطّاعاً أو غير قطّاع</w:t>
      </w:r>
      <w:r>
        <w:rPr>
          <w:rStyle w:val="FootnoteAnchor"/>
          <w:rtl w:val="true"/>
        </w:rPr>
        <w:footnoteReference w:id="595"/>
      </w:r>
      <w:r>
        <w:rPr>
          <w:rFonts w:ascii="IRNazanin" w:hAnsi="IRNazanin" w:eastAsia="IRNazanin"/>
          <w:color w:val="111111"/>
          <w:sz w:val="28"/>
          <w:sz w:val="28"/>
          <w:szCs w:val="28"/>
          <w:rtl w:val="true"/>
          <w:lang w:bidi="fa-IR"/>
        </w:rPr>
        <w:t>، فإن علم المكلّف خطأ الحاكم أومبناه فيما حكم به، فلم يثبت حكمه في حقّه شيئاً، ومن هنا لا اعتبار بحكم الحاكم إذا حكم بإثبات الهلال بالعين المسلّحة والأجهزة الحديثة كالنظارات القويّة، لمن لم يقلّد أو لم يفت بأثباته كذلك، كما أشار إليه السيّد الخوئی رحمه الله حيث قال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الوجود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أثر له في تكوّن الهلال وإن علمنا بتحقّقه علماً قطعيّاً حسب قواعد الفلك وضوابط علم النجوم، إذ العبرة حسب </w:t>
      </w:r>
    </w:p>
    <w:p>
      <w:pPr>
        <w:pStyle w:val="BookText"/>
        <w:rPr/>
      </w:pPr>
      <w:r>
        <w:rPr>
          <w:rFonts w:ascii="IRNazanin" w:hAnsi="IRNazanin" w:eastAsia="IRNazanin"/>
          <w:color w:val="111111"/>
          <w:sz w:val="28"/>
          <w:sz w:val="28"/>
          <w:szCs w:val="28"/>
          <w:rtl w:val="true"/>
          <w:lang w:bidi="fa-IR"/>
        </w:rPr>
        <w:t>النصوص المتقدّمة بالرؤية وشهادة الشاهدين بها شهادة حسيّة عن باصرة عاديّة لا عن صناعة علميّة أو كشفه عن علوّه وارتفاعه في الليلة الآتية، ومنه تعرف أنّه لا عبرة بالرؤية بالعين المسلّحة المستندة إلی المكبّرات المستحدثة والنظارات القويّة كالتسكوب ونحوه، من غير أنيكون قابلاً للرؤية بالعين المجردة والنظر العادی، نعم لا بأس بتعيين المحل بها ثمّ النظر بالعين المجردة، فإذا كان قابلاً للرؤية ولو بالاستعانة من تلك الآلات في تحقيق المقدمات كفی وثبت به الهلال كما هو واضح</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إن أخبر الحاكم بإثبات الهلال عنده إلّا أنّه لم يحكم به، فلم يثبت خبره في حقّ غيره شيئاً ما دام لم يكن المخبَر حدّ التواتر أو الشياع المفيد للعلم، غاية الأمر إذا أخبر بنحو المشاهدة فهو شاهد واحد يحتاج لإثباته في حق غيره إلی شاهد آخر لكنّه بالنسبة إلی شخصه ممضاة، صرّح بذلك صحيحة علیّ بن جعفر عن أخيه موسى بن جعفر علیه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يَرَى الْهِلَالَ في شَهْرِ رَمَضَانَ وَحْدَهُ لَا يُبْصِرُهُ غَيْرُهُ لَهُ أَنْ يَصُومَ؟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يَشُكَّ فِيهِ فَلْيَصُمْ، وَإِلَّا فَلْيَصُمْ مَعَ النَّاسِ</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يؤيّده ما روی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بريرة أعتقت تحت عبد فاختارت الفسخ، فقال لها النَّبِیِّ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راجعتيه فإنّه أبو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أبأمرك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أنَا 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فيه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فبعد ما فرغنا من مسألة إثبات الهلال بحكم الحاكم عند الإماميّة وأدلّتهم، نذكر صور المتصورة للمسألة وأحكامها الخاصّة فنقول وبه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المسألة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في أوائل المبحث أنّ في المسألة أربعة أقسام متصورة، نبحث هنا عنها وعن أحكامها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ثبت الهلال عند قاطبة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ثبت الهلال عند حاكم العامّة خاصّة، إلا أنّه لا يحصل لنا علم بمخالفة حكمه مع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ثبت الهلال عنده وتبيّن عندنا العلم بمخالفة حكمه مع الواقع لكنّه يمكن لنا أن نعمل علی طبق وظيفتنا بلا خوف ولا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الصورة إلّا أنّه لا يمكن لنا أن نعمل علی طبق مذهب الحقّ بلا خوف ولا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فالحكم فيها واضح لأنّه يكون من باب التّواتر أو الشّياع المفيد للعلم فلا كلام فيه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قبول حكم الحاكم وحده إذا لم يشع الخبر بين المسلمين مشروط عندنا بالعدالة والولاية اللّتين لاأقلّ الأخيرة منهما مفقودة في قاضيهم، فليس لقبول حكمه سبيل، فقد صرّح به في مقبولة عمر بن حمزة المتقدمة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إِلَى الطَّاغُوتِ فَحَكَمَ لَهُ فَإِنَّمَا يَأْخُذُ سُحْتاً وَإِنْ كَانَ حَقُّهُ ثَابِتاً، لِأَنَّهُ أَخَذَ بِحُكْمِ الطَّاغُوتِ وَقَدْ أَمَرَ اللَّهُ عَزَّ وَجَلَّ أَنْ يُكْفَرَ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انْظُرُوا إِلَى مَنْ كَانَ مِنْكُمْ قَدْ رَوَى حَدِيثَنَا وَنَظَرَ في حَلَالِنَا وَحَرَامِنَا وَعَرَفَ أَحْكَامَنَا، فَلْيَرْضَوْا بِهِ حَكَماً فَإِنِّی قَدْ جَعَلْتُهُ عَلَيْكُمْ حَاكِماً، فَإِذَا حَكَمَ بِحُكْمِنَا فَلَمْ يُقْبَلْ مِنْهُ فَإِنَّمَا بِحُكْمِ اللَّهِ </w:t>
      </w:r>
    </w:p>
    <w:p>
      <w:pPr>
        <w:pStyle w:val="BookText"/>
        <w:rPr/>
      </w:pPr>
      <w:r>
        <w:rPr>
          <w:rFonts w:ascii="Amiri" w:hAnsi="Amiri" w:eastAsia="Amiri" w:cs="Amiri"/>
          <w:color w:val="111111"/>
          <w:sz w:val="28"/>
          <w:sz w:val="28"/>
          <w:szCs w:val="28"/>
          <w:rtl w:val="true"/>
          <w:lang w:bidi="ar-SA"/>
        </w:rPr>
        <w:t>اسْتُخِفَّ وَعَلَيْنَا رُدَّ، وَالرَّادُّ عَلَيْنَا الرَّادُّ عَلَى اللَّهِ، وَهُوَ عَلَى حَدِّ الشِّرْكِ بِاللَّهِ عَزَّ وَجَلَّ</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قوله علیه السلام في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حُجَّتِی عَلَيْكُمْ وَأَنَا حُجَّةُ اللَّهِ</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 فهی أيضاً تدلّ علی الرّجوع إلی خصوص الفقهاء الإماميّة لا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فيجب علی المكلّف حينئذ بأن يعمل بالاستصحاب بعدّه اليوم الشّك من الشّهر الماضی كما دلّت عليه صحيحة إِسْحَاقَ بْنِ عَمَّارٍ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لِرُؤْيَتِهِ وَأَفْطِرْ لِرُؤْيَتِهِ، وَإِيَّاكَ وَالشَّكَّ وَالظَّنَّ، فَإِنْ خَفِیَ عَلَيْكُمْ فَأَتِمُّوا الشَّهْرَ الْأَوَّلَ ثَلَاثِينَ</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خبر أَبِی خَالِدٍ الْوَاسِطِیِّ عَنْ أَبِی جَعْفَرٍ علیه السلام عَنْ أَبِيهِ عَنْ عَلِیٍّ علیه السلام في حَدِيثٍ أَنَّ رَسُولَ اللَّه صَلَّى اَللَّهُ عَلَيْهِ وَ آلِهِ وَ سَلَّمْ لَمَّا ثَقُلَ في مَرَضِهِ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اثْنَا عَشَرَ شَهْراً مِنْهَا أَرْبَعَةٌ 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رَجَبٌ مُفْرَدٌ وَذُو الْقَعْدَةِ وَذُو الْحِجَّةِ وَالْمُحَرَّمُ ثَلَاثَةٌ مُتَوَالِيَاتٌ أَلَا وَهَذَا الشَّهْرُ الْمَفْرُوضُ رَمَضَانُ فَصُومُوا لِرُؤْيَتِهِ وَأَفْطِرُوا لِرُؤْيَتِهِ فَإِذَا خَفِیَ الشَّهْرُ فَأَتِمُّوا الْعِدَّةَ شَعْبَانَ ثَلَاثِينَ يَوْماً وَصُومُوا الْوَاحِدَ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زائداً علی ما ورد من عدم جواز التعويل علی قول المخالفين في الصوم والفطر والأضحی</w:t>
      </w:r>
      <w:r>
        <w:rPr>
          <w:rStyle w:val="FootnoteAnchor"/>
          <w:rtl w:val="true"/>
        </w:rPr>
        <w:footnoteReference w:id="603"/>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إِسْمَاعِيلَ الرَّازِیِّ عَنْ أَبِی جَعْفَرٍ </w:t>
      </w:r>
    </w:p>
    <w:p>
      <w:pPr>
        <w:pStyle w:val="BookText"/>
        <w:rPr/>
      </w:pPr>
      <w:r>
        <w:rPr>
          <w:rFonts w:ascii="Amiri" w:hAnsi="Amiri" w:eastAsia="Amiri" w:cs="Amiri"/>
          <w:color w:val="111111"/>
          <w:sz w:val="28"/>
          <w:sz w:val="28"/>
          <w:szCs w:val="28"/>
          <w:rtl w:val="true"/>
          <w:lang w:bidi="ar-SA"/>
        </w:rPr>
        <w:t>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الصَّوْمِ فَإِنَّهُ قَدْ رُوِیَ أَنَّهُمْ لَا يُوَفَّقُونَ لِصَوْمٍ؟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قَدْ أُجِيبَتْ دَعْوَةُ الْمَلَكِ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جُعِلْتُ فِدَاكَ؟قَالَ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قَتَلُوا الْحُسَيْنَ علیه السلام أَمَرَ اللَّهُ تَبَارَكَ وَتَعَالَى مَلَكاً يُنَادِی أَيَّتُهَا الْأُمَّةُ الظَّالِمَةُ الْقَاتِلَةُ عِتْرَةَ نَبِيِّهَا لَا وَفَّقَكُمُ اللَّهُ لِصَوْمٍ وَلَا فِطْرٍ</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روی الشيخ رحمه الله بِإِسْنَادِه عَنْ مُحَمَّدُ بْنُ عَلِیِّ بْنِ مَحْبُوب عَنِ الْعَبَّاسِ عَنْ عَبْدِ اللَّهِ بْنِ الْمُغِيرَةِ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إِنَّا شَكَكْنَا سَنَةً في عَامٍ مِنْ تِلْكَ الْأَعْوَامِ في الْأَضْحَى، فَلَمَّا دَخَلْتُ عَلَى أَبِی جَعْفَرٍ علیه السلام وَكَانَ بَعْضُ أَصْحَابِنَا يُضَحِّی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 يَوْمُ يُفْطِرُ النَّاسُ وَالْأَضْحَى يَوْمُ يُضَحِّی النَّاسُ، وَالصَّوْمُ يَوْمُ يَصُومُ النَّاس</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وروی أيضاً عن النَّبِیِّ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فِطْرُكُمْ يَوْمَ تُفْطِرُونَ وَأَضْحَاكُمْ يَوْمَ تُضْحُونَ وَعَرَفَتُكُمْ يَوْمَ تُعَرِّفُونَ</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 فعليه لزم علينا متابعة العامّة في الفطر والأضحی والوقوفين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 عليه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رواه الشّيخ رحمه الله بإسناده عن محمّد بن علیّ بن محبوب وإن كان طريقه إلى محمّد بن علیّ بن محبوب علی ما في مشيخة التهذيب متشكلاً من عدة ثقات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ذكرته في هذا الكتاب عن محمّد بن علیّ بن محبوب فقد أخبرنی به الحسين بن عبيد اللّه عن أحمد بن محمّد بن يحيى العطار، عن أبيه محمّد بن يحيى، عن محمّد بن علیّ بن محبوب</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الحلي رحمه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طريق الشيخ الطوسی رحمه الله في التهذيب إلى محمّد بن يعقوب الكلينی صحيح، وإلى أحمد بن إدريس وكذا إلى علیّ بن إبراهيم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عن محمّد بن علیّ بن محبوب</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سائر رواته، إلّا أنّ في طريقه زياد بن المنذر المكنّی بأبی الجارود الزيدی المذهب الّذی إليه تنسب الجاروديّة لم تثبت وثاقته عند أئمة الرّجال</w:t>
      </w:r>
      <w:r>
        <w:rPr>
          <w:rStyle w:val="FootnoteAnchor"/>
          <w:rtl w:val="true"/>
        </w:rPr>
        <w:footnoteReference w:id="609"/>
      </w:r>
      <w:r>
        <w:rPr>
          <w:rFonts w:ascii="IRNazanin" w:hAnsi="IRNazanin" w:eastAsia="IRNazanin"/>
          <w:color w:val="111111"/>
          <w:sz w:val="28"/>
          <w:sz w:val="28"/>
          <w:szCs w:val="28"/>
          <w:rtl w:val="true"/>
          <w:lang w:bidi="fa-IR"/>
        </w:rPr>
        <w:t xml:space="preserve">، وإن وثّقه المحقّق الخوئی رحمه الله لوقوعه في أسانيد كامل الزيارات بأنّه قد شهد جعفر بن محمّد بن قولويه بوثاقة جميع رواتها </w:t>
      </w:r>
      <w:r>
        <w:rPr>
          <w:rStyle w:val="FootnoteAnchor"/>
          <w:rtl w:val="true"/>
        </w:rPr>
        <w:footnoteReference w:id="610"/>
      </w:r>
      <w:r>
        <w:rPr>
          <w:rFonts w:ascii="IRNazanin" w:hAnsi="IRNazanin" w:eastAsia="IRNazanin"/>
          <w:color w:val="111111"/>
          <w:sz w:val="28"/>
          <w:sz w:val="28"/>
          <w:szCs w:val="28"/>
          <w:rtl w:val="true"/>
          <w:lang w:bidi="fa-IR"/>
        </w:rPr>
        <w:t>، لكنّ المشهور أنّه رحمه الله قد عدل عن هذا المبنی في آخر عمره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الرّواية النّبويّ صَلَّى اَللَّهُ عَلَيْهِ وَ آلِهِ وَ سَلَّمْ فإنّها أيضاً من الأخبار الآحاد الّتي لم تثبت من طرق الصّحيح في المجامع الرّوائيّة والأصل فيها هو ما حكاها بعض العامّة كالبيهقی في سننه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ينطبق الخبران علی الأصول والقواعد المقررة في الفقه الإماميّة فلا يثبت بهما شیء، زائداً علی أنّه يمكن أن يكون المراد منهما هو ما إذا ثبت الهلال بالشّياع لا ما إذا ثبت الهلال عند قاضی العامّة وحاكمهم من دون شياع وتواتر فتكونان دليلين علی عدّ يوم الشك من الشهر الماضی ما دام لم يشع رؤية الهلال بين النّاس</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تسليم أسنادهما وكونهما ناظرتين لحكم المقام فهما معارضتان لما تقدّم من الأخبار السّابقة وغيرها الدّالّة علی أنّ المعيار في الصّوم والإفطار هو الرّؤية أو مضی الثلاثين، والناهية عن اتّباع الشكّ والظنّ في أمر </w:t>
      </w:r>
    </w:p>
    <w:p>
      <w:pPr>
        <w:pStyle w:val="BookText"/>
        <w:rPr/>
      </w:pPr>
      <w:r>
        <w:rPr>
          <w:rFonts w:ascii="Amiri" w:hAnsi="Amiri" w:eastAsia="Amiri" w:cs="Amiri"/>
          <w:color w:val="111111"/>
          <w:sz w:val="28"/>
          <w:sz w:val="28"/>
          <w:szCs w:val="28"/>
          <w:rtl w:val="true"/>
          <w:lang w:bidi="ar-SA"/>
        </w:rPr>
        <w:t>الهلال، فبمقتضی ما رَوَى الْعَلَّامَةُ مَرْفُوعاً إِلَى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يَأْتِی عَنْكُمُ الْخَبَرَانِ أَوِ الْحَدِيثَانِ الْمُتَعَارِضَانِ فَبِأَيِّهِمَا آخُذُ؟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خُذْ بِمَا اشْتَهَرَ بَيْنَ أَصْحَابِكَ وَدَعِ الشَّاذَّ النَّادِرَ،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سَيِّدِی إِنَّهُمَا مَعاً مَشْهُورَانِ مَرْوِيَّانِ مَأْثُورَانِ عَنْكُمْ؟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بِقَوْلِ أَعْدَلِهِمَا عِنْدَكَ وَأَوْثَقِهِمَا في نَفْسِكَ،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وَافَقَ مِنْهُمَا مَذْهَبَ الْعَامَّةِ فَاتْرُكْهُ، وَخُذْ بِمَا خَالَفَهُمْ،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مَعاً مُوَافِقَيْنِ لَهُمْ أَوِ مُخَالِفَيْنِ فَكَيْفَ أَصْنَعُ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فَخُذْ بِمَا فِيهِ الْحَائِطَةُ لِدِينِكَ وَاتْرُكْ مَا خَالَفَ الِاحْتِيَاطَ،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لِلِاحْتِيَاطِ أَوْ مُخَالِفَانِ لَهُ فَكَيْفَ أَصْنَعُ؟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فَتَخَيَّرْ أَحَدَهُمَا فَتَأْخُذَ بِهِ وَتَدَعَ الْأَخِيرَ</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 xml:space="preserve">، حيث إنّ الرّوايات الأولی مشهورةٌ بل متّفقةٌ عليها عند الأصحاب أوّلاً، ومخالفةٌ لما أفتی به العامّة بأجمعهم ثانياً، إذ فقهاء العامّة علی ما قاله الجزيری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يشترطوا في إثبات الهلال حكم الحاكم لكنّهم اتّفقوا علی أنّه لوحكم بثبوت الهلال علی أیّ طريق في مذهبه فبما أنّ حكم الحاكم يرفع الخلاف، ثبت في حقّ عموم المسلمين وإن خالفوه في المذهب</w:t>
      </w:r>
      <w:r>
        <w:rPr>
          <w:rStyle w:val="FootnoteAnchor"/>
          <w:rtl w:val="true"/>
        </w:rPr>
        <w:footnoteReference w:id="612"/>
      </w:r>
      <w:r>
        <w:rPr>
          <w:rFonts w:ascii="IRNazanin" w:hAnsi="IRNazanin" w:eastAsia="IRNazanin"/>
          <w:color w:val="111111"/>
          <w:sz w:val="28"/>
          <w:sz w:val="28"/>
          <w:szCs w:val="28"/>
          <w:rtl w:val="true"/>
          <w:lang w:bidi="fa-IR"/>
        </w:rPr>
        <w:t>، وزائدة علی كونها موافقةً لأصل الإستصحاب ثالثاً، فنقدّمها علی هذين الرّوايتين الأخيرتين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فيما لوكان العمل بخلاف العامّة وعلی طبق المذهب الحقّ بلا تقيّة ممكناً كما صرّح به الإمام الرّاحل قدس سره حيث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ثبت هلال ذی الحجة عند القاضی من العامة وحكم به ولم يثبت عندنا فإن أمكن العمل على طبق المذهب الحقّ بلا تقية وخوف وجب</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وإلا سيأتی حكمه عند بيان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حكم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ثبت الهلال عند حاكم العامّة وقاضيهم لكنّه تبيّن عندنا العلم بمخالفة حكمه مع الواقع، كما إذا علمنا بأنّه حكم بإثبات الهلال علی خلاف الصناعة العلميّة والقواعد المقرّرة عندنا مثل قبوله شهادة واحدة أو شهادة النّساء به منفردات، إلّا أنّه يمكن لنا أن نعمل علی طبق الوظيفة بلا خوف ولا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فالحكم في هذه الصّورة أظهر من سابقتها، فما نقول فيها آت هنا بعينه زائدةً علی أنّه حيث نعلم خطأ الحاكم في حكمه في هذه الصّورة نزيد عليه أيضاً بأنّ قبول حكم الحاكم كما عرفت منوط بعدم العلم بخطأ الحاكم في مستنده إذ حجّيّة العلم إذا أخذ بنحو الطريقيّة ذاتيّة وحجّيّة كلّ شیء بسببه، وحينئذ حيث فرضنا أنّه يمكن للمكلّف أن يعمل علی طبق وظيفته الشّرعيّة بجعل يوم الشّك من الشّهر الماضی بلا خوف ولا ضرر فلا بدّ له من أن يعمل علی طبق تكليفه الشّرعی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حكم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هی أهمّ صور المسألة ومن أجلها ندوّن المقالة، وهی ما إذا ثبت الهلال عند حاكم العامّة وقاضيهم وتبيّن عندنا العلم بمخالفة حكمه مع الواقع، لكنّه لايمكن لنا أن نعمل علی طبق مذهب الحقّ بلا خوف ولاضرر، ففی بطلان الحجّ وصحّته حينئذ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كونه من </w:t>
      </w:r>
    </w:p>
    <w:p>
      <w:pPr>
        <w:pStyle w:val="BookText"/>
        <w:rPr/>
      </w:pPr>
      <w:r>
        <w:rPr>
          <w:rFonts w:ascii="Amiri" w:hAnsi="Amiri" w:eastAsia="Amiri" w:cs="Amiri"/>
          <w:color w:val="111111"/>
          <w:sz w:val="28"/>
          <w:sz w:val="28"/>
          <w:szCs w:val="28"/>
          <w:rtl w:val="true"/>
          <w:lang w:bidi="ar-SA"/>
        </w:rPr>
        <w:t>قبيل المصدود</w:t>
      </w:r>
      <w:r>
        <w:rPr>
          <w:rStyle w:val="FootnoteAnchor"/>
          <w:rtl w:val="true"/>
        </w:rPr>
        <w:footnoteReference w:id="614"/>
      </w:r>
      <w:r>
        <w:rPr>
          <w:rFonts w:ascii="IRNazanin" w:hAnsi="IRNazanin" w:eastAsia="IRNazanin"/>
          <w:color w:val="111111"/>
          <w:sz w:val="28"/>
          <w:sz w:val="28"/>
          <w:szCs w:val="28"/>
          <w:rtl w:val="true"/>
          <w:lang w:bidi="fa-IR"/>
        </w:rPr>
        <w:t xml:space="preserve">أو من مصاديق فوات الحجّ فيبطل، ومن كونه من مصاديق التقيّة فيصحّ، أقواهما الثانی، فمن القائلين بالأوّل الشهيد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المصدود إمّا أن يكون حاجّا أو معتمراً، والمعتمر إمّا أن يكون متمتّعاً أو مفرداً، فإن كان حاجاً تحقّق صدّه بالمنع من الموقفين معاً إجماعاً، وبالمنع من أحدهما مع فوات الآخر، وبالمنع من المشعر مع إدراك اضطراریّ عرفة خاصّة دون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يتحقّق بالمنع ممّا يفوت بسببه الحج، وقد تقدّم تحرير اقسامه الثمانية، ومن هذا الباب ما لو وقف العامّة بالموقفين قبل وقته لثبوت الهلال عندهم لا عندنا، ولم يمكن التأخّر عنهم لخوف العدو منهم أو من غيرهم فإنّ التقية هنا لم يثبت</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وقريب منه ما قاله صاحب الجواهر رحمه الله في رسالته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وقف العامّة بالموقفين قبل وقته لثبوت الهلال عندهم دوننا ولم يمكن التاخّر عنهم فهو بحكم من فاته الحجّ لا بحكم المصدود وان كان الأحوط اجراء الحكمين عليه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والمحقّق النائنی رحمه الله علی ما في دليل مناسكه عن السيّد الحكيم رحمه الله أفتی فيه بالبطلان لكونه من أقسام فوات الحجّ، حيث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وقف مخالفونا بالموقفين قبل وقته لثبوت الهلال عندهم دوننا، ولم يمكن التخلف عنهم حتى في إدراك اضطراری الموقفين، كان من فوات الحج كما تقدّم، وليس من الصد عن الموقفين، ويتحلل عن إحرامه بعمرة مفردة، وكذا كل من تعذّر عليه المضی في حجه لمانع، ولم يكن ممنوعاً عن دخول مكة، ولا عن الموقفين</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القائلين بصحّة الحجّ حينئذ الإمام الراحل قدس سره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ثبت هلال ذی الحجة عند القاضی من العامة وحكم به ولم يثبت عندنا فإن أمكن العمل على طبق المذهب الحقّ بلا تقية وخوف وجب، وإلا وجبت التبعية عنهم، وصحّ الحجّ لولم تتبين المخالفة للواقع، بل لا يبعد الصحة مع العلم بالمخالفة، ولا تجوز المخالفة، بل في صحّة الحجّ مع مخالفة التّقية إشكال</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التحقيق أنّ الحكم الأوليّة في هذه الصّورة هو أيضاً عدم تنفيذ حكمه، لما نعلم أنّ حكمه مخالف للواقع وللقواعد المقررة للاستنباط، فعلی المكلّف أن يعمل بما هو وظيفته الشرعيّة، لكنّه حيث لم يمكنه أن يعمل علی طبق وظيفته بلا خوف ولا ضرر فبما أنّ دائرة الأحكام والتكاليف الأوليّة منوطة بعدم الضّرر والحرج من دون فرق في ذلك أن يكون الضّر أو الخوف متوجهين إلی شخص المكلّف أو غيره أو إلی مذهبه مثل هتك حرمة الشيعة وانحطاط شأنهم وجعلهم في معرض التّهمة ومظنة السّوء، فقاعدتي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حاكمان علی تلك الأحكام، فلا يجب علی المكلّف أن يقف في الموقفين في وقتهما الخاصّ بل يجب عليه أن يقف فعلاً فيهما مع سائر المسلمين، فإنّه قد وردت هناك روايات </w:t>
      </w:r>
    </w:p>
    <w:p>
      <w:pPr>
        <w:pStyle w:val="BookText"/>
        <w:rPr/>
      </w:pPr>
      <w:r>
        <w:rPr>
          <w:rFonts w:ascii="IRNazanin" w:hAnsi="IRNazanin" w:eastAsia="IRNazanin"/>
          <w:color w:val="111111"/>
          <w:sz w:val="28"/>
          <w:sz w:val="28"/>
          <w:szCs w:val="28"/>
          <w:rtl w:val="true"/>
          <w:lang w:bidi="fa-IR"/>
        </w:rPr>
        <w:t>متواترة، بل فوق حدّ التواتر في مشروعية التقية ولزوم رعايتها، وفی بعضها أنّه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تارك التّقيّة كتارك الصّلاة لكنت صادقاً،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ابْنِ أَبِی عُمَيْرٍ عَنْ هِشَامِ بْنِ سَالِمٍ وَغَيْرِهِ عَنْ أَبِی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صَبَرُوا عَلَى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وَيَدْرَؤُنَ بِالْحَسَنَةِ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w:t>
      </w:r>
    </w:p>
    <w:p>
      <w:pPr>
        <w:pStyle w:val="BookText"/>
        <w:rPr/>
      </w:pPr>
      <w:r>
        <w:rPr>
          <w:rFonts w:ascii="Amiri" w:hAnsi="Amiri" w:eastAsia="Amiri" w:cs="Amiri"/>
          <w:color w:val="111111"/>
          <w:sz w:val="28"/>
          <w:sz w:val="28"/>
          <w:szCs w:val="28"/>
          <w:rtl w:val="true"/>
          <w:lang w:bidi="ar-SA"/>
        </w:rPr>
        <w:t>التَّقِيَّةُ وَالسَّيِّئَةُ الْإِذَاعَةُ</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وصحيحة زُرَارَةَ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 وَصَاحِبُهَا أَعْلَمُ بِهَا حِينَ تَنْزِلُ بِهِ</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إِسْمَاعِيلَ الْجُعْفِیِّ وَمَعْمَرِ بْنِ يَحْيَى بْنِ سَامٍ وَمُحَمَّدِ بْنِ مُسْلِمٍ وَزُرَارَةَ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شَیْ‌ءٍ يُضْطَرُّ إِلَيْهِ ابْنُ آدَمَ فَقَدْ أَحَلَّهُ اللَّهُ لَهُ</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الْقِيَامِ لِلْوُلَاةِ؟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مِنْ دِينِی وَدِينِ آبَائِی وَلَا إِيمَانَ لِمَنْ لَا تَقِيَّةَ لَهُ</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عَبْدِ اللَّهِ بْنِ أَبِی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تُرْسُ الْمُؤْمِنِ وَالتَّقِيَّةُ حِرْزُ الْمُؤْمِنِ وَلَا إِيمَانَ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جَمِيلِ بْنِ صَالِحٍ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أَبِی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أَقَرُّ لِلْعَيْنِ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جُنَّةُ الْمُؤْمِنِ</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وصحيحة الْحُسَيْنِ بْنِ خَالِدٍ عَنِ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وَرَعَ لَهُ، وَلَا إِيمَانَ لِمَنْ لَا تَقِيَّةَ لَهُ، وَإِنَّ أَكْرَمَكُمْ عِنْدَ اللَّهِ أَعْمَلُكُمْ بِالتَّقِيَّةِ،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قِيَامِ الْقَائِمِ، فَمَنْ تَرَكَ التَّقِيَّةَ قَبْلَ خُرُوجِ قَائِمِنَا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أَبی عُمَرَ الْأَعْجَمِیِّ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عُمَرَ إِنَّ تِسْعَةَ أَعْشَارِ الدِّينِ في التَّقِيَّةِ وَلَا دِينَ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حَبِيبِ بْنِ بَشِيرٍقَالَ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أَبِی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عَلَى وَجْهِ الْأَرْضِ شَیْ‌ءٌ أَحَبَّ إِلَیَّ مِنَ التَّقِيَّةِ، يَا حَبِيبُ إِنَّهُ مَنْ كَانَتْ لَهُ تَقِيَّةٌ رَفَعَهُ اللَّهُ، يَا حَبِيبُ مَنْ لَمْ تَكُنْ لَهُ تَقِيَّةٌ وَضَعَهُ اللَّهُ، يَا حَبِيبُ إِنَّ النَّاسَ إِنَّمَا هُمْ في هُدْنَةٍ فَلَوْ قَدْ كَانَ ذَلِكَ كَانَ هَذَا</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ومرفوعة ابن إدريس الحلي رحمه الله عن داود الصّرمی عن مولانا علیّ بن محمّد الهادی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لَوْ قُلْتُ إِنَّ تَارِكَ التَّقِيَّةِ كَتَارِكِ الصَّلَاةِ لَكُنْتُ صَادِقاً</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ممّا ذكرنا أنّ المكلّف يجب عليه حينئذ أن يقف في الموقفين مع سائر المسلمين، لكنّه بقی هنا شیء وهو أنّه هل الحجّ هذا مجزیء عمّا هو واجب عليه أم لا ؟ </w:t>
      </w:r>
      <w:bookmarkStart w:id="196" w:name="pg7917_84858"/>
    </w:p>
    <w:p>
      <w:pPr>
        <w:pStyle w:val="Heading2"/>
        <w:numPr>
          <w:ilvl w:val="1"/>
          <w:numId w:val="1"/>
        </w:numPr>
        <w:rPr/>
      </w:pPr>
      <w:bookmarkStart w:id="197" w:name="__RefHeading___Toc6355233_1051229030"/>
      <w:bookmarkStart w:id="198" w:name="_Toc65"/>
      <w:bookmarkEnd w:id="196"/>
      <w:bookmarkEnd w:id="197"/>
      <w:r>
        <w:rPr>
          <w:rtl w:val="true"/>
        </w:rPr>
        <w:t>هل الحجّ مع مراعاة التّقية في الصّورة الأخيرة مجزیء عمّا هو واجب عليه من الحجّ أم لا؟</w:t>
      </w:r>
      <w:bookmarkEnd w:id="198"/>
    </w:p>
    <w:p>
      <w:pPr>
        <w:pStyle w:val="BookText"/>
        <w:rPr/>
      </w:pPr>
      <w:r>
        <w:rPr>
          <w:rFonts w:ascii="IRNazanin" w:hAnsi="IRNazanin" w:eastAsia="IRNazanin"/>
          <w:color w:val="111111"/>
          <w:sz w:val="28"/>
          <w:sz w:val="28"/>
          <w:szCs w:val="28"/>
          <w:rtl w:val="true"/>
          <w:lang w:bidi="fa-IR"/>
        </w:rPr>
        <w:t>قد عرفت أنّ التكليف الفعلی للمكلّف حينئذ هو مراعاة التّقيّة والوقوف مع سائر المسلمين في الموقفين، لكنّه بقی هنا أمرٌ آخر وهو أنّه هل يجزی حجّه هذا عمّا هو واجب عليه، أو يجب عليه أن يبدلّ حجّه بالعمرة المفردة للخروج عن الأحرام، فإن كانت استطاعته من السّنة الحاضرة ولم تبق بعدها سقط عنه الوجوب وإلّا يجب عليه الحجّ من قابل؟</w:t>
      </w:r>
    </w:p>
    <w:p>
      <w:pPr>
        <w:pStyle w:val="BookText"/>
        <w:rPr/>
      </w:pPr>
      <w:r>
        <w:rPr>
          <w:rFonts w:ascii="IRNazanin" w:hAnsi="IRNazanin" w:eastAsia="IRNazanin"/>
          <w:color w:val="111111"/>
          <w:sz w:val="28"/>
          <w:sz w:val="28"/>
          <w:szCs w:val="28"/>
          <w:rtl w:val="true"/>
          <w:lang w:bidi="fa-IR"/>
        </w:rPr>
        <w:t xml:space="preserve">فمن القائلين بالأوّل الشّيخ محمّد حسن النّجفی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يستبعد جوازه وقال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بقی هنا شیءٌ مهمٌّ تشتدّ الحاجة إليه وهو أنّه لو قامت البيّنة عند قاضی العامّة وحكم بالهلال علی وجه يكون يوم التروية عندنا عرفة عندهم، فهل يصحّ للإمامیّ الوقوف معهم ويجزی لأنّه من أحكام التّقيّة ويعسر التكليف بغيره، أو لا يجزی لعدم ثبوتها في الموضوع الّذی محلّ الفرض منه، كما يؤمی إليه وجوب القضاء في حكمهم بالعيد في شهر رمضان الّذی دلّت عليه النصوص الّتي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أفطر يوماً ثمَّ أقضيه أحب إلىَّ من أن يضرب عنقی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أجد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كلاماً في ذلك، ولا يبعد القول بالاجزاء هنا إلحاقاً له بالحكم للحرج، واحتمال مثله في القضاء، وقد عثرت على الحكم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للعلامة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مع ذلك فالاحتياط لا ينبغی تركه، والله العالم</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أيضاً خيرة الإمام الرّاحل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آنفاً، وأصرح منه 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يشهد لترتب أثر التقيّة في الموضوعات وأنّ الوقوفين في غير وقتهما مجزيان أنّه من بعد رسول اللّ صَلَّى اَللَّهُ عَلَيْهِ وَ آلِهِ وَ سَلَّمْ إلى زمان خلافة أمير المؤمنين ومن بعده إلى زمن الغيبة كان الأئمة وشيعتهم مبتلين بالتّقية أكثر من مائتي سنة وكانوا يحجّون مع أمراء الحاج من قبل خلفاء الجور أو معهم، وكان أمر الحجّ وقوفاً وإفاضةً بأيديهم لكونه من شئون السلطنة والأمارة، ولا ريب في كثرة تحقق يوم الشك في تلك السنين المتمادية ولم يرد من الأئمة علیهم السلام ما يدلّ على جواز التخلّف عنهم أو لزوم إعادة الحجّ في سنة يكون هلال شهر ذی الحجة ثابتاً لدى الشّيعة مع كثرة ابتلائهم، ولا مجال لتوهم عدم الخلاف في أول الشهر في نحو مائتي وأربعين سنة ولافی بنائهم على إدراك الوقوف خفاء كما يصنع جهّال الشيعة في هذه الأزمنة، ضرورة أنّه لو وقع ذلك منهم ولو مرة أو أمروا به ولو دفعة لكان منقولاً إلينا لتوفر الدّواعی به، فعدم أمرهم به ومتابعتهم لهم أدلّ دليل على أجزاء العمل تقية ولو في الخلاف الموضوعی وهذا ممّا لا إشكال فيه ظاهراً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القائلين بالثّانی لدی العلم بالخلاف السيّد الخوئی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ثبت الهلال عند قاضی أهل السنة وحكم على طبقه، ولم يثبت عند الشيعة ففيه صورتان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احتملت مطابقة الحكم للواقع، فعندئذ وجبت متابعتهم والوقوف معهم وترتيب جميع آثار ثبوت الهلال الراجعة إلى مناسك حجّه من الوقوفين وأعمال منى يوم النحر </w:t>
      </w:r>
    </w:p>
    <w:p>
      <w:pPr>
        <w:pStyle w:val="BookText"/>
        <w:rPr/>
      </w:pPr>
      <w:r>
        <w:rPr>
          <w:rFonts w:ascii="IRNazanin" w:hAnsi="IRNazanin" w:eastAsia="IRNazanin"/>
          <w:color w:val="111111"/>
          <w:sz w:val="28"/>
          <w:sz w:val="28"/>
          <w:szCs w:val="28"/>
          <w:rtl w:val="true"/>
          <w:lang w:bidi="fa-IR"/>
        </w:rPr>
        <w:t>وغيرها ويجزئ هذا في الحجّ على الأظهر، ومن خالف ما تقتضيه التقيّة بتسويل نفسه أنّ الاحتياط في مخالفتهم، ارتكب محرماً وفسد 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تجب متابعة الحاكم السنّی تقيّة، ويصحّ معها الحجّ والاحتياط حينئذ غير مشروع ولا سيّما إذا كان فيه خوف تلف النفس ونحوه كما قد يتّفق ذلك في زماننا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فرض العلم بالخلاف وأنّ اليوم الّذی حكم القاضی بأنّه يوم عرفة هو يوم التروية واقعاً، ففی هذه الصورة لا يجزئ الوقوف معهم، فإن تمكّن المكلّف من العمل بالوظيفة والحال هذه ولو بأن يأتی بالوقوف الاضطراری في المزدلفة دون أن يترتب عليه أیّ محذور ولوكان المحذور مخالفته للتقيّة، عمل بوظيفته، وإلّا بدّل حجّة بالعمرة المفردة ولا حجّ له، فإن كانت استطاعته من السنة الحاضرة ولم تبق بعدها سقط عنه الوجوب إلّا إذا طرأت عليه الاستطاعة من جديد</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التحقيق أنّ الّذی قاله السيّد الخوئی رحمه الله هنا من الحكم في الصّورة الأولی من لزوم متابعة العامّة عند احتمال مطابقة حكمهم للواقع إذا لم يشع أمر الهلال بين النّاس، إنّما هو فيما لا يمكن لنا العمل علی طبق الوظيفة الشّرعيّة بجعل يوم الشّك بلا خوف ولا ضرر من الشّهر الماضی استصحاباً، وإلّا كانت الوظيفة علی حسب المبانی الأوليّة كما عرفت العمل بالاستصحاب بلا ريب، هذا أوّلاً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الإجزاء علی ما بُيّن في الأصول</w:t>
      </w:r>
      <w:r>
        <w:rPr>
          <w:rStyle w:val="FootnoteAnchor"/>
          <w:rtl w:val="true"/>
        </w:rPr>
        <w:footnoteReference w:id="632"/>
      </w:r>
      <w:r>
        <w:rPr>
          <w:rFonts w:ascii="IRNazanin" w:hAnsi="IRNazanin" w:eastAsia="IRNazanin"/>
          <w:color w:val="111111"/>
          <w:sz w:val="28"/>
          <w:sz w:val="28"/>
          <w:szCs w:val="28"/>
          <w:rtl w:val="true"/>
          <w:lang w:bidi="fa-IR"/>
        </w:rPr>
        <w:t xml:space="preserve">هو ما إذا أتی المكلّف بالمأمور به الاضطراری أو الظاهری عند عدم تمكنه من الإتيان بالمأمور به بالأمر </w:t>
      </w:r>
    </w:p>
    <w:p>
      <w:pPr>
        <w:pStyle w:val="BookText"/>
        <w:rPr/>
      </w:pPr>
      <w:r>
        <w:rPr>
          <w:rFonts w:ascii="IRNazanin" w:hAnsi="IRNazanin" w:eastAsia="IRNazanin"/>
          <w:color w:val="111111"/>
          <w:sz w:val="28"/>
          <w:sz w:val="28"/>
          <w:szCs w:val="28"/>
          <w:rtl w:val="true"/>
          <w:lang w:bidi="fa-IR"/>
        </w:rPr>
        <w:t>الواقعی، كمن تيمّم عند فقدانه الماء أو تعذّر من استعمال الماء، فحينئذ حيث إنّه أتی بما هو مقدور له فعلاً وأنّ هذا الأمر الظاهری أو الاضطراری أمرٌ ثانویٌّ له شرعاً، فبما أنّ الله تبارك وتعالی لايكلّف عباده إلّا بما هو مقدورٌ لهم</w:t>
      </w:r>
      <w:r>
        <w:rPr>
          <w:rStyle w:val="FootnoteAnchor"/>
          <w:rtl w:val="true"/>
        </w:rPr>
        <w:footnoteReference w:id="633"/>
      </w:r>
      <w:r>
        <w:rPr>
          <w:rFonts w:ascii="IRNazanin" w:hAnsi="IRNazanin" w:eastAsia="IRNazanin"/>
          <w:color w:val="111111"/>
          <w:sz w:val="28"/>
          <w:sz w:val="28"/>
          <w:szCs w:val="28"/>
          <w:rtl w:val="true"/>
          <w:lang w:bidi="fa-IR"/>
        </w:rPr>
        <w:t>، فهذا العمل الإضطراری أو الظاهری لامحالة يقع مجزياً عن المأمور به بالأمر الواقعی الأوّلی، غير أنّ هذا غير جارية هنا إذ المكلّف في فرض العلم بمخالفة حكمهم مع الواقع لم يفعل ما هو مصداق للمأمور به لا واقعاً ولا ظاهراً، لعدم كون الوقوف في يوم التّروية في العرفات وكذا ليلة العرفة في المشعر مأموراً به أصلاً، فلا وجه لصحّة الحجّ حينئذ</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الّذی يسهّل الأمر في المقام وكما أشرنا إليه في بدو حكم هذه الصّورة الأخيرة، أنّ دائرة الأحكام والتكاليف الأوليّة منوطة بعدم الضّرر والحرج فكلّما اتّفق ذلك لمكلّف أو لقاطبة من المكلّفين فقاعدتا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لهم بعنوان الحكم الثانوی بالنسبة إلی تلك الأحكام الحرجيّة والضّرريّة الأوليّة، والحكومة كما يقال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يقدّم أحد الدليلين على الآخر تقديم سيطرة وقهر من ناحية أدائية لا من ناحية السّند أو الحجيّة، بل هما على ما هما عليه من الحجيّة بعد التّقديم، بمعنی أنّهما بحسب لسانهما وأدائهما لا يتكاذبان في مدلولهما فلا يتعارضان كما في الخاصّ المنافی في مدلوله للعام، وإنّما التَقديم كما عرفت من ناحية أدائية بحسب لسانهما، بمعنى أنّ الدليل الحاكم يكون لسانه لسان تحديد موضوع الدليل المحكوم أو محموله تنزيلاً وادّعاءً، فلذلك يكون الدليل الحاكم متصرفاً في عقد الوضع أو عقد الحمل في الدليل </w:t>
      </w:r>
    </w:p>
    <w:p>
      <w:pPr>
        <w:pStyle w:val="BookText"/>
        <w:rPr/>
      </w:pPr>
      <w:r>
        <w:rPr>
          <w:rFonts w:ascii="Amiri" w:hAnsi="Amiri" w:eastAsia="Amiri" w:cs="Amiri"/>
          <w:color w:val="111111"/>
          <w:sz w:val="28"/>
          <w:sz w:val="28"/>
          <w:szCs w:val="28"/>
          <w:rtl w:val="true"/>
          <w:lang w:bidi="ar-SA"/>
        </w:rPr>
        <w:t>المحكوم</w:t>
      </w:r>
      <w:r>
        <w:rPr>
          <w:rStyle w:val="FootnoteAnchor"/>
          <w:rtl w:val="true"/>
        </w:rPr>
        <w:footnoteReference w:id="634"/>
      </w:r>
      <w:r>
        <w:rPr>
          <w:rFonts w:ascii="Amiri" w:hAnsi="Amiri" w:eastAsia="Amiri" w:cs="Amiri"/>
          <w:color w:val="111111"/>
          <w:sz w:val="28"/>
          <w:sz w:val="28"/>
          <w:szCs w:val="28"/>
          <w:rtl w:val="true"/>
          <w:lang w:bidi="ar-SA"/>
        </w:rPr>
        <w:t>، من أمثلتها في الشّرعيّات مثل أنّه لا شك لكثير الشّك</w:t>
      </w:r>
      <w:r>
        <w:rPr>
          <w:rStyle w:val="FootnoteAnchor"/>
          <w:rtl w:val="true"/>
        </w:rPr>
        <w:footnoteReference w:id="635"/>
      </w:r>
      <w:r>
        <w:rPr>
          <w:rFonts w:ascii="IRNazanin" w:hAnsi="IRNazanin" w:eastAsia="IRNazanin"/>
          <w:color w:val="111111"/>
          <w:sz w:val="28"/>
          <w:sz w:val="28"/>
          <w:szCs w:val="28"/>
          <w:rtl w:val="true"/>
          <w:lang w:bidi="fa-IR"/>
        </w:rPr>
        <w:t>، أو نفی شك المأموم مع حفظ الإمام وبالعكس</w:t>
      </w:r>
      <w:r>
        <w:rPr>
          <w:rStyle w:val="FootnoteAnchor"/>
          <w:rtl w:val="true"/>
        </w:rPr>
        <w:footnoteReference w:id="636"/>
      </w:r>
      <w:r>
        <w:rPr>
          <w:rFonts w:ascii="Amiri" w:hAnsi="Amiri" w:eastAsia="Amiri" w:cs="Amiri"/>
          <w:color w:val="111111"/>
          <w:sz w:val="28"/>
          <w:sz w:val="28"/>
          <w:szCs w:val="28"/>
          <w:rtl w:val="true"/>
          <w:lang w:bidi="ar-SA"/>
        </w:rPr>
        <w:t>، فإنّ هذا وأشباهه يكون حاكماً على أدلّة حكم الشّك، لأنّ لسانه إخراج شك كثير الشك وشك المأموم أو الإمام عن حضيرة صفة الشّك تنزيلاً فمن حقّه حينئذ ألا يُعطى له أحكام الشّك من نحو إبطال الصّلاة أو البناء على الأكثر أو الأقل أو غير ذلك، وكذا مثل لا غيبة للمتجاهر</w:t>
      </w:r>
      <w:r>
        <w:rPr>
          <w:rStyle w:val="FootnoteAnchor"/>
          <w:rtl w:val="true"/>
        </w:rPr>
        <w:footnoteReference w:id="637"/>
      </w:r>
      <w:r>
        <w:rPr>
          <w:rFonts w:ascii="Amiri" w:hAnsi="Amiri" w:eastAsia="Amiri" w:cs="Amiri"/>
          <w:color w:val="111111"/>
          <w:sz w:val="28"/>
          <w:sz w:val="28"/>
          <w:szCs w:val="28"/>
          <w:rtl w:val="true"/>
          <w:lang w:bidi="ar-SA"/>
        </w:rPr>
        <w:t>، ولا ربا بين الوالد والولد</w:t>
      </w:r>
      <w:r>
        <w:rPr>
          <w:rStyle w:val="FootnoteAnchor"/>
          <w:rtl w:val="true"/>
        </w:rPr>
        <w:footnoteReference w:id="638"/>
      </w:r>
      <w:r>
        <w:rPr>
          <w:rFonts w:ascii="Amiri" w:hAnsi="Amiri" w:eastAsia="Amiri" w:cs="Amiri"/>
          <w:color w:val="111111"/>
          <w:sz w:val="28"/>
          <w:sz w:val="28"/>
          <w:szCs w:val="28"/>
          <w:rtl w:val="true"/>
          <w:lang w:bidi="ar-SA"/>
        </w:rPr>
        <w:t>، أو لحمة الرضاع كلحمة النّسب</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ومثاله في العرفيّات مثل ما لو قال المولی لعبده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عقيب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الأخير يكون حاكماً علی أمره الأوّل نتيجته توسعة معنی العالم ادّعاءً إلی ما يشمل للمتّقی تنزيلاً للتّقوی مرتبة العلم فيعطی للمتّقی حكم العلماء وإن لم يكن بعالم حقيقة، وعكسه كما لو قال عقيب أمره بإكرام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 ليس بعالم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المقام حيث فرضنا أنّه لايمكن لحاجّ الشيعة الإماميّة أن يقفوا في الموقفين علی وفق مذهب الحقّ بلا خوف ولا ضرر لا سيّما في مثل هذا الزّمان </w:t>
      </w:r>
    </w:p>
    <w:p>
      <w:pPr>
        <w:pStyle w:val="BookText"/>
        <w:rPr/>
      </w:pPr>
      <w:r>
        <w:rPr>
          <w:rFonts w:ascii="IRNazanin" w:hAnsi="IRNazanin" w:eastAsia="IRNazanin"/>
          <w:color w:val="111111"/>
          <w:sz w:val="28"/>
          <w:sz w:val="28"/>
          <w:szCs w:val="28"/>
          <w:rtl w:val="true"/>
          <w:lang w:bidi="fa-IR"/>
        </w:rPr>
        <w:t xml:space="preserve">الّذی كانت الوهابيّة خذلهم الله بصدد هتك الشيعة والطعن عليهم، فقاعدتا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لهم بعنوان الحكم الثانوی الشرعی بالنسبة إلی الحكم الأوّلی، أیّ جعل يوم الشك من الشّهر ذی القعدة الحرام استصحاباً، فبناءً علی ذلك يكون يوم التروية لهم في حكم يوم العرفة تنزيلاً وادّعاءً، فعليه تجب عليهم التّبعيّة عنهم في الوقوفين ولازمها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حجّهم هذا عمّا هو واجب عليهم،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زائداً علی ما ذهب إليه الإمام الرّاحل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الإشكال في صحّة الحجّ في صورة مخالفة التّقيّة، بأنّه حيث نُهی عن الوقوف حينئذ بمقتضی تلك الأدلّة، فبما أنّ النهی في العبادات يقتضی الفساد فلا محالة لا يكون حجّهم في صورة مخالفة التّقيّة موصوفاً بالصّحة أبداً، بل وإن لم نقل بأنّ الأمر بالشّیء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كالعمل تقيّتاً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يقتضی النهی عن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وهوالوقوف في الوقت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فأيضاً لايكون حجّهم صحيحاً وذلك لخلوّه حينئذ عن الأمر الّذی يستكشف منه وجود مناط المصلحة فيه، فالمكلّف مع تحقّق شرائط التّقيّة لايكون مكلّفاً إلّا بالوقوف تقيّةً مع سائر المسلمين وعليه لو تحمّل المشقّة علی نفسه وتوقف في اليوم العرفة الاستصحابی لايكون وقوفه واجداً للملاك والمناط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الجواز والتّرخيص للمكلّف في موارد التّقيّة والحرج حكم الزامی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تزاحم حينئذ بين الحكم الأولی والثانوی تقيّةً من باب الأهم والمهمّ حتّی نقول بصحّة المهمّ عند ترك الأهمّ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أنّه لوشككنا في أنّ الحكم هنا هل هو الأخذ بمورد التّقيّة متعيّناً أو أنّ المكلّف مخيّرٌ بينها وبين الحكم الأوّلی؟ فالأصل أيضاً يقتضی التّعيين </w:t>
      </w:r>
    </w:p>
    <w:p>
      <w:pPr>
        <w:pStyle w:val="BookText"/>
        <w:rPr/>
      </w:pPr>
      <w:r>
        <w:rPr>
          <w:rFonts w:ascii="IRNazanin" w:hAnsi="IRNazanin" w:eastAsia="IRNazanin"/>
          <w:color w:val="111111"/>
          <w:sz w:val="28"/>
          <w:sz w:val="28"/>
          <w:szCs w:val="28"/>
          <w:rtl w:val="true"/>
          <w:lang w:bidi="fa-IR"/>
        </w:rPr>
        <w:t>تحصيلاً للفراغ اليقينی ونتيجته هو بطلان الحجّ في الصّورة الرّابعة عند مخالفة التّقيّة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بكفاية المأمور به تقيّةً عن المأمور به الواقعی الأوّلی، ما رواه محمّد بن محمّد بن النّعمان الشّيخ المفيد رحمه الله بإسناده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عن محمّد بن الفضل أنّ علیّ بن يقطين كتب إلى أبی الحسن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الْوُضُوءِ؟ فَكَتَبَ إِلَيْهِ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مَا ذَكَرْتَ مِنَ الِاخْتِلَافِ في الْوُضُوءِ وَالَّذِی آمُرُكَ بِهِ في ذَلِكَ أَنْ تُمَضْمِضَ ثَلَاثاً وَتَسْتَنْشِقَ ثَلَاثاً وَتَغْسِلَ وَجْهَكَ ثَلَاثاً وَتُخَلِّلَ شَعْرَ لِحْيَتِكَ وَتَغْسِلَ يَدَيْكَ إِلَى الْمِرْفَقَيْنِ ثَلَاثاً، وَتَمْسَحَ رَأْسَكَ كُلَّهُ، وَتَمْسَحَ ظَاهِرَ أُذُنَيْكَ وَبَاطِنَهُمَا، وَتَغْسِلَ رِجْلَيْكَ إِلَى الْكَعْبَيْنِ ثَلَاثاً وَلَا تُخَالِفَ ذَلِكَ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وَصَلَ الْكِتَابُ إِلَى عَلِیِّ بْنِ يَقْطِينٍ تَعَجَّبَ مِمَّا رَسَمَ لَهُ أَبُو الْحَسَنِ علیه السلام فِيهِ مِمَّا جَمِيعُ الْعِصَابَةِ عَلَى خِلَافِهِ،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أَعْلَمُ بِمَا قَالَ وَأَنَا أَمْتَثِلُ أَمْرَهُ، فَكَانَ يَعْمَلُ في وُضُوئِهِ عَلَى هَذَا الْحَدِّ وَيُخَالِفُ مَا عَلَيْهِ جَمِيعُ الشِّيعَةِ امْتِثَالًا لِأَمْرِ أَبِی الْحَسَنِ علیه السلام وَسُعِیَ بِعَلِیِّ بْنِ يَقْطِينٍ إِلَى الرَّشِيدِ وَقِيلَ إِنَّهُ رَافِضِیٌّ فَامْتَحَنَهُ الرَّشِيدُ مِنْ حَيْثُ لَا يَشْعُرُ، فَلَمَّا نَظَرَ إِلَى وُضُوئِهِ نَادَاهُ كَذَبَ يَا عَلِیَّ بْنَ يَقْطِين مَنْ زَعَمَ أَنَّكَ مِنَ الرَّافِضَةِ، وَصَلَحَتْ حَالُهُ عِنْدَهُ وَ وَرَدَ عَلَيْهِ كِتَابُ أَبِی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ابْتَدِئْ مِنَ الْآنَ يَا عَلِیَّ بْنَ يَقْطِينٍ وَتَوَضَّأْ كَمَا أَمَرَكَ اللَّهُ تَعَالَى اغْسِلْ وَجْهَكَ مَرَّةً فَرِيضَةً وَأُخْرَى إِسْبَاغاً وَاغْسِلْ يَدَيْكَ مِنَ الْمِرْفَقَيْنِ كَذَلِكَ وَامْسَحْ بِمُقَدَّمِ رَأْسِكَ وَظَاهِرِ قَدَمَيْكَ مِنْ فَضْلِ نَدَاوَةِ وَضُوئِكَ فَقَدْ زَالَ مَا كُنَّا نَخَافُ مِنْهُ عَلَيْكَ وَالسَّلَامُ</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ما ذكرتم بما ورد من جواز إفطار يوم الشّك من شهر رمضان تقيّةً والإذعان بقضائه بعده في مرسلة دَاوُدَ بْنِ الْحُصَيْنِ عَنْ رَجُلٍ مِنْ أَصْحَابِهِ عَنْ أَبِی عَبْدِ اللَّهِ علیه السلام أَنَّهُ قَالَ وَهُوَ بِالْحِيرَةِ في زَمَانِ أَبِی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دَخَلْتُ عَلَيْهِ وَقَدْ شَكَّ النَّاسُ في الصَّوْمِ وَهُوَ وَاللَّهِ مِنْ شَهْرِ رَمَضَانَ فَسَلَّمْتُ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أَ صُمْتَ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وَالْمَائِدَةُ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فَأَكَلْتُ،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مَعَكَ وَالْفِطْرُ مَعَكَ، فَقَالَ الرَّجُلُ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يَوْماً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أُفْطِرُ يَوْماً مِنْ شَهْرِ رَمَضَانَ أَحَبُّ إِلَیَّ مِنْ أَنْ يُضْرَبَ عُنُقِی</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المقام حيث لايمكن قضاء الوقوف بعده فعلی الحاجّ أن يبدل حجّهم بالعمردة المفردة خروجاً عن الإحرام وأن يحجّوا في القابل في صورة سبق الاستطاعة أو بقائها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تسليم سند الخبر بالفرق بامكان القضاء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بسهولة وعدمه في المقام للزوم العسر والحرج الشّديد علی القول بوجوب إعادته، زائداً علی أنّه قد مضى فى عصر الأئمة علیهم السلام من قبل زمن الغيبة علی شيعتهم ما يزيد عن مأتي سنة كان أمر إثبات الهلال منوطاً بحكم حاكم العامّة وقاضيهم، ولم نجد حتّی مورداً واحداً ولو بنحو إشارة أو إشعار حكموا فيه ببطلان الحجّ بلحاظ كون الوقوف مستنداً إلى حكم قاضی العامّة ومفتيهم لأجل عدم إثبات الهلال عند الشيعة، وأنّ كون مقتضى الاستصحاب عدمه، ولا وجهلتوهم عدم وقوع الاختلاف في أول الشهر في مثل هذه المدّة الطويلة خصوصاً </w:t>
      </w:r>
    </w:p>
    <w:p>
      <w:pPr>
        <w:pStyle w:val="BookText"/>
        <w:rPr/>
      </w:pPr>
      <w:r>
        <w:rPr>
          <w:rFonts w:ascii="Amiri" w:hAnsi="Amiri" w:eastAsia="Amiri" w:cs="Amiri"/>
          <w:color w:val="111111"/>
          <w:sz w:val="28"/>
          <w:sz w:val="28"/>
          <w:szCs w:val="28"/>
          <w:rtl w:val="true"/>
          <w:lang w:bidi="ar-SA"/>
        </w:rPr>
        <w:t>مع ملاحظة مثل خبر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إِنَّا شَكَكْنَا سَنَةً في عَامٍ مِنْ تِلْكَ الْأَعْوَامِ في الْأَضْحَى فَلَمَّا دَخَلْتُ عَلَى أَبِی جَعْفَرٍ علیه السلام وَكَانَ بَعْضُ أَصْحَابِنَا يُضَحِّی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 يَوْمُ يُفْطِرُ النَّاسُ وَالْأَضْحَى يَوْمُ يُضَحِّی النَّاسُ، وَالصَّوْمُ يَوْمُ يَصُومُ النَّاس</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ولا مجال لبنائهم على إدراك الوقوف 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دعوى إنّ ذلك إنّما هو من جهة عدم تمكّن الشيعة من الوقوف في وقته الواقعی مدفوعة بمنع عدم التمكّن منه دائماً، لإمكانه ولو مرّة واحدة في خلال هذه المدّة المذكورة، فلا وجه لذلك غير الإجزاء وكفاية الوقوف الصّادر</w:t>
      </w:r>
    </w:p>
    <w:p>
      <w:pPr>
        <w:pStyle w:val="BookText"/>
        <w:rPr/>
      </w:pP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أنّه لم يكن في خبر الشّيخ المفيد رحمه الله المتقدّمة في جريان قصّة علی بن يقطين</w:t>
      </w:r>
      <w:r>
        <w:rPr>
          <w:rStyle w:val="FootnoteAnchor"/>
          <w:rtl w:val="true"/>
        </w:rPr>
        <w:footnoteReference w:id="643"/>
      </w:r>
      <w:r>
        <w:rPr>
          <w:rFonts w:ascii="IRNazanin" w:hAnsi="IRNazanin" w:eastAsia="IRNazanin"/>
          <w:color w:val="111111"/>
          <w:sz w:val="28"/>
          <w:sz w:val="28"/>
          <w:szCs w:val="28"/>
          <w:rtl w:val="true"/>
          <w:lang w:bidi="fa-IR"/>
        </w:rPr>
        <w:t>من إعادة أو قضاء الصّلوات مع الوضوء تقيّةً عينٌ ولا أثر، زائداً علی أنّه لو لم نقل بالإجزاء والكفاية في المقام، وقلنا بلزوم تكرار الحجّ في القابل حينئذ فما المؤمِّن وكيف نطمئن بعدم تكرار هذه المشكلة والعويصة في السّنوات الآتية بعدها؟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ذكرناه إلی هنا في الحكم الصّورة الرّابعة من لزوم متابعة مفتی العامّة وقاضيهم في حكمه بإثبات الهلال، إنّما هو يجری بالنّسبة إلی الحجّ، وأمّا بالنّسبة إلی الصوم والفطر فلا، حيث إنّه لم يكن مراعاتهما عندهم بمثابة الحجّ، مع إمكان التّقيّة عنهم فيهما بسهولة من دون خوف وضرر، فعليه من كان إماميّاً ساكناً بلاد العامّة من الحجاز وغيره فلا يجوز له الاعتماد علی حكم قاضيهم بإثبات الهلال فيهما إذا لم يمض ثلاثين يوماً من هلال شعبان أو ثلاثين يوماً من </w:t>
      </w:r>
    </w:p>
    <w:p>
      <w:pPr>
        <w:pStyle w:val="BookText"/>
        <w:rPr/>
      </w:pPr>
      <w:r>
        <w:rPr>
          <w:rFonts w:ascii="Amiri" w:hAnsi="Amiri" w:eastAsia="Amiri" w:cs="Amiri"/>
          <w:color w:val="111111"/>
          <w:sz w:val="28"/>
          <w:sz w:val="28"/>
          <w:szCs w:val="28"/>
          <w:rtl w:val="true"/>
          <w:lang w:bidi="ar-SA"/>
        </w:rPr>
        <w:t>هلال رمضان، أو لم يقم به البيّنة، أو لم يشع ذلك بين النّاس، أو لم يراه المكلّف هو بنفسه، وعليه العمل بما يقتضيه المذهب من عدّ يوم الشّك من الشهر السابق، كما صرّحت بذلك صحيحة إِسْحَاقَ بْنِ عَمَّارٍ المُتُقَدّمَةِ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لِرُؤْيَتِهِ وَأَفْطِرْ لِرُؤْيَتِهِ، وَإِيَّاكَ وَالشَّكَّ وَالظَّنَّ، فَإِنْ خَفِیَ عَلَيْكُمْ فَأَتِمُّوا الشَّهْرَ الْأَوَّلَ ثَلَاثِينَ</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هنا تمّ بحمد الله والمنّة ما أردنا أن نبحث عنه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الهلال عند العامة مع عدم إثباته أو العلم بخلافه عندنافی جواز الافطار وكفاية الحجّ</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199" w:name="pg7917_8486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6355235_1051229030"/>
      <w:bookmarkStart w:id="201" w:name="_Toc66"/>
      <w:bookmarkEnd w:id="199"/>
      <w:bookmarkEnd w:id="200"/>
      <w:r>
        <w:rPr>
          <w:rtl w:val="true"/>
        </w:rPr>
        <w:t>المقالة الخامسة</w:t>
      </w:r>
      <w:r>
        <w:rPr>
          <w:rtl w:val="true"/>
        </w:rPr>
        <w:t xml:space="preserve">: </w:t>
      </w:r>
      <w:r>
        <w:rPr>
          <w:rtl w:val="true"/>
        </w:rPr>
        <w:t>في العجز عن الهدی في الحجّ وبيان بدله وشرائطه</w:t>
      </w:r>
      <w:bookmarkEnd w:id="20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يجب علی المتمتع بالحجّ بعد عمرته أن يحرم بالحجّ، وأن يقضی وقوفه بعرفات والمشعر الحرام، وأن يفعل واجباته بمنی يوم النحر وهی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جمرة العقبة بالحصی؛ وهدی إحدی النعم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والبقر، والغنم؛ والحلق أو التقصير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نبحث هنا عن حكم الواجب الثانی من واجبات منی أی الهدی إذا عجز عنه الناسك بأن لا يكون هو ولا قيمته عنده، ولم يكن قادراً علی الاقتراض بلا مشقة وكلفة، أو لا يكون قادراً علی أدائه في وقته بسهولة، فحينئذ ينتقل فرضه منه إلی الصوم، والمسألة قد دلّت عليها أخبار متظافرة بل متواترة، زائداً علی كونها محل اتفاق واجماع عند فقهاء الفريقين إجمالاً، أرسله بعض إرسال المسلمات</w:t>
      </w:r>
      <w:r>
        <w:rPr>
          <w:rStyle w:val="FootnoteAnchor"/>
          <w:rtl w:val="true"/>
        </w:rPr>
        <w:footnoteReference w:id="645"/>
      </w:r>
      <w:r>
        <w:rPr>
          <w:rFonts w:ascii="IRNazanin" w:hAnsi="IRNazanin" w:eastAsia="IRNazanin"/>
          <w:color w:val="111111"/>
          <w:sz w:val="28"/>
          <w:sz w:val="28"/>
          <w:szCs w:val="28"/>
          <w:rtl w:val="true"/>
          <w:lang w:bidi="fa-IR"/>
        </w:rPr>
        <w:t>، وادّعی آخرون عدم الخلاف</w:t>
      </w:r>
      <w:r>
        <w:rPr>
          <w:rStyle w:val="FootnoteAnchor"/>
          <w:rtl w:val="true"/>
        </w:rPr>
        <w:footnoteReference w:id="646"/>
      </w:r>
      <w:r>
        <w:rPr>
          <w:rFonts w:ascii="Amiri" w:hAnsi="Amiri" w:eastAsia="Amiri" w:cs="Amiri"/>
          <w:color w:val="111111"/>
          <w:sz w:val="28"/>
          <w:sz w:val="28"/>
          <w:szCs w:val="28"/>
          <w:rtl w:val="true"/>
          <w:lang w:bidi="ar-SA"/>
        </w:rPr>
        <w:t>، أو الإجماع عليه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لو وجد القيمة دون الهدی إلا أنّه توقّع حصوله إلی آخر الشهر فسنبحث عنه في إدامة هذه المقالة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البحث عن المسألة وفروعاتها المرتبطة، ينبغی أن ننظر إليها عن منظر الأقوال الواردة فيها، وهی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 أقوال الفقهاء في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لم يقدر علی الهدی ولا علی ثمنه وجب عليه صيام عشرة أيّام، ثلاثة في الحجّ وسبعة إذا رجع إلی أهله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الحلي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فقدهما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الهدی وثمنه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في الحجّ متتابعات يوماً قبل التروية ويوم التروية ويوم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وصوم السبعة بعد وصوله إلی بلده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أجده فيه بيننا بل الإجماع بقسميه عليه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ويجب صوم بدل الهدی للمتمتّع إذا لم يجد الهدی ولا ثمنه بالنصّ والإجماع</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 منه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يجد الهدی ولا ثمنه، انتقل إلى البدل عنه وهو صوم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في الحجّ متتابعات، وسبعة إذا رجع إلى أهله، بالنصّ والإجماع،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لَمْ يَجِدْ فَصِيامُ ثَلاثَةِ أَيَّامٍ في الْحَجِّ </w:t>
      </w:r>
    </w:p>
    <w:p>
      <w:pPr>
        <w:pStyle w:val="BookText"/>
        <w:rPr/>
      </w:pPr>
      <w:r>
        <w:rPr>
          <w:rFonts w:ascii="Amiri" w:hAnsi="Amiri" w:eastAsia="Amiri" w:cs="Amiri"/>
          <w:color w:val="111111"/>
          <w:sz w:val="28"/>
          <w:sz w:val="28"/>
          <w:szCs w:val="28"/>
          <w:rtl w:val="true"/>
          <w:lang w:bidi="ar-SA"/>
        </w:rPr>
        <w:t>وَسَبْعَةٍ إِذا رَجَعْتُمْ تِلْكَ عَشَرَةٌ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وتعتبر القدرة على الهدی فيمكانه، فمتى عدمه في موضعه، انتقل إلى الصوم وإن كان قادراً عليه في بلده، لأنّ وجوبه موقّت، وما كان ذلك اعتبرت القدرة عليه في موضعه، كالماء في الطهارة إذا عدمه في موضعه، ولا نعلم فيه خلافاً</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وادّعی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فيه بين علماء الإسلام كافة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يجد الهدی ولا ثمنه وجب عليه أن يصوم بدله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 في الحجّ متتابعات، وسبعة إذا رجع إلى أهله لاخلاف في ذلك بين العلماء كافة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w:t>
      </w:r>
    </w:p>
    <w:p>
      <w:pPr>
        <w:pStyle w:val="BookText"/>
        <w:rPr/>
      </w:pPr>
      <w:r>
        <w:rPr>
          <w:rFonts w:ascii="Amiri" w:hAnsi="Amiri" w:eastAsia="Amiri" w:cs="Amiri"/>
          <w:color w:val="111111"/>
          <w:sz w:val="28"/>
          <w:sz w:val="28"/>
          <w:szCs w:val="28"/>
          <w:rtl w:val="true"/>
          <w:lang w:bidi="ar-SA"/>
        </w:rPr>
        <w:t>تَمَتَّعَ بِالْعُمْرَةِ إِلَى الْحَجِّ فَمَا اسْتَيْسَرَ مِنَ الْهَدْیِ فَمَنْ لَمْ يَجِدْ فَصِيامُ ثَلاثَةِ أَيَّامٍ في الْحَجِّ وَسَبْعَةٍ إِذا رَجَعْتُمْ 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القدرة عليه في مكانه فمتى عدمه في موضعه انتقل إلى الصوم وإن كان قادراً عليه في بلده لأنّ وجوبه موقت وما كان وجوبه موقتاً اعتبرت القدرة عليه في موضعه كالماء في الطهارة إذا عدمه انتقل إلى التراب ولا نعلم فيه خلافاً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فقدهما أی الهدی وثمنه، ويتحقق العجز عن الثمن بأن لا يقدر على تحصيله ولو بتكسب يليق بحاله، ولا ببيع ما زاد على المستثنى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القدرة في موضعه لا في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تمكّن من بيع ما في بلده ولو بدون ثمن المثل، أو من الاستدانة عليه، فالأقوى الوجوب</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المحدث البحرانی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لا خلاف بين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من لم يجد الهدی ولا قيمته فإنّ فرضه ينتقل إلى الصيام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فقد الثمن أيضاً يلزمه الصوم قولًا واحداً وهو ثلاثة أيام في الحجّ متواليات، وسبعة في أهله، بالكتاب والسنة والإجماع</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النراقی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أحرم بالتمتّع ولم يكن له هدی ولا ثمنه الّذی يشتريه يجب عليه الانتقال إلى بدله، وهو صوم عشرة أيّام، بالكتاب، والسنّة، والإجماع، ثلاثة وسبعة، وتلك عشرة كاملة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الراحل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يقدر على الهدی بأن لا يكون هو ولا قيمته عنده يجب بدله صوم ثلاثة أيّام في الحجّ وسبعة أيام بعد الرجوع منه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الخوئی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أنّ المتمتع بالحج إذ لا يتمكن من الهدى ولا ثمنه يجب عليه صيام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في الحجّ، وسبعة إذا رجع إلى أهله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محمّد بن عبدالله بن ابوبكر المعروف بابن العربی المالكی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الهدى فصيام ثلاثة أيام في الحجّ، 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يصوم من إحرامه بالحجّ إلى يوم عرفة هذه حقيقته،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في إحرامه بالعمرة لأنّه أحد إحرامي المتمتع، فجاز صوم الأيام فيه كإحرامه بالحجّ، دليلنا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صامه في العمرة فقد أدّاه قبل وقته فلم يجزه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نعلم بين أهل العلم خلافاً في أنّ المتمتع إذا لم يجد الهدی ينتقل إلی صيام ثلاثة أيام في الحجّ وسبعة إذا رجع تلك عشرة كاملة، وتعتبر القدرة في موضعه فمتی عدمه في موضعه جاز له الانتقال إلی الصيام وإن كان قادراً عليه في بلده، لأنّ وجوبه موقت وما كان وجوبه موقتاً اعتبرت القدرة عليه في موضعه كالماء في الطهارة إذا عدمه في مكانه انتقل إلی التراب</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ما عرفت نموذجاً من الأقوال المطروحة لدی الفريقين حول المسألة نبحث عن أدلّتها عندهم</w:t>
      </w:r>
      <w:r>
        <w:rPr>
          <w:rFonts w:eastAsia="IRNazanin" w:cs="IRNazanin"/>
          <w:color w:val="111111"/>
          <w:sz w:val="28"/>
          <w:szCs w:val="28"/>
          <w:rtl w:val="true"/>
          <w:lang w:bidi="fa-IR"/>
        </w:rPr>
        <w:t xml:space="preserve">: </w:t>
      </w:r>
      <w:bookmarkStart w:id="202" w:name="pg7917_84875"/>
    </w:p>
    <w:p>
      <w:pPr>
        <w:pStyle w:val="Heading2"/>
        <w:numPr>
          <w:ilvl w:val="1"/>
          <w:numId w:val="1"/>
        </w:numPr>
        <w:rPr/>
      </w:pPr>
      <w:bookmarkStart w:id="203" w:name="__RefHeading___Toc6355237_1051229030"/>
      <w:bookmarkStart w:id="204" w:name="_Toc67"/>
      <w:bookmarkEnd w:id="202"/>
      <w:bookmarkEnd w:id="203"/>
      <w:r>
        <w:rPr>
          <w:rtl w:val="true"/>
        </w:rPr>
        <w:t>أدلّة كون الصوم بدلاً عن الهدی عند العجز عنه</w:t>
      </w:r>
      <w:r>
        <w:rPr>
          <w:rtl w:val="true"/>
        </w:rPr>
        <w:t>:</w:t>
      </w:r>
      <w:bookmarkEnd w:id="204"/>
    </w:p>
    <w:p>
      <w:pPr>
        <w:pStyle w:val="BookText"/>
        <w:rPr/>
      </w:pPr>
      <w:r>
        <w:rPr>
          <w:rFonts w:ascii="IRNazanin" w:hAnsi="IRNazanin" w:eastAsia="IRNazanin"/>
          <w:color w:val="111111"/>
          <w:sz w:val="28"/>
          <w:sz w:val="28"/>
          <w:szCs w:val="28"/>
          <w:rtl w:val="true"/>
          <w:lang w:bidi="fa-IR"/>
        </w:rPr>
        <w:t>إنّه قد استدلّ علی ذلك تارة بالإجماع، وأخری بالكتاب، وثالثة بالأخبار والرّوايات الواردة في المقام، وحيث إنّ المسألة كانت من التعبّديّات فليس للعقل فيها 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الإجماع فقد نشير إليه عند ذكر أقوال الفقهاء فلا نعيده، أمّا دليله من الكتاب</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6355239_1051229030"/>
      <w:bookmarkStart w:id="206" w:name="_Toc68"/>
      <w:bookmarkEnd w:id="205"/>
      <w:r>
        <w:rPr>
          <w:rtl w:val="true"/>
        </w:rPr>
        <w:t>أمّا الاستدلال بالكتاب</w:t>
      </w:r>
      <w:r>
        <w:rPr>
          <w:rtl w:val="true"/>
        </w:rPr>
        <w:t>:</w:t>
      </w:r>
      <w:bookmarkEnd w:id="206"/>
    </w:p>
    <w:p>
      <w:pPr>
        <w:pStyle w:val="BookText"/>
        <w:rPr/>
      </w:pPr>
      <w:r>
        <w:rPr>
          <w:rFonts w:ascii="Amiri" w:hAnsi="Amiri" w:eastAsia="Amiri" w:cs="Amiri"/>
          <w:color w:val="111111"/>
          <w:sz w:val="28"/>
          <w:sz w:val="28"/>
          <w:szCs w:val="28"/>
          <w:rtl w:val="true"/>
          <w:lang w:bidi="ar-SA"/>
        </w:rPr>
        <w:t>قال الله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الْهَدْیِ فَمَنْ لَمْ يَجِدْ فَصِيامُ ثَلاثَةِ أَيَّامٍ في الْحَجِّ وَسَبْعَةٍ إِذا رَجَعْتُمْ تِلْكَ عَشَرَةٌ كامِلَةٌ ذلِكَ لِمَنْ لَمْ يَكُنْ أَهْلُهُ حاضِرِي الْمَسْجِدِ الْحَرامِ وَاتَّقُوا اللَّهَ وَاعْلَمُوا أَنَّ اللَّهَ شَديدُ الْعِقابِ</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الاستدلال أنّه تبارك وتعالی قد أوجب علی النائی عن مكة المكرمة الّذی وظيفته حجّ التمتع إذا لم يجد الهدی أن يصوم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في الحجّ، وسبعة إذا رجع إلی أهله وبلده، وتعبيره منه جلّ جلاله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ما عبّر به في تبديل الغسل إلی التيمم في سورتي النساء والمائدة</w:t>
      </w:r>
      <w:r>
        <w:rPr>
          <w:rStyle w:val="FootnoteAnchor"/>
          <w:rtl w:val="true"/>
        </w:rPr>
        <w:footnoteReference w:id="663"/>
      </w:r>
      <w:r>
        <w:rPr>
          <w:rFonts w:ascii="Amiri" w:hAnsi="Amiri" w:eastAsia="Amiri" w:cs="Amiri"/>
          <w:color w:val="111111"/>
          <w:sz w:val="28"/>
          <w:sz w:val="28"/>
          <w:szCs w:val="28"/>
          <w:rtl w:val="true"/>
          <w:lang w:bidi="ar-SA"/>
        </w:rPr>
        <w:t xml:space="preserve">، فيكون </w:t>
      </w:r>
      <w:bookmarkStart w:id="207" w:name="pg7917_84876"/>
    </w:p>
    <w:p>
      <w:pPr>
        <w:pStyle w:val="BookText"/>
        <w:rPr/>
      </w:pPr>
      <w:bookmarkEnd w:id="207"/>
      <w:r>
        <w:rPr>
          <w:rFonts w:ascii="IRNazanin" w:hAnsi="IRNazanin" w:eastAsia="IRNazanin"/>
          <w:color w:val="111111"/>
          <w:sz w:val="28"/>
          <w:sz w:val="28"/>
          <w:szCs w:val="28"/>
          <w:rtl w:val="true"/>
          <w:lang w:bidi="fa-IR"/>
        </w:rPr>
        <w:t>المراد في المقامين هو عدم وجدان الهدی أو الماء بنظر عرف المتشرعين، فعليه لوكان الهدی موجوداً والناسك وإن كان فاقداً ثمنه الآن إلا أنّه قادر علی الاقتراض بلا مشقة وكلفة ومنّة ويمكن له أدائه في وقته، أو كان عنده زائداً من مؤن السفر علی قدر حاجاته ما يمكن بيعه، وجب عليه الهدی لكونه مصداقاً للواجد بنظر العرف ولا تصل النوبة حينئذ لتبديل الحكم إلی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إلی ذلك المحقق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ابن إدريس الحلي رحمه الله إذ أوجب الانتقال إلی الصوم حينئد،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أنّ وجدان الثمن بمنزلة وجدان العين كوجدان ثمن الماء عنده مع أنّ النص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وجدان ثمن الرقبة في العتق مع ورود النصّ بوجدان العين وما ذلك إلا أنّ التمكّن يحصل باعتبار الثمن هناك ويصدق عليه أنّه واجد للعين فكذا هنا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6355241_1051229030"/>
      <w:bookmarkStart w:id="209" w:name="_Toc69"/>
      <w:bookmarkEnd w:id="208"/>
      <w:r>
        <w:rPr>
          <w:rtl w:val="true"/>
        </w:rPr>
        <w:t>وأمّا الاستدلال بالسنّة</w:t>
      </w:r>
      <w:r>
        <w:rPr>
          <w:rtl w:val="true"/>
        </w:rPr>
        <w:t>:</w:t>
      </w:r>
      <w:bookmarkEnd w:id="20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الروايات الواردة في المقام متظافرة بل متواترة جداً ما تقرب عشرات أخبار</w:t>
      </w:r>
      <w:r>
        <w:rPr>
          <w:rStyle w:val="FootnoteAnchor"/>
          <w:rtl w:val="true"/>
        </w:rPr>
        <w:footnoteReference w:id="665"/>
      </w:r>
      <w:r>
        <w:rPr>
          <w:rFonts w:ascii="IRNazanin" w:hAnsi="IRNazanin" w:eastAsia="IRNazanin"/>
          <w:color w:val="111111"/>
          <w:sz w:val="28"/>
          <w:sz w:val="28"/>
          <w:szCs w:val="28"/>
          <w:rtl w:val="true"/>
          <w:lang w:bidi="fa-IR"/>
        </w:rPr>
        <w:t xml:space="preserve">، فيها صحاح وثقات وغيرهما بحيث نستغنی معها عن البحث حول أسانيدها مع كونها معمولة بها عند فقهائنا، والمهمّ فيها غالباً أنّ القدر الجامع </w:t>
      </w:r>
      <w:bookmarkStart w:id="210" w:name="pg7917_84877"/>
    </w:p>
    <w:p>
      <w:pPr>
        <w:pStyle w:val="BookText"/>
        <w:rPr/>
      </w:pPr>
      <w:bookmarkEnd w:id="210"/>
      <w:r>
        <w:rPr>
          <w:rFonts w:ascii="IRNazanin" w:hAnsi="IRNazanin" w:eastAsia="IRNazanin"/>
          <w:color w:val="111111"/>
          <w:sz w:val="28"/>
          <w:sz w:val="28"/>
          <w:szCs w:val="28"/>
          <w:rtl w:val="true"/>
          <w:lang w:bidi="fa-IR"/>
        </w:rPr>
        <w:t>بينها هو تسالم الرّوات والأئمة المسئول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بدليّة الصوم عنالهدی، والسؤال إنّما هو عن كيفيته وأحكامه وشرائطه عند عروض الحالات المختلفة، نتعرّض لبعضها بالمناسبة إن شاء الله تعالی عند البحث عن الفروع الآتية</w:t>
      </w:r>
      <w:r>
        <w:rPr>
          <w:rFonts w:eastAsia="IRNazanin" w:cs="IRNazanin"/>
          <w:color w:val="111111"/>
          <w:sz w:val="28"/>
          <w:szCs w:val="28"/>
          <w:rtl w:val="true"/>
          <w:lang w:bidi="fa-IR"/>
        </w:rPr>
        <w:t>.</w:t>
      </w:r>
    </w:p>
    <w:p>
      <w:pPr>
        <w:pStyle w:val="Heading2"/>
        <w:numPr>
          <w:ilvl w:val="1"/>
          <w:numId w:val="1"/>
        </w:numPr>
        <w:rPr/>
      </w:pPr>
      <w:bookmarkStart w:id="211" w:name="__RefHeading___Toc6355243_1051229030"/>
      <w:bookmarkStart w:id="212" w:name="_Toc70"/>
      <w:bookmarkEnd w:id="211"/>
      <w:r>
        <w:rPr>
          <w:rtl w:val="true"/>
        </w:rPr>
        <w:t>لو فقد الهدی فقط إلا أنّه توقّع حصوله إلی آخر الشهر</w:t>
      </w:r>
      <w:r>
        <w:rPr>
          <w:rtl w:val="true"/>
        </w:rPr>
        <w:t>:</w:t>
      </w:r>
      <w:bookmarkEnd w:id="212"/>
    </w:p>
    <w:p>
      <w:pPr>
        <w:pStyle w:val="BookText"/>
        <w:rPr/>
      </w:pPr>
      <w:r>
        <w:rPr>
          <w:rFonts w:ascii="IRNazanin" w:hAnsi="IRNazanin" w:eastAsia="IRNazanin"/>
          <w:color w:val="111111"/>
          <w:sz w:val="28"/>
          <w:sz w:val="28"/>
          <w:szCs w:val="28"/>
          <w:rtl w:val="true"/>
          <w:lang w:bidi="fa-IR"/>
        </w:rPr>
        <w:t>إنّ الذی مرّ إلی هنا كلّه فيما إذا فقد الهدی والقيمة معاً أو كان فاقداً للثمن فقط، أمّا لو انعكس الأمر بأن فقد الهدی أيّام التشريق دون الثمن إلا أنّه توقّع حصوله طول ذی الحجة، فهل الوظيفة حينئذ انتظار الهدی، أو انتقال الفرض إلی الصوم، أو التخيير بين الوجهين أو غيرها؟ اختلف الفقهاء في ذلك علی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انتظار الهدی حينئذ، فإن أراد الرجوع إلی أهله يخلف ثمنه عند ثقة يشتريه إلی آخر الشهر في عامه فيذبحه عنه وإلا ففی العام القابل في ذی الحجة أيضاً، نسبه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الصدوقين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والطوسی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زهرة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والمرتضی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والفاضل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والحلبی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حمزة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عليهم، بل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عليه</w:t>
      </w:r>
      <w:r>
        <w:rPr>
          <w:rStyle w:val="FootnoteAnchor"/>
          <w:rtl w:val="true"/>
        </w:rPr>
        <w:footnoteReference w:id="666"/>
      </w:r>
      <w:r>
        <w:rPr>
          <w:rFonts w:ascii="IRNazanin" w:hAnsi="IRNazanin" w:eastAsia="IRNazanin"/>
          <w:color w:val="111111"/>
          <w:sz w:val="28"/>
          <w:sz w:val="28"/>
          <w:szCs w:val="28"/>
          <w:rtl w:val="true"/>
          <w:lang w:bidi="fa-IR"/>
        </w:rPr>
        <w:t>، وهو الأقوی بل المتعيّن عندی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الفرض إلی الصيام كما في صورة عدم التّوقع، الّذی اختاره الحلي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التخيير بين القولين المذكورين وبين التصدق بثمنه بالوسطی من قيمة الهدی في تلك السنة، علی ما نسب العلامة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ابن جنيد الإسكافی رحمه الله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أشار إلی هذه الأقوال الثلاثة السيّد علی الطباطبائی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لو فقد الهدی و وجد ثمنه وهو يريد الرجوع استناب ثقة في شرائه وذبحه طول ذی الحجة فإن لم يوجد فيه ففی العام المقبل في ذی الحجة على الأظهر الأشهر، بل عليه عامة من تأخرّ، وفی ظاهر الغنية الإجماع عليه، وهو الحجّة مضافاً إلى الصحيح الصريح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وقيل بل ينتقل فرضه إلى الصوم، والقائل الحلي وتبعه الماتن في الشرائع وربما يعزى الى العمانی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وللإسكافی هنا قول ثالث مخيّر بين القولين الأوّلين وبين الصدقة بالوسطى من قيمة الهدی في تلك السنة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قد استدل علی القول الأوّل مضافاً إلی كونه مشهوراً بل إجماعياً بصحيحة حَرِيزٍ عَنْ أَبِی عَبْدِ اللَّهِ علیه السلام في مُتَمَتِّعٍ يَجِدُ الثَّمَنَ وَلَا يَجِدُ الْغَنَمَ،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يُخَلِّفُ الثَّمَنَ عِنْدَ بَعْضِ أَهْلِ مَكَّةَ وَيَأْمُرُ مَنْ يَشْتَرِی لَهُ وَيَذْبَحُ عَنْهُ وَهُوَ يُجْزِئُ عَنْهُ، فَإِنْ مَضَى ذُو الْحِجَّةِ أَخَّرَ ذَلِكَ إِلَى قَابِلٍ مِنْ ذِی الْحِجَّةِ</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كلام في سند الحديث ودلالته، وبه نقيّد إطلاق الكتاب الدالّة علی وجوب الصيام عند عدم وجود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 في الْحَجِّ وَسَبْعَةٍ إِذا رَجَعْتُمْ تِلْكَ عَشَرَةٌ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غيره من إطلاقات الكتاب المقيّدة بالسنّة، أو كان خارجاً عن شموله تخصّصاً لعدم صدق كونه غير واجد للهدی عرفاً، فلا ينتقل فرضه إلی الصيام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علی القول الثانی تارة بأنّه يصدق عليه كونه غير واجد الهدی، وأخری بصحيحة أبی بصير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تَمَتَّعَ فَلَمْ يَجِدْ مَا يُهْدِی حَتَّى إِذَا كَانَ يَوْمُ النَّفْرِ وَجَدَ ثَمَنَ شَاةٍ أَ يَذْبَحُ أَوْ يَصُومُ؟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يَصُومُ، فَإِنَّ أَيَّامَ الذَّبْحِ قَدْ مَضَتْ</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واجد الثمن واجد له عرفاً، لصدقه علی من كان ذو مال اشتری الهدی حال سفره، وظهور بل صريح الموصول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مَا يُهْدِی حَتَّى إِذَا كَانَ يَوْمُ النَّفْرِ وَجَدَ ثَمَنَ، للثمن ثانياً، بمعنی أنّه وقت الذبح غير واجد لكلا الهدی وثمنه معاً، فلمّا مضت الأيّام وجد الثمن، فأجابه علیه السلام بأنّه من الّذين أوجب الله عليهم الصيام، فالدليل غير المدعی، وقد أشار إلی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وجدان الهدی عبارة عن وجود عينه أو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بعد سلامة سندها محمولة على أنّه إذا لم يجد الهدی ولا ثمنه فشرع في الصوم ثمّ وجد الهدی فإنّه لا يجب عليه الهدی</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ما ذهب إليه ابن الجنيد الإسكافی فالظاهر أنّه جمع بين دليل قولي الأول والثانی وبين خبر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بِمَكَّةَ فَأَصَابَنَا غَلَاءٌ في الْأَضَاحِیِّ فَاشْتَرَيْنَا بِدِينَارٍ، ثُمَّ بِدِينَارَيْنِ،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بَلَغَتْ سَبْعَةً ، ثُمَّ لَمْ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 وَلَا كَثِيرٍ، فَوَقَّعَ هِشَامٌ الْمُكَارِی رُقْعَةً إِلَى أَبِی الْحَسَنِ علیه السلام فَأَخْبَرَهُ بِمَا اشْتَرَيْنَا ثُمَّ لَمْ نَجِدْ بِقَلِيلٍ وَلَا كَثِيرٍ، 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الثَّمَنِ الْأَوَّلِ وَالثَّانِی وَالثَّالِثِ ثُمَّ تَصَدَّقُوا بِمِثْلِ ثُلُثِهِ</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بضعف السند لعدم توثيق عبد الله بن عمر عند علماء الرجال أوّلاً</w:t>
      </w:r>
      <w:r>
        <w:rPr>
          <w:rStyle w:val="FootnoteAnchor"/>
          <w:rtl w:val="true"/>
        </w:rPr>
        <w:footnoteReference w:id="674"/>
      </w:r>
      <w:r>
        <w:rPr>
          <w:rFonts w:ascii="IRNazanin" w:hAnsi="IRNazanin" w:eastAsia="IRNazanin"/>
          <w:color w:val="111111"/>
          <w:sz w:val="28"/>
          <w:sz w:val="28"/>
          <w:szCs w:val="28"/>
          <w:rtl w:val="true"/>
          <w:lang w:bidi="fa-IR"/>
        </w:rPr>
        <w:t>، وكونها معرض عنها عند الأصحاب مع كونها في مرأی ومسمعهم إلا عند الإسكافی ثانياً، وعدم وجود شاهد لهذا الجمع في الروايات الواردة في المقام ثالثاً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213" w:name="pg7917_84881"/>
    </w:p>
    <w:p>
      <w:pPr>
        <w:pStyle w:val="Heading2"/>
        <w:numPr>
          <w:ilvl w:val="1"/>
          <w:numId w:val="1"/>
        </w:numPr>
        <w:rPr/>
      </w:pPr>
      <w:bookmarkStart w:id="214" w:name="__RefHeading___Toc6355245_1051229030"/>
      <w:bookmarkStart w:id="215" w:name="_Toc71"/>
      <w:bookmarkEnd w:id="213"/>
      <w:bookmarkEnd w:id="214"/>
      <w:r>
        <w:rPr>
          <w:rtl w:val="true"/>
        </w:rPr>
        <w:t xml:space="preserve">هل أيّام </w:t>
      </w:r>
      <w:r>
        <w:rPr>
          <w:rtl w:val="true"/>
        </w:rPr>
        <w:t>«</w:t>
      </w:r>
      <w:r>
        <w:rPr>
          <w:rtl w:val="true"/>
        </w:rPr>
        <w:t>الحجّ</w:t>
      </w:r>
      <w:r>
        <w:rPr>
          <w:rtl w:val="true"/>
        </w:rPr>
        <w:t xml:space="preserve">» </w:t>
      </w:r>
      <w:r>
        <w:rPr>
          <w:rtl w:val="true"/>
        </w:rPr>
        <w:t xml:space="preserve">الّذی أمر بوقوع صيام الثلاثة فيها تشمل جميع أيّام أشهر </w:t>
      </w:r>
      <w:r>
        <w:rPr>
          <w:rtl w:val="true"/>
        </w:rPr>
        <w:t>«</w:t>
      </w:r>
      <w:r>
        <w:rPr>
          <w:rtl w:val="true"/>
        </w:rPr>
        <w:t>الحجّ</w:t>
      </w:r>
      <w:r>
        <w:rPr>
          <w:rtl w:val="true"/>
        </w:rPr>
        <w:t xml:space="preserve">» </w:t>
      </w:r>
      <w:r>
        <w:rPr>
          <w:rtl w:val="true"/>
        </w:rPr>
        <w:t>الثلاثة؟</w:t>
      </w:r>
      <w:bookmarkEnd w:id="215"/>
    </w:p>
    <w:p>
      <w:pPr>
        <w:pStyle w:val="BookText"/>
        <w:rPr/>
      </w:pPr>
      <w:r>
        <w:rPr>
          <w:rFonts w:ascii="IRNazanin" w:hAnsi="IRNazanin" w:eastAsia="IRNazanin"/>
          <w:color w:val="111111"/>
          <w:sz w:val="28"/>
          <w:sz w:val="28"/>
          <w:szCs w:val="28"/>
          <w:rtl w:val="true"/>
          <w:lang w:bidi="fa-IR"/>
        </w:rPr>
        <w:t>قد ثبت في محلّه أنّه لا ينعقد الإحرام بعمرة التمتّع وحجّها إلا في أشهر الحجّ،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وذوالقعدة، إلی طلوع الفجر من يوم النحر في ذی الحجّة</w:t>
      </w:r>
      <w:r>
        <w:rPr>
          <w:rStyle w:val="FootnoteAnchor"/>
          <w:rtl w:val="true"/>
        </w:rPr>
        <w:footnoteReference w:id="676"/>
      </w:r>
      <w:r>
        <w:rPr>
          <w:rFonts w:ascii="IRNazanin" w:hAnsi="IRNazanin" w:eastAsia="IRNazanin"/>
          <w:color w:val="111111"/>
          <w:sz w:val="28"/>
          <w:sz w:val="28"/>
          <w:szCs w:val="28"/>
          <w:rtl w:val="true"/>
          <w:lang w:bidi="fa-IR"/>
        </w:rPr>
        <w:t>، نبحث هنا عن الأيّام الّتي إن فقد الناسك الهدی وثمنه يجب عليه صيامها، هل هی تعمّ هذه الشهور الثلاثة، أم مختصّة بشهر منها؟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ادعی غير واحد من الأصحاب بصورة إرسال المسلم، أو عدم وجدانهم الخلاف، أو كونه ممّا أجمعوا عليه بأنّه يجب أن يكون في خصوص ذی الحجّة منها، منهم المحقق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 والفاضل الإصفهانی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xml:space="preserve">، والسيّد الطباطبائی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xml:space="preserve">، والمحدث البحرانی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 والمحقق النراقی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681"/>
      </w:r>
      <w:r>
        <w:rPr>
          <w:rFonts w:ascii="Amiri" w:hAnsi="Amiri" w:eastAsia="Amiri" w:cs="Amiri"/>
          <w:color w:val="111111"/>
          <w:sz w:val="28"/>
          <w:sz w:val="28"/>
          <w:szCs w:val="28"/>
          <w:rtl w:val="true"/>
          <w:lang w:bidi="ar-SA"/>
        </w:rPr>
        <w:t xml:space="preserve">، والإمام الراحل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ما نقل كلام المحقق </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فقدهما صام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الحجّ متواليات،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وشهره وهو هنا ذوالحجّة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خلاف أجده في شیء من ذلك، بل الإجماع بقسميه عليه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العامة فلم أری في كتبهم التصريح بذلك إلا أنّ ظاهر كلماتهم ذلك، وإن اختلفوا في صومها في أيّام عمل العمرة قبل أن يهلّ بالحجّ، أو جواز صومها في أيّام منی</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يُستدل علی ذلك زائداً علی الإجماع المدعی في كلام الجماعة، بتفسير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روايات متظافرة في 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 في الْحَجِّ وَسَبْعَةٍ إِذا رَجَعْتُمْ تِلْكَ عَشَرَةٌ كامِلَةٌ</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 بأيّام خاصّة من ذی الحجّة، بل النهی عن فعله في ذی القعدة ففی الشوال بالألويّة والفحوی،منها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الْمُتَمَتِّعِ لَا يَجِدُ الْهَدْیَ؟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قَبْلَ التَّرْوِيَةِ ويَوْمَ التَّرْوِيَةِ وَيَوْمَ عَرَفَةَ،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قَدِمَ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التَّشْرِيقِ،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عَلَيْهِ جَمَّالُهُ،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الْحَصْبَةِ وَبَعْدَهُ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الْحَصْبَةُ؟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نَفْرِهِ،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w:t>
      </w:r>
    </w:p>
    <w:p>
      <w:pPr>
        <w:pStyle w:val="BookText"/>
        <w:rPr/>
      </w:pPr>
      <w:r>
        <w:rPr>
          <w:rFonts w:ascii="Amiri" w:hAnsi="Amiri" w:eastAsia="Amiri" w:cs="Amiri"/>
          <w:color w:val="111111"/>
          <w:sz w:val="28"/>
          <w:sz w:val="28"/>
          <w:szCs w:val="28"/>
          <w:rtl w:val="true"/>
          <w:lang w:bidi="ar-SA"/>
        </w:rPr>
        <w:t>وَهُوَ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لَيْسَ هُوَ يَوْمَ عَرَفَةَ مُسَافِراً، إِنَّا أَهْلُ بَيْتٍ نَقُولُ ذَلِكَ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w:t>
      </w:r>
    </w:p>
    <w:p>
      <w:pPr>
        <w:pStyle w:val="BookText"/>
        <w:rPr/>
      </w:pPr>
      <w:r>
        <w:rPr>
          <w:rFonts w:ascii="Amiri" w:hAnsi="Amiri" w:eastAsia="Amiri" w:cs="Amiri"/>
          <w:color w:val="111111"/>
          <w:sz w:val="28"/>
          <w:sz w:val="28"/>
          <w:szCs w:val="28"/>
          <w:rtl w:val="true"/>
          <w:lang w:bidi="ar-SA"/>
        </w:rPr>
        <w:t>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ذِی الْحِجَّةِ</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تسمية يوم النفر بيوم الحصبة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وسمّی يوم النفر الثانی، يوم الحصبة، لأنّه يستحب لمن نفر في النّفر الثانی التحصيب، ولا يستحب لمن نفر في النفر الأوّل التحصيب، وهو نزول المحصّب، وهو ما بين العقبة وبين مكة، وهی أرض ذات حصى صغار مستوية بطحاء، إذا رحل من منى حصل فيها، يستحب له النزول هناك قليلاً اقتداءً بالرّسو صَلَّى اَللَّهُ عَلَيْهِ وَ آلِهِ وَ سَلَّمْ لأنّه نزل هناك</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 وَسَبْعَةٍ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التَّرْوِيَةِ وَيَوْمَ التَّرْوِيَةِ وَيَوْمَ عَرَفَةَ، فَمَنْ فَاتَتْهُ هَذِهِ الْأَيَّامُ فَلْيُنْشِئْ يَوْمَ الْحَصْبَةِ وَهِیَ لَيْلَةُ النَّفْرِ</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ومرفوعة مُحَمَّدُ بْنُ مَسْعُودٍ الْعَيَّاشِیُّ في تَفْسِيرِهِ عَنْ رِبْعِیِّ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جعفر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قَبْلَ التَّرْوِيَةِ وَيَوْمِ التَّرْوِيَةِ وَيَوْمِ عَرَفَةَ، فَمَنْ فَاتَهُ ذَلِكَ فَلْيَقْضِ ذَلِكَ في بَقِيَّةِ ذِی الْحِجَّةِ فَإِنَّ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وخبر دَعَائِمُ الْإِسْلَامِ، عَنْ جَعْفَرِ بْنِ مُحَمَّدٍ عَلَيْهِمَا اَلسَّلاَمُ 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قَبْلَ التَّرْوِيَةِ وَيَوْمَ التَّرْوِيَةِ وَيَوْمَ عَرَفَةَ، وَسَبْعَةَ أَيَّامٍ إِذَا رَجَعَ إِلَى أَهْلِهِ، وَلَهُ أَنْ يَصُومَ مَتَى شَاءَ إِذَا دَخَلَ في الْحَجِّ</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وصحيحة زُرَارَةَ عَنْ أَحَدِهِمَا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يَجِدْ هَدْياً وَأَحَبَّ أَنْ يُقَدِّمَ الثَّلَاثَةَ الْأَيَّامِ في أَوَّلِ الْعَشْرِ فَلَا بَأْسَ</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ومرفوعة مُحَمَّدُ بْنُ عَلِیِّ بْنِ الْحُسَيْنِ في الْمُقْنِعِ قَالَ سَأَلَ مُعَاوِيَةُ بْنُ عَمَّارٍ أَبَا عَبْدِ اللَّهِ علیه السلام عَنْ رَجُلٍ دَخَلَ مُتَمَتِّعاً في ذِی الْقَعْدَةِ وَلَيْسَ مَعَهُ ثَمَنُ 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يَصُومُ ثَلَاثَةَ أَيَّامٍ حَتَّى يَتَحَوَّلَ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فِقْهُ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مُتَمَتِّعاً وَلَمْ يَجِدْ هَدْياً فَعَلَيْهِ صِيَامُ ثَلَاثَةِ أَيَّامٍ في الْحَجِّ وَسَبْعَةٍ إِذَا رَجَعَ إِلَى أَهْلِهِ تِلْكَ عَشَرَةٌ كَامِلَةٌ، 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عَجَزْتَ عَنِ الْهَدْیِ وَلَمْ يُمْكِنْكَ صُمْتَ قَبْلَ يَوْمِ التَّرْوِيَةِ بِيَوْمٍ وَيَوْمَ التَّرْوِيَةِ وَيَوْمَ عَرَفَةَ، وَسَبْعَةً إِذَا رَجَعْتَ إِلَى أَهْلِكَ</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مُتَمَتِّعاً وَلَمْ يَجِدْ هَدْياً فَلْيَصُمْ ثَلَاثَةَ أَيَّامٍ في الْحَجِّ، يَوْماً قَبْلَ التَّرْوِيَةِ وَيَوْمَ التَّرْوِيَةِ وَيَوْمَ عَرَفَةَ، وَسَبْعَةَ أَيَّامٍ إِذَا رَجَعَ إِلَى أَهْلِهِ</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زائداً علی كونها مفتی بها عند الأصحاب بل عند الفريقين</w:t>
      </w:r>
      <w:r>
        <w:rPr>
          <w:rFonts w:eastAsia="IRNazanin" w:cs="IRNazanin"/>
          <w:color w:val="111111"/>
          <w:sz w:val="28"/>
          <w:szCs w:val="28"/>
          <w:rtl w:val="true"/>
          <w:lang w:bidi="fa-IR"/>
        </w:rPr>
        <w:t xml:space="preserve">. </w:t>
      </w:r>
      <w:bookmarkStart w:id="216" w:name="pg7917_84885"/>
    </w:p>
    <w:p>
      <w:pPr>
        <w:pStyle w:val="Heading2"/>
        <w:numPr>
          <w:ilvl w:val="1"/>
          <w:numId w:val="1"/>
        </w:numPr>
        <w:rPr/>
      </w:pPr>
      <w:bookmarkStart w:id="217" w:name="__RefHeading___Toc6355247_1051229030"/>
      <w:bookmarkStart w:id="218" w:name="_Toc72"/>
      <w:bookmarkEnd w:id="216"/>
      <w:bookmarkEnd w:id="217"/>
      <w:r>
        <w:rPr>
          <w:rtl w:val="true"/>
        </w:rPr>
        <w:t>جواز الصوم البدل بعد التلبس بإحرام العمرة وقبل الإهلال بالحجّ</w:t>
      </w:r>
      <w:r>
        <w:rPr>
          <w:rtl w:val="true"/>
        </w:rPr>
        <w:t>:</w:t>
      </w:r>
      <w:bookmarkEnd w:id="218"/>
    </w:p>
    <w:p>
      <w:pPr>
        <w:pStyle w:val="BookText"/>
        <w:rPr/>
      </w:pPr>
      <w:r>
        <w:rPr>
          <w:rFonts w:ascii="Amiri" w:hAnsi="Amiri" w:eastAsia="Amiri" w:cs="Amiri"/>
          <w:color w:val="111111"/>
          <w:sz w:val="28"/>
          <w:sz w:val="28"/>
          <w:szCs w:val="28"/>
          <w:rtl w:val="true"/>
          <w:lang w:bidi="ar-SA"/>
        </w:rPr>
        <w:t>جواز الصوم البدل بعد التلبس بإحرام العمرة وقبل الإهلال</w:t>
      </w:r>
      <w:r>
        <w:rPr>
          <w:rStyle w:val="FootnoteAnchor"/>
          <w:rtl w:val="true"/>
        </w:rPr>
        <w:footnoteReference w:id="695"/>
      </w:r>
      <w:r>
        <w:rPr>
          <w:rFonts w:ascii="Amiri" w:hAnsi="Amiri" w:eastAsia="Amiri" w:cs="Amiri"/>
          <w:color w:val="111111"/>
          <w:sz w:val="28"/>
          <w:sz w:val="28"/>
          <w:szCs w:val="28"/>
          <w:rtl w:val="true"/>
          <w:lang w:bidi="ar-SA"/>
        </w:rPr>
        <w:t>بالحجّ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ما عرفت أنّ زمان الإتيان بالصيام الأيام الثلاثة هو خصوص شهر ذی الحجة من شهور الحجّ، تصل النوبة إلی أنّه هل يجوز الإتيان بها بعد التلبس بإحرام العمرة من قبل إتمام مناسكها، أو يلزم كونها بعد الإهلال بالحجّ؟ أمّا عدمجواز إتيانها قبل الشروع في عمل العمرة فلا خلاف فيه بيننا وأكثر العامة إلا ما روی عن أحمد علی ما حكاه العلامة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الأقوال هنا دائر بين القول بجواز كونها بعد التلبس بإحرام العمرة وقبل الإهلال بالحجّ وهو الأقوی، ذهب إليه المشهور 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الخلاف بل الإجماع بقسميه عليه وهو أيضاً خيرة أبی حنيفة وأحمد في أحد قوليه، والقول بالمنع علی ما هو خيرة المحقق الحلي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القائلين بالقول الأوّل، وكذا الشهيد الأوّل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وثانيهما علی ما ادعاه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أيضاً مذهب مالك والشافعی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إشارة إلی أقوال العامة أيضاً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ويجوز صوم الثلاثة قبل الإحرام بالحجّ، وقد وردت رخصة في جواز صومها من أوّل العشر إذا تلبّس بالمتعة وبه قال الثوری والأوزاعی، لأنّ إحرام العمرة أحد إحرامي التمتّع، فجاز الصوم بعده وبعد الإحلال منه، كإحرام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صومها إذا أحرم بالعمرة، وهو رواية عن أحمد، وعنه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أحلّ من العمرة، وقال مالك والشافعی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إلّا بعد الإحرام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إسحاق وابن المنذر، وهو مروی عن ابن عمر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أَيَّامٍ في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ولأنّه صوم واجب، فلا يجوز تقديمه على وقت وجوبه كرمضان والآية لا بدّ فيها من تقدير، فإنّ الحجّ أفعال لا يصام فيها، إنّما يصام في وقتها أو في أشهرها،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والتقديم جائز إذا وجد السبب، كتقديم التكفير على الحنث عنده، إذا عرفت هذا، فلا يجوز تقديم صومها على إحرام العمرة إجماعاً، إلّا ما روی عن أحمدأنّه يجوز تقديم صومها على إحرام العمرة، وهو خطأ لأنّه تقديم للواجب على وقته وسببه، ومع ذلك فهو خلاف الإجماع</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المحدث البحرانی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ويجوز تقديمها من أول ذی الحجة بعد التلبس بالمتعة، والظاهر أنّ هذا القول هو المشهور بين المتأخرين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الحلي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ويجوز تقديم الثلاثة من أول ذی الحجة، بعد التلبس بالحجّ، ولا يجوز قبل ذی الحجة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وليكن الثلاثة بعد التلبّس بالحجّ ويجوز من أوّل ذی الحجّة، ويستحبّ السابع وتالياه ولا يجب، ونقل ابن إدريس أنّه لا يجوز قبل هذه الثلاثة، وجوّز بعضهم صومه في إحرام العمرة وهو بناء على وجوبه بها، وفی الخلاف لا يجب الهدی قبل إحرام الحجّ بلا خلاف، ويجوز الصوم قبل إحرام الحجّ، وفيه إشكال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المحقق العاملی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يسوغ تقديم الصوم من أوّل ذی الحجة مع التلبس بالعمرة، واعتبر بعضهم التلبس بالحجّ، ويدفعه تعلق الأمر في الأخبار الكثيرة بصوميوم قبل التروية مع استحباب الإحرام بالحجّ يوم التروية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قول علمائنا وأكثر العامة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صومها إلّا بعد التلبس بالمتعة، إلّا في رواية عن أحمد،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خطأ؛ لأنّه تقديم للواجب على وقته وسببه، ومع ذلك فهو خلاف قول العلماء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كلام المحقق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يصح صوم هذه الثلاثة إلا في ذی الحجة بعد التلبس بالمتعة، قال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خلاف أجده فيه بيننا، بل الإجماع بقسميه عليه، نعم عن أحمد في رواية جواز تقديمها علی إحرام العمرة، وهو خطأ واضح ضرورة كونه تقديماً للواجب علی وقته وسببه بلا دليل، نعم يتحقق التلبس بالمتعة بدخوله في إحرام العمرة الّتي صارت جزء من حجّ التمتع كما صرّح به غير واحد، بل قد عرفت النصّ والإجماع علی رجحان صومها في السابع مع استحباب أن يكون الإحرام بالحجّ في الثامن، ولكن مع ذلك اشترط الشهيد التلبس بالحجّ ونحوه المصنف في النافع وثاني الشهيدين، لكونه تقديماً للواجب علی وقته وللمسبب علی سببه، وهو كالإجتهاد في مقابلة ما عرفت</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والعجب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كيف يدعی كونه ممّا لا خلاف فيه بل الإجماع بقسميه عليه، مع تصريحه في ذيل كلامه بمخالفة مثل المحقق والشهيدينلذلك، اللّهم إلا أن يقال بأنّ مخالفتهم حيث يكون إجتهاداً في مقابلة ما يستفاد من النصوص، فلا يضرّ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الراحل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ويشترط أن يكون الصوم بعد الإحرام بالعمرة، ولا يجوز قبله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قدامة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وقت جواز صومها فإذا أحرم بالعمرة، وهذا قول أبی حنيفة، وعن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حلّ من العمرة، وقال مالك والشافعی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إلا بعد إحرام الحجّ، ويروی ذلك عن ابن عمر وهو قول إسحاق وابن المنذر، لقول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فَصِيامُ ثَلاثَةِ أَيَّامٍ في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ولأنّه صيام واجب فلم يجز تقديمه علی وقت وجوبه كسائر الصيام الواجب، ولأنّ ما قبله وقت لا يجوز فيه المبدل فلم يجز البدل كقبل الإحرام بالعمرة، وقال الثوری والأوزاعی يصومهن من أوّل العشر إلی يوم عرفة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كلام ابن العربی المالكی حيث قال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يجد الهدى فصيام ثلاثة أيام في الحجّ، 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يصوم من إحرامه بالحجّ إلى يوم عرفة هذه حقيقته،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في إحرامه بالعمرة لأنّه أحد إحرامي المتمتع، فجاز صوم الأيّام فيه كإحرامه بالحجّ، دليلنا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صامه في العمرة فقد أدّاه قبل وقته فلم يجزه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فبعد ما عرفت الأقوال في المسألة، فإنّه يمكن أن نستدلّ علی مقالة المشهور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بإنّه يطلق علی المحرم حينما يحرم بإحرام عمرته للتمتع بكونهشرع حجّه، وذلك لأنّ إحرام العمرة هو أحد إحرامي التمتع فجاز الصوم بعده كما أنّه يجوز بعد إحلال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العمدة في المقام تفسير الصيام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فَصِيامُ ثَلاثَةِ أَيَّامٍ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عدّة روايات متظافرة كما مرّ بأيّام خاصّة من ذی الحجّة، وهی لا أقلّ من جهة المبحوث عنها في مقام البيان ولم تكن في واحدة منها من لزوم كونها بعد الإحرام بالحجّ عين ولا أثر، إذ لو كان حسب الفرض الصيام بعد الإحرام بالحجّ لازماً لوجب بيانه، لئلا يلزم الإغراء بالجهل أو تأخير البيان عن وقت الحاجة، زائداً من إدعاء الإجماع بل وفاق المسلمين والروايات الدالة علی استحباب الإحرام للحجّ يوم التروية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مؤيّدة بخبر عَبْدِ الْكَرِيمِ بْنِ عَمْرٍو عَنْ زُرَارَةَ عَنْ أَحَدِهِمَا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يَجِدْ هَدْياً وَأَحَبَّ أَنْ يُقَدِّمَ الثَّلَاثَةَ الْأَيَّامِ في أَوَّلِ الْعَشْرِ فَلَا بَأْسَ</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وخبر أَبَانٌ الْأَزْرَقُ عَنْ زُرَارَةَ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يَجِدِ الْهَدْیَ وَأَحَبَّ أَنْ يَصُومَ الثَّلَاثَةَ الْأَيَّامِ في أَوَّلِ الْعَشْرِ فَلَا بَأْسَ بِذَلِكَ</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بتقريب أنّ جواز الصيام من أوّل العشر يلازم غالباً مع إحرام العمرة أو بعد الفراغ منها</w:t>
      </w:r>
      <w:r>
        <w:rPr>
          <w:rFonts w:eastAsia="Amiri" w:cs="Amiri" w:ascii="Amiri" w:hAnsi="Amiri"/>
          <w:color w:val="111111"/>
          <w:sz w:val="28"/>
          <w:szCs w:val="28"/>
          <w:rtl w:val="true"/>
          <w:lang w:bidi="ar-SA"/>
        </w:rPr>
        <w:t xml:space="preserve">. </w:t>
      </w:r>
      <w:bookmarkStart w:id="219" w:name="pg7917_84890"/>
    </w:p>
    <w:p>
      <w:pPr>
        <w:pStyle w:val="BookText"/>
        <w:rPr/>
      </w:pPr>
      <w:bookmarkEnd w:id="219"/>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فرض لزوم كونها بعد الإحرام بالحجّ، فلرعاية الترتيب للزم أن يكون ذلك بعد أيّام التشريق لكونها بدل عن الهدی الواجب يوم النحر، وهیعلی مخالفتها للنصوص المجوزة، لم يقل به أحد من الفريقين إلا ما حكی عن مالك</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شككنا مع ذلك كلّه فحيث كان الشك في المقام من قبيل الشك في الجزئيّة والشرطيّة، فالأصل فيه هو البرائة لا احتياط أو الاشتغال</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6355249_1051229030"/>
      <w:bookmarkStart w:id="221" w:name="_Toc73"/>
      <w:bookmarkEnd w:id="220"/>
      <w:r>
        <w:rPr>
          <w:rtl w:val="true"/>
        </w:rPr>
        <w:t>ما هی الأيّام الثلاثة الّتي يجب صومها في ذی الحجة عند فقدان الهدی؟</w:t>
      </w:r>
      <w:bookmarkEnd w:id="221"/>
    </w:p>
    <w:p>
      <w:pPr>
        <w:pStyle w:val="BookText"/>
        <w:rPr/>
      </w:pPr>
      <w:r>
        <w:rPr>
          <w:rFonts w:ascii="IRNazanin" w:hAnsi="IRNazanin" w:eastAsia="IRNazanin"/>
          <w:color w:val="111111"/>
          <w:sz w:val="28"/>
          <w:sz w:val="28"/>
          <w:szCs w:val="28"/>
          <w:rtl w:val="true"/>
          <w:lang w:bidi="fa-IR"/>
        </w:rPr>
        <w:t>بعد ما تبيّن أنّ فرض الفاقد عن الهدی وثمنه هو صيام ثلاثة أيّام في الحجّ وسبعة بعد الرجوع منه، وأنّه يشترط كونها في ذی الحجة وإن لم يحرم بإحرام الحجّ، تصل النوبة إلی تعيين هذه الأيّام الثلاثة، هل المكلف مخيّر في اتيانها كيفما شاء، أو أنّه مكلّف بإتيانها في أيّام خاصة منها وما هی هذه الأيّام؟ ومحصّل الأقوال هنا خمسة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بعد الإحرام بالعمرة وهی الزاماً أو علی الأحوط وجوباً أو ندباً السابع والثامن والتاسع من شهر ذی الحجة، هذا القول هو خيرة الشيخ الطوسی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إدريس الحلي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العاملی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الراحل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أيضاً بعد الإحرام بالعمرة إلا أنّه يستحب أن يكون ذلك في السابع والثامن والتاسع من شهر ذی الحجة وهو الأقوی، اختار هذا القول المحقق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فيه أنّهمذهب علمائنا أجمع، وكذلك الشيخ الحر العاملی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جعل عنوان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 من لم يجد ثمن الهدی لزمه صوم ثلاثة أيام متوالية في الحجّ، ويستحب كون آخرها يوم عرفة وسبعة إذا رجع إلی أهله</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ومن العامة الحنفية وابن قدامة الحنبلی</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إنّه كيف يدعی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علمائنا أجمع مع كونه متأخراً عن الشيخ رحمه الله وهو كما تری وسيأتی من القائلين بقولي الأوّل والثالث؟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بعد الإحرام بالعمرة ويستحب أن يكون آخر يومها يوم التروية، هذا القول هو خيرة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يجوز إلا بعد الإحرام بالحجّ لأنّه يكون من قبيل فعل الواجب قبل حلول أجله، فكما لا يجب الذبح قبل وقته فكذلك بدله، ويستحب أن يكون آخر الثلاثة يوم عرفة، فيستحب له تقديم الإحرام بالحجّ قبل يوم التروية ليصومها </w:t>
      </w:r>
    </w:p>
    <w:p>
      <w:pPr>
        <w:pStyle w:val="BookText"/>
        <w:rPr/>
      </w:pPr>
      <w:r>
        <w:rPr>
          <w:rFonts w:ascii="IRNazanin" w:hAnsi="IRNazanin" w:eastAsia="IRNazanin"/>
          <w:color w:val="111111"/>
          <w:sz w:val="28"/>
          <w:sz w:val="28"/>
          <w:szCs w:val="28"/>
          <w:rtl w:val="true"/>
          <w:lang w:bidi="fa-IR"/>
        </w:rPr>
        <w:t>في الحجّ، هذا القول هو خيرة طاوس وعطاء والشعبی ومجاهد والحسن والنخعی وسعيد بن جبير وعلقمة وعمر بن دينار وأصحاب الرأی</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يجوز أيضاً إلا بعد الإحرام بالحجّ إلا أنّه يستحب أن يكون آخر يومها يوم التروية، هذا القول هو خيرة الشافعی وابن عمر وعائشة والقاضی والمروی عن أحمد علی ما حكاه النووی وابن قدامة في كتابيهما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ما عرفت محصل الآراء في المقام نذكر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لم يقدر على الهدى ولا على ثمنه وجب عليه صيام عشرة أيام ثلاثة في الحجّ وسبعة إذا رجع إلى أهله، فالثلاثة أيّام يوم قبل التروية ويوم التروية ويوم عرفة، فإن فاته صوم هذه الأيّام صام يوم الحصبة وهو يوم النفر ويومين بعده متواليات، فإن فاته ذلك أيضاً صامهن في بقية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رويت رخصة في تقديم صوم الثلاثة أيّام من أوّل العشر، والأحوط الأوّل لأنّه ربما حصل له الهدى</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يجوز الصيام بدل الهدی إلا بعد عدم الهدی، وعدم ثمنه، فإن عدمهما جاز له الصوم، وإن لم يحرم بالحجّ بأن يصوم يوماً قبل التروية ويوم التروية ويوم عرفة، وقد روی رخصة في أوّل العشر، وقال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أهل بالعمرة يجوز له الصيام إذا عدم الهدی، ودخل وقته، ولا يزال كذلك إلا يوم النحر، 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له الصيام إلا بعد </w:t>
      </w:r>
    </w:p>
    <w:p>
      <w:pPr>
        <w:pStyle w:val="BookText"/>
        <w:rPr/>
      </w:pPr>
      <w:r>
        <w:rPr>
          <w:rFonts w:ascii="IRNazanin" w:hAnsi="IRNazanin" w:eastAsia="IRNazanin"/>
          <w:color w:val="111111"/>
          <w:sz w:val="28"/>
          <w:sz w:val="28"/>
          <w:szCs w:val="28"/>
          <w:rtl w:val="true"/>
          <w:lang w:bidi="fa-IR"/>
        </w:rPr>
        <w:t>الإحرام بالحجّ وعدم الهدی، ولا يجوز له الصوم قبل الإحرام بالحجّ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الاستحباب أن يكون آخره يوم التروية، ووقت الجواز أن يكون آخره يوم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بين الطائفة أنّ الواجب أن يصوم الثلاثة أيّام الّتي ذكرناها مع الاختيار، وأنّ الإحرام بالحجّ ينبغی أن يكون يوم التروية، فخرج من ذلك جواز الصوم قبل الإحرام بالحجّ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إدريس الحلي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صام الثلاثة الأيّام، و رجع إلى أهله، صام السّبعة الأيام، ولا يجوز له أن يصومهن في السفر، ولا قبل رجوعه إلى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فاته صوم يوم قبل التروية، صام يوم التروية، ويوم عرفة، ثم صام يوما آخر، بعد أيام التشريق، ولا يجوز له أن يصوم أيّام التشريق، فإن فاته صوم يوم التروية، فلا يصم يوم عرفة، بل يصوم الثلاثة الأيّام، بعد انقضاء أيّام التشريق متتابعات، وقد رويت رخصة في تقديم الصوم الثلاثة أيّام، من أول العشر، و الأحوط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وإجماع أصحابنا أيضاً، منعقد على ذلك، إلا أنّهم أجمعوا، على أنّه لا يجوز الصيام إلا يوم قبل التروية، ويوم التروية، ويوم عرفة، وقبل ذلك لا يجوز، ولو لا إجماعهم لجاز ذلك</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فقدهما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الهدی وثمنه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في الحجّ متتابعات، يوماً قبل التروية ويوم التروية ويوم عرفة، ولو لم يتفق اقتصر على التروية وعرفة ثمّ صام الثالث بعد النفر، ولو فاته يوم التروية أخّره </w:t>
      </w:r>
    </w:p>
    <w:p>
      <w:pPr>
        <w:pStyle w:val="BookText"/>
        <w:rPr/>
      </w:pPr>
      <w:r>
        <w:rPr>
          <w:rFonts w:ascii="IRNazanin" w:hAnsi="IRNazanin" w:eastAsia="IRNazanin"/>
          <w:color w:val="111111"/>
          <w:sz w:val="28"/>
          <w:sz w:val="28"/>
          <w:szCs w:val="28"/>
          <w:rtl w:val="true"/>
          <w:lang w:bidi="fa-IR"/>
        </w:rPr>
        <w:t>إلى بعد النفر، ويجوز تقديمها من أوّل ذی الحجة بعد أن تلبس بالمتعة</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فقد الهدی والثمن، انتقل إلى الصوم، ويستحب أن تكون الثلاثة في الحجّ يوماً قبل التروية ويوم التروية ويوم عرفة، عند علمائنا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يستحب أن يكون الثلاثة في الحجّ هی يوم قبل التروية ويوم التروية ويوم عرفة فيكون آخرها يوم عرفة ذهب إليه علماؤنا أجمع، وبه قال عطاء وطاوس والشعبی ومجاهد والحسن والنخعی وسعيد بن جبير وعلقمة وعمر وابن دينار وأصحاب الرأی</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العاملی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والمسألة محل تردد ولا ريب أنّ المصير إلى ما دلّت عليه هذه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تعيين اليوم السابع إلی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وأحوط</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الراحل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يجب وقوع صوم ثلاثة أيّام في ذی الحجة، والأحوط وجوباً أن يصوم من السابع إلى التاسع، ولا يتقدم عليه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ولكلّ واحد من صوم الثلاثة والسبعة 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جواز، ووقت استحباب، فأمّا وقت الثلاثة فوقت الاختيار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يصومها ما بين إحرامه بالحجّ ويوم عرفة ويكون آخر الثلاثة يوم عرفة، قال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ثلاثة أيّام آخرها يوم عرفة، وروی ذلك عن عطاء والشعبی ومجاهد والحسن والنخعی وسعيد بن جبير وعلقمة وعمر بن دينار وأصحاب الرّأی، وروی ابن عمر وعائشة أنّه يصومهن ما بين إهلاله بالحج ويوم عرفة، وظاهر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آخرها يوم التروية وهو قول الشافعی، لأنّ صوم يوم عرفة بعرفة غير مستحب وكذلك ذكر القاضی في المحرر والمنصوص عن أحمد الّذی وقفنا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وقت جواز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أحرم بالعمرة، وهذا قول أبی حنيفة، وعن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حلّ من العمرة، وقال مالك والشافعی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إلا بعد إحرام الحجّ، ويروی ذلك عن ابن عمر وهو قول إسحاق وابن المنذر لقول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فَصِيامُ ثَلاثَةِ أَيَّامٍ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صيام واجب فلم يجز تقديمه علی وقت وجوبه كسائر الصيام الواجب، ولأنّ ما قبله وقت لا يجوز فيه المبدل فلم يجز البدل كقبل الإحرام بالعمرة، وقال الثوری والأوزاعی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يصومهنّ من أول العشر إلی يوم عرفة، 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إحرام العمرة أحد إحرامي التمتع فجاز الصوم بعده كإحرام الحجّ، 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فَصِيامُ ثَلاثَةِ أَيَّامٍ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في أشهر الحجّ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222" w:name="pg7917_84896"/>
    </w:p>
    <w:p>
      <w:pPr>
        <w:pStyle w:val="Heading2"/>
        <w:numPr>
          <w:ilvl w:val="1"/>
          <w:numId w:val="1"/>
        </w:numPr>
        <w:rPr/>
      </w:pPr>
      <w:bookmarkStart w:id="223" w:name="__RefHeading___Toc6355251_1051229030"/>
      <w:bookmarkStart w:id="224" w:name="_Toc74"/>
      <w:bookmarkEnd w:id="222"/>
      <w:bookmarkEnd w:id="223"/>
      <w:r>
        <w:rPr>
          <w:rtl w:val="true"/>
        </w:rPr>
        <w:t>ما هو مقتضی القاعدة في المقام؟</w:t>
      </w:r>
      <w:bookmarkEnd w:id="224"/>
    </w:p>
    <w:p>
      <w:pPr>
        <w:pStyle w:val="BookText"/>
        <w:rPr/>
      </w:pPr>
      <w:r>
        <w:rPr>
          <w:rFonts w:ascii="Amiri" w:hAnsi="Amiri" w:eastAsia="Amiri" w:cs="Amiri"/>
          <w:color w:val="111111"/>
          <w:sz w:val="28"/>
          <w:sz w:val="28"/>
          <w:szCs w:val="28"/>
          <w:rtl w:val="true"/>
          <w:lang w:bidi="ar-SA"/>
        </w:rPr>
        <w:t>الغرض من تبين القاعدة والأصول العمليّة عند تبيين المسائل هو الرجوع إليها عند فقدان النصّ، أو اجماله، أو التعارض بين النصّين، أو التباس المصاديق الخارجيّة لرفع تحيّر المكلف في مقام العمل بحسب الظاهر</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ذلك فاعلم أنّ القاعدة هنا تقتضی أن لا يكون زمان وجوب الصوم إلا بعد الإحرام بالحجّ لإنّه في الحقيقة من قبيل فعل لم يجب موجبه وأنّه بدل عن الهدی في يوم النحر، فكما لا يجوز التقديم في سائر الأبدال فكذلك في المقام، بل نقول زائداً عليه كما حكی عن مالك</w:t>
      </w:r>
      <w:r>
        <w:rPr>
          <w:rStyle w:val="FootnoteAnchor"/>
          <w:rtl w:val="true"/>
        </w:rPr>
        <w:footnoteReference w:id="726"/>
      </w:r>
      <w:r>
        <w:rPr>
          <w:rFonts w:ascii="Amiri" w:hAnsi="Amiri" w:eastAsia="Amiri" w:cs="Amiri"/>
          <w:color w:val="111111"/>
          <w:sz w:val="28"/>
          <w:sz w:val="28"/>
          <w:szCs w:val="28"/>
          <w:rtl w:val="true"/>
          <w:lang w:bidi="ar-SA"/>
        </w:rPr>
        <w:t>بأنّه يلزم أن لا يكون إلا بعد تحقّق العجز عنه في يومه فكيف يجوز فعله قبل زمان وجوب مبدله؟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هنا مسبب عن عجز الناسك عن الهدی فإذا كان أصل الهدی ونفسه لا يكون إلا بعد الإحرام بالحجّ فكيف يجوز تقديمه علی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ذلك أنّ مقتضی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فَصِيامُ</w:t>
      </w:r>
    </w:p>
    <w:p>
      <w:pPr>
        <w:pStyle w:val="BookText"/>
        <w:rPr/>
      </w:pPr>
      <w:r>
        <w:rPr>
          <w:rFonts w:ascii="Amiri" w:hAnsi="Amiri" w:eastAsia="Amiri" w:cs="Amiri"/>
          <w:color w:val="111111"/>
          <w:sz w:val="28"/>
          <w:sz w:val="28"/>
          <w:szCs w:val="28"/>
          <w:rtl w:val="true"/>
          <w:lang w:bidi="ar-SA"/>
        </w:rPr>
        <w:t>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الترتيب والتعقيب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يؤيد ذلك بمرسلة أَحْمَدَ بْنِ عَبْدِ اللَّهِ الْكَرْخِیِّ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يَقْدَمُ وَلَيْسَ مَعَهُ هَدْیٌ أَ يَصُومُ مَا لَمْ يَجِبْ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يَصْبِرُ إِلَى يَوْمِ النَّحْرِ فَإِنْ لَمْ يُصِبْ فَهُوَ مِمَّنْ لَمْ يَجِدْ</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عزم الناسك بالحجّ وشروعه بإحرام العمرة التمتع يستقر في ذمته جميع مناسكه من العمرة إلی تمام الحجّ فعلاً إلا أنّ الإتيان بها مرهونة علی ترتيبها الزمانی كما يجب علی هذا المنوال تمام ركعات الصلاة علی المصلّی بمجرد شروعه فيها، إلی ذلك أشار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يصام بدل الهدی قبل وجوب الهدی، لأنّ الهدی ما يجب ذبحه إلا يوم النحر ولا يجوز قبله؟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بالحجّ متمتعاً، وجب عليه الدم، ويستقر في ذمته، وبه قال أبو حنيفة، والشافعی، وقال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حتّى يقف بعرفة،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حتّى يرمی جمرة العقبة،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الْهَدْیِ</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فجعل تعالى الحجّ غاية لوجوب الهدی، فالغاية وجود أوّل الحجّ، دون إكماله،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 كانت الغاية دخول أوّل الليل دون إكماله كلّه، وإجماع أصحابنا أيضاً، منعقد على ذلك، إلا أنّهم أجمعوا، على أنّه لا يجوز الصيام إلا يوم قبل التروية، ويوم التروية، ويوم عرفة، وقبل ذلك لا يجوز، ولو لا إجماعهم لجاز ذلك لعموم الآية، وصيام هذه الأيّام يجوز سواء أحرم بالحجّ، أو لم يحرم، لأجل الإجماع من أصحابنا أيضاً وإلا فما كان يجوز الصيام إلا بعد إحرام الحجّ، لأنّه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تَمَتَّعَ بِالْعُمْرَةِ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الحجّ غاية لوجوب الهدی، فإذا لم يحرم ما وجدت الغاية، بل الإجماع مخصّص لذلك، 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العمرة المتمتع بها إلى الحجّ، حجّ وحكمها </w:t>
      </w:r>
      <w:bookmarkStart w:id="225" w:name="pg7917_84898"/>
    </w:p>
    <w:p>
      <w:pPr>
        <w:pStyle w:val="BookText"/>
        <w:rPr/>
      </w:pPr>
      <w:bookmarkEnd w:id="225"/>
      <w:r>
        <w:rPr>
          <w:rFonts w:ascii="Amiri" w:hAnsi="Amiri" w:eastAsia="Amiri" w:cs="Amiri"/>
          <w:color w:val="111111"/>
          <w:sz w:val="28"/>
          <w:sz w:val="28"/>
          <w:szCs w:val="28"/>
          <w:rtl w:val="true"/>
          <w:lang w:bidi="ar-SA"/>
        </w:rPr>
        <w:t>حكم الحجّ، لأنّها لا ينعقد الإحرام بها، إلا في أشهر الحجّ، فعلى هذا إذا أحرم بها، فقد وجد أوّل الحجّ</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6355253_1051229030"/>
      <w:bookmarkStart w:id="227" w:name="_Toc75"/>
      <w:bookmarkEnd w:id="226"/>
      <w:r>
        <w:rPr>
          <w:rtl w:val="true"/>
        </w:rPr>
        <w:t>الكلام في أدلة الأقوال</w:t>
      </w:r>
      <w:r>
        <w:rPr>
          <w:rtl w:val="true"/>
        </w:rPr>
        <w:t>:</w:t>
      </w:r>
      <w:bookmarkEnd w:id="227"/>
    </w:p>
    <w:p>
      <w:pPr>
        <w:pStyle w:val="BookText"/>
        <w:rPr/>
      </w:pPr>
      <w:r>
        <w:rPr>
          <w:rFonts w:ascii="IRNazanin" w:hAnsi="IRNazanin" w:eastAsia="IRNazanin"/>
          <w:color w:val="111111"/>
          <w:sz w:val="28"/>
          <w:sz w:val="28"/>
          <w:szCs w:val="28"/>
          <w:rtl w:val="true"/>
          <w:lang w:bidi="fa-IR"/>
        </w:rPr>
        <w:t>دليل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زمان الصوم بعد الإحرام بالعمرة وهو الزاماً أو علی الأحوط وجوباً أو ندباً السابع والثامن والتاسع من شهر ذی الحجة، يستدل علی ذلك بروايات متظافرة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الْمُتَمَتِّعِ لَا يَجِدُ الْهَدْیَ؟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قَبْلَ التَّرْوِيَةِ وَيَوْمَ التَّرْوِيَةِ وَيَوْمَ عَرَفَةَ،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قَدِمَ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التَّشْرِيقِ،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عَلَيْهِ جَمَّالُهُ،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الْحَصْبَةِ وَبَعْدَهُ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الْحَصْبَةُ؟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نَفْرِهِ،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لَيْسَ هُوَ يَوْمَ عَرَفَةَ مُسَافِراً، إِنَّا أَهْلُ بَيْتٍ نَقُولُ ذَلِكَ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ذِی الْحِجَّةِ</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مُعَاوِيَةَ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مُتَمَتِّعٍ لَمْ يَجِدْ هَدْياً؟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ثَلَاثَةَ أَيَّامٍ في الْحَجِّ يَوْماً قَبْلَ التَّرْوِيَةِ وَيَوْمَ التَّرْوِيَةِ وَيَوْمَ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يَتَسَحَّرُ لَيْلَةَ الْحَصْبَةِ وَيَصُومُ ذَلِكَ الْيَوْمَ وَيَوْمَيْنِ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يُقِمْ عَلَيْهِ جَمَّالُهُ أَ يَصُومُهَا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صَامَهَا في الطَّرِيقِ وَإِنْ شَاءَ إِذَا رَجَعَ إِلَى أَهْلِهِ</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وصحيحة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 وَسَبْعَةٍ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التَّرْوِيَةِ وَيَوْمَ التَّرْوِيَةِ وَيَوْمَ عَرَفَةَ، فَمَنْ فَاتَتْهُ هَذِهِ الْأَيَّامُ فَلْيُنْشِئْ يَوْمَ الْحَصْبَةِ وَهِیَ لَيْلَةُ النَّفْرِ</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وصحيحة عَبْدِ الرَّحْمَنِ بْنِ الْحَجَّاجِ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قَائِماً أُصَلِّی وَأَبُوالْحَسَنِ علیه السلام قَاعِدٌ قُدَّامِی وَأَنَا لَا أَعْلَمُ فَجَاءَهُ عَبَّادٌ الْبَصْرِیُّ فَسَلَّمَ ثُمَّ 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تَقُولُ في رَجُلٍ تَمَتَّعَ وَلَمْ يَكُنْ لَهُ 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w:t>
      </w:r>
    </w:p>
    <w:p>
      <w:pPr>
        <w:pStyle w:val="BookText"/>
        <w:rPr/>
      </w:pPr>
      <w:r>
        <w:rPr>
          <w:rFonts w:ascii="Amiri" w:hAnsi="Amiri" w:eastAsia="Amiri" w:cs="Amiri"/>
          <w:color w:val="111111"/>
          <w:sz w:val="28"/>
          <w:sz w:val="28"/>
          <w:szCs w:val="28"/>
          <w:rtl w:val="true"/>
          <w:lang w:bidi="ar-SA"/>
        </w:rPr>
        <w:t>الْأَيَّامَ الّتي قَالَ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سَمْعِی إِلَيْهِمَا،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أَيَّامٍ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التَّرْوِيَةِ بِيَوْمٍ وَيَوْمُ التَّرْوِيَةِ وَيَوْمُ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صَبِيحَةَ الْحَصْبَةِ وَيَوْمَيْنِ بَعْدَ ذَلِكَ، الحديث</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w:t>
      </w:r>
    </w:p>
    <w:p>
      <w:pPr>
        <w:pStyle w:val="BookText"/>
        <w:rPr/>
      </w:pPr>
      <w:r>
        <w:rPr>
          <w:rFonts w:ascii="Amiri" w:hAnsi="Amiri" w:eastAsia="Amiri" w:cs="Amiri"/>
          <w:color w:val="111111"/>
          <w:sz w:val="28"/>
          <w:sz w:val="28"/>
          <w:szCs w:val="28"/>
          <w:rtl w:val="true"/>
          <w:lang w:bidi="ar-SA"/>
        </w:rPr>
        <w:t>الثَّلَاثَةُ الْأَيَّامِ إِنْ صَامَهَا فَآخِرُهَا يَوْمُ عَرَفَةَ، وَإِنْ لَمْ يَقْدِرْ عَلَى ذَلِكَ فَلْيُؤَخِّرْهَا حَتَّى يَصُومَهَا في أَهْلِهِ، وَلَا يَصُومُهَا في السَّفَرِ</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ومرفوعة مُحَمَّدُ بْنُ مَسْعُودٍ الْعَيَّاشِیُّ في تَفْسِيرِهِ عَنْ رِبْعِیِّ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جعفر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فَصِيامُ </w:t>
      </w:r>
    </w:p>
    <w:p>
      <w:pPr>
        <w:pStyle w:val="BookText"/>
        <w:rPr/>
      </w:pPr>
      <w:r>
        <w:rPr>
          <w:rFonts w:ascii="Amiri" w:hAnsi="Amiri" w:eastAsia="Amiri" w:cs="Amiri"/>
          <w:color w:val="111111"/>
          <w:sz w:val="28"/>
          <w:sz w:val="28"/>
          <w:szCs w:val="28"/>
          <w:rtl w:val="true"/>
          <w:lang w:bidi="ar-SA"/>
        </w:rPr>
        <w:t>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قَبْلَ التَّرْوِيَةِ وَيَوْمِ التَّرْوِيَةِ وَيَوْمِ عَرَفَةَ، فَمَنْ فَاتَهُ ذَلِكَفَلْيَقْضِ ذَلِكَ في بَقِيَّةِ ذِی الْحِجَّةِ فَإِنَّ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ومرفوعة مُحَمَّدُ بْنُ عَلِیِّ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صَلَّى اَللَّهُ عَلَيْهِ وَ آلِهِ وَ سَلَّمْ وَالْأَئِمَّةِ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الْمُتَمَتِّعَ إِذَا وَجَدَ الْهَدْیَ وَلَمْ يَجِدِ الثَّمَنَ صَامَ ثَلَاثَةَ أَيَّامٍ في الْحَجِّ، يَوْماً قَبْلَ التَّرْوِيَةِ وَيَوْمَ التَّرْوِيَةِ وَيَوْمَ عَرَفَةَ، وَسَبْعَةَ أَيَّامٍ إِذَا رَجَعَ إِلَى أَهْلِهِ تِلْكَ عَشَرَةٌ كَامِلَةٌ لِجَزَاءِ الْهَدْیِ، فَإِنْ فَاتَهُ صَوْمُ هَذِهِ الثَّلَاثَةِ الْأَيَّامِ تَسَحَّرَ لَيْلَةَ الْحَصْبَةِ وَهِیَ لَيْلَةُ النَّفْرِ وَأَصْبَحَ صَائِماً وَصَامَ يَوْمَيْنِ مِنْ بَعْدُ فَإِنْ فَاتَهُ صَوْمُ هَذِهِ الثَّلَاثَةِ الْأَيَّامِ حَتَّى يَخْرُجَ وَلَيْسَ لَهُ مُقَامٌ صَامَ هَذِهِ الثَّلَاثَةَ في الطَّرِيقِ إِنْ شَاءَ وَإِنْ شَاءَ صَامَ الْعَشْرَ في أَهْلِهِ وَيَفْصِلُ بَيْنَ الثَّلَاثَةِ وَالسَّبْعَةِ بِيَوْمٍ وَإِنْ شَاءَ صَامَهَا مُتَتَابِعَةً،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جَهِلَ صِيَامَ ثَلَاثَةِ أَيَّامٍ فِي الْحَجِّ صَامَهَا بِمَكَّةَ إِنْ أَقَامَ جَمَّالُهُ وَإِنْ لَمْ يُقِمْ صَامَهَا في الطَّرِيقِ أَوْ بِالْمَدِينَةِ إِنْ شَاءَ فَإِذَا رَجَعَ إِلَى أَهْلِهِ صَامَ السَّبْعَةَ الْأَيَّامِ</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ومرفوعة عَبْدِ الرَّحْمَنِ بْنِ مُحَمَّدٍ الْعَرْزَمِیِّ عَنْ أَبِی عَبْدِ اللَّهِ عَنْ أَبِيهِ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صِيَامِ ثَلَاثَةِ أَيَّامٍ في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التَّرْوِيَةِ بِيَوْمٍ وَيَوْمَ التَّرْوِيَةِ وَيَوْمَ عَرَفَةَ، فَإِنْ فَاتَهُ ذَلِكَ تَسَحَّرَ لَيْلَةَ الْحَصْبَةِ</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ومرفوعة إِبْرَاهِيمَ بْنِ أَبِی يَحْيَى عَنْ أَبِی عَبْدِ اللَّهِ علیه السلام عَنْ أَبِيهِ عَنْ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الْمُتَمَتِّعُ قَبْلَ التَّرْوِيَةِ بِيَوْمٍ وَيَوْمَ التَّرْوِيَةِ وَيَوْمَ عَرَفَةَ، فَإِنْ فَاتَهُ ذَلِكَ وَلَمْ يَكُنْ عِنْدَهُ دَمٌ صَامَ إِذَا انْقَضَتْ أَيَّامُ التَّشْرِيقِ يَتَسَحَّرُ لَيْلَةَ الْحَصْبَةِ ثُمَّ يُصْبِحُ صَائِماً</w:t>
      </w:r>
      <w:r>
        <w:rPr>
          <w:rFonts w:eastAsia="Amiri" w:cs="Amiri" w:ascii="Amiri" w:hAnsi="Amiri"/>
          <w:color w:val="111111"/>
          <w:sz w:val="28"/>
          <w:szCs w:val="28"/>
          <w:rtl w:val="true"/>
          <w:lang w:bidi="ar-SA"/>
        </w:rPr>
        <w:t>»</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فالرّوايات كما تری متظافرة عدداً فيها صحاح وغير صحاح، يستفاد منها تعيين الأيام الثلاثة السابع إلی التاسع لبدل الهدی لكنّها إذا اجتمعت مع الرّوايات أو الرواية الدالة علی القول الثانی فذهب بعض إلی كونها أحوط وجوباً أو استحباباً، أو استفادوا منها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دليل القول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زمان الصوم أيضاً بعد الإحرام بالعمرة إلا أنّه يستحب أن يكون ذلك في السابع والثامن والتاسع من ذی الحجة، يستدل علی هذا القول زائداً علی ما دلّت علی القول الأوّل بما وردت من جواز الصوم من أوّل ذی الحجة في موثقة بل صحيحة مُحَمَّدُ بْنُ يَعْقُوبَ عَنْ عِدَّةٍ مِنْ أَصْحَابِنَاْ عَنْ سَهْلٍ عَنْ أَحْمَدَ بْنِ مُحَمَّدِ بْنِ أَبِی نَصْرٍ عَنْ عَبْدِ الْكَرِيمِ بْنِ عَمْرٍو عَنْ زُرَارَةَ عَنْ أَحَدِهِمَا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يَجِدْ هَدْياً وَأَحَبَّ أَنْ يُقَدِّمَ الثَّلَاثَةَ الْأَيَّامِ في أَوَّلِ الْعَشْرِ فَلَا بَأْسَ</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مُحَمَّدُ بْنُ الْحَسَنِ بِإِسْنَادِه عَنْ أَحْمَدَ بْنِ مُحَمَّدٍ عَنْ عَلِيِّ بْنِ النُّعْمَانِ وَمُحَمَّدِ بْن سِنَانٍ جَمِيعاً عَنْ عَبْدِ اللَّهِ بْنِ مُسْكَانَ قَالَ حَدَّثَنِی أَبَانٌ الْأَزْرَقُ عَنْ </w:t>
      </w:r>
    </w:p>
    <w:p>
      <w:pPr>
        <w:pStyle w:val="BookText"/>
        <w:rPr/>
      </w:pPr>
      <w:r>
        <w:rPr>
          <w:rFonts w:ascii="Amiri" w:hAnsi="Amiri" w:eastAsia="Amiri" w:cs="Amiri"/>
          <w:color w:val="111111"/>
          <w:sz w:val="28"/>
          <w:sz w:val="28"/>
          <w:szCs w:val="28"/>
          <w:rtl w:val="true"/>
          <w:lang w:bidi="ar-SA"/>
        </w:rPr>
        <w:t>زُرَارَةَ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يَجِدِ الْهَدْیَ وَأَحَبَّ أَنْ يَصُومَ الثَّلَاثَةَ الْأَيَّامِ في أَوَّلِ الْعَشْرِ فَلَا بَأْسَ بِذَلِكَ</w:t>
      </w:r>
      <w:r>
        <w:rPr>
          <w:rFonts w:eastAsia="Amiri" w:cs="Amiri" w:ascii="Amiri" w:hAnsi="Amiri"/>
          <w:color w:val="111111"/>
          <w:sz w:val="28"/>
          <w:szCs w:val="28"/>
          <w:rtl w:val="true"/>
          <w:lang w:bidi="ar-SA"/>
        </w:rPr>
        <w:t>»</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الرّوايتين كانتا واحدة، لوحدة الراوی والمروی عنه والمفهوم، وإن كان الراوی عن زرارة في الأولی عبد الكريم بن عمرو، وفی الثانی أبان الأزرق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كان إنّه لا كلام في رجال سند الصحيحة إلا من ناحية سهل بن زياد الآدمی، فإنّه وإن ضعّف</w:t>
      </w:r>
      <w:r>
        <w:rPr>
          <w:rStyle w:val="FootnoteAnchor"/>
          <w:rtl w:val="true"/>
        </w:rPr>
        <w:footnoteReference w:id="742"/>
      </w:r>
      <w:r>
        <w:rPr>
          <w:rFonts w:ascii="IRNazanin" w:hAnsi="IRNazanin" w:eastAsia="IRNazanin"/>
          <w:color w:val="111111"/>
          <w:sz w:val="28"/>
          <w:sz w:val="28"/>
          <w:szCs w:val="28"/>
          <w:rtl w:val="true"/>
          <w:lang w:bidi="fa-IR"/>
        </w:rPr>
        <w:t>لكنّه ثقة علی التحقيق، وذلك لكثرة نقله الحديث ما تبلغ أكثر من ألفين وثلاثمائة حديثاً زائداً علی اعتناء الأصحاب والأجلاء بأحاديثه ما لم يوجد أو يشذ بهذا المقدار بالنسبة إلی غيره، وقد وثّقه الشيخ إجمالاً في رجاله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زياد الآدمی يكنّی أبا سعيد ثقة رازی</w:t>
      </w:r>
      <w:r>
        <w:rPr>
          <w:rStyle w:val="FootnoteAnchor"/>
          <w:rtl w:val="true"/>
        </w:rPr>
        <w:footnoteReference w:id="743"/>
      </w:r>
      <w:r>
        <w:rPr>
          <w:rFonts w:ascii="IRNazanin" w:hAnsi="IRNazanin" w:eastAsia="IRNazanin"/>
          <w:color w:val="111111"/>
          <w:sz w:val="28"/>
          <w:sz w:val="28"/>
          <w:szCs w:val="28"/>
          <w:rtl w:val="true"/>
          <w:lang w:bidi="fa-IR"/>
        </w:rPr>
        <w:t>، قال السيّد الخوئی رحمه الله في ترجمته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سهل بن زياد وقع الكلام في وثاقته وعدمها، فذهب بعضهم إلى وثاقته، ومال إلى ذلك الوحيد قدس سره ، واستشهد عليه بوجوه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أمارات التوثيق،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سهل بن زياد كثير الرواية، ومنها رواية الأجلاء عنه،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شيخ إجازة،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ذلك،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بعنوان </w:t>
      </w:r>
    </w:p>
    <w:p>
      <w:pPr>
        <w:pStyle w:val="BookText"/>
        <w:rPr/>
      </w:pPr>
      <w:r>
        <w:rPr>
          <w:rFonts w:ascii="Amiri" w:hAnsi="Amiri" w:eastAsia="Amiri" w:cs="Amiri"/>
          <w:color w:val="111111"/>
          <w:sz w:val="28"/>
          <w:sz w:val="28"/>
          <w:szCs w:val="28"/>
          <w:rtl w:val="true"/>
          <w:lang w:bidi="ar-SA"/>
        </w:rPr>
        <w:t>سهل بن زياد في أسناد كثير من الروايات، تبلغ ألفين وثلاثمائة وأربعة موارد</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تنزلنا عنه ولن نقل بواثقة الرجل بذلك، فالخبر لا الرّاوی لا أقلّ حيث يكون منقولاً بواسطة الكلينی رحمه الله يكون موثوقاً عنده لما شهد في مقدمة كتابه بأنّ ما فيه من الأخبار والأحاديث وارداً من ناحية الصّادقين</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 مع وضوح أنّ المعيار في قبول الخبر عند الأصحاب هو وثاقة الخبر لا الرّاوی وأنّ وثاقة الرّاوی طريق إلی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تقريب الاستدلال أنّ قوله علیه السلام في الأخيرين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في جواز الصوم من أوّل ذی الحجّة، وتلك الرّوايات ظاهرة في وجوب وتعيين الصوم في خصوص الأيام السابع إلی التاسع، والجمع بينهما يحصل بحمل الظاهر علی النصّ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يجوز الصوم من أوّل الشهر لكنّه يستحب كونه في تلك الأيام الخاصة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فقل أنّ تلك الأخبار ناظرة إلی ما هو الغالب من إقدام الناسك الفاقد للصوم معمولاً في تلك الأيّام، وذلك لأنّه بطبيعة الحال ما دام راجياً متوقعّاً حصول الهدی لا يقدم الصيام، يؤيد ذلك بمرسلة أَحْمَدَ بْنِ عَبْدِ اللَّهِ الْكَرْخِیِّ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يَقْدَمُ وَلَيْسَ مَعَهُ هَدْیٌ أَ يَصُومُ مَا لَمْ يَجِبْ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يَصْبِرُ إِلَى يَوْمِ النَّحْرِ فَإِنْ لَمْ يُصِبْ فَهُوَ مِمَّنْ لَمْ يَجِدْ</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 xml:space="preserve">، بأنّه ينبغی له ما دام راجياً من الإصابة أن لا يقدم عليه، خرج منه ما لو كان الناسك من بدو الأمر </w:t>
      </w:r>
    </w:p>
    <w:p>
      <w:pPr>
        <w:pStyle w:val="BookText"/>
        <w:rPr/>
      </w:pPr>
      <w:r>
        <w:rPr>
          <w:rFonts w:ascii="IRNazanin" w:hAnsi="IRNazanin" w:eastAsia="IRNazanin"/>
          <w:color w:val="111111"/>
          <w:sz w:val="28"/>
          <w:sz w:val="28"/>
          <w:szCs w:val="28"/>
          <w:rtl w:val="true"/>
          <w:lang w:bidi="fa-IR"/>
        </w:rPr>
        <w:t xml:space="preserve">عالماً بعدم إمكان الصيّام حينها كالمرأة الّتي تكون زمان حيضها في تلك الأيّام، أو آيساً من الظفر بالهدی فلا مانع لهما لأن يقدما للصيام من أوّل العشر، لكنّه معذلك يستحب للأخير أن يجعله في تلك الأيّام، وقد أشار إلی ذلك إجمالاً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في ذيل خبر زرارة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ينافی ما قدّمناه من الأخبار في أنّ هذه الثلاثة أيّام آخرها يوم عرفة، لأنّ تلك الأخبار محمولة علی الفضل وهذا الخبر محمول علی الرّخصة لمن يخاف ألا يتمكن من ذلك، ولا تنافی بينهما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من الجانبين تكون من قبيل المثبتات، فلا تعارض بينهما حتّی لزم لنا الأخذ بالمرجّحات، فعليه يحمل الأولی منهما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دليل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زمان الصوم بعد الإحرام بالعمرة لكنّه يستحب أن يكون آخر يومها يوم التروية، الّذی اختاره الشيخ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لذلك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بين الطائفة أن الواجب أن يصوم الثلاثة أيّام الّتي ذكرناها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التروية ويوم التروية ويوم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الاختيار، وأنّ الإحرام بالحجّ ينبغی أن يكون يوم التروية، فخرج من ذلك جواز الصوم قبل الإحرام بالحجّ</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يلاحظ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ملازمة بين استحباب اختيار الإحرام للحجّ يوم التروية وإتمام صيام البدل في ذلك اليوم أو قبله، إذ دليل الصوم شیء ودليل استحباب </w:t>
      </w:r>
    </w:p>
    <w:p>
      <w:pPr>
        <w:pStyle w:val="BookText"/>
        <w:rPr/>
      </w:pPr>
      <w:r>
        <w:rPr>
          <w:rFonts w:ascii="IRNazanin" w:hAnsi="IRNazanin" w:eastAsia="IRNazanin"/>
          <w:color w:val="111111"/>
          <w:sz w:val="28"/>
          <w:sz w:val="28"/>
          <w:szCs w:val="28"/>
          <w:rtl w:val="true"/>
          <w:lang w:bidi="fa-IR"/>
        </w:rPr>
        <w:t>الإحرام للحجّ يوم التروية شیء آخر، ولا نستفيد منهما جواز كون الصوم قبل الإهلال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دليل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الصوم لا يكون إلا بعد الإحرام بالحجّ ويستحب أن يكون آخر الثلاثة يوم عرفة، فعليه أن يقدم إحرامه بالحجّ قبل يوم التروية ليصومها في الحجّ، يمكن أن يستدل علی هذا القول بما تقدم في تصوير مقتضی القاعدة في المقام من أنّ القاعدة هنا تقتضی أن لا يكون زمان وجوب الصوم إلا بعد الإحرام بالحجّ، وذلك لأنّه بدل الهدی في يوم النحر وإنّه في الحقيقة من قبيل فعل لم يجب موجبه، مؤيّدة بمرسلة الكرخیّ</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دليل 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الصوم أيضاً لا يكون إلا بعد الإحرام بالحجّ إلا أنّه يستحب أن يكون آخر الثلاثة يوم التروية، وذلك لمقتضی الأصل أوّلاً، ولأنّ صوم يوم عرفة بعرفة غير مستحب ثانياً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يلاحظ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دليل حيث لا دليل والمرسلة ضعيفة لا يحتجّ بها، فلا اعتبار بهما بعد وجود الأخبار المتظافرة بل المتواترة الدالة علی القولين الأولين، زائداً علی أنّ كلامنا هنا في الصوم الواجب البدل لا في الصوم المندوب وبينهما بون بعيد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إلی هنا أنّ المستفاد من مجموع الأخبار الواردة في المقام أنّ المختار والمتعين في الأيام الثلاثة الّتي يجوز صومها عند تعذّر الهدی، هی كونها بعد الإحرام بالعمرة من أوّل العشر إلا أنّه يستحب أن يجعلها لدی الاختيار من السابعة إلی التاسعة منها</w:t>
      </w:r>
      <w:r>
        <w:rPr>
          <w:rFonts w:eastAsia="IRNazanin" w:cs="IRNazanin"/>
          <w:color w:val="111111"/>
          <w:sz w:val="28"/>
          <w:szCs w:val="28"/>
          <w:rtl w:val="true"/>
          <w:lang w:bidi="fa-IR"/>
        </w:rPr>
        <w:t xml:space="preserve">. </w:t>
      </w:r>
      <w:bookmarkStart w:id="228" w:name="pg7917_84906"/>
    </w:p>
    <w:p>
      <w:pPr>
        <w:pStyle w:val="Heading2"/>
        <w:numPr>
          <w:ilvl w:val="1"/>
          <w:numId w:val="1"/>
        </w:numPr>
        <w:rPr/>
      </w:pPr>
      <w:bookmarkStart w:id="229" w:name="__RefHeading___Toc6355255_1051229030"/>
      <w:bookmarkStart w:id="230" w:name="_Toc76"/>
      <w:bookmarkEnd w:id="228"/>
      <w:bookmarkEnd w:id="229"/>
      <w:r>
        <w:rPr>
          <w:rtl w:val="true"/>
        </w:rPr>
        <w:t>هل يجوز صيام بدل الهدی أيّام التشريق لمن كان بمنی؟</w:t>
      </w:r>
      <w:bookmarkEnd w:id="230"/>
    </w:p>
    <w:p>
      <w:pPr>
        <w:pStyle w:val="BookText"/>
        <w:rPr/>
      </w:pPr>
      <w:r>
        <w:rPr>
          <w:rFonts w:ascii="IRNazanin" w:hAnsi="IRNazanin" w:eastAsia="IRNazanin"/>
          <w:color w:val="111111"/>
          <w:sz w:val="28"/>
          <w:sz w:val="28"/>
          <w:szCs w:val="28"/>
          <w:rtl w:val="true"/>
          <w:lang w:bidi="fa-IR"/>
        </w:rPr>
        <w:t>قد عرفت أنّه يجب علی المتمتع بالحجّ يوم النحر أن يهدی بمنی من إحدی النعم الثلاث، وأنّه لو كان عاجزاً عنه يتبدل فرضه حينئذ من الهدی إلی الصيام، وهو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منها في الحجّ والسبعة الباقية منها بعد رجوعه إلی أهله، فنبحث هنا عن جواز ذلك وعدمه أيّام التشريق</w:t>
      </w:r>
      <w:r>
        <w:rPr>
          <w:rStyle w:val="FootnoteAnchor"/>
          <w:rtl w:val="true"/>
        </w:rPr>
        <w:footnoteReference w:id="750"/>
      </w:r>
      <w:r>
        <w:rPr>
          <w:rFonts w:ascii="IRNazanin" w:hAnsi="IRNazanin" w:eastAsia="IRNazanin"/>
          <w:color w:val="111111"/>
          <w:sz w:val="28"/>
          <w:sz w:val="28"/>
          <w:szCs w:val="28"/>
          <w:rtl w:val="true"/>
          <w:lang w:bidi="fa-IR"/>
        </w:rPr>
        <w:t>بمنی، أمّا خصوص يوم العيد وهو يوم النحر فلا ريب في كونه منهياً عنه بإجماع فقهاء الإسلام بل الضرورة بين المسلمين كافة</w:t>
      </w:r>
      <w:r>
        <w:rPr>
          <w:rStyle w:val="FootnoteAnchor"/>
          <w:rtl w:val="true"/>
        </w:rPr>
        <w:footnoteReference w:id="751"/>
      </w:r>
      <w:r>
        <w:rPr>
          <w:rFonts w:ascii="Amiri" w:hAnsi="Amiri" w:eastAsia="Amiri" w:cs="Amiri"/>
          <w:color w:val="111111"/>
          <w:sz w:val="28"/>
          <w:sz w:val="28"/>
          <w:szCs w:val="28"/>
          <w:rtl w:val="true"/>
          <w:lang w:bidi="ar-SA"/>
        </w:rPr>
        <w:t>، ولدلالة الأخبار الكثيرة عليه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جوازه في اليومين أو الأيّام الثلاثة بعده، فقد اختلف الفقهاء فيه علی ثلاثة أقوال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جوازه مطلقاً،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العلامة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الشيخ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أيضاً قول فقهاء أهل العراق والشافعی في الجديد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 يوم الحصبة فقط وهو يوم النفر، فإن كان هو أوّل يوم من الثلاثة فعليه أن يكمله بيومين بعده، هذا القول هو خيرة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xml:space="preserve">ووالده علی ما نسب إليه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756"/>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xml:space="preserve">، وابن إدريس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 xml:space="preserve">، والمحدث البحرانی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 والمحقق العاملی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 xml:space="preserve">، والمحقق السبزواری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الذخيرة</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 رضوان الله تعالی عليهم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إباحته حتّی في أيّام التشريق، وهو خيرة ابن جنيد الإسكافی رحمه الله </w:t>
      </w:r>
      <w:r>
        <w:rPr>
          <w:rStyle w:val="FootnoteAnchor"/>
          <w:rtl w:val="true"/>
        </w:rPr>
        <w:footnoteReference w:id="762"/>
      </w:r>
      <w:r>
        <w:rPr>
          <w:rFonts w:ascii="IRNazanin" w:hAnsi="IRNazanin" w:eastAsia="IRNazanin"/>
          <w:color w:val="111111"/>
          <w:sz w:val="28"/>
          <w:sz w:val="28"/>
          <w:szCs w:val="28"/>
          <w:rtl w:val="true"/>
          <w:lang w:bidi="fa-IR"/>
        </w:rPr>
        <w:t xml:space="preserve">، وقال به الشافعی في القديم، واختاره أيضاً مالك وأحمد </w:t>
      </w:r>
    </w:p>
    <w:p>
      <w:pPr>
        <w:pStyle w:val="BookText"/>
        <w:rPr/>
      </w:pPr>
      <w:r>
        <w:rPr>
          <w:rFonts w:ascii="IRNazanin" w:hAnsi="IRNazanin" w:eastAsia="IRNazanin"/>
          <w:color w:val="111111"/>
          <w:sz w:val="28"/>
          <w:sz w:val="28"/>
          <w:szCs w:val="28"/>
          <w:rtl w:val="true"/>
          <w:lang w:bidi="fa-IR"/>
        </w:rPr>
        <w:t>وأصحاب الرأی، وإسحاق وابن عمر وعائشة وعروة وعبيد بن عمير والزهری والأوزاعی من العامة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يجوز صيام أيّام التشريق في الحجّ بدل الهدی في أكثر الرّوايات وعند المحصلّين من أصحابنا وبه قال علیّ علیه السلام في الصحابة، وإليه ذهب أهل العراق، وبه قال الشافعی في الجديد، وقال في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يصومها، وبه قال ابن عمر وعائشة في الفقهاء مالك وأحمد وإسحاق، وقد روى في بعض روايات أصحابنا ذلك، 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على أن صوم أيّام التشريق محرّم لمن كان بمنى، وأخبارنا في هذا المعنى قد أوردناها في الكتاب المقدم ذكره، وروى أبو هريرة إنّ النَّبِیِّ صَلَّى اَللَّهُ عَلَيْهِ وَ آلِهِ وَ سَلَّمْ نهى عن صيام 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الفطر، والأضحى، وأيّام التشريق، واليوم الّذی يشك فيه من رمضان، وروى عمرو بن سليم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بمنى إذ أقبل علیّ بن أبی طالب علیه السلام على جمل أحمر ينادی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أيّام أكل وشرب فلا يصومنّ أحد فيها، وقد أوردنا في الكتاب ما فيه كفاية من الأخبار من طرقنا، وأنّهم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يصبح ليلة الحصبة صائماً وهی بعد انقضاء أيّام التشريق</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الجنيد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دخل يوم عرفة وفاته صيام الثلاثة الأيّام في الحجّ صام فيما بينه وبين آخر ذی الحجة، وكان مباحاً صيام أيّام التشريق وفی السفر وفی أهله إذا لم يمكنه غير ذلك</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فاته صوم الثلاثة قبل العيد صامها بعد انقضاء أيّام التشريق هذا هو الأشهر، وهو اختيار الشيخ رحمه الله في بعض كتبه، وأبی الصلاح، وابن البراج، وابن حمزة، وقال الشيخ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فاته صوم الثلاثة أيّام قبل العيد فليصم يوم الحصبة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ويومان بعده، وكذا قال علیّ بن بابويه، وابنه، وابن إدريس، وقال ابن الجنيد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 يوم عرفة و فاته صيام الثلاثة الأيّام في الحجّ صام فيما بينه وبين آخر ذی الحجة، وكان مباحاً صيام أيّام التشريق في السفر، وفی أهله إذا لم يمكنه غير ذلك، وقال في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صيام أيّام التشريق في بدل الهدی في أكثر الروايات وعند المحصلّين من أصحابنا،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منّا على تحريم صوم أيّام التشريق، وما روی أنّ النَّبِیِّ صَلَّى اَللَّهُ عَلَيْهِ وَ آلِهِ وَ سَلَّمْ بعث بديل بن ورقاء الخزاعی على جمل أورق وأمره أن يتخلل الفساطيط وينادی في الناس أيّام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تصوموا فإنّها أيام أكل وشرب وبعال، وما رواه ابن سنان في الصحيح،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تمتع فلم يجد هدياً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فليصم ثلاثة أيّام ليس فيها أيّام التشريق ولكن يقيم بمكة حتّى يصومها، وسبعة إذا رجع إلى أهله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الراحل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لم يتمكّن من صوم السابع صام الثامن والتاسع وأخّر اليوم الثالث إلى بعد رجوعه من منى، والأحوط أن يكون بعد أيّام التشريق أی الحادی عشر والثانی عشر والثالث عشر</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قدامة الحنبلی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ثبت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صوم البدل واجب فلا يسقط بخروج وقته كصوم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يصوم أيّام منی، وهذا قول ابن عمر وعائشة وعروة وعبيد بن عمير والزهری ومالك والأوزاعی وإسحاق والشافعی في القديم، لما روی ابن عمر وعائشة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في أيّام التشريق أن يصمن إلا لمن لم يجد الهدی، رواه البخاری، وهذا ينصرف إلی ترخيص النَّبِیِّ صَلَّى اَللَّهُ عَلَيْهِ وَ آلِهِ وَ سَلَّمْ ولأنّ الله تعالی أمر بصيام الثلاثة في الحجّ، ولم يبق من أيّام الحجّ إلا هذه الأيّام، فيتعيّن الصوم فيها فإذا صام هذه الأيّام فحكمه حكم من صام قبل يوم النحر، وعن أحمد رواية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يصوم أيّام منی، روی ذلك عن علیّ والحسن وعطاء وهو قول ابن المنذر لأنّ النَّبِیِّ صَلَّى اَللَّهُ عَلَيْهِ وَ آلِهِ وَ سَلَّمْ نهی عن صوم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منها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 إنّها أيّام أكل وشرب ولأنّها لا يجوز فيها صوم النفل فلا يصومها عن الهدی كيوم النحر</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 إنّ الّذی يوجب لهذا الخلاف هنا هو اختلاف ما وردت من الأخبار في المقام، فإنّ لكلّ قول دليلاً منها، فإن يمكن أن نجمع بينها، وإلا للزم أن نرجع إلی المرجّحات، أمّا دليل القول الأوّل وهو عدم جواز الصوم في تلك الأيّام مطلقاً فقد استدلّ عليه بروايات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صحيحة يَحْيَى الْأَزْرَقُ أنَّه سَألَ أَبَا إِبْرَاهِيمَ علیه السلام عَنْ رَجُلٍ دَخَلَ يَوْمَ التَّرْوِيَةِ مُتَمَتِّعاً وَلَيْسَ لَهُ هَدْیٌ فَصَامَ يَوْمَ التَّرْوِيَةِ وَيَوْمَ عَرَفَةَ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يَوْماً آخَرَ بَعْدَ أَيَّامِ التَّشْرِيقِ بِيَوْمٍ،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مُتَمَتِّعٍ كَانَ مَعَهُ ثَمَنُ هَدْیٍ وَهُوَ يَجِدُ بِمِثْلِ الَّذِی مَعَهُ هَدْياً فَلَمْ يَزَلْ يَتَوَانَى وَيُؤَخِّرُ ذَلِكَ حَتَّى كَانَ آخِرُ أَيَّامِ التَّشْرِيقِ وَغَلَتِ الْغَنَمُ فَلَمْ يَقْدِرْ أَنْ يَشْتَرِیَ بِالَّذِی مَعَهُ هَدْياً؟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أَيَّامِ التَّشْرِيقِ</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تَمَتَّعَ فَلَمْ يَجِدْ هَدْياً؟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فَلْيَصُمْ</w:t>
      </w:r>
    </w:p>
    <w:p>
      <w:pPr>
        <w:pStyle w:val="BookText"/>
        <w:rPr/>
      </w:pPr>
      <w:r>
        <w:rPr>
          <w:rFonts w:ascii="Amiri" w:hAnsi="Amiri" w:eastAsia="Amiri" w:cs="Amiri"/>
          <w:color w:val="111111"/>
          <w:sz w:val="28"/>
          <w:sz w:val="28"/>
          <w:szCs w:val="28"/>
          <w:rtl w:val="true"/>
          <w:lang w:bidi="ar-SA"/>
        </w:rPr>
        <w:t>ثَلَاثَةَ أَيَّامٍ لَيْسَ فِيهَا أَيَّامُ التَّشْرِيقِ وَلَكِنْ يُقِيمُ بِمَكَّةَ حَتَّى يَصُومَهَا، وَسَبْعَةً إِذَا رَجَعَ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حَدِيثَ بُدَيْلِ بْنِ وَرْقَاءَ</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تَمَتَّعَ وَلَمْ يَجِدْ هَدْياً؟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ثَلَاثَةَ أَيَّامٍ،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فِيهَا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يُقِيمُ بِمَكَّةَ حَتَّى يَصُومَهَا، وَسَبْعَةً إِذَا رَجَعَ إِلَى أَهْلِهِ فَإِنْ لَمْ يُقِمْ عَلَيْهِ أَصْحَابُهُ وَلَمْ يَسْتَطِعِ الْمُقَامَ بِمَكَّةَ فَلْيَصُمْ عَشَرَةَ أَيَّامٍ إِذَا رَجَعَ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حَدِيثَ بُدَيْلِ بْنِ وَرْقَاءَ</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مرفوعة الصدوق رحمه الله وَ رُوِیَ عَنِ الْأَئِمَّةِ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الْمُتَمَتِّعَ إِذَا وَجَدَ الْهَدْیَ وَلَمْ يَجِدِ الثَّمَنَ صَامَ،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أَنْ يَصُومَ أَيَّامَ التَّشْرِيقِ فَإِنَّ النَّبِیّ صَلَّى اَللَّهُ عَلَيْهِ وَ آلِهِ وَ سَلَّمْ بَعَثَ </w:t>
      </w:r>
    </w:p>
    <w:p>
      <w:pPr>
        <w:pStyle w:val="BookText"/>
        <w:rPr/>
      </w:pPr>
      <w:r>
        <w:rPr>
          <w:rFonts w:ascii="Amiri" w:hAnsi="Amiri" w:eastAsia="Amiri" w:cs="Amiri"/>
          <w:color w:val="111111"/>
          <w:sz w:val="28"/>
          <w:sz w:val="28"/>
          <w:szCs w:val="28"/>
          <w:rtl w:val="true"/>
          <w:lang w:bidi="ar-SA"/>
        </w:rPr>
        <w:t>بُدَيْلَ بْنَ وَرْقَاءَ الْخُزَاعِیَّ عَلَى جَمَلٍ أَوْرَقَ وَأَمَرَهُ أَنْ يَتَخَلَّلَ الْفَسَاطِيطَ وَيُنَادِیَ في النَّاسِ أَيَّامَ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تَصُومُوا فَإِنَّهَا أَيَّامُ أَكْلٍ وَشُرْبٍ وَبِعَالٍ</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فالرّوايات كما تری متظافرة، أكثرها صحاح تدلّ بالصراحة علی عدم جواز الصوم أيّام التشريق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دليل القول الثانی وهو جوازه يوم النفر فقط، فإن كان هو أوّل يوم من الثلاثة فعليه أن يكمله بيومين بعده، فقد استدلّ علی هذا القول أيضاً بروايات متظافرة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الْمُتَمَتِّعِ لَا يَجِدُ الْهَدْیَ؟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قَبْلَ التَّرْوِيَةِ وَيَوْمَ التَّرْوِيَةِ وَيَوْمَ عَرَفَةَ،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قَدِمَ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التَّشْرِيقِ،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عَلَيْهِ جَمَّالُهُ،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الْحَصْبَةِ وَبَعْدَهُ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الْحَصْبَةُ؟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نَفْرِهِ،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لَيْسَ هُوَ يَوْمَ عَرَفَةَ مُسَافِراً، إِنَّا أَهْلُ بَيْتٍ نَقُولُ ذَلِكَ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w:t>
      </w:r>
    </w:p>
    <w:p>
      <w:pPr>
        <w:pStyle w:val="BookText"/>
        <w:rPr/>
      </w:pPr>
      <w:r>
        <w:rPr>
          <w:rFonts w:ascii="Amiri" w:hAnsi="Amiri" w:eastAsia="Amiri" w:cs="Amiri"/>
          <w:color w:val="111111"/>
          <w:sz w:val="28"/>
          <w:sz w:val="28"/>
          <w:szCs w:val="28"/>
          <w:rtl w:val="true"/>
          <w:lang w:bidi="ar-SA"/>
        </w:rPr>
        <w:t>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ذِی الْحِجَّةِ</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مُعَاوِيَةَ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مُتَمَتِّعٍ لَمْ يَجِدْ هَدْياً؟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ثَلَاثَةَ أَيَّامٍ في الْحَجِّ يَوْماً قَبْلَ التَّرْوِيَةِ وَيَوْمَ التَّرْوِيَةِ وَيَوْمَ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يَتَسَحَّرُ لَيْلَةَ الْحَصْبَةِ وَيَصُومُ ذَلِكَ الْيَوْمَ وَيَوْمَيْنِ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يُقِمْ عَلَيْهِ جَمَّالُهُ أَ يَصُومُهَا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صَامَهَا في الطَّرِيقِ وَإِنْ شَاءَ إِذَا رَجَعَ إِلَى أَهْلِهِ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وصحيحة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 وَسَبْعَةٍ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التَّرْوِيَةِ وَيَوْمَ التَّرْوِيَةِ وَيَوْمَ عَرَفَةَ، فَمَنْ فَاتَتْهُ هَذِهِ الْأَيَّامُ فَلْيُنْشِئْ يَوْمَ الْحَصْبَةِ وَهِیَ لَيْلَةُ النَّفْرِ</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عَبْدِ الرَّحْمَنِ بْنِ الْحَجَّاجِ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قَائِماً أُصَلِّی وَأَبُو الْحَسَنِ علیه السلام قَاعِدٌ قُدَّامِی وَأَنَا لَا أَعْلَمُ فَجَاءَهُ عَبَّادٌ الْبَصْرِیُّ فَسَلَّمَ ثُمَّ 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تَقُولُ في رَجُلٍ تَمَتَّعَ وَلَمْ يَكُنْ لَهُ 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w:t>
      </w:r>
    </w:p>
    <w:p>
      <w:pPr>
        <w:pStyle w:val="BookText"/>
        <w:rPr/>
      </w:pPr>
      <w:r>
        <w:rPr>
          <w:rFonts w:ascii="Amiri" w:hAnsi="Amiri" w:eastAsia="Amiri" w:cs="Amiri"/>
          <w:color w:val="111111"/>
          <w:sz w:val="28"/>
          <w:sz w:val="28"/>
          <w:szCs w:val="28"/>
          <w:rtl w:val="true"/>
          <w:lang w:bidi="ar-SA"/>
        </w:rPr>
        <w:t>الْأَيَّامَ الّتي قَالَ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سَمْعِی إِلَيْهِمَا،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أَيَّامٍ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التَّرْوِيَةِ بِيَوْمٍ وَيَوْمُ التَّرْوِيَةِ وَيَوْمُ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صَبِيحَةَ الْحَصْبَةِ وَيَوْمَيْنِ بَعْدَ ذَلِكَ، الحديث</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ومرفوعة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صَلَّى اَللَّهُ عَلَيْهِ وَ آلِهِ وَ سَلَّمْ وَالْأَئِمَّةِ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الْمُتَمَتِّعَ إِذَا وَجَدَ الْهَدْیَ وَلَمْ يَجِدِ الثَّمَنَ صَامَ 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قَبْلَ التَّرْوِيَةِ وَيَوْمَ التَّرْوِيَةِ وَيَوْمَ عَرَفَةَ، وَسَبْعَةَ أَيَّامٍ إِذَا رَجَعَ إِلَى أَهْلِهِ تِلْكَ عَشَرَةٌ كَامِلَةٌ لِجَزَاءِ الْهَدْیِ، فَإِنْ فَاتَهُ صَوْمُ هَذِهِ الثَّلَاثَةِ الْأَيَّامِ تَسَحَّرَ لَيْلَةَ الْحَصْبَةِ وَهِیَ لَيْلَةُ النَّفْرِ وَأَصْبَحَ صَائِماً وَصَامَ يَوْمَيْنِ مِنْ بَعْدُ فَإِنْ فَاتَهُ صَوْمُ هَذِهِ الثَّلَاثَةِ الْأَيَّامِ حَتَّى يَخْرُجَ وَلَيْسَ لَهُ مُقَامٌ صَامَ هَذِهِ الثَّلَاثَةَ في الطَّرِيقِ إِنْ شَاءَ وَإِنْ شَاءَ صَامَ الْعَشْرَ في أَهْلِهِ وَيَفْصِلُ بَيْنَ الثَّلَاثَةِ وَالسَّبْعَةِ بِيَوْمٍ وَإِنْ شَاءَ صَامَهَا مُتَتَابِعَةً،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جَهِلَ صِيَامَ ثَلَاثَةِ أَيَّامٍ في </w:t>
      </w:r>
    </w:p>
    <w:p>
      <w:pPr>
        <w:pStyle w:val="BookText"/>
        <w:rPr/>
      </w:pPr>
      <w:r>
        <w:rPr>
          <w:rFonts w:ascii="Amiri" w:hAnsi="Amiri" w:eastAsia="Amiri" w:cs="Amiri"/>
          <w:color w:val="111111"/>
          <w:sz w:val="28"/>
          <w:sz w:val="28"/>
          <w:szCs w:val="28"/>
          <w:rtl w:val="true"/>
          <w:lang w:bidi="ar-SA"/>
        </w:rPr>
        <w:t>الْحَجِّ صَامَهَا بِمَكَّةَ إِنْ أَقَامَ جَمَّالُهُ وَإِنْ لَمْ يُقِمْ صَامَهَا في الطَّرِيقِ أَوْ بِالْمَدِينَةِ إِنْ شَاءَ فَإِذَا رَجَعَ إِلَى أَهْلِهِ صَامَ السَّبْعَةَ الْأَيَّامِ</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ومرفوعة عَبْدِ الرَّحْمَنِ بْنِ مُحَمَّدٍ الْعَرْزَمِیِّ عَنْ أَبِی عَبْدِ اللَّهِ عَنْ أَبِيهِ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صِيَامِ ثَلَاثَةِ أَيَّامٍ في الْحَجِّ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p>
    <w:p>
      <w:pPr>
        <w:pStyle w:val="BookText"/>
        <w:rPr/>
      </w:pPr>
      <w:r>
        <w:rPr>
          <w:rFonts w:ascii="Amiri" w:hAnsi="Amiri" w:eastAsia="Amiri" w:cs="Amiri"/>
          <w:color w:val="111111"/>
          <w:sz w:val="28"/>
          <w:sz w:val="28"/>
          <w:szCs w:val="28"/>
          <w:rtl w:val="true"/>
          <w:lang w:bidi="ar-SA"/>
        </w:rPr>
        <w:t>التَّرْوِيَةِ بِيَوْمٍ وَيَوْمَ التَّرْوِيَةِ وَيَوْمَ عَرَفَةَ، فَإِنْ فَاتَهُ ذَلِكَ تَسَحَّرَ لَيْلَةَ الْحَصْبَةِ</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ومرفوعة إِبْرَاهِيمَ بْنِ أَبِی يَحْيَى عَنْ أَبِی عَبْدِ اللَّهِ علیه السلام عَنْ أَبِيهِ عَنْ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الْمُتَمَتِّعُ قَبْلَ التَّرْوِيَةِ بِيَوْمٍ وَيَوْمَ التَّرْوِيَةِ وَيَوْمَ عَرَفَةَ، فَإِنْ فَاتَهُ ذَلِكَ وَلَمْ يَكُنْ عِنْدَهُ دَمٌ صَامَ إِذَا انْقَضَتْ أَيَّامُ التَّشْرِيقِ يَتَسَحَّرُ لَيْلَةَ الْحَصْبَةِ ثُمَّ يُصْبِحُ صَائِماً</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حَمَّادِ بْنِ عُثْمَانَ سَأَلَهُ عَمَّنْ ضَاعَ ثَمَنُ هَدْيِهِ يَوْمَ عَرَفَةَ وَلَمْ يَكُنْ مَعَهُ مَا يَشْتَرِی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ثَلَاثَةَ أَيَّامٍ أَوَّلُهَا يَوْمُ الْحَصْبَةِ</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عَجَزْتَ عَنِ الْهَدْیِ وَلَمْ يُمْكِنْكَ صُمْتَ قَبْلَ يَوْمِ التَّرْوِيَةِ بِيَوْمٍ وَيَوْمَ التَّرْوِيَةِ وَيَوْمَ عَرَفَةَ،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فَاتَكَ صَوْمُ هَذِهِ الثَّلَاثَةِ صُمْتَ صَبِيحَةَ لَيْلَةِ الْحَصْبَةِ وَيَوْمَيْنِ بَعْدَهَا</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دليل القول الثالث وهو جواز الصيام البدل بل لزومه حتّی في أيّام التشريق، فقد استدلّ علی ذلك بموثقة عَبْدِ اللَّهِ بْنِ مَيْمُونٍ الْقَدَّاحِ عَنْ جَعْفَرٍ عَنْ </w:t>
      </w:r>
    </w:p>
    <w:p>
      <w:pPr>
        <w:pStyle w:val="BookText"/>
        <w:rPr/>
      </w:pPr>
      <w:r>
        <w:rPr>
          <w:rFonts w:ascii="Amiri" w:hAnsi="Amiri" w:eastAsia="Amiri" w:cs="Amiri"/>
          <w:color w:val="111111"/>
          <w:sz w:val="28"/>
          <w:sz w:val="28"/>
          <w:szCs w:val="28"/>
          <w:rtl w:val="true"/>
          <w:lang w:bidi="ar-SA"/>
        </w:rPr>
        <w:t>أَبِيهِ أَنَّ عَلِيّاً علیه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فَاتَهُ صِيَامُ الثَّلَاثَةِ الْأَيَّامِ في الْحَجِّ وَهِیَ قَبْلَ التَّرْوِيَةِ بِيَوْمٍ وَيَوْمُ التَّرْوِيَةِ وَيَوْمُ عَرَفَةَ فَلْيَصُمْ أَيَّامَ التَّشْرِيقِ فَقَدْ أُذِنَ لَهُ</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إِسْحَاقَ بْنِ عَمَّارٍ عَنْ أَبِی عَبْدِ اللَّهِ علیه السلام عَنْ أَبِيهِ أَنَّ عَلِيّاً علیه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فَاتَهُ صِيَامُ الثَّلَاثَةِ الْأَيَّامِ الّتي في الْحَجِّ فَلْيَصُمْهَا أَيَّامَ التَّشْرِيقِ فَإِنَّ ذَلِكَ جَائِزٌ لَهُ</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طريق العامة ما رواه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صَلَّى اَللَّهُ عَلَيْهِ وَ آلِهِ وَ سَلَّمْ رَخَصَّ لِلمُتُمَتِّعِ إذَا لَم يَجِدَ الهَدیَ أن يَصُومَ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ابن عمر وعائشة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يُرَخَّص في أيَّامِ التَّشرِيق أن يَصُمنَ إلا لِمَن لَم يَجِد الهَدیَ</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فمفهوم هذه الرّوايات أنّه لا يجوز صيام أيّام التشريق بمنی، إلا لمن فات عنه صيام الثلاثة البدل عن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ذلك، فتصل النوبة إلی أنّه هل يمكن الجمع بينها بالجمع المقبول العرفی، أم لا؟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الأخبار الدالة علی القول الأخير والقولين الأوّلين فبما أنّهما كانتا في جهتين مختلفتين فلا يمكن أن نجمع بينهما، إذ الأوليان دلّتا علی عدم جواز صوم البدل في أيّام التشريق إجمالاً، وهی صريحة في جواز ذلك فتتعارضان، زائدةً علی كونها من الأخبار الآحاد، وضعف أسانيدها بالنسبة إلی ما دلّت علی </w:t>
      </w:r>
    </w:p>
    <w:p>
      <w:pPr>
        <w:pStyle w:val="BookText"/>
        <w:rPr/>
      </w:pPr>
      <w:r>
        <w:rPr>
          <w:rFonts w:ascii="Amiri" w:hAnsi="Amiri" w:eastAsia="Amiri" w:cs="Amiri"/>
          <w:color w:val="111111"/>
          <w:sz w:val="28"/>
          <w:sz w:val="28"/>
          <w:szCs w:val="28"/>
          <w:rtl w:val="true"/>
          <w:lang w:bidi="ar-SA"/>
        </w:rPr>
        <w:t>الأوليين، فبمقتضی ما رَوَى الْعَلَّامَةُ مَرْفُوعاً إِلَى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يَأْتِی عَنْكُمُ الْخَبَرَانِ أَوِ الْحَدِيثَانِ الْمُتَعَارِضَانِ فَبِأَيِّهِمَا آخُذُ؟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خُذْ بِمَا اشْتَهَرَ بَيْنَ أَصْحَابِكَ وَدَعِ الشَّاذَّ النَّادِرَ،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سَيِّدِی إِنَّهُمَا مَعاً مَشْهُورَانِ مَرْوِيَّانِ مَأْثُورَانِ عَنْكُمْ؟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بِقَوْلِ أَعْدَلِهِمَا عِنْدَكَ وَأَوْثَقِهِمَا في نَفْسِكَ،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وَافَقَ مِنْهُمَا مَذْهَبَ الْعَامَّةِ فَاتْرُكْهُ، وَخُذْ بِمَا خَالَفَهُمْ،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مَعاً مُوَافِقَيْنِ لَهُمْ أَوِ مُخَالِفَيْنِ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فَخُذْ بِمَا فِيهِ الْحَائِطَةُ لِدِينِكَ وَاتْرُكْ مَا خَالَفَ الِاحْتِيَاطَ،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لِلِاحْتِيَاطِ أَوْ مُخَالِفَانِ لَهُ فَكَيْفَ أَصْنَعُ؟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فَتَخَيَّرْ أَحَدَهُمَا فَتَأْخُذَ بِهِ وَتَدَعَ الْأَخِيرَ</w:t>
      </w:r>
      <w:r>
        <w:rPr>
          <w:rFonts w:eastAsia="Amiri" w:cs="Amiri" w:ascii="Amiri" w:hAnsi="Amiri"/>
          <w:color w:val="111111"/>
          <w:sz w:val="28"/>
          <w:szCs w:val="28"/>
          <w:rtl w:val="true"/>
          <w:lang w:bidi="ar-SA"/>
        </w:rPr>
        <w:t>»</w:t>
      </w:r>
      <w:r>
        <w:rPr>
          <w:rStyle w:val="FootnoteAnchor"/>
          <w:rtl w:val="true"/>
        </w:rPr>
        <w:footnoteReference w:id="785"/>
      </w:r>
      <w:r>
        <w:rPr>
          <w:rFonts w:ascii="IRNazanin" w:hAnsi="IRNazanin" w:eastAsia="IRNazanin"/>
          <w:color w:val="111111"/>
          <w:sz w:val="28"/>
          <w:sz w:val="28"/>
          <w:szCs w:val="28"/>
          <w:rtl w:val="true"/>
          <w:lang w:bidi="fa-IR"/>
        </w:rPr>
        <w:t>، فحيث كانت الأوليان مشهورة بين فقهائنا، ومخالفة لما اختاره غالب العامة، وموافقة للإحتياط، فنقدّمهما علی ما دلّت علی الأخير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حمل الشيخ الحر العاملی رحمه الله روايتي عبد اللّه بن ميمون القدّاح، وإسحاق بن عمّار الّلتا تدلان علی القول الثالث علی التّقية حيث قال بعد الخبرين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الشيخ أنّ هذين الخبرين شاذّان مخالفان لسائر الأخبار، فلا يجوز المصير إليهما انتهی، ويحتمل الحمل علی التقيّة لما مرّ، وعلی صوم اليوم الثالث وهو يوم الحصبة لمن نفر فيه أو قبله لخروجه من منی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ما فراغنا من هذه المرحلة فلنلاحظ نسبتها في الأوليين، وحيث كانت الرّوايات الدالّة علی القول الأوّل عامة تشتمل للمنع عن الصيام في تمام أيّام التشريق، وما دلّت علی الثانی استثنت من المنع خصوص يوم النفر منها، </w:t>
      </w:r>
    </w:p>
    <w:p>
      <w:pPr>
        <w:pStyle w:val="BookText"/>
        <w:rPr/>
      </w:pPr>
      <w:r>
        <w:rPr>
          <w:rFonts w:ascii="Amiri" w:hAnsi="Amiri" w:eastAsia="Amiri" w:cs="Amiri"/>
          <w:color w:val="111111"/>
          <w:sz w:val="28"/>
          <w:sz w:val="28"/>
          <w:szCs w:val="28"/>
          <w:rtl w:val="true"/>
          <w:lang w:bidi="ar-SA"/>
        </w:rPr>
        <w:t>فنقدّمها علی الأوّل من باب حمل العام علی الخاص زائدة علی كونها أكثر عدداً بالنسبة إليها، أو نحمل الأولی علی الاستحباب والثانية علی الجواز بأنّه يستحب للفاقد إذا أمكنه الإقامة بمكة من بعد عوده من منی أن يؤخّر صيامه إلی بعد أيّام التشريق بتمامه، كما دلّت عليه صحيحة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الْمُتَمَتِّعِ لَا يَجِدُ الْهَدْیَ؟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قَبْلَ التَّرْوِيَةِ وَيَوْمَ التَّرْوِيَةِ وَيَوْمَ عَرَفَةَ،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قَدِمَ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التَّشْرِيقِ،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عَلَيْهِ جَمَّالُهُ،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الْحَصْبَةِ وَبَعْدَهُ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الْحَصْبَةُ؟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نَفْرِهِ،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لَيْسَ هُوَ يَوْمَ عَرَفَةَ مُسَافِراً، إِنَّا أَهْلُ بَيْتٍ نَقُولُ ذَلِكَ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w:t>
      </w:r>
    </w:p>
    <w:p>
      <w:pPr>
        <w:pStyle w:val="BookText"/>
        <w:rPr/>
      </w:pPr>
      <w:r>
        <w:rPr>
          <w:rFonts w:ascii="Amiri" w:hAnsi="Amiri" w:eastAsia="Amiri" w:cs="Amiri"/>
          <w:color w:val="111111"/>
          <w:sz w:val="28"/>
          <w:sz w:val="28"/>
          <w:szCs w:val="28"/>
          <w:rtl w:val="true"/>
          <w:lang w:bidi="ar-SA"/>
        </w:rPr>
        <w:t>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ذِی الْحِجَّةِ</w:t>
      </w:r>
      <w:r>
        <w:rPr>
          <w:rFonts w:eastAsia="Amiri" w:cs="Amiri" w:ascii="Amiri" w:hAnsi="Amiri"/>
          <w:color w:val="111111"/>
          <w:sz w:val="28"/>
          <w:szCs w:val="28"/>
          <w:rtl w:val="true"/>
          <w:lang w:bidi="ar-SA"/>
        </w:rPr>
        <w:t>»</w:t>
      </w:r>
      <w:r>
        <w:rPr>
          <w:rStyle w:val="FootnoteAnchor"/>
          <w:rtl w:val="true"/>
        </w:rPr>
        <w:footnoteReference w:id="786"/>
      </w:r>
      <w:r>
        <w:rPr>
          <w:rFonts w:ascii="IRNazanin" w:hAnsi="IRNazanin" w:eastAsia="IRNazanin"/>
          <w:color w:val="111111"/>
          <w:sz w:val="28"/>
          <w:sz w:val="28"/>
          <w:szCs w:val="28"/>
          <w:rtl w:val="true"/>
          <w:lang w:bidi="fa-IR"/>
        </w:rPr>
        <w:t>، فأمره الإمام علیه السلام أوّلاً بالصيام بعد مضی أيّام التشريق، وحيث اعتذر السائل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يقم عليه جمّاله، فأجابه بصيام يوم الحصبة ويومين بعده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يخفی إنّ المراد بالنفر كما صرّح به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رفاعة بن موسی المتقدمة، هو اليوم الّذی نفر فيه الناسك لا خصوص يوم الثانی عشر أو الثالث عشر، وذلك لأنّ للنفر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يوم الثانی عشر من ذی الحجة بعد الزوال لمن اتقی النساء والصيد ولم يبقی بها إلی أن تغرب الشمس، والثانی يوم الثالث عشر بعد الرمی في أوّل النهار، ولا أقل من الشك ولزوم الأخذ بالمتيقن، فعليه فما دام الناسك لم ينفر منها فلا يجوز له صيام البدل</w:t>
      </w:r>
      <w:r>
        <w:rPr>
          <w:rFonts w:eastAsia="IRNazanin" w:cs="IRNazanin"/>
          <w:color w:val="111111"/>
          <w:sz w:val="28"/>
          <w:szCs w:val="28"/>
          <w:rtl w:val="true"/>
          <w:lang w:bidi="fa-IR"/>
        </w:rPr>
        <w:t xml:space="preserve">. </w:t>
      </w:r>
      <w:bookmarkStart w:id="231" w:name="pg7917_84919"/>
    </w:p>
    <w:p>
      <w:pPr>
        <w:pStyle w:val="Heading2"/>
        <w:numPr>
          <w:ilvl w:val="1"/>
          <w:numId w:val="1"/>
        </w:numPr>
        <w:rPr/>
      </w:pPr>
      <w:bookmarkStart w:id="232" w:name="__RefHeading___Toc6355257_1051229030"/>
      <w:bookmarkStart w:id="233" w:name="_Toc77"/>
      <w:bookmarkEnd w:id="231"/>
      <w:bookmarkEnd w:id="232"/>
      <w:r>
        <w:rPr>
          <w:rtl w:val="true"/>
        </w:rPr>
        <w:t>وجوب التوالی في الصيام الثلاثة البدل عن الهدی</w:t>
      </w:r>
      <w:r>
        <w:rPr>
          <w:rtl w:val="true"/>
        </w:rPr>
        <w:t>:</w:t>
      </w:r>
      <w:bookmarkEnd w:id="233"/>
    </w:p>
    <w:p>
      <w:pPr>
        <w:pStyle w:val="BookText"/>
        <w:rPr/>
      </w:pPr>
      <w:r>
        <w:rPr>
          <w:rFonts w:ascii="IRNazanin" w:hAnsi="IRNazanin" w:eastAsia="IRNazanin"/>
          <w:color w:val="111111"/>
          <w:sz w:val="28"/>
          <w:sz w:val="28"/>
          <w:szCs w:val="28"/>
          <w:rtl w:val="true"/>
          <w:lang w:bidi="fa-IR"/>
        </w:rPr>
        <w:t xml:space="preserve">لا خلاف بيننا في أنّه يعتبر التوالی في الصيام الثلاثة البدل عن الهدی، أمّا العامة فلم يعتبروا ذلك وأجازوه ظاهراً في تمام العشر الأوّل كيفما اتفق عملاً باطلاق الآية الشريفة، وأنّ الأصل عدم الاشتراط، أرسله بعض الأصحاب إرسال المسلمات، وبعض آخر منهم كونه ممّا لا خلاف فيه أو ممّا أجمعوا عليه، قال العلامة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يجب صومها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متتابعاً أمّا السبعة فلا يجب التتابع فيها، ولم يوجب الجمهور التتابع في الثلاثة أيضاً وأجمع علماؤنا على إيجاب التتابع فيها إلا إذا فاته قبل يوم التروية ويوم عرفة ويفطر العيد ثمّ يصوم يوماً آخر بعد انقضاء أيام التشريق، ولو صام غير هذه الأيّام وجبت فيها التتابع ثلاثة</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الفيض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فقدهما صام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في الحجّ، أی في بقية أشهره وهو ذو الحجة، وسبعة إذا رجع إلى أهله، بالكتاب والسنة والإجماع، موالياً</w:t>
      </w:r>
    </w:p>
    <w:p>
      <w:pPr>
        <w:pStyle w:val="BookText"/>
        <w:rPr/>
      </w:pPr>
      <w:r>
        <w:rPr>
          <w:rFonts w:ascii="Amiri" w:hAnsi="Amiri" w:eastAsia="Amiri" w:cs="Amiri"/>
          <w:color w:val="111111"/>
          <w:sz w:val="28"/>
          <w:sz w:val="28"/>
          <w:szCs w:val="28"/>
          <w:rtl w:val="true"/>
          <w:lang w:bidi="ar-SA"/>
        </w:rPr>
        <w:t>للثلاثة بالنصّ والإجماع</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ما حكی كلام المحقق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الهدی وثمنه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في الحجّ متواليات، قال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خلاف، بل عن المنتهی وغيره الإجماع عليه مضافاً إلی النصوص</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الإمام الراحل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يجب وقوع صوم ثلاثة أيام في ذی الحجة، والأحوط وجوباً أن يصوم</w:t>
      </w:r>
    </w:p>
    <w:p>
      <w:pPr>
        <w:pStyle w:val="BookText"/>
        <w:rPr/>
      </w:pPr>
      <w:r>
        <w:rPr>
          <w:rFonts w:ascii="IRNazanin" w:hAnsi="IRNazanin" w:eastAsia="IRNazanin"/>
          <w:color w:val="111111"/>
          <w:sz w:val="28"/>
          <w:sz w:val="28"/>
          <w:szCs w:val="28"/>
          <w:rtl w:val="true"/>
          <w:lang w:bidi="fa-IR"/>
        </w:rPr>
        <w:t>من السابع إلى التاسع، ولا يتقدم عليه، ويجب التوالی فيها</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رشد القرطبی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أنّ العشر الأول من أيّام الحجّ، واختلفوا في من صامها في أيّام عمل العمرة قبل أن يهلّ بالحجّ، أو صامها في أيّام منی، فأجاز مالك صيامها في أيّام منی ومنعه أبوحنيفة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الأيّام الأولی وجب الهدی في ذمته، ومنعه مالك قبل الشروع في عمل الحجّ وأجازه أبوحنيفة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وكيف كان استدلّ الإماميّة علی ذلك تارة بالإجماع المدعی في كلام جماعة، وأخری بما يستفاد من ظواهر الرّوايات المتظافرة المذكورة في دليل القول الأوّل الّتي مضمونها أنّ وظيفة العاجز عن الهدی يوم النحر، هو الصيام من اليوم السابع إلی التاسع من ذی الحجة، وثالثة بما وردت من الأخبار الآمرة بالتوالی أو الناهية عن الافتراق بالخصوص في المقام، منها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أو موثقة عَلِیِّ بْنِ جَعْفَرٍ عَنْ أَخِيهِ مُوسَى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ثَلَاثَةِ أَيَّامٍ في الْحَجِّ وَسَبْعَةٍ أَ يَصُومُهَا مُتَوَالِيَةً أَوْ يُفَرِّقُ بَيْنَهَا؟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الثَّلَاثَةَ أَيَّامٍ لَا يُفَرِّقُ بَيْنَهَا، وَالسَّبْعَةَ لَا يُفَرِّقُ بَيْنَهَا، وَلَا يَجْمَعُ بَيْنَ السَّبْعَةِ وَالثَّلَاثَةِ جَمِيعاً</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أو موثقة إِسْحَاقَ بْنِ عَمَّارٍ عَنْ أَبِی عَبْدِ 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تَصُومُ الثَّلَاثَةَ الْأَيَّامِ مُتَفَرِّقَةً</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عَبْدِ الرَّحْمَنِ بْنِ الْحَجَّاجِ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عَبَّادٌ الْبَصْرِیُّ عَنْ مُتَمَتِّعٍ لَمْ يَكُنْ مَعَهُ 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ثَلَاثَةَ أَيَّامٍ قَبْلَ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صَوْمُ هَذِهِ الْأَيَّامِ؟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يَوْمَ التَّرْوِيَةِ وَلَا يَوْمَ عَرَفَةَ وَلَكِنْ يَصُومُ ثَلَاثَةَ أَيَّامٍ مُتَتَابِعَاتٍ بَعْدَ أَيَّامِ التَّشْرِيقِ</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عَلِیِّ بْنِ الْفَضْلِ الْوَاسِطِیِّ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الْمُتَمَتِّعُ يَوْمَيْنِ لَا يُتَابِعُ الصَّوْمَ الْيَوْمَ الثَّالِثَ فَقَدْ فَاتَهُ صِيَامُ ثَلَاثَةِ أَيَّامٍ في الْحَجِّ فَلْيَصُمْ بِمَكَّةَ ثَلَاثَةَ أَيَّامٍ مُتَتَابِعَاتٍ، فَإِنْ لَمْ يَقْدِرْ وَلَمْ يُقِمْ عَلَيْهِ الْجَمَّالُ فَلْيَصُمْهَا في الطَّرِيقِ، أَوْ إِذَا قَدِمَ عَلَى أَهْلِهِ صَامَ عَشَرَةَ أَيَّامٍ مُتَتَابِعَاتٍ</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الأخبار واضحة وينجبر ضعف الضعاف منها بما مرّ من الإجماع وعمل الأصحاب، وبذلك نقيّد إطلاق الأمر بالصيام في الآية الشريفة، فلا تصل النوبة إلی الأخذ بالأصل</w:t>
      </w:r>
      <w:r>
        <w:rPr>
          <w:rFonts w:eastAsia="IRNazanin" w:cs="IRNazanin"/>
          <w:color w:val="111111"/>
          <w:sz w:val="28"/>
          <w:szCs w:val="28"/>
          <w:rtl w:val="true"/>
          <w:lang w:bidi="fa-IR"/>
        </w:rPr>
        <w:t xml:space="preserve">. </w:t>
      </w:r>
      <w:bookmarkStart w:id="234" w:name="pg7917_84926"/>
    </w:p>
    <w:p>
      <w:pPr>
        <w:pStyle w:val="Heading2"/>
        <w:numPr>
          <w:ilvl w:val="1"/>
          <w:numId w:val="1"/>
        </w:numPr>
        <w:rPr/>
      </w:pPr>
      <w:bookmarkStart w:id="235" w:name="__RefHeading___Toc6355259_1051229030"/>
      <w:bookmarkStart w:id="236" w:name="_Toc78"/>
      <w:bookmarkEnd w:id="234"/>
      <w:bookmarkEnd w:id="235"/>
      <w:r>
        <w:rPr>
          <w:rtl w:val="true"/>
        </w:rPr>
        <w:t>موارد الّتي لا يلزم فيه التوالی في الثلاثة</w:t>
      </w:r>
      <w:r>
        <w:rPr>
          <w:rtl w:val="true"/>
        </w:rPr>
        <w:t>:</w:t>
      </w:r>
      <w:bookmarkEnd w:id="236"/>
    </w:p>
    <w:p>
      <w:pPr>
        <w:pStyle w:val="BookText"/>
        <w:rPr/>
      </w:pPr>
      <w:r>
        <w:rPr>
          <w:rFonts w:ascii="IRNazanin" w:hAnsi="IRNazanin" w:eastAsia="IRNazanin"/>
          <w:color w:val="111111"/>
          <w:sz w:val="28"/>
          <w:sz w:val="28"/>
          <w:szCs w:val="28"/>
          <w:rtl w:val="true"/>
          <w:lang w:bidi="fa-IR"/>
        </w:rPr>
        <w:t xml:space="preserve">قد يستثنی من وجوب التتابع في الثلاثة ما إذا فاته الصوم يوم السابع فعليه أن يصوم الثامن والتاسع، وصام الثالث بعد أيّام التشريق، نسبه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المشهور</w:t>
      </w:r>
      <w:r>
        <w:rPr>
          <w:rStyle w:val="FootnoteAnchor"/>
          <w:rtl w:val="true"/>
        </w:rPr>
        <w:footnoteReference w:id="796"/>
      </w:r>
      <w:r>
        <w:rPr>
          <w:rFonts w:ascii="IRNazanin" w:hAnsi="IRNazanin" w:eastAsia="IRNazanin"/>
          <w:color w:val="111111"/>
          <w:sz w:val="28"/>
          <w:sz w:val="28"/>
          <w:szCs w:val="28"/>
          <w:rtl w:val="true"/>
          <w:lang w:bidi="fa-IR"/>
        </w:rPr>
        <w:t>، وحكی عن ابن إدريس الحلي رحمه الله وغيره الإجماع عليه</w:t>
      </w:r>
      <w:r>
        <w:rPr>
          <w:rStyle w:val="FootnoteAnchor"/>
          <w:rtl w:val="true"/>
        </w:rPr>
        <w:footnoteReference w:id="797"/>
      </w:r>
      <w:r>
        <w:rPr>
          <w:rFonts w:ascii="IRNazanin" w:hAnsi="IRNazanin" w:eastAsia="IRNazanin"/>
          <w:color w:val="111111"/>
          <w:sz w:val="28"/>
          <w:sz w:val="28"/>
          <w:szCs w:val="28"/>
          <w:rtl w:val="true"/>
          <w:lang w:bidi="fa-IR"/>
        </w:rPr>
        <w:t xml:space="preserve">، وزاد عليه ابن حمزة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إذا صام يومي السابع والثامن خاف إن صام التاسع أيضاً يضعفه الصوم عن الدعاء يوم عرفة، فأجاز له حينئذ أن يؤخر الثالث إلی بعد انقضاء أيّام التشريق مستدلاً بأنّ التشاغل بالدعاء في ذلك اليوم أمر مطلوب للشارع فجاز الإفطار له، وقد نفی عنه البأس العلامة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حمزة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ويصوم ثلاثة الأيّام في الحجّ، وهی يوم التروية ويوم قبله ويوم بعده، فإن فاته اليوم قبل التروية صام بدله يوماً بعد انقضاء أيّام التشريق، فإن فاته صوم يوم التروية واليوم قبله لم يصم يوم عرفة وصام بعد انقضاء أيّام التشريق، وإن صام يوم التروية ويوماً قبله وخاف إن صام يوم عرفة عجز عن الدعاء أفطر وصام بدله بعد انقضاء أيّام التشريق</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إدريس الحلي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فاته صوم يوم قبل التروية، صام يوم التروية ويوم عرفة، ثم صام يوماً آخر بعد أيّام التشريق ولا يجوز له أن يصوم أيّام التشريق، فإن فاته صوم </w:t>
      </w:r>
    </w:p>
    <w:p>
      <w:pPr>
        <w:pStyle w:val="BookText"/>
        <w:rPr/>
      </w:pPr>
      <w:r>
        <w:rPr>
          <w:rFonts w:ascii="Amiri" w:hAnsi="Amiri" w:eastAsia="Amiri" w:cs="Amiri"/>
          <w:color w:val="111111"/>
          <w:sz w:val="28"/>
          <w:sz w:val="28"/>
          <w:szCs w:val="28"/>
          <w:rtl w:val="true"/>
          <w:lang w:bidi="ar-SA"/>
        </w:rPr>
        <w:t>يوم التروية، فلا يصم يوم عرفة بل يصوم الثلاثة الأيّام، بعد انقضاء أيّام التشريق متتابعات</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الثلاثة متتابعة إلّا في موضع واحد وهو أنّه إذا فاته قبل يوم التروية، صام يوم التروية وعرفة ثمّ صام الثالث بعد أيّام التشريق، قاله ابن إدريس، وقال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صام قبل التروية ويوم التروية وخاف إن صام يوم عرفة عجز عن الدعاء أفطر وصام بدله بعد انقضاء أيّام التشريق، ولا بأس بهذا القول، احتجّ ابن إدريس بأنّ الأصل التتابع، خرج عنه الصورة المجمع عليها، فيبقى الباقی على الوجوب، واحتجّ ابن حمزة بأنّ التشاغل بالدعاء أمر مطلوب للشرع فساغ له الإفطار، كما لو كان الفائت الأوّل</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كلام المحقق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يتفق اقتصر علی التروية وعرفة ثمّ صام الثالث بعد النفر،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هو المشهور بل عن ابن إدريس وغيره الإجماع عليه وهو الحجّة في اغتفار الفصل بالعيد وأيّام التشريق في التوالی</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الراحل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يتمكّن من صوم السابع صام الثامن والتاسع وأخّر اليوم الثالث إلى بعد رجوعه من منى، والأحوط أن يكون بعد أيّام التشريق أی الحادی عشر والثانی عشر والثالث عشر</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 إنّ هنا 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فاته الصوم في اليوم السابع،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إذا صام التاسع خاف أن يضعفه الصوم عن الدعاء يوم عرفة، وادّعی فيهما جواز تأخير الثالث إلی بعد النفر من منی، فأمّا الأولی فقد استدل لها زائداً علی الإجماع المدعی بصحيحة عَبْدِ الرَّحْمَنِ بْنِ الْحَجَّاجِ عَنْ أَبِی عَبْدِ اللَّهِ علیه السلام فِيمَنْ صَامَ يَوْمَ التَّرْوِيَةِ وَيَوْمَ 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أَنْ يَصُومَ يَوْماً آخَرَ</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يَحْيَى الْأَزْرَقِ عَنْ أَبِی الْحَسَنِ الكاظِمِ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قَدِمَ يَوْمَ التَّرْوِيَةِ مُتَمَتِّعاً وَلَيْسَ لَهُ هَدْیٌ فَصَامَ يَوْمَ التَّرْوِيَةِ وَيَوْمَ 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يَوْماً آخَرَ بَعْدَ أَيَّامِ التَّشْرِيقِ</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يعارضهما صحيحة عِيصِ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مُتَمَتِّعٍ يَدْخُلُ يَوْمَ التَّرْوِيَةِ وَلَيْسَ مَعَهُ 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يَصُومُ ذَلِكَ الْيَوْمَ، وَلَا يَوْمَ عَرَفَةَ، وَيَتَسَحَّرُ لَيْلَةَ الْحَصْبَةِ فَيُصْبِحُ صَائِماً وَهُوَ يَوْمُ النَّفْرِ، وَيَصُومُ يَوْمَيْنِ بَعْدَهُ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الْمُتَمَتِّعِ لَا يَجِدُ الْهَدْیَ؟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قَبْلَ التَّرْوِيَةِ وَيَوْمَ التَّرْوِيَةِ وَيَوْمَ عَرَفَةَ،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قَدِمَ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التَّشْرِيقِ،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عَلَيْهِ جَمَّالُهُ،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الْحَصْبَةِ وَبَعْدَهُ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الْحَصْبَةُ؟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نَفْرِهِ،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w:t>
      </w:r>
    </w:p>
    <w:p>
      <w:pPr>
        <w:pStyle w:val="BookText"/>
        <w:rPr/>
      </w:pPr>
      <w:r>
        <w:rPr>
          <w:rFonts w:ascii="Amiri" w:hAnsi="Amiri" w:eastAsia="Amiri" w:cs="Amiri"/>
          <w:color w:val="111111"/>
          <w:sz w:val="28"/>
          <w:sz w:val="28"/>
          <w:szCs w:val="28"/>
          <w:rtl w:val="true"/>
          <w:lang w:bidi="ar-SA"/>
        </w:rPr>
        <w:t>وَهُوَ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لَيْسَ هُوَ يَوْمَ عَرَفَةَ مُسَافِراً، إِنَّا أَهْلُ بَيْتٍ نَقُولُ ذَلِكَ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w:t>
      </w:r>
    </w:p>
    <w:p>
      <w:pPr>
        <w:pStyle w:val="BookText"/>
        <w:rPr/>
      </w:pPr>
      <w:r>
        <w:rPr>
          <w:rFonts w:ascii="Amiri" w:hAnsi="Amiri" w:eastAsia="Amiri" w:cs="Amiri"/>
          <w:color w:val="111111"/>
          <w:sz w:val="28"/>
          <w:sz w:val="28"/>
          <w:szCs w:val="28"/>
          <w:rtl w:val="true"/>
          <w:lang w:bidi="ar-SA"/>
        </w:rPr>
        <w:t>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ذِی الْحِجَّةِ</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عَبْدِ الرَّحْمَنِ بْنِ الْحَجَّاجِ عَنْ أَبِی الْحَسَنِ الكاظِمِ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عَبَّادٌ الْبَصْرِیُّ عَنْ مُتَمَتِّعٍ لَمْ يَكُنْ مَعَهُ 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صَوْمُ هَذِهِ الْأَيَّامِ؟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يَوْمَ التَّرْوِيَةِ وَلَا يَوْمَ عَرَفَةَ، وَلَكِنْ يَصُومُ ثَلَاثَةَ أَيَّامٍ مُتَتَابِعَاتٍ بَعْدَ أَيَّامِ التَّشْرِيقِ</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طائفتين من الأخبار، دلّت أوليهما علی جواز تأخير الثالث إلی بعد ايّام التشريق ورجوعه من منی، وثانيتهما علی المنع من ذلك، فيقع التّعارض بينهما، وقد حاولوا للتخلّص عنه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حمل الشيخ رحمه الله ما دلّت علی المنع علی صوم كلّ من الثامن والتاسع مستقلاً لا مجتمعاً ومنضمّاً، حيث قال بعد ذكر خبر عبد الرّحمن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ينافی ما قدّمناه في أنّ من صام يوم التّروية ويوم عرفة جاز له أن يضيف إليه يوماً آخر، لأنّه إنّما نهى عن صوم يوم التّروية ويوم عرفة على الانفراد ولم ينه عن صومهما على طريق الجمع لتصحّ إضافة يوم الثّالث إليه على ما قدّمناه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الطائفة الثانية منهما علی ما إذا ترك يوم السابع عمداً، وما دلّت علی الجواز بما إذا تركه عن غير عمد</w:t>
      </w:r>
      <w:r>
        <w:rPr>
          <w:rStyle w:val="FootnoteAnchor"/>
          <w:rtl w:val="true"/>
        </w:rPr>
        <w:footnoteReference w:id="808"/>
      </w:r>
      <w:r>
        <w:rPr>
          <w:rFonts w:ascii="Amiri" w:hAnsi="Amiri" w:eastAsia="Amiri" w:cs="Amiri"/>
          <w:color w:val="111111"/>
          <w:sz w:val="28"/>
          <w:sz w:val="28"/>
          <w:szCs w:val="28"/>
          <w:rtl w:val="true"/>
          <w:lang w:bidi="ar-SA"/>
        </w:rPr>
        <w:t>، يؤيّده ما رواه علیّ بن الفضل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صَامَ الْمُتَمَتِّعُ يَوْمَيْنِ لَا يُتَابِعُ الصَّوْمَ الْيَوْمَ الثَّالِثَ فَقَدْ فَاتَهُ </w:t>
      </w:r>
    </w:p>
    <w:p>
      <w:pPr>
        <w:pStyle w:val="BookText"/>
        <w:rPr/>
      </w:pPr>
      <w:r>
        <w:rPr>
          <w:rFonts w:ascii="Amiri" w:hAnsi="Amiri" w:eastAsia="Amiri" w:cs="Amiri"/>
          <w:color w:val="111111"/>
          <w:sz w:val="28"/>
          <w:sz w:val="28"/>
          <w:szCs w:val="28"/>
          <w:rtl w:val="true"/>
          <w:lang w:bidi="ar-SA"/>
        </w:rPr>
        <w:t>صِيَامُ ثَلَاثَةِ أَيَّامٍ في الْحَجِّ، فَلْيَصُمْ بِمَكَّةَ ثَلَاثَةَ أَيَّامٍ مُتَتَابِعَاتٍ، فَإِنْ لَمْ يَقْدِرْ وَلَمْ يُقِمْ عَلَيْهِ الْجَمَّالُ فَلْيَصُمْهَا في الطَّرِيقِ، أَوْ إِذَا قَدِمَ عَلَى أَهْلِهِ صَامَ عَشَرَةَ أَيَّامٍ مُتَتَابِعَاتٍ</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العرفی بحمل ما دلّت علی المنع الظّاهرة في الحرمة علی الكراهة وذلك لقرينة قوله علیه السلام في صحيحة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أَنْ يَصُومَ يَوْماً آخَرَ</w:t>
      </w:r>
      <w:r>
        <w:rPr>
          <w:rFonts w:eastAsia="Amiri" w:cs="Amiri" w:ascii="Amiri" w:hAnsi="Amiri"/>
          <w:color w:val="111111"/>
          <w:sz w:val="28"/>
          <w:szCs w:val="28"/>
          <w:rtl w:val="true"/>
          <w:lang w:bidi="ar-SA"/>
        </w:rPr>
        <w:t>»</w:t>
      </w:r>
      <w:r>
        <w:rPr>
          <w:rStyle w:val="FootnoteAnchor"/>
          <w:rtl w:val="true"/>
        </w:rPr>
        <w:footnoteReference w:id="810"/>
      </w:r>
      <w:r>
        <w:rPr>
          <w:rFonts w:ascii="IRNazanin" w:hAnsi="IRNazanin" w:eastAsia="IRNazanin"/>
          <w:color w:val="111111"/>
          <w:sz w:val="28"/>
          <w:sz w:val="28"/>
          <w:szCs w:val="28"/>
          <w:rtl w:val="true"/>
          <w:lang w:bidi="fa-IR"/>
        </w:rPr>
        <w:t>، لكونه نصّاً في الجواز وقد اتّفقوا علی تقديم النصّ علی الظّاهر</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الطائفة الثانية منهما علی الصورة التقيّة علی ما صرّح به الفيض رحمه الله وجعله الأولی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وحمله علی التقيّة أولی، إذ السائل عامیّ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الأقوی منها هو الأوّل وذلك لأنّ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تتكرر تدلّ علی أنّ المنفی والممنوع هو المجموع بخلاف ما إذا تكررت فتدلّ بالمنطوق علی أنّه هو كلّ فرد فرد من الأفراد المذكورة بعدها، غاية الأمر أنّها حينئذ إذا لم يمكننا أن نتمسك بإطلاقه، فبالنسبة إلی المجموع ساكتة، فنرجع فيه في مثل المقام إلی الأخبار المجوزة في الطائفة الأولی، والأحوط أن يكون ذلك عند فوت السابع لا عن عمد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هذا الباب أيضاً قولهم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الْعَلِیِّ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تدلّ علی أنّ وجود كلّ من الحول والقوّة لا تكونان إلا به تبارك وتعالی، بخلاف 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وقوّة إلا بالله العلی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بالمنطوق تدلّ علی أنّ المنفی هو المجموع، وإنّما يستفاد كلّ من الفردين بالإطلاق أو بالقرائن الخارجيّة، قال السيّد الخوئی رحمه الله في مقام ترجيح هذا الوجه من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ذكره الشيخ متين جداً فإنّهم قد ذكروا أنّ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تتكرر يدلّ على أنّ الممنوع هو المجموع، وأمّا إذا تكررت فتدلّ على أنّ الممنوع كلّ واحد من الفردين مستقلاً، ومقتضى الإطلاق يدلّ على الانضمام والاجتماع أيضاً، فإذا قيل لا تجالس زيداً ولا تجالس عمرواً، معناه لا تجالس زيداً بانفراده ولا تجالس عمرواً بانفراده، وإطلاقه يقتضی النهی عن اجتماعهما وانضمامهما، بخلاف ما 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تجالس زيداً وعمرواً فإنّه يدلّ على المنع عن الانضمام، ولا يشمل الانفراد والاستقلال،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يصوم يوم التروية ولا يوم عرفة يدلّ على المنع على الانفراد ولا يشمل ضمّ صوم يوم التروية بيوم عرفة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سائر الوجوه متفرعة علی ثبوت التعارض بخلاف الأولی، زائدة علی ضعف الأخير، لما عرفت من أنّ العامة لم يعتبروا التوالی أصلاً، بل يقول به كيفما اتّفق</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إنّه علی فرض ثبوت التعارض، فحيث كانت الطائفة الأولی من الأخبار قد اتّفق الأصحاب علی الإفتاء بها بخلاف الثانية، فلا تصل النوبة إلی التساقط، نعم لو كانتا متساويتين فكان المرجع له حينئذ هو الأخبار الدالّة علی لزوم التوالی، فلا بدّ له من ان يؤّخر صومه الى بعد أيّام التّشريق، لكنّه يجوز له أن </w:t>
      </w:r>
    </w:p>
    <w:p>
      <w:pPr>
        <w:pStyle w:val="BookText"/>
        <w:rPr/>
      </w:pPr>
      <w:r>
        <w:rPr>
          <w:rFonts w:ascii="Amiri" w:hAnsi="Amiri" w:eastAsia="Amiri" w:cs="Amiri"/>
          <w:color w:val="111111"/>
          <w:sz w:val="28"/>
          <w:sz w:val="28"/>
          <w:szCs w:val="28"/>
          <w:rtl w:val="true"/>
          <w:lang w:bidi="ar-SA"/>
        </w:rPr>
        <w:t>يجعل أوّل صومه يوم الحصبة وإن كان هو من أيّام التّشريق لما دلّت عليه أخبار كصحيحة مُعَاوِيَةَ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مُتَمَتِّعٍ لَمْ يَجِدْ هَدْياً؟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ثَلَاثَةَ أَيَّامٍ في الْحَجِّ يَوْماً قَبْلَ التَّرْوِيَةِ وَيَوْمَ التَّرْوِيَةِ وَيَوْمَ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يَتَسَحَّرُ</w:t>
      </w:r>
    </w:p>
    <w:p>
      <w:pPr>
        <w:pStyle w:val="BookText"/>
        <w:rPr/>
      </w:pPr>
      <w:r>
        <w:rPr>
          <w:rFonts w:ascii="Amiri" w:hAnsi="Amiri" w:eastAsia="Amiri" w:cs="Amiri"/>
          <w:color w:val="111111"/>
          <w:sz w:val="28"/>
          <w:sz w:val="28"/>
          <w:szCs w:val="28"/>
          <w:rtl w:val="true"/>
          <w:lang w:bidi="ar-SA"/>
        </w:rPr>
        <w:t>لَيْلَةَ الْحَصْبَةِ وَيَصُومُ ذَلِكَ الْيَوْمَ وَيَوْمَيْنِ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يُقِمْ عَلَيْهِ جَمَّالُهُ أَ يَصُومُهَا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صَامَهَا في الطَّرِيقِ وَإِنْ شَاءَ إِذَا رَجَعَ إِلَى أَهْلِهِ</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لو فات منه الصوم في اليوم السابع وصام اليومين بعده، فهل تجب المبادرة إليه فوراً بعد رجوعه من منی، أم يكفی مجرد كونه في طول ذی الحجة؟ الأقوال هنا دائر بين وجوب المبادرة إليه فوراً، وعدمها، فمن القائلين بالأول الفاضل الإصفهانی رحمه الله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وجوب المبادرة إلى الثالث بعد زوال العذر وإن أطلقت الأخبار والفتاوى الّتي عثرت عليها، إلّا فتوى ابن سعيد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يوم الحصبة وهو رابع النحر</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واستحوط تلميذه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ريب أنّ الأحوط المبادرة بها بعد أيّام التشريق وإن كان الوجوب لا يخلو من نظر بعد إطلاق النصّ والفتوى، بل قد سمعت ما في النصّ من كون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ذی الحجة، مضافاً إلى ما تسمعه ممّا يدلّ على جواز صومها طول ذی الحجة من النصّ والإجماع وغيرهما، والله العالم</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القائلين بعدم وجوب المبادرة إليه فوراً المحقق النراقی رحمه الله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تجب المبادرة إليها بعد التشريق، فإن فات فليصم بعد ذلك، كما نسب إلى ظاهر الأكثر؟ أو لا، بل يجوز التأخير عنه اختياراً أيضاً ما لم يخرج ذو الحجة؟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للأصل السليم عمّا يعارضه، سوى أخبار كثيرة قاصرة عن إفادة الوجوب، لمكان الجملة الخبريّة، أو المتضمّنة للأمر بصوم آخر أيّام التشريق، الّذی لا قائل بوجوبه ظاهراً، بل تعارضها فيه أخبار كثيرة أخرى، فيجوز صومها طول ذی الحجّة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 يقتضی أن لا تكون المبادرة الفورية إليه واجباً لكنّه أحوط، نعم يعتبر أن يكون ذلك في مكة المكرمة وفی طول الشهر، لما دلّت عليه الكريمة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الْهَدْیِ فَمَنْ لَمْ يَجِدْ فَصِيامُ ثَلاثَةِ أَيَّامٍ في الْحَجِّ وَسَبْعَةٍ إِذا رَجَعْتُمْ 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18"/>
      </w:r>
      <w:r>
        <w:rPr>
          <w:rFonts w:ascii="Amiri" w:hAnsi="Amiri" w:eastAsia="Amiri" w:cs="Amiri"/>
          <w:color w:val="111111"/>
          <w:sz w:val="28"/>
          <w:sz w:val="28"/>
          <w:szCs w:val="28"/>
          <w:rtl w:val="true"/>
          <w:lang w:bidi="ar-SA"/>
        </w:rPr>
        <w:t>، وظاهر صحيحتي يَحْيَى الْأَزْرَقِ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قَدِمَ يَوْمَ التَّرْوِيَةِ مُتَمَتِّعاً وَلَيْسَ لَهُ هَدْیٌ فَصَامَ يَوْمَ التَّرْوِيَةِ وَيَوْمَ 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يَوْماً آخَرَ بَعْدَ أَيَّامِ التَّشْرِيقِ</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وعَبْدِ الرَّحْمَنِ بْنِ الْحَجَّاجِ عَنْ أَبِی عَبْدِ اللَّهِ علیه السلام فِيمَنْ صَامَ يَوْمَ التَّرْوِيَةِ وَيَوْمَ 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أَنْ يَصُومَ يَوْماً آخَرَ</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 لا سيما بعد ما كان الإمام علیه السلام في مقام البيان و سكت عن ذلك معتضداً بأصالة عدم الإشتراط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كلّه حول الدعوی الأولی، وأمّا الدعوی الثانية الّتي اختارها ابن حمزة الطوسی رحمه الله فالظاهر كونها في غاية البعد، إذ أنّ ما وردت من إطلاقات النّهی عن صوم يوم عرفة كصحيحة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يَوْمِ 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قَوِیَ عَلَيْهِ فَحَسَنٌ إِنْ لَمْ يَمْنَعْكَ مِنَ الدُّعَاءِ، فَإِنَّهُ يَوْمُ دُعَاءٍ وَمَسْأَلَةٍ فَصُمْهُ، وَإِنْ خَشِيتَ أَنْ تَضْعُفَ عَنْ ذَلِكَ فَلَا تَصُمْهُ</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وموثقة زُرَارَةَ عَنْ أَبِی جَعْفَرٍ وَأَبِی عَبْدِ اللَّهِ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في يَوْمِ عَاشُورَاءَ وَلَا عَرَفَةَ بِمَكَّةَ وَلَا في الْمَدِينَةِ وَلَا في وَطَنِكَ وَلَا في مِصْرٍ مِنَ الْأَمْصَار</w:t>
      </w:r>
      <w:r>
        <w:rPr>
          <w:rFonts w:eastAsia="Amiri" w:cs="Amiri" w:ascii="Amiri" w:hAnsi="Amiri"/>
          <w:color w:val="111111"/>
          <w:sz w:val="28"/>
          <w:szCs w:val="28"/>
          <w:rtl w:val="true"/>
          <w:lang w:bidi="ar-SA"/>
        </w:rPr>
        <w:t>»</w:t>
      </w:r>
      <w:r>
        <w:rPr>
          <w:rStyle w:val="FootnoteAnchor"/>
          <w:rtl w:val="true"/>
        </w:rPr>
        <w:footnoteReference w:id="822"/>
      </w:r>
      <w:r>
        <w:rPr>
          <w:rFonts w:ascii="IRNazanin" w:hAnsi="IRNazanin" w:eastAsia="IRNazanin"/>
          <w:color w:val="111111"/>
          <w:sz w:val="28"/>
          <w:sz w:val="28"/>
          <w:szCs w:val="28"/>
          <w:rtl w:val="true"/>
          <w:lang w:bidi="fa-IR"/>
        </w:rPr>
        <w:t>، فإنّ القدر المتيقّن منها هو الصوم المندوب، وما نحن بسدده هو الصوم الواجب البدل عن الهدی، وقد يشترط في الأخذ بالإطلاق علی ما بيّن في علم الأصول عدم وجود القدر المتيقّن في مقام التّخاطب</w:t>
      </w:r>
      <w:r>
        <w:rPr>
          <w:rStyle w:val="FootnoteAnchor"/>
          <w:rtl w:val="true"/>
        </w:rPr>
        <w:footnoteReference w:id="823"/>
      </w:r>
      <w:r>
        <w:rPr>
          <w:rFonts w:ascii="IRNazanin" w:hAnsi="IRNazanin" w:eastAsia="IRNazanin"/>
          <w:color w:val="111111"/>
          <w:sz w:val="28"/>
          <w:sz w:val="28"/>
          <w:szCs w:val="28"/>
          <w:rtl w:val="true"/>
          <w:lang w:bidi="fa-IR"/>
        </w:rPr>
        <w:t>، فلا يمكن لأن نجوز لإفطار يوم الثالث بمجرد احتمال أو خوف ضعفه بالصوم عن الدّعاء، بعد النصوص وإجماعهم علی اعتبار التتابع في الصيام الثلاثة البدل عن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تمّ بحمد الله والمنّة ما أردنا أن نبحث عنه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عن الهدی في الحجّ وبيان بدله وشرائطه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7917_84947"/>
      <w:bookmarkStart w:id="238" w:name="pg7917_84947"/>
      <w:bookmarkEnd w:id="23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9" w:name="pg7917_84947"/>
      <w:bookmarkStart w:id="240" w:name="__RefHeading___Toc6355261_1051229030"/>
      <w:bookmarkStart w:id="241" w:name="_Toc79"/>
      <w:bookmarkEnd w:id="239"/>
      <w:bookmarkEnd w:id="240"/>
      <w:r>
        <w:rPr>
          <w:rtl w:val="true"/>
        </w:rPr>
        <w:t>المقالة السادسة</w:t>
      </w:r>
      <w:r>
        <w:rPr>
          <w:rtl w:val="true"/>
        </w:rPr>
        <w:t>:</w:t>
      </w:r>
      <w:r>
        <w:rPr>
          <w:rtl w:val="true"/>
        </w:rPr>
        <w:t>في الربا حكمه، أقسامه ومستثنياته</w:t>
      </w:r>
      <w:bookmarkEnd w:id="24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إنّ من المحرّمات عند الخاصّة والعامّة بل وعند جميع الشّرائع السّابقة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دلّت علی حرمته الأدلّة الثّلاثة، بل قيل 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والسنّة والإجماع والعقل، وهو عندهم من الكبائر العظام، قد نهی عنه نهياً مغلظاً، أوعد الله عزّ وجلّ مرتكبه بالخلود في النّار</w:t>
      </w:r>
      <w:r>
        <w:rPr>
          <w:rStyle w:val="FootnoteAnchor"/>
          <w:rtl w:val="true"/>
        </w:rPr>
        <w:footnoteReference w:id="825"/>
      </w:r>
      <w:r>
        <w:rPr>
          <w:rFonts w:ascii="IRNazanin" w:hAnsi="IRNazanin" w:eastAsia="IRNazanin"/>
          <w:color w:val="111111"/>
          <w:sz w:val="28"/>
          <w:sz w:val="28"/>
          <w:szCs w:val="28"/>
          <w:rtl w:val="true"/>
          <w:lang w:bidi="fa-IR"/>
        </w:rPr>
        <w:t>و وعيدٍ لا نری مثله في ذنب من الذّنوب، وهو إعلان الحرب من جانبه ورسوله علی هذه الفئة الظالمة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نبحث في هذا الموجز إن شاء الله تعالی عن موضوعه وحكمه وأقسامه، ثمّ نتعرّض لمستثنياته بالتّفصيل عند الفريقين، فنقول وبه نستعين</w:t>
      </w:r>
      <w:r>
        <w:rPr>
          <w:rFonts w:eastAsia="IRNazanin" w:cs="IRNazanin"/>
          <w:color w:val="111111"/>
          <w:sz w:val="28"/>
          <w:szCs w:val="28"/>
          <w:rtl w:val="true"/>
          <w:lang w:bidi="fa-IR"/>
        </w:rPr>
        <w:t xml:space="preserve">: </w:t>
      </w:r>
      <w:bookmarkStart w:id="242" w:name="pg7917_84954"/>
    </w:p>
    <w:p>
      <w:pPr>
        <w:pStyle w:val="Heading2"/>
        <w:numPr>
          <w:ilvl w:val="1"/>
          <w:numId w:val="1"/>
        </w:numPr>
        <w:rPr/>
      </w:pPr>
      <w:bookmarkStart w:id="243" w:name="__RefHeading___Toc6355263_1051229030"/>
      <w:bookmarkStart w:id="244" w:name="_Toc80"/>
      <w:bookmarkEnd w:id="242"/>
      <w:bookmarkEnd w:id="243"/>
      <w:r>
        <w:rPr>
          <w:rtl w:val="true"/>
        </w:rPr>
        <w:t>أمّا الرّبا في المعنی والمفهوم ومصطلح الفقهاء</w:t>
      </w:r>
      <w:r>
        <w:rPr>
          <w:rtl w:val="true"/>
        </w:rPr>
        <w:t>:</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والقصر في اللغة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ربا المال يربو، إذا زاد وارتفع، وهو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يطلق الفضل غالباً بزيادة الكيفی، وغيره من المعانی بزيادة الكمّی أو بكلا الزّيادتين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الشرع الزّيادة إلا أنّها في خصوص المكيل والموزون إذا عوملت أحد المثلين بالآخر مع زيادة في المقدار وإن تخالفا في الصّفات والخواصّ، وفی مطلق القرض بشرط الزّيادة، يسمّی الأوّل بالرّبا المعاملی والثانی بالقرضی، يبحث عن الأوّل غالباً في ذيل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الثّانی طی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الكتب الفقهی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يعلم أنّ النّسبة بين المعنيين عموم وخصوص مطلق، إذ كلّ رباء في مصطلح الفقهاء رباء في لسان اللغويين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المقائيس</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الرّاء والباء والحرف المعتل، وكذلك المهموز منه يدلّ على أصل واحد، وهو الزّيادة والنّماء والعُلُوّ، تقول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الشّى‌ءُ يربُو، إذا زاد، و رَبَا الرّابيةَ يَربُوها، إذا علاها، و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الرَّبْو، والرَّبْو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والرَّبوة والرُّبْوة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ويقال أَرْبَت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زَكَتْ، وهى تُرْبِى، والرِّبْوة بمعنى الرَّبْوة أيضاً، ويقال ربَّيْتُهُ وتربَّيْتُه، إذا غذَوْته، وهذا ممّا يكون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الّذى ذكرناه، لأنّه إذا رُبِّى نَما و زكا و زاد، والمعنى الآخر مِن ربّيته من التَّربيب،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الباءات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والوجهان جيِّدان، والرِّبا فى المال والمعاملة معروف، وتثنيته رِبَوَان و رِبَيَان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تكرر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 والأصل فيه الزّيادة، رَبَا المال يَرْبُو رَبْواً إذا زاد وارتفع، والاسم الرِّبَا مقصور، وهو فى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على أصل المال من غير عقد تبايع، وله أحكام كثيرة فى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أَرْبَى الرجل فهو مُرْبٍ</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الشّی‌ءُ يَرْبُو رُبُوّاً و 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 نما، وأَرْبَيْتُه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نَمَّيته، وفی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وَيُرْبِی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أُخِذَ الرِّبا الحَرام؛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آتَيْتُمْ مِنْ رِباً لِيَرْبُوَا في أَمْوالِ النَّاسِ فَلا يَرْبُوا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يَعنی به دَفْعَ الإِنسان الشّی‌ءَ ليُعَوَّضَ ما هو أَكثرُ منه، وذلك في أكثر التفسير ليس بحرام، ولكن لا ثواب لمن زاد على ما 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والرِّبا رِبَوانِ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فالحرام كلُّ قَرْض يُؤْخَذُ به أَكثرُ منه أَو تُجَرُّ به مَنْفَعة فحرام، والّذی ليس بحرام أَن يَهَبَه الإِنسان يَسْتَدْعی به ما هو أَكْثَر أَو يُهْدیَ الهَدِيَّة ليُهْدى له ما هو أَكثرُ منها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الفيّومی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وَالزِّيَادَةُ وهُوَ مَقْصُورٌ عَلَى الْأَشْهرَ و يُثَنَّى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عَلَى الأَصْلِ وقَدْ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التَّخْفِيفِ، وَيُنْسَبُ إلَيْهِ عَلَى لَفْظِهِ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الشَّى‌ءُ يَرْبُو إذَا زَادَ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بالْأَلِفِ دَخَلَ فِى الرِّبَا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الْخَمْسَةِ زَادَ عَلَيْهَا، و رَبِیَ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تَعِبَ،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عَلَا إذَا نَشَأَ، ويَتَعَدَّى بالتَّضْعِيفِ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الْمُرْتَفِعُ بِضَمِّ الرَّاءِ وهُوَ الْأَكْثَرُ والْفَتْحُ لُغَةُ بَنى تَمِيمٍ والْكَسْرُ لُغَةٌ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فَعَلَتْ،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مُدْيَةٍ ومُدًى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الرَّوَابِی</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تعريفه حسب اللغة، وأمّا تعريفة حسب اصطلاح الفقهاء، فقال القاضی ابن براج الطرابلسی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تعريف المعاملی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والرّبا محرم في شرع الإسلام، وهو الفاضل من الشيئين إذا كانا من جنس واحد من المكيلات أو الموزونات، وليس يصحّ الرّبا إلا فيما كان مكيلا أو موزوناً فأمّا ما كان من غير ذلك فلا يدخل فيه</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وقال ابن أدريس الحلي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يكون الرّبا المنهی عنه المحرم في شريعة الإسلام، عند أهل البيت علیهم السلام ، إلا فيما يكال أو يوزن، فأمّا ما عداهما من جميع المبيعات، فلا ربا فيها بحال، لأنّ حقيقة الرّبا في عرف الشّرع، هو بيع المثل من المكيل، أو الموزون بالمثل متفاضلا، نقداً ونسيئة إذا كان البيّعان غير والد و ولد، أو زوج و زوجة، أو مسلم و حربی، أو عبد وسيّده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ما يكال أو يوزن، فإنّه يحرم التفاضل فيه، والجنس واحد، نقداً ونسيئة، مثل بيع درهم بدرهم، وزيادة عليه، ودينار بدينار، وزيادة عليه، وقفيز حنطة بقفيز منها، وزيادة عليه، ومكوك شعير بمكوك منه، وزيادة عليه، وكذلك حكم جميع المكيلات و الموزونات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اختلف الجنسان فلا بأس بالتفاضل فيهما نقداً ونسيئة، إلا الدراهم والدنانير، فلا يجوز النسيئة فيهما، لا متماثلا ولا متفاضلا، ويجوز ذلك نقداً متفاضلا، ومتماثلا بغير خلاف بين أصحابنا، لقوله علیه السلام المجمع عليه، إذا اختلف الجنس فبيعوا كيف شئتم، ولولا </w:t>
      </w:r>
    </w:p>
    <w:p>
      <w:pPr>
        <w:pStyle w:val="BookText"/>
        <w:rPr/>
      </w:pPr>
      <w:r>
        <w:rPr>
          <w:rFonts w:ascii="IRNazanin" w:hAnsi="IRNazanin" w:eastAsia="IRNazanin"/>
          <w:color w:val="111111"/>
          <w:sz w:val="28"/>
          <w:sz w:val="28"/>
          <w:szCs w:val="28"/>
          <w:rtl w:val="true"/>
          <w:lang w:bidi="fa-IR"/>
        </w:rPr>
        <w:t>الإجماعالمنعقد على تحريم بيع الدنانير والدراهم نسيئة، لجاز ذلك، لأنّه داخل في عموم قوله علیه السلام، فخصصناهما بالإجماع، وبقی الباقی وما عداهما على أصل الإباحة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أحد المثلين بالآخر مع الزّيادة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عرّفه زين الدّين العاملی المعروف بالشهيد الثّانی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بتعريف كامل جامع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يَرْبُوا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أحد المتماثلين المقدّرين بالكيل أو الوزن في عهد صاحب الشر صَلَّى اَللَّهُ عَلَيْهِ وَ آلِهِ وَ سَلَّمْ أو في العادة بالآخر مع زيادة في أحدهما حقيقة أو حكماً، أو اقتراض أحدهما مع الزّيادة وإن لم يكونا مقدّرين بهما، إذا لم يكن باذل الزّيادة حربيّاً، ولم يكن المتعاقدان والداً مع ولده، ولا زوجاً مع زوجته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بثبوته في كلّ معاوضة يبدّل البيع بالمعاوضة على أحد المتماثلين، إلى أخره، وقد يعرّف بأنّه زيادة أحد العوضين المتماثلين، إلى أخره، نظراً إلى مناسبة المنقول عنه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وتبعه في ذلك بعض كالمحدّث البحرانی رحمه الله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 xml:space="preserve">، والشّيخ محمّد حسن النجفی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المراد من الرّبا المحرّم مطلق الزّيادة كما هو معناه لغة، بل المراد</w:t>
      </w:r>
    </w:p>
    <w:p>
      <w:pPr>
        <w:pStyle w:val="BookText"/>
        <w:rPr/>
      </w:pPr>
      <w:r>
        <w:rPr>
          <w:rFonts w:ascii="Amiri" w:hAnsi="Amiri" w:eastAsia="Amiri" w:cs="Amiri"/>
          <w:color w:val="111111"/>
          <w:sz w:val="28"/>
          <w:sz w:val="28"/>
          <w:szCs w:val="28"/>
          <w:rtl w:val="true"/>
          <w:lang w:bidi="ar-SA"/>
        </w:rPr>
        <w:t xml:space="preserve">به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أحد المتماثلين المقدّرين بالكيل أو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وقريب منه ما عرّفه الشيخ الميرزا علیّ المشكينی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بيان مبسوط حيث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 والقصر في اللغة الزيادة، قال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الأصل الزيادة، ربا المال يربو ربواً إذا زاد وارتفع والاسم الرّبا مقصوراً انتهى، وفی المفردات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أنزلنا عليها الماء اهتزت و 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زادت، والرّبا الزيادة على رأس المال، لكن خصّ في الشرع بالزيادة على وجه دون وجه، ونبّه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يمحق اللّه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الزّيادة المعقولة المعبر عنها بالبركة مرتفعة عن الرّبا انتهى</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كثر استعمال اللفظ عند الشرع والمتشرعة بحيث صار اصطلاحاً في معنى أخصّ من المعنى اللغوی، قال في 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شرعاً بيع أحد المتماثلين المقدرين بالكيل والوزن بالآخر مع زيادة في أحدهما حقيقة أو حكماً، أو اقتراض أحدهما مع الزيادة، وإن لم يكونا مقدرين بهما انتهى، وبالجملة فالرّبا عند الأصحاب على قسمين، معاملی وقرضی، والأوّل هو بيع أحد المتماثلين بالآخر مع زيادة عينية كبيع منّ من الحنطة الجيدة مثلاً بمنين من حنطة ردية أو بمن ودرهم، أو حكمية كبيع منّ من الحنطة نقداً بمنّ منها نسية، فإنّ المبيع زائد على الثمن </w:t>
      </w:r>
    </w:p>
    <w:p>
      <w:pPr>
        <w:pStyle w:val="BookText"/>
        <w:rPr/>
      </w:pPr>
      <w:r>
        <w:rPr>
          <w:rFonts w:ascii="Amiri" w:hAnsi="Amiri" w:eastAsia="Amiri" w:cs="Amiri"/>
          <w:color w:val="111111"/>
          <w:sz w:val="28"/>
          <w:sz w:val="28"/>
          <w:szCs w:val="28"/>
          <w:rtl w:val="true"/>
          <w:lang w:bidi="ar-SA"/>
        </w:rPr>
        <w:t>بمقدار قيمة المدة فكان البائع أعطى منا ومهلة بمن فهو كمن اعطى منا وربع من بمن ولذا لو باع منا بدراهم نقداً كان أرخص ممّا لو باع بها 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اشترطوا في تحقق موضوع الربّا في هذا القسم أمرين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الجنس المراد به النوع في المقام فان الحبّ مثلا جنس تحته أنواع كثيرة كالحنطة، والأرز، والعدس، والحمص، وغيرها، فافراد كلّ نوع متماثلة وإن اختلفت في الصّفة وكانت أصنافاً كالحنطة الحمراء والبيضاء، وكذا الأرز العنبر والشنبة، فلا ربا لو بيع الحنطة بالأرز أو العدس مع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العوضين من قبيل المكيل والموزون، فلا ربا فيما يباع بالعدّ والمساحة والمشاهدة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الرّبا القرضی فقد ذكروا أنّه يتحقق فيما إذا أقرض مالاً بشرط الزيادة، بأن يؤدّی المقترض أزيد ممّا اقترضه، كان الاشتراط صريحاً، أو تقارضا مبنيّا عليها، ولا فرق بين كون الزيادة عيناً كاقراض عشرة دراهم باثني عشر، أو عملاً كاشتراط خياطة ثوب على المقترض، أو منفعة أو انتفاعا كاشتراط المقرض الانتفاع بالعين المرهونة على القرض، أو على قرض آخر، أو صفة كاقراض دراهم مكسورة أو ردية بشرط ردّ الصحيحة أو الجيدة، ولا فرق أيضاً بين كون المال المقترض مكيلا أو موزوناً أو غيرهما كالمعتبر بالعدّ والمساحة والمشاهدة،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وفرعوا على الرّبا القرضی بأنّه إنّما يحرم الزيادة مع الشرط، وأمّا بدونه فلا بأس به بل يستحب للمقترض بذل شی‌ء زيادة لأنّه من حسن القضاء، وأنّه إنّما يحرم شرط الزيادة على المقترض دون المقرض كما إذا أقرضه عشرة بشرط أن يرد ثمانية، أو بشرط أن يخيط للمقترض ثوبا، </w:t>
      </w:r>
    </w:p>
    <w:p>
      <w:pPr>
        <w:pStyle w:val="BookText"/>
        <w:rPr/>
      </w:pPr>
      <w:r>
        <w:rPr>
          <w:rFonts w:ascii="Amiri" w:hAnsi="Amiri" w:eastAsia="Amiri" w:cs="Amiri"/>
          <w:color w:val="111111"/>
          <w:sz w:val="28"/>
          <w:sz w:val="28"/>
          <w:szCs w:val="28"/>
          <w:rtl w:val="true"/>
          <w:lang w:bidi="ar-SA"/>
        </w:rPr>
        <w:t>وأنّ حرمة الإقراض مع الزيادة لا يستلزم بطلان أصل القرض فيصحّ الأصل ويبطل الشرط وتحرم الزيادة</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وقال ابن قدامة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الرّبا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الشّرع الزّيادة في أشياء مخصوصة</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الجزيری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البيوع الفاسدة المنهی عنها نهياً مغلظاً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أَنْزَلْنٰا عَلَيْهَا الْمٰاءَ اهْتَزَّتْ وَرَبَتْ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علت وارتفعت، وذلك معنى الزّيادة فإنّ العلو والارتفاع زيادة على الأرض،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أُمَّةٌ هِیَ أَرْبىٰ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أكثر عدداً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 اصطلاح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زيادة أحد البدلين المتجانسين من غير أن يقابل هذه الزّيادة عوض، ويقسّم إلی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النسيئة وهو أن تكون الزّيادة المذكورة في مقابلة تأخير الدّفع، و 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اشتری إردباً من القمح في زمن الشّتاء بإردب ونصف يدفعها في زمن الصّيف، فإنّ نصف الإردب الّذی زاد في الثمن لم يقابله شیءٌ من المبيع، وإنّما هو في مقابل الأجل فقط ولذا سُمّی ربا النّسيئة أی التّأخير،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الفضل وهو أن تكون الزّيادة المذكورة مجردة عن التّأخير فلم يقابلها شیءٌ، وذلك كما إذا اشتری إردباً من القمح بإردب </w:t>
      </w:r>
      <w:bookmarkStart w:id="245" w:name="pg7917_84968"/>
    </w:p>
    <w:p>
      <w:pPr>
        <w:pStyle w:val="BookText"/>
        <w:rPr/>
      </w:pPr>
      <w:bookmarkEnd w:id="245"/>
      <w:r>
        <w:rPr>
          <w:rFonts w:ascii="IRNazanin" w:hAnsi="IRNazanin" w:eastAsia="IRNazanin"/>
          <w:color w:val="111111"/>
          <w:sz w:val="28"/>
          <w:sz w:val="28"/>
          <w:szCs w:val="28"/>
          <w:rtl w:val="true"/>
          <w:lang w:bidi="fa-IR"/>
        </w:rPr>
        <w:t xml:space="preserve">وكيلة من جنسه مقايضة بأن استلم كلّ من البائع والمشتری ماله، وكما إذا اشتری ذهباً مصنوعاً زنته عشرة مثاقيل بذهب مثله قدره مثقالاً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أكثر التعاريف كما تری مخصوصة بخصوص ربا المعاملی في البيع خاصّة ولا يعمّ غيره من المعاوضات علی القول بثبوته في سائر المعاملات كالصّلح وغيره، ولا للقرضی منه، لكن أنّ ما عرّفه الشّهيد الثّانی رحمه الله يعمّ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فبعد ما فرغنا من هذه المرحلة نتعرّض لحكمه عند الفريقين</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6355265_1051229030"/>
      <w:bookmarkStart w:id="247" w:name="_Toc81"/>
      <w:bookmarkEnd w:id="246"/>
      <w:r>
        <w:rPr>
          <w:rtl w:val="true"/>
        </w:rPr>
        <w:t xml:space="preserve">حكم </w:t>
      </w:r>
      <w:r>
        <w:rPr>
          <w:rtl w:val="true"/>
        </w:rPr>
        <w:t>«</w:t>
      </w:r>
      <w:r>
        <w:rPr>
          <w:rtl w:val="true"/>
        </w:rPr>
        <w:t>الربا</w:t>
      </w:r>
      <w:r>
        <w:rPr>
          <w:rtl w:val="true"/>
        </w:rPr>
        <w:t xml:space="preserve">» </w:t>
      </w:r>
      <w:r>
        <w:rPr>
          <w:rtl w:val="true"/>
        </w:rPr>
        <w:t>عند الفريقين</w:t>
      </w:r>
      <w:r>
        <w:rPr>
          <w:rtl w:val="true"/>
        </w:rPr>
        <w:t>:</w:t>
      </w:r>
      <w:bookmarkEnd w:id="247"/>
    </w:p>
    <w:p>
      <w:pPr>
        <w:pStyle w:val="BookText"/>
        <w:rPr/>
      </w:pPr>
      <w:r>
        <w:rPr>
          <w:rFonts w:ascii="IRNazanin" w:hAnsi="IRNazanin" w:eastAsia="IRNazanin"/>
          <w:color w:val="111111"/>
          <w:sz w:val="28"/>
          <w:sz w:val="28"/>
          <w:szCs w:val="28"/>
          <w:rtl w:val="true"/>
          <w:lang w:bidi="fa-IR"/>
        </w:rPr>
        <w:t>قد مرّ إجمالا أنّ الرّباء يعدّ من المحرّمات المتّفقة عليه عند فقهاء الفريقين وكذا عند بعض الشرائع السابقة، بل وقد ادّعی كونه من ضروريّات الدّين، فمن أنكر حرمته بعد علمه بذلك فقد خرج عن زمرة المسلمين كمنكر غيره من ضروريّات الدّين مثل الصّلاة والصّوم إذا كان عالماً بوجوبها في الشّريعة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 محظور في شريعة الإسلامية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الرّبا الزيادة لغة، وفی الشّرع بيع أحد المتساويين جنساً بالآخر مع التفاضل قدراً مع شرائط تأتی، وهو حرام بالنصّ والإجماع</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المحدّث البحرانی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لغة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وتحريمه ثابت بالكتاب والسّنة والإجماع</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محمّد حسن النجفی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السّابع في الرّبا المحرّم كتاباً وسنّة واجماعاً من المؤمنين بل المسلمين، بل لايبعد كونه من ضروريّات الدّين فيدخل مستحلّه في سلك الكافرين</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الرّاحل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ثبت حرمته بالكتاب والسّنّة وإجماع من المسلمين بل لا يبعد كونها من ضروريّات الدّين، وهو من الكبائر العظام وقد ورد التّشديد عليه في الكتاب العزيز والأخبار الكثيرة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أستاذنا المعظّم الشّيخ مكارم الشيرازی دام ظّله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يعتبر تحريم الرّبا من الأحكام الإسلامية المهمّة والّتي لها صدى واسع في الآيات والرّوايات الشّريفة، والكثير من الفقهاء العظام عند ما يبحثون هذه المسألة يكتفون في إثبات حرمة الرّبا بالأدلّة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والحديث،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أنّ تحريم الرّبا يمكن إثباته دون شكّ بدليل عقلی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سيأتی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تكون الأدلّة على تحريم الرّبا وبيان أهميّة وخطر هذا الذّنب العظيم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والسنّة، والإجماع، والعقل</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ابن قدامة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في الشّرع الزّيادة في أشياء مخصوصة، وهو محرّم بالكتاب والسّنة والإجماع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وأجمعت الأمّة علی أنّ الرّبا محرّم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الجزيری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خلاف بين أئمّة المسلمين في تحريم ربا النّسيئة، فهو كبيرةٌ من الكبائر بلا نزاع، وقد ثبت ذلك بكتاب الله تعالی وسنّة رسوله وإجماع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ربا الفضل وهو أن يبيع أحد الجنسين بمثله بدون تأخير في القبض فهو حرامٌ في المذاهب الأربعة، ولكن بعض الصّحابة أجازه، ومنهم سيّدنا عبد الله بن عبّاس رضی الله عنهما، علی أنّ بعضهم نقل أنّه رجع عن رأيه أخيراً وقال بحرمته أيضاً</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نموذج من أقوال فقهاء الفريقين المطروحة في المقام وإليك دليله من الكتاب والسّنة</w:t>
      </w:r>
      <w:r>
        <w:rPr>
          <w:rFonts w:eastAsia="Amiri" w:cs="Amiri" w:ascii="Amiri" w:hAnsi="Amiri"/>
          <w:color w:val="111111"/>
          <w:sz w:val="28"/>
          <w:szCs w:val="28"/>
          <w:rtl w:val="true"/>
          <w:lang w:bidi="ar-SA"/>
        </w:rPr>
        <w:t xml:space="preserve">: </w:t>
      </w:r>
      <w:bookmarkStart w:id="248" w:name="pg7917_84974"/>
    </w:p>
    <w:p>
      <w:pPr>
        <w:pStyle w:val="Heading2"/>
        <w:numPr>
          <w:ilvl w:val="1"/>
          <w:numId w:val="1"/>
        </w:numPr>
        <w:rPr/>
      </w:pPr>
      <w:bookmarkStart w:id="249" w:name="__RefHeading___Toc6355267_1051229030"/>
      <w:bookmarkStart w:id="250" w:name="_Toc82"/>
      <w:bookmarkEnd w:id="248"/>
      <w:bookmarkEnd w:id="249"/>
      <w:r>
        <w:rPr>
          <w:rtl w:val="true"/>
        </w:rPr>
        <w:t>أدلّة حرمة الرّبا في الشّريعة المقدسة</w:t>
      </w:r>
      <w:r>
        <w:rPr>
          <w:rtl w:val="true"/>
        </w:rPr>
        <w:t>:</w:t>
      </w:r>
      <w:bookmarkEnd w:id="250"/>
    </w:p>
    <w:p>
      <w:pPr>
        <w:pStyle w:val="BookText"/>
        <w:rPr/>
      </w:pPr>
      <w:r>
        <w:rPr>
          <w:rFonts w:ascii="IRNazanin" w:hAnsi="IRNazanin" w:eastAsia="IRNazanin"/>
          <w:color w:val="111111"/>
          <w:sz w:val="28"/>
          <w:sz w:val="28"/>
          <w:szCs w:val="28"/>
          <w:rtl w:val="true"/>
          <w:lang w:bidi="fa-IR"/>
        </w:rPr>
        <w:t>إنّه قد استدلّ علی حرمة الرّبا تارة بالإجماع وضرورة الدّين، وأخری بالكتاب، وثالثة بالأخبار والرّوايات الواردة في المقام، ورابعة بدليل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الإجماع فقد نشير إليه عند ذكر أقوال الفقهاء فلا نعيده، أمّا دليله من الكتاب</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6355269_1051229030"/>
      <w:bookmarkStart w:id="252" w:name="_Toc83"/>
      <w:bookmarkEnd w:id="251"/>
      <w:r>
        <w:rPr>
          <w:rtl w:val="true"/>
        </w:rPr>
        <w:t>أمّا الرّبا في القرآن الكريم والشّرائع السّابقة</w:t>
      </w:r>
      <w:r>
        <w:rPr>
          <w:rtl w:val="true"/>
        </w:rPr>
        <w:t>:</w:t>
      </w:r>
      <w:bookmarkEnd w:id="252"/>
    </w:p>
    <w:p>
      <w:pPr>
        <w:pStyle w:val="BookText"/>
        <w:rPr/>
      </w:pPr>
      <w:r>
        <w:rPr>
          <w:rFonts w:ascii="Amiri" w:hAnsi="Amiri" w:eastAsia="Amiri" w:cs="Amiri"/>
          <w:color w:val="111111"/>
          <w:sz w:val="28"/>
          <w:sz w:val="28"/>
          <w:szCs w:val="28"/>
          <w:rtl w:val="true"/>
          <w:lang w:bidi="ar-SA"/>
        </w:rPr>
        <w:t>قد وردت لفظة الرّبا في اثنتی عشرة آية قرآنية والّتي منها لها أهميّة خاصّة في بحثنا هی قوله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آتَيْتُمْ مِنْ رِباً لِيَرْبُوَا في أَمْوالِ النَّاسِ فَلا يَرْبُوا عِنْدَ اللَّهِ وَما آتَيْتُمْ مِنْ زَكاةٍ تُريدُونَ وَجْهَ اللَّهِ فَأُولئِكَ هُمُ الْمُضْعِفُونَ</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لايَقُومُونَ إلّا كما يَقُومُ الَّذِی يَتَخَبَّطُهُ الشَّيطانُ مِنَ المَسِّ ذلِك بِأَنَّهُم قالُوا إنَّمَا البَيعُ مِثلُ الرِّبا وَأَحَلَّ اللهُ البَيعَ وَحَرَّمَ الرِّبا فَمَن جائَهُ مَوعِظَةٌ مِن رَبِّهِ فَانتَهی فَلَهُ ما سَلَفَ وَأَمرُهُ إلَی اللهِ وَمَن عادَ فَاُولئِك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ذَرُوا ما بَقِیَ مِنَ الرِّبا إن كنتُم مُؤمِنِينَ فَإن لَم تَفعَلوا فَأذَنوا بِحَربٍ مِنَ اللهِ وَرَسُولِهِ وَإن تُبتُم فَلَكم رُءُوسُ أموالِكم لاتَظلِمُونَ وَلاتُظلَمُونَ</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الرِّبَوا أَضْعافاً مُضاعَفَةً وَاتَّقُوا اللَّهَ لَعَلَّكُمْ تُفْلِحُونَ</w:t>
      </w:r>
      <w:r>
        <w:rPr>
          <w:rFonts w:eastAsia="Amiri" w:cs="Amiri" w:ascii="Amiri" w:hAnsi="Amiri"/>
          <w:color w:val="111111"/>
          <w:sz w:val="28"/>
          <w:szCs w:val="28"/>
          <w:rtl w:val="true"/>
          <w:lang w:bidi="ar-SA"/>
        </w:rPr>
        <w:t>)</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 وَبِصَدِّهِمْ عَنْ سَبيلِ اللَّهِ كَثيراً وَأَخْذِهِمُ الرِّبَوا وَقَدْ نُهُوا عَنْهُ وَأَكْلِهِمْ أَمْوالَ النَّاسِ بِالْباطِلِ وَأَعْتَدْنا لِلْكافِرينَ مِنْهُمْ عَذاباً أَليماً</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فقه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يَرْحَمُكَ اللَّهُ أَنَّ الرِّبَا حَرَامٌ سُحْتٌ مِنَ الْكَبَائِرِ وَمِمَّا قَدْ وَعَدَ اللَّهُ عَلَيْهِ النَّارَ، فَنَعُوذُ بِاللَّهِ مِنْهَا، وَهُوَ مَحْرَّمٌ عَلَى لِسَانِ كُلِّ نَبِیٍّ وَفِی كُلِّ كِتَابٍ</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 وقد ورد حكم تحريم الرّبا في موضعين من التوراة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لاويان فصل رقم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الخروج فصل رقم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سورة علی حسب ترتيب نزول القرآن ورد فيها ذكر الرّبا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نزلت بمكة المكرمة، ثمّ جاء ذكره في ثلاثة من السّور المدنی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الّذی جاء في السورة الرّوم لايمكن أن يستفاد منه الحرمة لكونه واردة بشكل نصيحة أخلاقيّة بأنّ ما زعتم من ازدياد الثروة بالرّبا لايكون كذلك عندالله عزّ وجلّ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الّذی يستفاد من الكريمتين الأخيرتين وإن دلّ علی كونه حراماً علی اليهود، لكن حيث ذكره القرآن من دون أن يستنكره عليه، فنستفيد كونه حكماً إمضائيّاً عنده أيضاً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والّذی جاء في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ناظر إلی تحريم قسم خاصّ من الرّبا وساكتة عن حكم غيره من أقسامه نفياً وإثباتاً، أی الرّبا الجاهلی أو الرّبا المضاعف الّذی من أقبح أنواعه وكان متداولاً في الجاهليّة، وهو أنّ المدين عند ما لايستطيع من أداء دينه في الموعد المقررة له تضاف ربحه إلی رأس ماله السّابق بعنوان قرض جديد ويجعل له مدة أخری بربح آخر زائد عن السّابقوهكذا حتّی تضاعف الدّين الأوّل إلی أضعاف مضاعفة، وتفصيله كما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الرّجل منهم إذا حلّ دينه على غريمه فطالبه به، قال المطلوب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في الأجل وأزيدك في المال، فيتراضيان عليه ويعملان به، فإذا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سواء، يعنون بذلك أنّ الزيادة في الثمن حال البيع، والزّيادة فيه بسبب الأجل عند محل الدّين سواء، فذمّهم الله به وألحق الوعيد بهم</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الّذی جاء في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الكريمة الأولی منها تشبّه حال المرابی يوم القيامة بالمصروع أو المجنون الّذی لايستطيع الاحتفاظ والتوازن عند القيام والسير، ثمّ أوعده بالخلود في النّار، وفی الكريمتين آخرتين منها بعد ما أنذر المؤمنين عن أخذ الرّبا، هدّدهم بحرب الله ورسوله عليهم إن لم يتركوا الرّباء، شیء الّذی لا نری مثله في غيره من أقسام الذنوب والمعاصی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فيستفاد من مجموع الآيات المذكورة أنّ مطلق الرّبا علی نحو القضيّة الحقيقيّة، يعدّ في مقابل جنس البيع أوّلا، وأنّه حرام في الإسلام كما كان حراماً علی اليهود ثانياً، وقد أكد علی تحريمه حتّی أعلن بحرب الله ورسوله علی مرتكبه ثالثاً، وأنّ مستحلّه كافر بالله العظيم رابعاً، ويستحقّ مرتكبه الخلود في </w:t>
      </w:r>
      <w:bookmarkStart w:id="253" w:name="pg7917_84980"/>
    </w:p>
    <w:p>
      <w:pPr>
        <w:pStyle w:val="BookText"/>
        <w:rPr/>
      </w:pPr>
      <w:bookmarkEnd w:id="253"/>
      <w:r>
        <w:rPr>
          <w:rFonts w:ascii="IRNazanin" w:hAnsi="IRNazanin" w:eastAsia="IRNazanin"/>
          <w:color w:val="111111"/>
          <w:sz w:val="28"/>
          <w:sz w:val="28"/>
          <w:szCs w:val="28"/>
          <w:rtl w:val="true"/>
          <w:lang w:bidi="fa-IR"/>
        </w:rPr>
        <w:t>النّار خامساً، زائداً علی ما تقدّم من فقه الرّضا علیه السلام من حرمته عند جميع الشرائع والأمم قبل الإسلام</w:t>
      </w:r>
      <w:r>
        <w:rPr>
          <w:rFonts w:eastAsia="IRNazanin" w:cs="IRNazanin"/>
          <w:color w:val="111111"/>
          <w:sz w:val="28"/>
          <w:szCs w:val="28"/>
          <w:rtl w:val="true"/>
          <w:lang w:bidi="fa-IR"/>
        </w:rPr>
        <w:t>.</w:t>
      </w:r>
    </w:p>
    <w:p>
      <w:pPr>
        <w:pStyle w:val="Heading2"/>
        <w:numPr>
          <w:ilvl w:val="1"/>
          <w:numId w:val="1"/>
        </w:numPr>
        <w:rPr/>
      </w:pPr>
      <w:bookmarkStart w:id="254" w:name="__RefHeading___Toc6355271_1051229030"/>
      <w:bookmarkStart w:id="255" w:name="_Toc84"/>
      <w:bookmarkEnd w:id="254"/>
      <w:r>
        <w:rPr>
          <w:rtl w:val="true"/>
        </w:rPr>
        <w:t>أمّا دليل حرمته من الأخبار والأحاديث</w:t>
      </w:r>
      <w:r>
        <w:rPr>
          <w:rtl w:val="true"/>
        </w:rPr>
        <w:t>:</w:t>
      </w:r>
      <w:bookmarkEnd w:id="255"/>
    </w:p>
    <w:p>
      <w:pPr>
        <w:pStyle w:val="BookText"/>
        <w:rPr/>
      </w:pPr>
      <w:r>
        <w:rPr>
          <w:rFonts w:ascii="IRNazanin" w:hAnsi="IRNazanin" w:eastAsia="IRNazanin"/>
          <w:color w:val="111111"/>
          <w:sz w:val="28"/>
          <w:sz w:val="28"/>
          <w:szCs w:val="28"/>
          <w:rtl w:val="true"/>
          <w:lang w:bidi="fa-IR"/>
        </w:rPr>
        <w:t>إنّ هناك روايات كثيرة متواترة قد دلّت علی حرمة الرّبا وأنّه من المعاملات الإقتصاديّة الظالمة يمكن جعلها علی الأقلّ طیّ إحدی عشر طائفة،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التّخوف والتّحذر من الرّبا وما سيأتی من آثاره في المستقبل،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مرسلة أَحْمَدَ بْنِ أَبِی عَبْدِ اللَّهِ عَنْ أَبِيهِ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عَلَى أُمَّتِی هَذِهِ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وَالشَّهْوَةُ الْخَفِيَّةُ وَالرِّبَا</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عن طريق العامّة عن أبی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لَآتِيَنَّ عَلَی النَّاسِ زَمَانٌ لَا يَبْقَی مِنهُم ْ أَحَدٌ إلّا أكلَ الرِّبَا فَمَنْ لَمْ يَأكلْ أَصَابَهُ مِنْ غُبَارِهِ</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أنّ الرّبا من موجبات الزلزلة والهلاك والخسوف والنقصان،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المحدث النوری رحمه الله مرسلة عن النَّبِیِّ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أَكَلَتْ أُمَّتِی الرِّبَا كَانَتِ الزَّلْزَلَةُ وَالْخَسْفُ</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الطبرسی رحمه الله مرفوعاً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بِقَوْمٍ هَلَاكاً ظَهَرَ فِيهِمُ الرِّبَا</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عن النَّبِیِّ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الزِّنَا وَالرِّبَا في قَرْيَةٍ أُذِنَ في هَلَاكِهَا</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والنّبو صَلَّى اَللَّهُ عَلَيْهِ وَ آلِهِ وَ سَلَّمْ الّذی رواه العامّة في كتبهم الرّوائيّة والتفسريّة عن طريق عمروبن عاص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قَومٍ يَظهَرُ فِيهِمُ الرِّبَا إلَّا اُخِذُوا بِالسِّنَّةِ، وَ مَا مِنْ قَومٍ يَظهَرُ فِيهِمُ الرُّشَا إلَّا اُخِذُوا بِالرُّعبِ</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أنّ الرّبا من أخبث المكاسب،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موثقة سَعْدِ بْنِ طَرِيفٍ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أَخْبَثُ الْمَكَاسِبِ كَسْبُ الرِّبَا</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الصدوق رحمه الله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ألفاظ رسول اللّ صَلَّى اَللَّهُ عَلَيْهِ وَ آلِهِ وَ سَلَّمْ الموجزة الّتي لم يسبق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الْمَكَاسِبِ كَسْبُ الرِّبَا</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رواه أَحْمَدُ بْنُ مُحَمَّدِ بْنِ عِيسَى في نَوَادِرِهِ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يَعْنِی الْجَوَادَ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الرِّبَا</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علی كيفيّة حشر المرابين في القيامة،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هشام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أُسْرِیَ بِی إِلَى السَّمَاءِ رَأَيْتُ قَوْماً يُرِيدُ أَحَدُهُمْ أَنْ يَقُومَ وَلَا يَقْدِرُ عَلَيْهِ مِنْ عِظَمِ بَطْنِهِ،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الرِّبَا</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ومرفوعة الشيخ الطّبرسی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مُعَاذُ بْنُ جَبَلٍ جَالِساً قَرِيباً مِنْ رَسُولِ اللَّه صَلَّى اَللَّهُ عَلَيْهِ وَ آلِهِ وَ سَلَّمْ في مَنْزِلِ أَبِی أَيُّوبَ الْأَنْصَارِیِّ،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يُنْفَخُ في الصُّورِ فَتَأْتُونَ أَفْوٰاجَاً</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مُعَاذُ سَأَلْتَ عَنْ عَظِيمٍ مِنَ الْأَمْرِ، ثُمَّ أَرْسَلَ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عَشَرَةُ أَصْنَافٍ مِنْ أُمَّتِی أَشْتَاتاً قَدْ مَيَّزَهُمُ اللَّهُ تَعَالَى مِنَ الْمُسْلِمِينَ، وَبَدَّلَ صُوَرَهُمْ، فَبَعْضُهُمْ عَلَى صُورَةِ الْقِرَدِةِ،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مُنَكَّسُونَ أَرْجُلُهُمْ مِنْ فَوْقُ وَوُجُوهُهُمْ مِنْ تَحْتُ ثُمَّ يَسْحَبُونَ عَلَيْهَا،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الْمُنَكَّسُونَ عَلَى رُءُوسِهِمْ فَأَكَلَةُ الرِّبَا</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أبی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اَتَيتُ لَيْلَةَ أُسْرِیَ بِی عَلَی قَوْمٍ بُطُونُهُم كالبُيُوتِ فِيهَا الحَيَّاتُ تُرَی مِن خَارِجِ بُطُونِهِم،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أكلَةُ الرِّبَا</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أنّ الرّبا من الموبقات والكبائر العظام،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محمّد بن سنان أنّ عَلِیَّ بْنَ مُوسَى الرِّضَا علیه السلام كَتَبَ إِلَيْهِ فِيمَا كَتَبَ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وَعِلَّةُ تَحْرِيمِ الرِّبَا لِمَا نَهَى اللَّهُ عَزَّ وَجَلَّ عَنْهُ، وَلِمَا فِيهِ مِنْ فَسَادِ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 كَبِيرَةٌ بَعْدَ الْبَيَانِ وَتَحْرِيمِ اللَّهِ عَزَّ وَجَلَّ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هريرة أنّ النَّبِیِّ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w:t>
      </w:r>
    </w:p>
    <w:p>
      <w:pPr>
        <w:pStyle w:val="BookText"/>
        <w:rPr/>
      </w:pPr>
      <w:r>
        <w:rPr>
          <w:rFonts w:ascii="Amiri" w:hAnsi="Amiri" w:eastAsia="Amiri" w:cs="Amiri"/>
          <w:color w:val="111111"/>
          <w:sz w:val="28"/>
          <w:sz w:val="28"/>
          <w:szCs w:val="28"/>
          <w:rtl w:val="true"/>
          <w:lang w:bidi="ar-SA"/>
        </w:rPr>
        <w:t>السَّبْعَ الْمُوبِقَاتِ،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وَالسِّحْرُ، وَقَتْلُ النَّفْسِ الّتي حَرَّمَ اللَّهُ إِلَّا بِالْحَقِّ، وَأَكْلُ الرِّبَا، وَأَكْلُ مَالِ الْيَتِيمِ، وَالتَّوَلِّی يَوْمَ الزَّحْفِ، وَقَذْفُ الْمُحْصَنَاتِ الْغَافِلَاتِ الْمُؤْمِنَاتِ</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حكاه في فقه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يَرْحَمُكَ اللَّهُ أَنَّ الرِّبَا حَرَامٌ سُحْتٌ مِنَ الْكَبَائِرِ وَمِمَّا قَدْ وَعَدَ اللَّهُ عَلَيْهِ النَّارَ، فَنَعُوذُ بِاللَّهِ مِنْهَا، وَهُوَ مَحْرَّمٌ عَلَى لِسَانِ كُلِّ نَبِیٍّ وَفِی كُلِّ كِتَابٍ</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رواه أبوحيّان الأندلسی الشّافعی في تفسيره عن النَّبِیِّ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 الرِّبَا مِنَ السَّبعِ الْمُوبِقَاتِ</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لعن فيها الرّبا وجميع المرتبطين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زيد بن علیّ عن آبائه عن علیّ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وَ سَلَّمْ الرِّبَا وَآكِلَهُ وَبَائِعَهُ وَمُشْتَرِيَهُ وَكَاتِبَهُ وَشَاهِدَيْهِ</w:t>
      </w:r>
      <w:r>
        <w:rPr>
          <w:rFonts w:eastAsia="Amiri" w:cs="Amiri" w:ascii="Amiri" w:hAnsi="Amiri"/>
          <w:color w:val="111111"/>
          <w:sz w:val="28"/>
          <w:szCs w:val="28"/>
          <w:rtl w:val="true"/>
          <w:lang w:bidi="ar-SA"/>
        </w:rPr>
        <w:t>»</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رواه في عقاب الأعمال بإسناده الّذی ذكره في عيادة المريض عن النَّبِیِّ صَلَّى اَللَّهُ عَلَيْهِ وَ آلِهِ وَ سَلَّمْ في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أَكَلَ الرِّبَا مَلَأَ اللَّهُ بَطْنَهُ مِنْ نَارِ جَهَنَّمَ بِقَدْرِ مَا أَكَلَ وَإِنِ اكْتَسَبَ مِنْهُ مَالًا لَمْ يَقْبَلِ اللَّهُ مِنْهُ شَيْئاً مِنْ عَمَلِهِ وَلَمْ يَزَلْ في لَعْنَةِ اللَّهِ وَالْمَلَائِكَةِ مَا كَانَ عِنْدَهُ قِيرَاطٌ</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والنّبوی صَلَّى اَللَّهُ عَلَيْهِ وَ آلِهِ وَ سَلَّمْ الّذی رواه عبدالله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آكلَ الرِّبَا، وَ مُؤْكِلَهُ وَشَاهِدَهُ، وَكاتِبَهُ</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أنّ الرّبا يمنع من قبول الصّلاة بل من جميع الأعمال،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رواه المحدّث النوری رحمه الله مرفوعة عن النَّبِیِّ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صَلَاةَ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الآبِقِ مِنْ سَيِّدِهِ، وَامْرَأَةٍ لَا يَرْضَى عَنْهَا زَوْجُهَا، وَمُدْمِنِ الْخَمْرِ، وَالْعَاقِّ، وَآكِلِ الرِّبَا</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صحيحة أبی بصير قال 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يُحَاسَبُ بِهِ الْعَبْدُ الصَّلَاةُ، فَإِنْ قُبِلَتْ قُبِلَ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الّذی ذكره في عيادة المريض عن النَّبِیِّ صَلَّى اَللَّهُ عَلَيْهِ وَ آلِهِ وَ سَلَّمْ في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أَكَلَ الرِّبَا مَلَأَ اللَّهُ بَطْنَهُ مِنْ نَارِ جَهَنَّمَ بِقَدْرِ مَا أَكَلَ وَإِنِ اكْتَسَبَ مِنْهُ مَالًا لَمْ يَقْبَلِ اللَّهُ مِنْهُ شَيْئاً مِنْ عَمَلِهِ وَلَمْ يَزَلْ في لَعْنَةِ اللَّهِ وَالْمَلَائِكَةِ مَا كَانَ عِنْدَهُ قِيرَاطٌ</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أنّ الرّبا يوجب الكفر ومحق الدّين،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زرارة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وَيُرْبِی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أَرَى مَنْ يَأْكُلُ الرِّبَا يَرْبُو 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مَحْقٍ أَمْحَقُ مِنْ دِرْهَمٍ رِبًا؟ يَمْحَقُ الدِّينَ وَإِنْ تَابَ مِنْهُ ذَهَبَ مَالُهُ وَافْتَقَرَ</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علیّ بن إبراهيم في تفسيره مرفوعاً في بيان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وَيُرْبِی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نَرَی الرَّجُلَ يُرْبِی وَمَالُهُ يَكثُرُ،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دِينَهُ، وَإنْ كانَ مَالُهَ يَكثُرُ</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الطائفة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أنّ الرّبا أعظم من الزّنا بذات محرم عندالله عزِ وجلّ،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هشام بن سالم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أَشَدُّ مِنْ سَبْعِينَ زَنْيَةً كُلُّهَا بِذَاتِ مَحْرَمٍ</w:t>
      </w:r>
      <w:r>
        <w:rPr>
          <w:rFonts w:eastAsia="Amiri" w:cs="Amiri" w:ascii="Amiri" w:hAnsi="Amiri"/>
          <w:color w:val="111111"/>
          <w:sz w:val="28"/>
          <w:szCs w:val="28"/>
          <w:rtl w:val="true"/>
          <w:lang w:bidi="ar-SA"/>
        </w:rPr>
        <w:t>»</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وصحيحة أبی بصير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أَشَدُّ مِنْ ثَلَاثِينَ زَنْيَةً كُلُّهَا بِذَاتِ مَحْرَمٍ مِثْلِ عَمَّةٍ وَخَالَةٍ</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وَاحِدٌ رِبًا أَعْظَمُ مِنْ عِشْرِينَ زَنْيَةً كُلُّهَا بِذَاتِ مَحْرَمٍ</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جميل بن درّاج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أَعْظَمُ عِنْدَ اللَّهِ مِنْ سَبْعِينَ زَنْيَةً كُلُّهَا بِذَاتِ مَحْرَمٍ فِي بَيْتِ اللَّهِ الْحَرَامِ</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والنّبوی صَلَّى اَللَّهُ عَلَيْهِ وَ آلِهِ وَ سَلَّمْ الّذی رواه العامة في مجامعهم عن طريق أبی هريرة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سَبْعُونَ حُوباً أيْسَرُهَا مِثْلَ أنْ يَنْكحَ الرَّجُلُ أمَّهُ</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الطائفة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ثبوت قتل مستحلّ الرّبا،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موثقة عبدالله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أَبَا عَبْدِ اللَّهِ علیه السلام عَنْ رَجُلٍ أَنَّهُ كَانَ يَأْكُلُ الرِّبَا وَيُسَمِّيهِ اللِّبَأَ،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أَمْكَنَنِی اللَّهُ مِنْهُ لَأَضْرِبَنَّ عُنُقَهُ</w:t>
      </w:r>
      <w:r>
        <w:rPr>
          <w:rFonts w:eastAsia="Amiri" w:cs="Amiri" w:ascii="Amiri" w:hAnsi="Amiri"/>
          <w:color w:val="111111"/>
          <w:sz w:val="28"/>
          <w:szCs w:val="28"/>
          <w:rtl w:val="true"/>
          <w:lang w:bidi="ar-SA"/>
        </w:rPr>
        <w:t>»</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رواه علیّ بن إبراهيم القمّی في تفسيره مرفوعاً عن النَّبِیِّ صَلَّى اَللَّهُ عَلَيْهِ وَ آلِهِ وَ سَلَّمْ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وَذَرُوا ما بَقِیَ مِنَ الرِّبا إِنْ كُنْتُمْ مُؤْمِنِينَ</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فَإِنَّهُ كَانَ سَبَبُ نُزُولِهَا أَنَّهُ لَمَّا 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فَقَامَ خَالِدُ بْنُ وَلِيدٍ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رِبَا أَبِی في ثَقِيفٍ وَقَدْ أَوْصَانِی عِنْدَ مَوْتِهِ بِأَخْذِهِ،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وَذَرُوا ما بَقِیَ مِنَ الرِّبا إِنْ كُنْتُمْ مُؤْمِنِينَ فَإِنْ لَمْ تَفْعَلُوا فَأْذَنُوا بِحَرْبٍ مِنَ اللَّهِ وَرَسُولِهِ</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الرِّبَا وَجَبَ عَلَيْهِ الْقَتْلُ</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إذ القدر المتيقن منه بقرينة ما جاء في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ويسمّيه اللّباء، هو من أخذ الرّباء مستحلاً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الحادية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أنّ عاقبة المرابی النّار،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مرفوعة القطب الرّاوندی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أَشْيَاءَ تَقَعُ بِخَمْسَةِ أَشْيَاءَ وَلَا بُدَّ لِتِلْكَ الْخَمْسَةِ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عِلْمٍ فَلَا بُدَّ لَهُ مِنْ أَكْلِ الرِّبَا، وَلَا بُدَّ لِآكِلِ الرِّبَا مِنَ النَّارِ</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الّذی ذكره في عيادة المريض عن النَّبِیِّ صَلَّى اَللَّهُ عَلَيْهِ وَ آلِهِ وَ سَلَّمْ في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أَكَلَ الرِّبَا مَلَأَ اللَّهُ بَطْنَهُ مِنْ نَارِ جَهَنَّمَ بِقَدْرِ مَا أَكَلَوَإِنِ اكْتَسَبَ مِنْهُ مَالًا لَمْ يَقْبَلِ اللَّهُ مِنْهُ شَيْئاً مِنْ عَمَلِهِ وَلَمْ يَزَلْ في لَعْنَةِ اللَّهِ وَالْمَلَائِكَةِ مَا كَانَ عِنْدَهُ قِيرَاطٌ</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العامة في مسانيدهم عن طريق عبدالله بن مسعود عن أبيه عن النَّبِیِّ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في قَوْمٍ الرِّبا وَالزِّنا إلّا أحَلُّوا بِأنفُسِهِم عِقَابَ اللهِ عَزَّ وَجَلَّ</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والأخبار الواردة في المقام لا تنحصر بذلك، وهی كما تری كثيرة متواترة، فيها صحاح وغير صحاح علی وجه يغنينا عن البحث حول أسانيدها، قد رواها الفريقين في مجامعهم الرّوائيّة والتفسريّة، تنادی بأعلی صوتها بأنّ الرّبا من أخبث المكاسب، وأنّه من الموبقات والكبائر العظام، يوجب لعن الله وملائكته و رسوله علی جميع المرتبطين به، يمنع من قبول الصلاة والأعمال، يوجب الكفر ومحق الدّين، أعظم من الزنية بذات محرم، قد أوجب الله عزّ وجلّ علی مستحلّه القتل، وأنّ مآله إلی النّار والجهيم</w:t>
      </w:r>
      <w:r>
        <w:rPr>
          <w:rFonts w:eastAsia="IRNazanin" w:cs="IRNazanin"/>
          <w:color w:val="111111"/>
          <w:sz w:val="28"/>
          <w:szCs w:val="28"/>
          <w:rtl w:val="true"/>
          <w:lang w:bidi="fa-IR"/>
        </w:rPr>
        <w:t xml:space="preserve">. </w:t>
      </w:r>
      <w:bookmarkStart w:id="256" w:name="pg7917_84999"/>
    </w:p>
    <w:p>
      <w:pPr>
        <w:pStyle w:val="Heading2"/>
        <w:numPr>
          <w:ilvl w:val="1"/>
          <w:numId w:val="1"/>
        </w:numPr>
        <w:rPr/>
      </w:pPr>
      <w:bookmarkStart w:id="257" w:name="__RefHeading___Toc6355273_1051229030"/>
      <w:bookmarkStart w:id="258" w:name="_Toc85"/>
      <w:bookmarkEnd w:id="256"/>
      <w:bookmarkEnd w:id="257"/>
      <w:r>
        <w:rPr>
          <w:rtl w:val="true"/>
        </w:rPr>
        <w:t>أمّا دليل حرمته من دليل العقل</w:t>
      </w:r>
      <w:r>
        <w:rPr>
          <w:rtl w:val="true"/>
        </w:rPr>
        <w:t>:</w:t>
      </w:r>
      <w:bookmarkEnd w:id="258"/>
    </w:p>
    <w:p>
      <w:pPr>
        <w:pStyle w:val="BookText"/>
        <w:rPr/>
      </w:pPr>
      <w:r>
        <w:rPr>
          <w:rFonts w:ascii="IRNazanin" w:hAnsi="IRNazanin" w:eastAsia="IRNazanin"/>
          <w:color w:val="111111"/>
          <w:sz w:val="28"/>
          <w:sz w:val="28"/>
          <w:szCs w:val="28"/>
          <w:rtl w:val="true"/>
          <w:lang w:bidi="fa-IR"/>
        </w:rPr>
        <w:t xml:space="preserve">ثمّ إنّه قد استدلّ علی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بدليل العقل، وذلك لتعبير القرآن</w:t>
      </w:r>
      <w:r>
        <w:rPr>
          <w:rStyle w:val="FootnoteAnchor"/>
          <w:rtl w:val="true"/>
        </w:rPr>
        <w:footnoteReference w:id="893"/>
      </w:r>
      <w:r>
        <w:rPr>
          <w:rFonts w:ascii="Amiri" w:hAnsi="Amiri" w:eastAsia="Amiri" w:cs="Amiri"/>
          <w:color w:val="111111"/>
          <w:sz w:val="28"/>
          <w:sz w:val="28"/>
          <w:szCs w:val="28"/>
          <w:rtl w:val="true"/>
          <w:lang w:bidi="ar-SA"/>
        </w:rPr>
        <w:t>عنه بكونه من مصاديق أكل المال بالباطل ومن المصاديق البارزةللظلم، وأنّ قبحه من المستقلات العقليّة الّتي كلّما حكم العقل به حكم الشرع بحرمته، قد استدلّ به أستاذنا المعظّم الشّيخ مكارم الشيرازي دام ظّله، حيث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الرّبا من المصاديق البارزة للظلم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شرح هذا الموضوع في بحث حكمة تحريم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الرّبا من أفحش أنواع الظلم وأشدّه، وحرمة الظلم من المستقلّات العقلية، فعلى هذا يكون الرّبا قبيحاً عقلاً وحراماً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الرّبا مصدر لمفاسد كثيرة والّتي يستقلّ العقل بقبحها أيضاً، وبذلك يكون الرّبا حراماً عقلاً من هذه الجهة أيضاً، فمن ينكر أنّ الكثير من الأفراد قد تحطمت معيشتهم على صخرة الرّبا، بل إنّ بعض المجتمعات أيضاً لم تسلم من شرره وسمومه، فوقعت ضحية القروض الربوبية، وفقدت كلّ ما تملك بسببه، حتّى إنّ الكثير من بلدان عالمنا الثالث في عصرنا الحاضر قد وقعت أسيرة في حبائل المرابين العالميّين، وأمسى كلّ شيء لديهم من </w:t>
      </w:r>
    </w:p>
    <w:p>
      <w:pPr>
        <w:pStyle w:val="BookText"/>
        <w:rPr/>
      </w:pPr>
      <w:r>
        <w:rPr>
          <w:rFonts w:ascii="Amiri" w:hAnsi="Amiri" w:eastAsia="Amiri" w:cs="Amiri"/>
          <w:color w:val="111111"/>
          <w:sz w:val="28"/>
          <w:sz w:val="28"/>
          <w:szCs w:val="28"/>
          <w:rtl w:val="true"/>
          <w:lang w:bidi="ar-SA"/>
        </w:rPr>
        <w:t>اقتصاد غيره في خطر محدق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لما تقدّم من الأبحاث أنّ الرِّبا حرام بالأدلّة الأربعة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والتحقيق أنّ إثبات حرمة الرّبا بدليل العقل هو أوّل الكلام، لا سيّما بملاحظة ما سيأتی من أنّ من أقسامه، الرّبا المعاملی الّذی يعدّونه العرف بنظرهم لولا حكم الشرع بحرمته نوعاً من البيع المشروع، ولا يكون قبحه عندهمبمثابة الرّبا القرضی، ومن المعلوم أنّ المراد من الظلم في الآيات المستدلّ بها في المقام كان كالمراد منه في الأدعية والمناجاة في مقام طلب المخلوق التوبة من ربّه جلّ وعلاه</w:t>
      </w:r>
      <w:r>
        <w:rPr>
          <w:rStyle w:val="FootnoteAnchor"/>
          <w:rtl w:val="true"/>
        </w:rPr>
        <w:footnoteReference w:id="895"/>
      </w:r>
      <w:r>
        <w:rPr>
          <w:rFonts w:ascii="IRNazanin" w:hAnsi="IRNazanin" w:eastAsia="IRNazanin"/>
          <w:color w:val="111111"/>
          <w:sz w:val="28"/>
          <w:sz w:val="28"/>
          <w:szCs w:val="28"/>
          <w:rtl w:val="true"/>
          <w:lang w:bidi="fa-IR"/>
        </w:rPr>
        <w:t>، لا الظلم بمعنی ما يستفاده العقلاء بما هم عقلاء، نعم بعد ما حكم الشرع بكون شیء حراماً أو واجباً فمن تجاوز عنه من المؤمنين بعد علمه بذلك، حكم العقل بكونه تعدّی حداً من حدود الله تعالی، لكنّه ليس من المستقلات العقليّة الّتي كلّما حكم العقل بقبح شیء حكم الشرع بحرمته، فالأقوی بل المتعيّن أن نستدلّ علی حرمة الرّبا هنا بالأدلّة الثلاثة فقط</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فإلی هنا تمّ الكلام في أدلّة حرمة الرّبا من الكتاب والسنّة والإجماع ودليل العقل، وأمّا أقسامه فنقول</w:t>
      </w:r>
      <w:r>
        <w:rPr>
          <w:rFonts w:eastAsia="IRNazanin" w:cs="IRNazanin"/>
          <w:color w:val="111111"/>
          <w:sz w:val="28"/>
          <w:szCs w:val="28"/>
          <w:rtl w:val="true"/>
          <w:lang w:bidi="fa-IR"/>
        </w:rPr>
        <w:t xml:space="preserve">: </w:t>
      </w:r>
      <w:bookmarkStart w:id="259" w:name="pg7917_85003"/>
    </w:p>
    <w:p>
      <w:pPr>
        <w:pStyle w:val="Heading2"/>
        <w:numPr>
          <w:ilvl w:val="1"/>
          <w:numId w:val="1"/>
        </w:numPr>
        <w:rPr/>
      </w:pPr>
      <w:bookmarkStart w:id="260" w:name="__RefHeading___Toc6355275_1051229030"/>
      <w:bookmarkStart w:id="261" w:name="_Toc86"/>
      <w:bookmarkEnd w:id="259"/>
      <w:bookmarkEnd w:id="260"/>
      <w:r>
        <w:rPr>
          <w:rtl w:val="true"/>
        </w:rPr>
        <w:t>أقسام الرّباء إجمالاً</w:t>
      </w:r>
      <w:r>
        <w:rPr>
          <w:rtl w:val="true"/>
        </w:rPr>
        <w:t>:</w:t>
      </w:r>
      <w:bookmarkEnd w:id="261"/>
    </w:p>
    <w:p>
      <w:pPr>
        <w:pStyle w:val="BookText"/>
        <w:rPr/>
      </w:pPr>
      <w:r>
        <w:rPr>
          <w:rFonts w:ascii="IRNazanin" w:hAnsi="IRNazanin" w:eastAsia="IRNazanin"/>
          <w:color w:val="111111"/>
          <w:sz w:val="28"/>
          <w:sz w:val="28"/>
          <w:szCs w:val="28"/>
          <w:rtl w:val="true"/>
          <w:lang w:bidi="fa-IR"/>
        </w:rPr>
        <w:t>ينقسم الرّباء عند الفريقين علی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معاملی، وقرضی، فالأوّل هو بيع أحد المتماثلين بالآخر مع زيادة عينيّة أو حكميّة، وقد اشترطوا في تحقّق موضوع الرّباء في هذا القسم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الجنس، وكون العوضين من قبيل المكيل أو الموزون، فعليه لا رباء فيما يباع بالعدّ أوالمساحة أوالمشاهدة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الرّبا القرضی فقد ذكروا أنّه يتحقّق فيما إذا أقرض مالاً بشرط الزيادة، سواء اشتراطا الزيادة صريحاً، أو تقارضا مبنيّاً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بيع أحد المتماثلين المقدّرين بالكيل أو الوزن في عهد صاحب الشر صَلَّى اَللَّهُ عَلَيْهِ وَ آلِهِ وَ سَلَّمْ أو في العادة بالآخر مع زيادة في أحدهما حقيقة أو حكماً، أو اقترض أحدهما مع الزيادة وإن لم يكونا مقدّرين بهما</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الراحل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معاملی وقرضی، أمّا الأوّل فهو بيع أحد المثلين بالآخر مع زيادة عينيّة كبيع منّ من الحنطة بمنّين منها، أو بمنّ ودرهم، أو حكميّة كمنّ منها نقداً بمنّ منها نسيئة، والأقوی عدم اختصاصه بالبيع، بل يجری في سائر المعاملات كالصلح ونحوه، وشرطه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الجنس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العوضين من المكيل أو الموزون، فلا ربا فيما يباع بالعدّ أو المشاهدة</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قدامة الحنبلی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والرّبا علی ضربين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الفضل، وربا النسيئة، وأجمع أهل العلم علی </w:t>
      </w:r>
      <w:bookmarkStart w:id="262" w:name="pg7917_85005"/>
    </w:p>
    <w:p>
      <w:pPr>
        <w:pStyle w:val="BookText"/>
        <w:rPr/>
      </w:pPr>
      <w:bookmarkEnd w:id="262"/>
      <w:r>
        <w:rPr>
          <w:rFonts w:ascii="IRNazanin" w:hAnsi="IRNazanin" w:eastAsia="IRNazanin"/>
          <w:color w:val="111111"/>
          <w:sz w:val="28"/>
          <w:sz w:val="28"/>
          <w:szCs w:val="28"/>
          <w:rtl w:val="true"/>
          <w:lang w:bidi="fa-IR"/>
        </w:rPr>
        <w:t xml:space="preserve">تحريمهما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اتّفق أهل العلم علی أنّ ربا الفضل لا يجری إلا في الجنس الواحد</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فبعد ما فرغنا من البحث حول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وأقسامه، نبحث عن مستثنياته فنقول</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6355277_1051229030"/>
      <w:bookmarkStart w:id="264" w:name="_Toc87"/>
      <w:bookmarkEnd w:id="263"/>
      <w:r>
        <w:rPr>
          <w:rtl w:val="true"/>
        </w:rPr>
        <w:t>مستثيات الرّبا المحرّم</w:t>
      </w:r>
      <w:r>
        <w:rPr>
          <w:rtl w:val="true"/>
        </w:rPr>
        <w:t>:</w:t>
      </w:r>
      <w:bookmarkEnd w:id="264"/>
    </w:p>
    <w:p>
      <w:pPr>
        <w:pStyle w:val="BookText"/>
        <w:rPr/>
      </w:pPr>
      <w:r>
        <w:rPr>
          <w:rFonts w:ascii="IRNazanin" w:hAnsi="IRNazanin" w:eastAsia="IRNazanin"/>
          <w:color w:val="111111"/>
          <w:sz w:val="28"/>
          <w:sz w:val="28"/>
          <w:szCs w:val="28"/>
          <w:rtl w:val="true"/>
          <w:lang w:bidi="fa-IR"/>
        </w:rPr>
        <w:t xml:space="preserve">قد عرفت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بالأدلّة الثلاثة أو قيل بالأدلّة الأربعة، وأنّه محرّم عند الفريقين، بل وعند جميع المذاهب والشرائع، هذا بحسب حكمه الشرعی الأوّلی، لكنّه قد ارتفع حكمه عندنا في موارد لتبدّل موضوعه أو نفيه بحكم الشارع في مصاديق خاصّة من باب الحكومة والتصرف في عقد الوضع، أو من باب التنزيل الحكمی التعبّدی والتصرف في عقد الحمل</w:t>
      </w:r>
      <w:r>
        <w:rPr>
          <w:rStyle w:val="FootnoteAnchor"/>
          <w:rtl w:val="true"/>
        </w:rPr>
        <w:footnoteReference w:id="899"/>
      </w:r>
      <w:r>
        <w:rPr>
          <w:rFonts w:ascii="IRNazanin" w:hAnsi="IRNazanin" w:eastAsia="IRNazanin"/>
          <w:color w:val="111111"/>
          <w:sz w:val="28"/>
          <w:sz w:val="28"/>
          <w:szCs w:val="28"/>
          <w:rtl w:val="true"/>
          <w:lang w:bidi="fa-IR"/>
        </w:rPr>
        <w:t xml:space="preserve">، قال السيّد المرتضی رحمه الله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انفردت به الإماميّة القول بأنّه لا ربا بين الولد ووالده، ولا بين الزوج وزوجته، ولا بين الذمّی والمسلم، ولا بين العبد ومولاه، وخالف باقی الفقهاء في ذلك وأثبتوا الرّبا بين كلّ من عدّدناه، وقد كتبت قديماً في جواب مسائل وردت من الموصل وتأوّلت الأخبار الّتي يرويها أصحابنا المتضمّنة لنفی الرّبا بين ما ذكرناه علی أنّ المراد بذلك وإن كان بلفظ الخبر معنی الأمر 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لا يقع بين من ذكرنا ربا </w:t>
      </w:r>
    </w:p>
    <w:p>
      <w:pPr>
        <w:pStyle w:val="BookText"/>
        <w:rPr/>
      </w:pPr>
      <w:r>
        <w:rPr>
          <w:rFonts w:ascii="Amiri" w:hAnsi="Amiri" w:eastAsia="Amiri" w:cs="Amiri"/>
          <w:color w:val="111111"/>
          <w:sz w:val="28"/>
          <w:sz w:val="28"/>
          <w:szCs w:val="28"/>
          <w:rtl w:val="true"/>
          <w:lang w:bidi="ar-SA"/>
        </w:rPr>
        <w:t>كما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وكقوله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رَفَثَوَلا فُسُوقَ وَلا جِدالَ في الحَجِّ</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واعتمدنا في نصرة هذا المذهب علی عموم ظاهر القرآن، ثمّ لمّا تأمّلت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عن هذا المذهب لأنّی وجدت أصحابنا مجمعين علی نفی الرّبا بين ما ذكرنا وغير مختلفين فيه في وقت من الأوقات، وإجماع هذه الطائفة قد ثبت أنّه حجّة ويختصّ به ظاهر القرآن</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الراحل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ربا بين الوالد وولده، ولا بين الرّجل وزوجته، ولا بين المسلم والحربی، بمعنی أنّه يجوز أخذ الفضل للمسلم، ويثبت بين المسلم والذمّی، هذا بعض الكلام في الرّبا المعاملی، وأمّا القرضی فيأتی الكلام فيه إن شاءالله تعالی</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مبحث القرض منه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تحرم الزّيادة مع الشرط وأمّا بدونه فلا بأس، بل تستحب للمقترض حيث إنّه من حسن القضاء وخير النّاس أحسنهم قضاءً، بل يجوز ذلك إعطاءً وأخذاً لو كان الإعطاء لأجل أن يراه المقرض حسن القضاء فيقرضه كلّما احتاج إلی الاقتراض، أو كان الإقراض لأجل أن ينتفع من المقترض لكونه حسن القضاء، ويكافئ من أحسن إليه بأحسن الجزاء بحيث لولا ذلك لم يقرضه، نعم يكره أخذه للمقرض خصوصاً إذا كان </w:t>
      </w:r>
    </w:p>
    <w:p>
      <w:pPr>
        <w:pStyle w:val="BookText"/>
        <w:rPr/>
      </w:pPr>
      <w:r>
        <w:rPr>
          <w:rFonts w:ascii="IRNazanin" w:hAnsi="IRNazanin" w:eastAsia="IRNazanin"/>
          <w:color w:val="111111"/>
          <w:sz w:val="28"/>
          <w:sz w:val="28"/>
          <w:szCs w:val="28"/>
          <w:rtl w:val="true"/>
          <w:lang w:bidi="fa-IR"/>
        </w:rPr>
        <w:t>إقراضه لأجل ذلك، بل يستحب أنّه إذا أعطاه شيئاً بعنوان الهدية ونحوها يحسبه عوض طلبه، بمعنی أنّه يسقط منه بمقداره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محيی الدّين النووی الشّافعی في ضمن بيان 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يستوی في تحريم الرّبا الرّجل والمرأة، والعبد والمكاتب بالإجماع، ولا</w:t>
      </w:r>
    </w:p>
    <w:p>
      <w:pPr>
        <w:pStyle w:val="BookText"/>
        <w:rPr/>
      </w:pPr>
      <w:r>
        <w:rPr>
          <w:rFonts w:ascii="IRNazanin" w:hAnsi="IRNazanin" w:eastAsia="IRNazanin"/>
          <w:color w:val="111111"/>
          <w:sz w:val="28"/>
          <w:sz w:val="28"/>
          <w:szCs w:val="28"/>
          <w:rtl w:val="true"/>
          <w:lang w:bidi="fa-IR"/>
        </w:rPr>
        <w:t>فرق في تحريمه بين دارالإسلام ودارالحرب، فما كان حراماً في دارالإسلام كان حراماً في دارالحرب، سواء جری بين مسلمَين أو مسلم وحربیّ، سواء دخلها المسلم بأمان أم بغيره، هذا مذهبنا وبه قال مالك وأحمد وأبويوسف والجمهور، وقال أبوحنيفة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يحرم الرّبا في دارالحرب بين المسلم وأهل الحرب، ولا بين مسلمَين لم يهاجرا منها، وإذا باع مسلمٌ لحربیّ في دارالحرب درهماً بدرهمين، أو أسلم رجلان فيها ولم يهاجرا فتبايعا درهماً بدرهمين جاز، واحتجّ له بما روی عن مكحول عن النَّبِیِّ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بين مسلم وحربیّ في دارالحرب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 أموال أهل الحرب مباحة بغير عقد، فالعقد الفاسد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أصحابنا بعموم القرآن والسّنّة في تحريم الرّبا من غير فرق، ولأنّ ما كان ربا في دارالإسلام كان ربا محرّماً في دارالحرب كما لو تبايعه مسلمان مهاجران، وكما لو تبايعه مسلم وحربیّ في دارالإسلام، ولأنّ ما حرم في دارالإسلام حرم هناك كالخمر وسائر المعاصی، ولأنّه عقد علی مالا يجوز في دارالإسلام فلم يصحّ كالنكاح الفاسد هناك</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حديث مكحول أنّه مرسل ضعيف فلا حجّة فيه، ولو صحّ لتأوّلناه علی أنّ معناه لا يباح الرّبا في دارالحرب جمعاً بين الأدلّة، وأمّا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أموال الحربی مباحة بلا عقد، فلا نسلّم هذه الدّعوی إن دخلها المسلم بأمان، فإن دخلها بغير أمان فالعلّة منتقضة كما إذا دخل </w:t>
      </w:r>
      <w:bookmarkStart w:id="265" w:name="pg7917_85011"/>
    </w:p>
    <w:p>
      <w:pPr>
        <w:pStyle w:val="BookText"/>
        <w:rPr/>
      </w:pPr>
      <w:bookmarkEnd w:id="265"/>
      <w:r>
        <w:rPr>
          <w:rFonts w:ascii="IRNazanin" w:hAnsi="IRNazanin" w:eastAsia="IRNazanin"/>
          <w:color w:val="111111"/>
          <w:sz w:val="28"/>
          <w:sz w:val="28"/>
          <w:szCs w:val="28"/>
          <w:rtl w:val="true"/>
          <w:lang w:bidi="fa-IR"/>
        </w:rPr>
        <w:t>الحربی دارالإسلام فبايعه المسلم فيها درهماً بدرهمين، وإنّه لا يلزم من كون أموالهم تباح بالاغتنام استباحتها بعقد الفاسد، ولهذا تباح ابضاع نسائهم بالسّبی دون العقد الفاسد</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ما عرفت بعض ما ذكروه في المقام، نبحث عن كلّ واحد واحد من مستثنياته بصورة مستقلّة، وهی عبارة عن</w:t>
      </w:r>
      <w:r>
        <w:rPr>
          <w:rFonts w:eastAsia="IRNazanin" w:cs="IRNazanin"/>
          <w:color w:val="111111"/>
          <w:sz w:val="28"/>
          <w:szCs w:val="28"/>
          <w:rtl w:val="true"/>
          <w:lang w:bidi="fa-IR"/>
        </w:rPr>
        <w:t>:</w:t>
      </w:r>
    </w:p>
    <w:p>
      <w:pPr>
        <w:pStyle w:val="Heading2"/>
        <w:numPr>
          <w:ilvl w:val="1"/>
          <w:numId w:val="1"/>
        </w:numPr>
        <w:rPr/>
      </w:pPr>
      <w:bookmarkStart w:id="266" w:name="__RefHeading___Toc6355279_1051229030"/>
      <w:bookmarkStart w:id="267" w:name="_Toc88"/>
      <w:bookmarkEnd w:id="266"/>
      <w:r>
        <w:rPr>
          <w:rtl w:val="true"/>
        </w:rPr>
        <w:t>الأولی</w:t>
      </w:r>
      <w:r>
        <w:rPr>
          <w:rtl w:val="true"/>
        </w:rPr>
        <w:t xml:space="preserve">: </w:t>
      </w:r>
      <w:r>
        <w:rPr>
          <w:rtl w:val="true"/>
        </w:rPr>
        <w:t>نفيه امتناناً وتفضّلاً عند الاضطرار ونحوه</w:t>
      </w:r>
      <w:r>
        <w:rPr>
          <w:rtl w:val="true"/>
        </w:rPr>
        <w:t>:</w:t>
      </w:r>
      <w:bookmarkEnd w:id="267"/>
    </w:p>
    <w:p>
      <w:pPr>
        <w:pStyle w:val="BookText"/>
        <w:rPr/>
      </w:pPr>
      <w:r>
        <w:rPr>
          <w:rFonts w:ascii="Amiri" w:hAnsi="Amiri" w:eastAsia="Amiri" w:cs="Amiri"/>
          <w:color w:val="111111"/>
          <w:sz w:val="28"/>
          <w:sz w:val="28"/>
          <w:szCs w:val="28"/>
          <w:rtl w:val="true"/>
          <w:lang w:bidi="ar-SA"/>
        </w:rPr>
        <w:t>إنّ من أوضح موارد رفع التكاليف بالنسبة إلی كلّ مكلّف هو رفعها عند الاضطرار ونحوه، كمن اضطرّه حفظ النفس المحترمة وأمثاله إلی المعاملات الربويّة أو غيرها من المحرمات، ففی الصحيح عن أبی بصير عن أبی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شَیْ‌ءٌ مِمَّا حَرَّمَ اللَّهُ إِلَّا وَقَدْ أَحَلَّهُ لِمَنِ اضْطُرَّ إِلَيْهِ</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8" w:name="__RefHeading___Toc6355281_1051229030"/>
      <w:bookmarkStart w:id="269" w:name="_Toc89"/>
      <w:bookmarkEnd w:id="268"/>
      <w:r>
        <w:rPr>
          <w:rtl w:val="true"/>
        </w:rPr>
        <w:t>الثانية</w:t>
      </w:r>
      <w:r>
        <w:rPr>
          <w:rtl w:val="true"/>
        </w:rPr>
        <w:t xml:space="preserve">: </w:t>
      </w:r>
      <w:r>
        <w:rPr>
          <w:rtl w:val="true"/>
        </w:rPr>
        <w:t>نفيه بين الوالد وولده</w:t>
      </w:r>
      <w:r>
        <w:rPr>
          <w:rtl w:val="true"/>
        </w:rPr>
        <w:t>:</w:t>
      </w:r>
      <w:bookmarkEnd w:id="269"/>
    </w:p>
    <w:p>
      <w:pPr>
        <w:pStyle w:val="BookText"/>
        <w:rPr/>
      </w:pPr>
      <w:r>
        <w:rPr>
          <w:rFonts w:ascii="IRNazanin" w:hAnsi="IRNazanin" w:eastAsia="IRNazanin"/>
          <w:color w:val="111111"/>
          <w:sz w:val="28"/>
          <w:sz w:val="28"/>
          <w:szCs w:val="28"/>
          <w:rtl w:val="true"/>
          <w:lang w:bidi="fa-IR"/>
        </w:rPr>
        <w:t xml:space="preserve">أجمع الأصحاب علی نفی الرّبا بين الوالد وولده،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أنّه من متفردات الإماميّة،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انفردت به الإماميّة القول بأنّه لا ربا بين الولد ووالده، ولا بين الزوج وزوجته، ولا بين الذمّی والمسلم، ولا بين العبد ومولاه، وخالف باقی الفقهاء في ذلك وأثبتوا الرّبا بين كلّ من عدّدناه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ربا بين الوالد وولده، ولا بين الرّجل وزوجته، ذهب إليه علمائنا غير أنّ ابن الجنيد فصّل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بين الوالد وولده إذا أخذ الوالد الفضل</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كلام المحقق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بين الوالد وولده ويجوز لكلّ منهما أخذ الفضل من صاحبه، ولا بين المولی ومملوكه، ولا بين الرّجل وزوجته، قال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محكيّاً مستفيضاً إن لم يكن متواتراً، صريحاً وظاهراً، بل يمكن تحصيله، إذ لا خلاف فيه إلا من المرتضی في الموصليّات، لكن في الانتصار بعد أن ذكر ممّا انفردت به الإماميّة القول بأنّه لا ربا بين الوالد والده، ولا بين الزوج وزوجته، ولا بين الذمّی والمسلم، ولا بين العبد ومولاه، وخالف باقی الفقهاء،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كتبت قديماً في جواب مسائل وردت علیّ من الموصل وتأوّلت الأخبار الّتي يرويها أصحابنا المتضمّنة لنفی الرّبا بين ما ذكرناه علی أنّ المراد بذلك وإن كان بلفظ الخبر معنی الأمر 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لا يقع بين من ذكرنا ربا كما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w:t>
      </w:r>
      <w:r>
        <w:rPr>
          <w:rStyle w:val="FootnoteAnchor"/>
          <w:rtl w:val="true"/>
        </w:rPr>
        <w:footnoteReference w:id="909"/>
      </w:r>
      <w:r>
        <w:rPr>
          <w:rFonts w:ascii="Amiri" w:hAnsi="Amiri" w:eastAsia="Amiri" w:cs="Amiri"/>
          <w:color w:val="111111"/>
          <w:sz w:val="28"/>
          <w:sz w:val="28"/>
          <w:szCs w:val="28"/>
          <w:rtl w:val="true"/>
          <w:lang w:bidi="ar-SA"/>
        </w:rPr>
        <w:t>، وكقوله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واعتمدنا في نصرة هذا المذهب علی عموم ظاهر القرآن، ثمّ لمّا تأمّلت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عن هذا المذهب لأنّی وجدت أصحابنا مجمعين علی نفی الرّبا بين ما ذكرنا وغير مختلفين فيه في وقت من الأوقات، وإجماع هذه الطائفة قد ثبت أنّه حجّة ويختصّ به ظاهر القرآن،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كما تری بعد اعترافه </w:t>
      </w:r>
    </w:p>
    <w:p>
      <w:pPr>
        <w:pStyle w:val="BookText"/>
        <w:rPr/>
      </w:pPr>
      <w:r>
        <w:rPr>
          <w:rFonts w:ascii="Amiri" w:hAnsi="Amiri" w:eastAsia="Amiri" w:cs="Amiri"/>
          <w:color w:val="111111"/>
          <w:sz w:val="28"/>
          <w:sz w:val="28"/>
          <w:szCs w:val="28"/>
          <w:rtl w:val="true"/>
          <w:lang w:bidi="ar-SA"/>
        </w:rPr>
        <w:t>بالخطا وأنّه مخالف للإجماع في فتواه السابقة، لا يقدح في تحصيل الإجماع، بل هو مؤكد له</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كان إنّه قد استدلّ علی ذلك زائداً علی الإجماع المدّعی ببعض روايات وردت في المقام،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موثقة بل صحيحة زرارة عن أبی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الرَّجُلِ وَوَلَدِهِ وَبَيْنَهُ وَبَيْنَ عَبْدِهِ وَلَا بَيْنَ أَهْلِهِ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السند كلّهم من الإماميين وأكثرهم من الثقات والأجلاء،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يحيی العطار القمّی، ومحمّد بن أحمد بن يحيی بن عمران الأشعری، ومحمّد بن عيسی بن عبيد، وياسين الضرير البصری، وحريز بن عبدالله السجستانی، وزرارة بن أعين الشيبانی، فأمّا محمّد بن يحيی العطار القمّی فهو من أصحاب الكاظم علیه السلام كان ثقة جليلاً كثير الرواية، قال النّجاشی في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يحيی أبوجعفر العطار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أصحابنا في زمانه، ثقة، عين، كثير الحديث، 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مقتل الحسين علیه السلام، وكتاب النوادر، أخبرنی عدّة من أصحابنا عن ابنه أحمد عن أبيه بكتبه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السيّد الخوئی رحمه الله في عدد أحاديثه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يحيی أبوجعفر وقع بهذا العنوان في أسناد كثير من الرّوايات، تبلغ خمسة آلاف وتسعمائة وخمسة وثمانين مورداً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محمّد بن أحمد بن يحيی بن عمران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أيضاً كثير الرواية وكان من الثقات والأجلاء، لكنّه قيل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يروی عن الضعفاء ويعتمد المراسيل ولا يبالی عمّن أخذه، فلا يعتمدوا برواياته الّتي فيها غلو، أو ما كان في طريقهمحمّد بن عيسی بن عبيد بإسناد منقطع، الّذی ليس هنا منه، وكيف كان إنّه لا يوجب طعناً في شخصه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رحمه الله في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أحمد بن يحيی بن عمران الأشعری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جليل القدر، كثير الرّوايات، له كتاب نوادر الحكمة وهو يشتمل علی كتب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اثنان وعشرون كتابا، أخبرنا بجميع كتبه ورواياته 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أبوجعفر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كان فيها من غلو أو تخليط وهو الّذی يكون طريقه محمّد بن موسی الهمدانی، أو يرويه عن رجل، أو عن بعض أصحابنا، 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أو يرويه عن محمّد بن يحيی المعاذی، أو عن أبی عبدالله الرّازی الجامورانی، أو عن السيّاری، أو يرويه عن يوسف بن السخت، أو عن وهب بن منبه، أو عن أبی علیّ النيشابوری، أو أبی يحيی الواسطی، أو محمّد بن علیّ الصيرفی، 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كتاب ولم أروه، أو عن محمّد بن عيسی بن عبيد بإسناد منقطع ينفرد به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رحمه الله في رجاله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يحيی بن عمران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بن مالك الأشعری القمّی أبوجعفر، كان ثقة في الحديث، جليل </w:t>
      </w:r>
    </w:p>
    <w:p>
      <w:pPr>
        <w:pStyle w:val="BookText"/>
        <w:rPr/>
      </w:pPr>
      <w:r>
        <w:rPr>
          <w:rFonts w:ascii="IRNazanin" w:hAnsi="IRNazanin" w:eastAsia="IRNazanin"/>
          <w:color w:val="111111"/>
          <w:sz w:val="28"/>
          <w:sz w:val="28"/>
          <w:szCs w:val="28"/>
          <w:rtl w:val="true"/>
          <w:lang w:bidi="fa-IR"/>
        </w:rPr>
        <w:t>القدر، كثير الرّواية إلا أنّ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يروی عن الضعفاء ويعتمد المراسيل، ولا يبالی عمّن أخذ، وما عليه في نفسه طعن في شیء</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محمّد بن عيسی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أيضاً من الثقات والأجلاء، قال النجاشی في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عيسی بن عبيد بن يقطين بن موسی مولی أسد بن خزيمة، أبو جعفر جليل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أصحابنا، ثقة، عين، كثير الرّواية، حسن التصانيف، روی عن أبی جعفر الثانی علیه السلام مكاتبة ومشافهة، وذكر أبوجعفر بن بابويه عن ابن الوليد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تفرّد به محمّد بن عيسی من كتب يونس وحديثه لا يعتمد عليه، ورأيت أصحابنا ينكرون هذا القول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أبی جعفر محمّد بن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القتيبی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الفضل بن شاذان رحمه الله يحبّ العبيدی ويثنی عليه ويمدحه ويميل إليه،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أقرانه مثله، وبحسبك هذا الثناء من الفضل رحمه الله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ياسين الضرير البصری وإن لم يرد له توثيقٌ صريحٌ في كتب الرّجال فيمكن أن يقال بأنّه ثقة أيضاً علی التّحقيق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روی عن الضّرير هو محمّد بن عيسی بن عبيد الثّقة ومن البعيد عادتاً أن يكون شيخه لا أقلّ غير موثوق عند شخصه، لأنّ الظاهر أنّ رواية الثقة الجليل عن شخص يدلّ على كونه موثّقاً معتمداً عليه عند ذلك الثقة، وإن جهلنا حاله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عدم توثيق الضّرير بواسطه نقل محمّد بن عيسی فالخبر لا الرّاوی لا أقلّ يكون موثوقاً عند الكلينی رحمه الله لما شهد في مقدمة كتابه بأنّ ما فيه من الأخبار والأحاديث وارداً من ناحية الصّادقين</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 مع وضوح أنّ المعيارفي قبول الخبر عند الأصحاب هو وثاقة الخبر لا الرّاوی وأنّ وثاقة الرّاوی طريق إلی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حيث كانت في مرأی ومنظر الأصحاب وقد أفتی كثير منهم بل كلّهم علی مضمونها فهو دليل علی صحّتها، قد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كلّما ازدادت ضعفاً إذا عمل بها الأصحاب ازدادت قوّة، قال النائينی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الشهرة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عبارة عن اشتهار العمل بالرواية والاستناد إليها في مقام الفتوى، وهذه الشهرة هی الّتي تكون جابرة لضعف الرّواية وكاسرة لصحتها إذا كانت الشّهرة من قدماء الأصحاب القريبين من عهد الحضور، لمعرفتهم بصحة الرّواية وضعفها، ولا عبرة بالشّهرة العملية إذا كانت من المتأخرين، خصوصاً إذا خالفت شهرة القدماء</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تصريح العلامة رحمه الله بتصحيح أخبار الّتي كانت أسنادها موثوقاً إذا كان أحدهم ياسين الضّرير، حيث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الشيخ الطوسی رحمه الله ذكر أحاديث كثيرة في كتاب التهذيب والاستبصار عن رجال لم يلق زمانهم وإنّما روى عنهم بوسائط وحذفها في الكتابين ثمّ ذكر في آخرهما طريقه إلى كلّ رجل رجل ممّا ذكره في الكتابين، وكذلك فعل الشيخ أبو جعفر ابن بابويه ونحن نذكر في هذه </w:t>
      </w:r>
    </w:p>
    <w:p>
      <w:pPr>
        <w:pStyle w:val="BookText"/>
        <w:rPr/>
      </w:pPr>
      <w:r>
        <w:rPr>
          <w:rFonts w:ascii="IRNazanin" w:hAnsi="IRNazanin" w:eastAsia="IRNazanin"/>
          <w:color w:val="111111"/>
          <w:sz w:val="28"/>
          <w:sz w:val="28"/>
          <w:szCs w:val="28"/>
          <w:rtl w:val="true"/>
          <w:lang w:bidi="fa-IR"/>
        </w:rPr>
        <w:t xml:space="preserve">الفائدة على سبيل الإجمال صحة طرقهما إلى كلّ واحد واحد ممّن يوثق به، أو يحسن حاله، أو وثق وإن كان على مذهب فاسد ولم يحضرنی حاله دون من ترد روايته ويترك قوله وإن كان فاسد الطريق ذكرناه، وإن كان في الطريق من لا يحضرنا معرفة حاله من جرح أو تعديل تركناه أيضاً كلّ ذلك على سبيل الإجمال، إذ التفصيل موكولإلى كتابنا الكبير، وإنّما قصدنا ذلك للاختصار ولبلوغ الغاية بمعرفة صحة طرقهما وفسادها بذلك، فطريق الشيخ الطوسی رحمه الله 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ياسين الضرير البصری صحيح</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حكی المحقق الحائری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الداماد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من المعهود من ديدن النجاشی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 الضرير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إمامی مستقيم المذهب لنقله ما نقله من غير غميزة عليه في دينه، وليس فيه من أئمّه الرجال مدح ولا ذمّ، فإنّ حديثه قوی</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فكلّ واحد من هذه الأمور علی حدّه فإن لم يكن دليلاً علی واثقة الخبر أو الرّاوی، فاجتماعها في مورد واحد علی الأقلّ يوجبها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حريز بن عبدالله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أيضاً إمامی ثقة، قال الشيخ رحمه الله في ترجمته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حريز بن عبدالله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كوفی، سكن سجستان، 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كتاب الصوم، كتاب النوادر، تعدّ كلّها في الأصول، أخبرنا بجميع كتبه ورواياته الشيخ أبوعبدالله محمّد بن محمّد النعمان المفيد رحمه الله عن جعفربن محمّد بن قولويه عن أبی </w:t>
      </w:r>
    </w:p>
    <w:p>
      <w:pPr>
        <w:pStyle w:val="BookText"/>
        <w:rPr/>
      </w:pPr>
      <w:r>
        <w:rPr>
          <w:rFonts w:ascii="IRNazanin" w:hAnsi="IRNazanin" w:eastAsia="IRNazanin"/>
          <w:color w:val="111111"/>
          <w:sz w:val="28"/>
          <w:sz w:val="28"/>
          <w:szCs w:val="28"/>
          <w:rtl w:val="true"/>
          <w:lang w:bidi="fa-IR"/>
        </w:rPr>
        <w:t>القاسم جعفربن محمّد العلوی الموسوی عن ابن نهيك عن ابن أبی عمير، عن حمّاد، عن حريز، وأخبرنا عدّة من أصحابنا عن محمّد بن علیّ بن الحسين عن أبيه عن سعد بن عبدالله، وعبدالله بن جعفر، ومحمّد بن يحيی، وأحمد بن إدريس، وعلّی بن موسی بن جعفر كلّهم عن أحمد بن محمّد عن الحسين بن سعيد، وعلّی بن حديد،وعبدالرّحمن بن أبی نجران عن حمّاد بن عيسی الجهنی عن حريز، وأخبرنا الحسين بن عبيدالله عن أبی محمّد الحسن بن حمزة العلوی عن علیّ بن إبراهيم عن أبيه عن حمّاد عن حريز</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زرارة بن أعين الشيبانی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اسمه عبد ربّه، ولقبه زرارة، يكنّی بأبی علیّ وأبی الحسن، وكان من عيون أصحاب الإمامين الصّادقين عليهما السّلام وأكابر رجال الشيعة فقهاً وحديثاً ومعرفة بالكلام، وتوفّی عام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وردت في مدحه روايات دلّت علی سموّ مكانته وجلالة شأنه عند الأئمة علیهم السلام ، قال الكشی رحمه الله في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الحسين بن الحسن بن بندار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سعد بن عبدالله بن أبی خلف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عبدالله المسمعیّ،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حديد وعلّی بن أسباط،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أَوْتَادُ الْأَرْضِ وَأَعْلَامُ الدِّينِ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وَبُرَيْدُ بْنُ مُعَاوِيَةَ، وَلَيْثُ بْنُ الْبَخْتَرِیِّ الْمُرَادِیُّ، وَزُرَارَةُ بْنُ أَعْيَنَ</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حسن بن علیّ بن داود الحلي رحمه الله في رجاله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زرارة بن أعين الشيبانی مولاهم أبو علیّ اسمه عبد ربه، وكان أعين بن سنسن، بالمهملتين المضمومتين، عبداً رومياً لرجل من بنی شيبان، تعلّم القرآن ثمّ أعتقه فعرض عليه أن يدخل في نسبه، فأبى أعين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أقرنی على ولائی، وكان سنسن راهباً في بلاد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عدّة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و رومی وعبيد وعبد الله و يحيى بنو زرارة، وله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النحوی له 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ومحمّد، وبكير أبو الجهم له عبد الله بن بكير، و عبد الله بن أعين، و عبد الملك بن أعين وابنه ضريس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زرارة كان أصدق أهل زمانه و أفضلهم، قال فيه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زرارة لقلت إنّ أحاديث أبی علیه السلام ستذهب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روى الكشی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النّاس إلیّ أحياء وأمواتا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 المفردة المضمومة، والراء المهملة 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البجلی، و زرارة و محمّد بن مسلم وأبو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علیه السلام لشخص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حديثنا فعليك بهذا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وأومأ إلى رجل من أصحابه، فسألت عنه؟ فقيل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في الأربعة المذكورين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 الّذين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أُولٰئِكَ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وحال زرارة أوضح من أن يحتاج إلى إيضاح</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خبر عمرو بن جُمَيع الّذی رواه المشايخ الثلاثة عن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الرَّجُلِ وَ وَلَدِهِ رِبًا، وَلَيْسَ بَيْنَ السَّيِّدِ وَعَبْدِهِ رِبًا</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bookmarkStart w:id="270" w:name="pg7917_85030"/>
    </w:p>
    <w:p>
      <w:pPr>
        <w:pStyle w:val="BookText"/>
        <w:rPr/>
      </w:pPr>
      <w:bookmarkEnd w:id="270"/>
      <w:r>
        <w:rPr>
          <w:rFonts w:ascii="Amiri" w:hAnsi="Amiri" w:eastAsia="Amiri" w:cs="Amiri"/>
          <w:color w:val="111111"/>
          <w:sz w:val="28"/>
          <w:sz w:val="28"/>
          <w:szCs w:val="28"/>
          <w:rtl w:val="true"/>
          <w:lang w:bidi="ar-SA"/>
        </w:rPr>
        <w:t>وعن فقه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بَيْنَ الْوَالِدِ وَ وَلَدِهِ رِبًا، وَلَا بَيْنَ الزَّوْجِ وَالْمَرْأَةِ رِباً، وَلَا بَيْنَ الْمَوْلَى وَالْعَبْدِ، وَلَا بَيْنَ الْمُسْلِمِ وَالذِّمِّیِّ</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الأخبار علی المطلوب واضحة، وضعف الأسناد في غير الأوّل منجبر بعمل الأصحاب واستنادهم في فتاويهم إليها</w:t>
      </w:r>
      <w:r>
        <w:rPr>
          <w:rFonts w:eastAsia="IRNazanin" w:cs="IRNazanin"/>
          <w:color w:val="111111"/>
          <w:sz w:val="28"/>
          <w:szCs w:val="28"/>
          <w:rtl w:val="true"/>
          <w:lang w:bidi="fa-IR"/>
        </w:rPr>
        <w:t>.</w:t>
      </w:r>
    </w:p>
    <w:p>
      <w:pPr>
        <w:pStyle w:val="Heading2"/>
        <w:numPr>
          <w:ilvl w:val="1"/>
          <w:numId w:val="1"/>
        </w:numPr>
        <w:rPr/>
      </w:pPr>
      <w:bookmarkStart w:id="271" w:name="__RefHeading___Toc6355283_1051229030"/>
      <w:bookmarkStart w:id="272" w:name="_Toc90"/>
      <w:bookmarkEnd w:id="271"/>
      <w:r>
        <w:rPr>
          <w:rtl w:val="true"/>
        </w:rPr>
        <w:t>بقی هنا أمور</w:t>
      </w:r>
      <w:r>
        <w:rPr>
          <w:rtl w:val="true"/>
        </w:rPr>
        <w:t>:</w:t>
      </w:r>
      <w:bookmarkEnd w:id="27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الحكم هنا طرفينی لكلّ من الآباء والأولاد، أم يختصّ الآباء فقط؟</w:t>
      </w:r>
    </w:p>
    <w:p>
      <w:pPr>
        <w:pStyle w:val="BookText"/>
        <w:rPr/>
      </w:pPr>
      <w:r>
        <w:rPr>
          <w:rFonts w:ascii="IRNazanin" w:hAnsi="IRNazanin" w:eastAsia="IRNazanin"/>
          <w:color w:val="111111"/>
          <w:sz w:val="28"/>
          <w:sz w:val="28"/>
          <w:szCs w:val="28"/>
          <w:rtl w:val="true"/>
          <w:lang w:bidi="fa-IR"/>
        </w:rPr>
        <w:t xml:space="preserve">إنّ المشهور بل المتفق عليه بين الأصحاب هو الأوّل، لكنّه خالف في ذلك ابن الجنيد رحمه الله علی ما حكی عنه العلامة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ربا بين الوالد و ولده، ولا بين الرّجل وزوجته، ذهب إليه علماؤنا غير أنّ ابن الجنيد فصّل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بين الوالد و ولده إذا أخذ الوالد الفضل</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ربا بين الوالد و ولده، فلكلّ منهما أن يأخذ الفضل من صاحبه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كلام المحقق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بين الوالد و ولده ويجوز لكلّ منهما أخذ الفضل من صاحبه، ولا بين المولی ومملوكه، ولا بين الرّجل وزوجته،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هو المشهور بين الأصحاب، بل الإجماع عليه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كلام المحقق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بين الوالد و ولده ويجوز لكلّ منهما أخذ الفضل من صاحبه،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صرّح به الحلي والفاضلان والشهيدان وغيرهم، بل لعلّه لا خلاف فيه إلا من الإسكافی، فقال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بين الوالد وولده إذا أخذ الوالد الفضل، إلا أن يكون له وارث أو عليه دين، وهو اجتهاد في مقابلة النصّ والفتوی</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إنّه قد دلّ علی ما ذهب إليه المشهور زائداً علی الإجماع المدّعی، أنّ المتبادر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الرَّجُلِ وَوَلَدِهِ وَبَيْنَهُ وَبَيْنَ عَبْدِهِ وَلَا بَيْنَ أَهْلِهِ رِبًا</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هو جوازه لكلّ منهم من الجانبين، إذ لو كان مراده علیه السلام من ذلك هو التفصيل الّذی ذكره ابن الجنيد للزم التصريح به حذراً عن الإغراء بالجهل، كما صرّح به في الكافر الحربی في خبر آخر عن عمرو بن جُمَيع عن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بَيْنَنَا وَبَيْنَ أَهْلِ حَرْبِنَا رِبًا، نَأْخُذُ مِنْهُمْ أَلْفَ دِرْهَمٍ بِدِرْهَمٍ وَنَأْخُذُ مِنْهُمْ وَلَا نُعْطِيهِمْ</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الّذی منع الإسكافی من الحكم بالتعميم، هو أخذه بالقدر المتيقّن، لكنّه غير لازم بعد التبادر والخبر، بل الأخبار</w:t>
      </w:r>
      <w:r>
        <w:rPr>
          <w:rFonts w:eastAsia="IRNazanin" w:cs="IRNazanin"/>
          <w:color w:val="111111"/>
          <w:sz w:val="28"/>
          <w:szCs w:val="28"/>
          <w:rtl w:val="true"/>
          <w:lang w:bidi="fa-IR"/>
        </w:rPr>
        <w:t xml:space="preserve">. </w:t>
      </w:r>
      <w:bookmarkStart w:id="273" w:name="pg7917_85034"/>
    </w:p>
    <w:p>
      <w:pPr>
        <w:pStyle w:val="Heading2"/>
        <w:numPr>
          <w:ilvl w:val="1"/>
          <w:numId w:val="1"/>
        </w:numPr>
        <w:rPr/>
      </w:pPr>
      <w:bookmarkStart w:id="274" w:name="__RefHeading___Toc6355285_1051229030"/>
      <w:bookmarkStart w:id="275" w:name="_Toc91"/>
      <w:bookmarkEnd w:id="273"/>
      <w:bookmarkEnd w:id="274"/>
      <w:r>
        <w:rPr>
          <w:rtl w:val="true"/>
        </w:rPr>
        <w:t>الثانی</w:t>
      </w:r>
      <w:r>
        <w:rPr>
          <w:rtl w:val="true"/>
        </w:rPr>
        <w:t xml:space="preserve">: </w:t>
      </w:r>
      <w:r>
        <w:rPr>
          <w:rtl w:val="true"/>
        </w:rPr>
        <w:t>هل الحكم هنا يعمّ مطلق الأولاد من الذّكور والإناث، أم يختصّ الذّكور فقط؟</w:t>
      </w:r>
      <w:bookmarkEnd w:id="275"/>
    </w:p>
    <w:p>
      <w:pPr>
        <w:pStyle w:val="BookText"/>
        <w:rPr/>
      </w:pPr>
      <w:r>
        <w:rPr>
          <w:rFonts w:ascii="IRNazanin" w:hAnsi="IRNazanin" w:eastAsia="IRNazanin"/>
          <w:color w:val="111111"/>
          <w:sz w:val="28"/>
          <w:sz w:val="28"/>
          <w:szCs w:val="28"/>
          <w:rtl w:val="true"/>
          <w:lang w:bidi="fa-IR"/>
        </w:rPr>
        <w:t xml:space="preserve">والتحقيق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من الحقائق الشرعيّة حتّی لزم علينا أن نرجع في فهم المراد منه إلی معناه الشرعی، بل هو باق علی ما هو عليه من معناه اللغوی، فلنرجع في مفهومه إلی علامات الحقيقة والمجاز وما صرّح به أرباباللغة في مجامعهم، منهم خليل بن أحمد الفراهيدی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في بيانه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اسم يجمع الواحد والكثير، والذّكر والأنثی سواء</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حكاية عن ابن شميل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اسم يجمع الواحد والكثير، والذّكر والأنثی</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الطريحی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الولد يطلق علی الذّكر والأنثی، والمثنّی والمجموع، فَعَل بمعنی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وجمعه أولاد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عرفت تصريحهم بأنّ الولد يعمّ مطلق الذّكور والإناث، زائداً علی أنّه يعادل في الفارسيّة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عرفهم يستعمل مطراداً في مطلق الأولاد، ذكوراً كانوا أم إناثاً بحيث لا يمكن سلب هذا العنوان عمّن كان ولده بنتاً، وقد صرّح بالتعميم أيضاً الفقهاء والمفسرون من الفريقين، منهم العلامة الحلي رحمه الله حيث قال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بين الولد الذّكر والأنثی، لشمول اسم الولد لهما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والمحقق الكركی رحمه الله فإنّه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في الولد بين الذكر والأنثی، لشمول الاسم</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واستقوی شموله السيّد الحكيم رحمه الله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في الولد بين الذكر والأنثى والخنثى على الأقوى، ولا بين الصغير والكبير ولا بين الصلبی و ولد الولد، ولا في المملوك بين القن والمدبر والذكر والأنثى، ولا في الزوجة بين الدائمة والمتمتع بها، وليست الأم كالأب فلا يصحّ الرّبا بينها وبين الولد، كما لا فرق بين ربا البيع و ربا القرض</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الفخر الرازی في تفسيره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أنّه لا فرق في الولد بين الذكر والأنثى، ولا فرق بين الابن وبين ابن الابن، ولا بين البنت وبين بنت الابن، واللّه أعلم</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إلی هنا أنّ الحكم عام يشمل مطلق الأولاد من الذّكور والإناث</w:t>
      </w:r>
      <w:r>
        <w:rPr>
          <w:rFonts w:eastAsia="IRNazanin" w:cs="IRNazanin"/>
          <w:color w:val="111111"/>
          <w:sz w:val="28"/>
          <w:szCs w:val="28"/>
          <w:rtl w:val="true"/>
          <w:lang w:bidi="fa-IR"/>
        </w:rPr>
        <w:t xml:space="preserve">. </w:t>
      </w:r>
      <w:bookmarkStart w:id="276" w:name="pg7917_85038"/>
    </w:p>
    <w:p>
      <w:pPr>
        <w:pStyle w:val="Heading2"/>
        <w:numPr>
          <w:ilvl w:val="1"/>
          <w:numId w:val="1"/>
        </w:numPr>
        <w:rPr/>
      </w:pPr>
      <w:bookmarkStart w:id="277" w:name="__RefHeading___Toc6355287_1051229030"/>
      <w:bookmarkStart w:id="278" w:name="_Toc92"/>
      <w:bookmarkEnd w:id="276"/>
      <w:bookmarkEnd w:id="277"/>
      <w:r>
        <w:rPr>
          <w:rtl w:val="true"/>
        </w:rPr>
        <w:t>الثالث</w:t>
      </w:r>
      <w:r>
        <w:rPr>
          <w:rtl w:val="true"/>
        </w:rPr>
        <w:t xml:space="preserve">: </w:t>
      </w:r>
      <w:r>
        <w:rPr>
          <w:rtl w:val="true"/>
        </w:rPr>
        <w:t>هل هناك فرق بين الأولاد للصلب و ولد الولد؟</w:t>
      </w:r>
      <w:bookmarkEnd w:id="278"/>
    </w:p>
    <w:p>
      <w:pPr>
        <w:pStyle w:val="BookText"/>
        <w:rPr/>
      </w:pPr>
      <w:r>
        <w:rPr>
          <w:rFonts w:ascii="Amiri" w:hAnsi="Amiri" w:eastAsia="Amiri" w:cs="Amiri"/>
          <w:color w:val="111111"/>
          <w:sz w:val="28"/>
          <w:sz w:val="28"/>
          <w:szCs w:val="28"/>
          <w:rtl w:val="true"/>
          <w:lang w:bidi="ar-SA"/>
        </w:rPr>
        <w:t xml:space="preserve">إنّه اختلف فيه الأصحاب وأرباب اللغة، فهم بين قائل بالإلحاق، وقائل بعدمه، وقائل بالتوقف إفتاءً والأخذ بالاحتياط عملاً، قال العلامة الحلي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يثبت الرّبا بين الجدّ و ولد الولد؟ إشكال، أقربه الثّبوت عملاً بالعموم الدّال علی التحريم، وأصالة إرادة الحقيقة، و ولد الولد يسمّی ولداً مجازاً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كلام المحقق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بين الوالد و ولده ويجوز لكلّ منهما أخذ الفضل من صاحبه،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والحكم مختصّ بالولد النسبیّ بالنسبة إلی الأب، فلا يتعدّی الحكم إلی الأمّ، ولا إلی الجدّ مع ولد الولد، ولا إلی ولد الرّضاع، علی إشكال فيهما، اقتصاراً بالرّخصة علی مورد اليقين، و وجه العدم إطلاق اسم الولد عليهما، ومن ثمّ حرمت إمرأته علی الأب والجدّ من آية حلال الأبناء</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جماعة منهم الفاضل وثاني المحققين والشهيدين بعدم تعدّی الحكم إلی ولد الولد، لكن توقّف فيه بعضهم، بل في الدّروس الجزم بالإلحاق، وهو لا يخلو من قوّة، وإن كان الأحوط خلافه، كما أنّ </w:t>
      </w:r>
    </w:p>
    <w:p>
      <w:pPr>
        <w:pStyle w:val="BookText"/>
        <w:rPr/>
      </w:pPr>
      <w:r>
        <w:rPr>
          <w:rFonts w:ascii="IRNazanin" w:hAnsi="IRNazanin" w:eastAsia="IRNazanin"/>
          <w:color w:val="111111"/>
          <w:sz w:val="28"/>
          <w:sz w:val="28"/>
          <w:szCs w:val="28"/>
          <w:rtl w:val="true"/>
          <w:lang w:bidi="fa-IR"/>
        </w:rPr>
        <w:t xml:space="preserve">الأحوط الاقتصار علی الذّكر، لأنّه المنساق عرفاً، لكن في التذكرة وجامع المقاصد أنّه لا فرق في الولد بين الذّكر والأنثی، لشمول الاسم، وحينئذ لا إشكال في الخنثی وإن كانت مشكلاً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أبوهلال العسكری في بيان 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الولد والمولود، فإنّ الولد يطلق علی ولد الولد أيضاً بخلاف المولود، فإنّه لمن وُلد منك من غير واسطة، ويدلّ عليه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وَاخْشَوْا يَوْماً لا يَجْزی والِدٌ عَنْ وَلَدِهِ وَلا مَوْلُودٌ هُوَ جازٍ عَنْ والِدِهِ شَيْئاً</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والتحقيق أنّه لا كلام في المقام من حيث الحكم والكبری، بل البحث هنا من جهة الصغری وسعة مصاديق بعض هذه العناوين الّتي استثنيت عنه الحكم، وضيقه، كالولد والعبد، هل يختصّ الولد مثلاً بالأولاد للصلب أم يعمّ ولد الولد أيضاً؟ أو العبد هل يختصّ بالقنّ أم يشمل للمدبّر والمكاتب؟ وهكذا، فلا بدّ في تسرّی الحكم حينئذ إمّا من ظهور عرفی صريح في المعنی الوسيع حتّی يشترك فيه الجميع من قبيل المصاديق المشترك المعنوی كاستعمال الولد في الأولاد الذّكور والإناث كما مرّ، أو العلم بتنقيح المناط القطعی</w:t>
      </w:r>
      <w:r>
        <w:rPr>
          <w:rStyle w:val="FootnoteAnchor"/>
          <w:rtl w:val="true"/>
        </w:rPr>
        <w:footnoteReference w:id="944"/>
      </w:r>
      <w:r>
        <w:rPr>
          <w:rFonts w:ascii="Amiri" w:hAnsi="Amiri" w:eastAsia="Amiri" w:cs="Amiri"/>
          <w:color w:val="111111"/>
          <w:sz w:val="28"/>
          <w:sz w:val="28"/>
          <w:szCs w:val="28"/>
          <w:rtl w:val="true"/>
          <w:lang w:bidi="ar-SA"/>
        </w:rPr>
        <w:t xml:space="preserve">، أو الألويّة </w:t>
      </w:r>
    </w:p>
    <w:p>
      <w:pPr>
        <w:pStyle w:val="BookText"/>
        <w:rPr/>
      </w:pPr>
      <w:r>
        <w:rPr>
          <w:rFonts w:ascii="Amiri" w:hAnsi="Amiri" w:eastAsia="Amiri" w:cs="Amiri"/>
          <w:color w:val="111111"/>
          <w:sz w:val="28"/>
          <w:sz w:val="28"/>
          <w:szCs w:val="28"/>
          <w:rtl w:val="true"/>
          <w:lang w:bidi="ar-SA"/>
        </w:rPr>
        <w:t>القطعيّة</w:t>
      </w:r>
      <w:r>
        <w:rPr>
          <w:rStyle w:val="FootnoteAnchor"/>
          <w:rtl w:val="true"/>
        </w:rPr>
        <w:footnoteReference w:id="945"/>
      </w:r>
      <w:r>
        <w:rPr>
          <w:rFonts w:ascii="Amiri" w:hAnsi="Amiri" w:eastAsia="Amiri" w:cs="Amiri"/>
          <w:color w:val="111111"/>
          <w:sz w:val="28"/>
          <w:sz w:val="28"/>
          <w:szCs w:val="28"/>
          <w:rtl w:val="true"/>
          <w:lang w:bidi="ar-SA"/>
        </w:rPr>
        <w:t xml:space="preserve">، أو وجود نصّ يصرّح بالإلحاق كقول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Style w:val="FootnoteAnchor"/>
          <w:rtl w:val="true"/>
        </w:rPr>
        <w:footnoteReference w:id="946"/>
      </w:r>
      <w:r>
        <w:rPr>
          <w:rFonts w:ascii="IRNazanin" w:hAnsi="IRNazanin" w:eastAsia="IRNazanin"/>
          <w:color w:val="111111"/>
          <w:sz w:val="28"/>
          <w:sz w:val="28"/>
          <w:szCs w:val="28"/>
          <w:rtl w:val="true"/>
          <w:lang w:bidi="fa-IR"/>
        </w:rPr>
        <w:t>، فإذا انتفت الأربعة لا يمكننا الحكم بالتسرّی، لا سيّما فيما إذا كان سلب العنوان عن المصاديق المشكوكة علی نحو الحقيقة ممكناً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ثبت في الأصول أيضاً أنّه فرق في المخصّص الدائر أمره بين الأقلّ والأكثر الاستقلاليين بين المخصّص المتّصل والمنفصل، ففی المتّصل إذا كان الخاص بحسب المفهوم مجملاً فبما أنّه لم ينعقد للعام من بدو الأمر ظهور، فلا محالة يسری إجماله إلی العام أيضاً، بخلاف المخصّص المنفصل حيث يتمسك حينئذ في موارد المشكوك إلی العام، وما نحن بسدده من هذا القبيل، إلی ذلك أشار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كان الخاص بحسب المفهوم مجملاً بأن كان دائراً بين الأقلّ والأكثر وكان منفصلاً، فلا يسری إجماله إلی العام لا حقيقة ولا حكماً، بل كان العام متّبعاً فيما لا يتّبع فيه الخاصّ، لوضوح أنّه حجّة فيه بلا مزاحم أصلاً، ضرورة أنّ الخاصّ إنّما يزاحمه فيما هو حجّة علی خلافه تحكيماً للنصّ أو الأظهر علی الظاهر، لا فيما لا يكون كذلك كما لا يخفی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يكن كذلك بأن كان دائراً بين المتباينين مطلقاً، أو بين الأقلّ والأكثر فيما كان متّصلاً فيسری إجماله إليه حكماً في المنفصل المردد بين المتباينين وحقيقة في غيره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279" w:name="pg7917_85044"/>
    </w:p>
    <w:p>
      <w:pPr>
        <w:pStyle w:val="BookText"/>
        <w:rPr/>
      </w:pPr>
      <w:bookmarkEnd w:id="279"/>
      <w:r>
        <w:rPr>
          <w:rFonts w:ascii="IRNazanin" w:hAnsi="IRNazanin" w:eastAsia="IRNazanin"/>
          <w:color w:val="111111"/>
          <w:sz w:val="28"/>
          <w:sz w:val="28"/>
          <w:szCs w:val="28"/>
          <w:rtl w:val="true"/>
          <w:lang w:bidi="fa-IR"/>
        </w:rPr>
        <w:t>زائداً علی أنّ ما ذكره أبوهلال في بيان الفرق بين الولد والمولود لم يوافقه أحد من أرباب اللغة، وقد مرّ آنفاً قول الطريحی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بمعنی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جمعه الأولاد، فإنّه صرّح كما هو ظاهر بأنّ معنی الولد هو المولود،فكيف كان فإن نستفيد من الطّرق الأربعة المتقدمة أنّ الحكم عام لكلا المعنيين كما ادّعاه أبوهلال فبها ونعمت، وإلا فالمتبع فيه هو متابعة عمومات حرمة الرّبا في المقام، أو القول بالتوقف والأخذ بالاحتياط عملاً</w:t>
      </w:r>
      <w:r>
        <w:rPr>
          <w:rFonts w:eastAsia="IRNazanin" w:cs="IRNazanin"/>
          <w:color w:val="111111"/>
          <w:sz w:val="28"/>
          <w:szCs w:val="28"/>
          <w:rtl w:val="true"/>
          <w:lang w:bidi="fa-IR"/>
        </w:rPr>
        <w:t>.</w:t>
      </w:r>
    </w:p>
    <w:p>
      <w:pPr>
        <w:pStyle w:val="Heading2"/>
        <w:numPr>
          <w:ilvl w:val="1"/>
          <w:numId w:val="1"/>
        </w:numPr>
        <w:rPr/>
      </w:pPr>
      <w:bookmarkStart w:id="280" w:name="__RefHeading___Toc6355289_1051229030"/>
      <w:bookmarkStart w:id="281" w:name="_Toc93"/>
      <w:bookmarkEnd w:id="280"/>
      <w:r>
        <w:rPr>
          <w:rtl w:val="true"/>
        </w:rPr>
        <w:t>الرابع</w:t>
      </w:r>
      <w:r>
        <w:rPr>
          <w:rtl w:val="true"/>
        </w:rPr>
        <w:t xml:space="preserve">: </w:t>
      </w:r>
      <w:r>
        <w:rPr>
          <w:rtl w:val="true"/>
        </w:rPr>
        <w:t>هل الحكم هنا يسری إلی أمّ أو لا؟</w:t>
      </w:r>
      <w:bookmarkEnd w:id="281"/>
    </w:p>
    <w:p>
      <w:pPr>
        <w:pStyle w:val="BookText"/>
        <w:rPr/>
      </w:pPr>
      <w:r>
        <w:rPr>
          <w:rFonts w:ascii="IRNazanin" w:hAnsi="IRNazanin" w:eastAsia="IRNazanin"/>
          <w:color w:val="111111"/>
          <w:sz w:val="28"/>
          <w:sz w:val="28"/>
          <w:szCs w:val="28"/>
          <w:rtl w:val="true"/>
          <w:lang w:bidi="fa-IR"/>
        </w:rPr>
        <w:t xml:space="preserve">والتحقيق أنّه حيث كان العنوان الوارد في النصوص الدالّة علی الجواز، هو الأب دون الوالدين، وأنّ الحكم بالجواز كان علی خلاف العومات الدالّة علی التحريم، وأنّه يصحّ سلب عنوان الأمّ عن عنوان الوالد حقيقة، وبعد منع القياس وعدم العلم بتنقيح المناط القطعی، أو الأولويّة القطعيّة في المقام، فيجب أن نقتصر في موارد الرخصة والجواز علی المصاديق المتيقّنة، للزوم الاقتصار في تمام موارد العمومات عند احتمال التخصيص علی ما علم خروجه عن حكم العام من دون شك، ولا أقلّ من الشك والأخذ بالاحتياط، كما صرّح بذلك إجمالاً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لايتعدّی الحكم إلی الأمّ لحرمة القياس بعد اختصاص الدليل بغيرها</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bookmarkStart w:id="282" w:name="pg7917_85047"/>
    </w:p>
    <w:p>
      <w:pPr>
        <w:pStyle w:val="Heading2"/>
        <w:numPr>
          <w:ilvl w:val="1"/>
          <w:numId w:val="1"/>
        </w:numPr>
        <w:rPr/>
      </w:pPr>
      <w:bookmarkStart w:id="283" w:name="__RefHeading___Toc6355291_1051229030"/>
      <w:bookmarkStart w:id="284" w:name="_Toc94"/>
      <w:bookmarkEnd w:id="282"/>
      <w:bookmarkEnd w:id="283"/>
      <w:r>
        <w:rPr>
          <w:rtl w:val="true"/>
        </w:rPr>
        <w:t>الثالثة من مستثنيات الرّبا نفيه بين الرجل وزوجته</w:t>
      </w:r>
      <w:r>
        <w:rPr>
          <w:rtl w:val="true"/>
        </w:rPr>
        <w:t>:</w:t>
      </w:r>
      <w:bookmarkEnd w:id="284"/>
    </w:p>
    <w:p>
      <w:pPr>
        <w:pStyle w:val="BookText"/>
        <w:rPr/>
      </w:pPr>
      <w:r>
        <w:rPr>
          <w:rFonts w:ascii="IRNazanin" w:hAnsi="IRNazanin" w:eastAsia="IRNazanin"/>
          <w:color w:val="111111"/>
          <w:sz w:val="28"/>
          <w:sz w:val="28"/>
          <w:szCs w:val="28"/>
          <w:rtl w:val="true"/>
          <w:lang w:bidi="fa-IR"/>
        </w:rPr>
        <w:t xml:space="preserve">قد تقدّم أنّ نفی الرّباء بين الّذين سمّيناهم سابقاً الّذی منهم الرّجل و زوجته، حكم مفتی به عند الأصحاب، بل ادّعی كونه ممّا أجمعوا عليه أو من متفردات الإماميّة،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نقل كلام المحقق رحمه الله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بين الوالد و ولده ويجوز لكلّ منهما أخذ الفضل من صاحبه، ولا بين المولی ومملوكه، ولا بين الرّجل و زوجته،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إجماعاً محكيّاً مستفيضاً إن لم يكن متواتراً، صريحاً وظاهراً، بل يمكن تحصيله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واستدلّوا علی ذلك زائداً علی الإجماع المدعی، بما وردت من الأخبار في المقام الّتي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زرارة عن أبی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الرَّجُلِ وَوَلَدِهِ وَبَيْنَهُ وَبَيْنَ عَبْدِهِ وَلَا بَيْنَ أَهْلِهِ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ومرفوعة محمّد بن علیّ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الْمُسْلِمِ وَبَيْنَ الذِّمِّیِّ رِبًا، وَلَا بَيْنَ الْمَرْأَةِ وَبَيْنَ زَوْجِهَا رِبًا</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فقه الرّضا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بَيْنَ الْوَالِدِ وَ وَلَدِهِ رِباً، وَلَا بَيْنَ الزَّوْجِ وَالْمَرْأَةِ رِباً، وَلَا بَيْنَ الْمَوْلَى وَالْعَبْدِ وَلَا بَيْنَ الْمُسْلِمِ وَالذِّمِّیِّ</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عبّر من باب الكناية عن الزّوجة في الصحيحة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عبّر عنها القرآن كذلك في قصّة موسی علیه السلام و زوجته،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مُوسَى الْأَجَلَ وَسَارَ بِأَهْلِهِ آنَسَ مِنْ جَانِبِ الطُّورِ نَاراً قَالَ لِأَهْلِهِ امْكُثُوا إِنِّی آنَسْتُ نَاراً لَعَلِّی آتِيكُمْ مِنْهَا بِخَبَرٍ أَوْ جَذْوَةٍ مِنَ النَّارِ لَعَلَّكُمْ تَصْطَلُونَ</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والكلام في جوازه من جانب واحد أو من جانبين كالكلام فيه في الآباء والأولاد، زائدة علی أنّه لم يكن في المقام من تفصيل الإسكافی رحمه الله أثراً، وأنّه يقدّم الرّجل علی أهله في الصحيحة وفی المرفوعة علی العكس، وقد صرّح غير واحد من الأصحاب بكون الحكم هنا كذلك، منهم العلامة حيث قال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ربا بين الوالد 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بين الرّجل و زوجته، ولكلّ منهما أن يأخذ الفضل من صاحبه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285" w:name="pg7917_85051"/>
    </w:p>
    <w:p>
      <w:pPr>
        <w:pStyle w:val="Heading2"/>
        <w:numPr>
          <w:ilvl w:val="1"/>
          <w:numId w:val="1"/>
        </w:numPr>
        <w:rPr/>
      </w:pPr>
      <w:bookmarkStart w:id="286" w:name="__RefHeading___Toc6355293_1051229030"/>
      <w:bookmarkStart w:id="287" w:name="_Toc95"/>
      <w:bookmarkEnd w:id="285"/>
      <w:bookmarkEnd w:id="286"/>
      <w:r>
        <w:rPr>
          <w:rtl w:val="true"/>
        </w:rPr>
        <w:t>هل الحكم هنا يجری في مطلق الأزواج من الدائمة والمتمتّع بها، أم لا؟</w:t>
      </w:r>
      <w:bookmarkEnd w:id="287"/>
    </w:p>
    <w:p>
      <w:pPr>
        <w:pStyle w:val="BookText"/>
        <w:rPr/>
      </w:pPr>
      <w:r>
        <w:rPr>
          <w:rFonts w:ascii="IRNazanin" w:hAnsi="IRNazanin" w:eastAsia="IRNazanin"/>
          <w:color w:val="111111"/>
          <w:sz w:val="28"/>
          <w:sz w:val="28"/>
          <w:szCs w:val="28"/>
          <w:rtl w:val="true"/>
          <w:lang w:bidi="fa-IR"/>
        </w:rPr>
        <w:t xml:space="preserve">فصّل في المقام بعض بين الدائمة والمتمتّع بها، بالجواز في الأولی وعدمه في الثانية، كما أنّه يحتمله أيضاً في المتمتّع بها بين ما إذا كانت مدّة النكاح في المنقطة قليلة بحيث يمكن سلب عنوان الزّوجة والأهل عنها فلا يجوز، وبين ما كانت كالدائمة في المدّة والأهليّة فإنّه يجوز، قال العلامة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يثبت الرّبا بين الرّجل و زوجته بالعقد المنقطع لأنّ التفويض في مال الرّجل إنّما يثبت في حقّ العقد الدائم، فإنّ للزّوجة أن تأخذ من مال الرّجل المأدوم</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فرق في الزّوجة بين الدائم والمنقطع علی الظاهر لإطلاق النصّ، خلافاً للتذكرة حيث خصّها بالدائم معلّلاً بأنّ التفويض في مال الرّجل إنّما يثبت في حقّ العقد الدائم، فإنّ للزّوجة أن تأخذ من مال الرّجل المأدوم</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الطباطبائی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عدم الفرق في الزّوجة بين الدائمة والمتمتّع بها، لصدق الزّوجة والأهل، وعن جماعة الاختصاص بالدائمة لمنع الصّدق، أو للانصراف عن المتمتّع بها خصوصاً إذا كانت المدّة قليلة، ولا يبعد التّفصيل بين ما إذا اتّخذها أهلاً اتّخاذ الزّوجة الدائمة وغيرها، أمّا المطلقة رجعيّة فالظاهر احتسابها أجنبيّة فلا يلحقها الحكم</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التحقيق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يعبّر عنها في اللغة العربيّة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إمرأة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الفارسيّة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الدائمة والمتمتّع بها، وهما تستويان في جميع الأحكام والمسائل إلا ما أخرجه الدّليل كالإرث والنفقة، وما نحن بسدده ليس من هذا القبيل لا سيّما بعد عدم إمكان سلب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إمرأة الرّجل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ما دامت في نكاحه ولو كانت مدّة الاستمتاع قليلة، فالأقوی في المقام هو ما ذهب إليه المشهور من تساويهما في جواز الرّبا، خلافاً للمطلقة الرّجعيّة حين عدّتها حيث يصحّ عنها سلب عنوان الزّوجيّة حقيقة، وجواز الرجوع إليها مدّة عدّتها إنّما هو لأمر آخر لا لكونها زوجة حقيقة</w:t>
      </w:r>
      <w:r>
        <w:rPr>
          <w:rFonts w:eastAsia="IRNazanin" w:cs="IRNazanin"/>
          <w:color w:val="111111"/>
          <w:sz w:val="28"/>
          <w:szCs w:val="28"/>
          <w:rtl w:val="true"/>
          <w:lang w:bidi="fa-IR"/>
        </w:rPr>
        <w:t xml:space="preserve">. </w:t>
      </w:r>
      <w:bookmarkStart w:id="288" w:name="pg7917_85055"/>
    </w:p>
    <w:p>
      <w:pPr>
        <w:pStyle w:val="Heading2"/>
        <w:numPr>
          <w:ilvl w:val="1"/>
          <w:numId w:val="1"/>
        </w:numPr>
        <w:rPr/>
      </w:pPr>
      <w:bookmarkStart w:id="289" w:name="__RefHeading___Toc6355295_1051229030"/>
      <w:bookmarkStart w:id="290" w:name="_Toc96"/>
      <w:bookmarkEnd w:id="288"/>
      <w:bookmarkEnd w:id="289"/>
      <w:r>
        <w:rPr>
          <w:rtl w:val="true"/>
        </w:rPr>
        <w:t>الرابع والخامس من مستثنيات الرّبا نفيه بين المسلم والكافر الحربی، والذمّی الّذی خرج عن شرائط الذمّة</w:t>
      </w:r>
      <w:r>
        <w:rPr>
          <w:rtl w:val="true"/>
        </w:rPr>
        <w:t>:</w:t>
      </w:r>
      <w:bookmarkEnd w:id="290"/>
    </w:p>
    <w:p>
      <w:pPr>
        <w:pStyle w:val="BookText"/>
        <w:rPr/>
      </w:pPr>
      <w:r>
        <w:rPr>
          <w:rFonts w:ascii="IRNazanin" w:hAnsi="IRNazanin" w:eastAsia="IRNazanin"/>
          <w:color w:val="111111"/>
          <w:sz w:val="28"/>
          <w:sz w:val="28"/>
          <w:szCs w:val="28"/>
          <w:rtl w:val="true"/>
          <w:lang w:bidi="fa-IR"/>
        </w:rPr>
        <w:t xml:space="preserve">قد فصّل فقهائنا العظام في الكافر بين الحربی وأهل الذمّة منهم، فادّعوا الإجماع علی جوازه في الأوّل من دون فرق فيه بين دار الإسلام أو دار الحرب إذا أخذ المسلم الفضل، ولم يجيزوا ذلك أكثرهم في الذمّی وإن كان الآخد هو المسلم، إلا أنّه نسب الشهيد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ظاهر جماعة من الإماميّة أنّهم أطلقوا الجواز في الحربی من دون فرق بين أخذ المسلم الفضل أو الكافر، وأمّا العامة فأبوحنيفة منهم أجازه في الحربی في خصوص دارالحرب، وآخرون بثبوته مطلقاً، قال العلامة رحمه الله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بين المسلم والحربی فيأخذ منهم الفضل ولا يعطيهم إيّاه لأنّهم في الحقيقة فَیءٌ للمسلمين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ربا عندنا بين المسلم والحربیّ سواء كان ذا أمان أو لا، وسواء كان في دار الإسلام أو دار الحرب وبه قال أبو حنيفة للأحاديث السابقة، و روى الجمهور عن النّبیّ صلّى اللّٰه عليه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بَيْنَ الْمُسْلِمِينَ وَأَهْلِ الْحَرْبِ في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لم نشرط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في الحقيقة فَی‌ء للمسلمين وقد بذل ماله بإذنه للمسلم فجاز له أخذه منه حيث أزال أمانه عنه ببذله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الشافعی ومالك وأحمد وأبو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الرّبا بين المسلم والحربیّ مطلقاً كثبوته بين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ثبوت الرّبا بين المسلم والذمّیّ خلاف أقربه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الثبوت، لعصمة أموالهم، وعموم الأحاديث والنصوص الدالّة على تحريم مطلق الرّبا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كلام المحقق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بين الولد و ولده ويجوز لكلّ منهما أخذ الفضل من صاحبه، ولا بين المولی ومملوكه، ولا بين الرّجل وزوجته، ولا بين المسلم وأهل الحرب،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إجماعاً محكيّاً مستفيضاً إن لم يكن متواتراً، صريحاً وظاهراً، بل يمكن تحصيله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بين المسلم وأهل الحرب، هذا إذا أخذ المسلم الفضل وإلا حرم، ولا فرق بين الحربیّ المعاهد وغيره، ولا بين كونه في دار الحرب والإسلام، وأطلق جماعة نفی الرّبا هنا من غير فرق بين أخذ المسلم الزّيادة أو الحربیّ، والتفصيل أقوی</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قدامة الحنبلی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ويحرم الرّبا في دار الحرب كتحريمه في دار الإسلام، وبه قال مالك والأوزاعی وأبويوسف والشافعی وإسحاق، وقال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يجری الرّبا بين مسلم وحربی في دار الحرب، وعنه في مسلمَين أسلما في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بينهما، لما روی المكحول عن النَّبِیِّ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الْمُسْلِمِينَ وَأَهْلِ الْحَرْبِ في دَارِ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أموالهم مباحة وإنّما حظرها الأمان في دار الإسلام، فما لم يكن كذلك كان مباحاً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الأصحاب علی جواز أخذ الزّيادة للمسلم في خصوص الحربی زائداً علی الإجماع المدعی، تارة بما رواه المشايخ الثلاثة عن عمرو بن جُمَيع </w:t>
      </w:r>
    </w:p>
    <w:p>
      <w:pPr>
        <w:pStyle w:val="BookText"/>
        <w:rPr/>
      </w:pPr>
      <w:r>
        <w:rPr>
          <w:rFonts w:ascii="Amiri" w:hAnsi="Amiri" w:eastAsia="Amiri" w:cs="Amiri"/>
          <w:color w:val="111111"/>
          <w:sz w:val="28"/>
          <w:sz w:val="28"/>
          <w:szCs w:val="28"/>
          <w:rtl w:val="true"/>
          <w:lang w:bidi="ar-SA"/>
        </w:rPr>
        <w:t>عن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بَيْنَنَا وَبَيْنَ أَهْلِ حَرْبِنَا رِبًا، نَأْخُذُ مِنْهُمْ أَلْفَ دِرْهَمٍ بِدِرْهَمٍ وَنَأْخُذُ مِنْهُمْ وَلَا نُعْطِيهِمْ</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كلام لنا في سند الخبر بعد ما كان مفاده مفتی به عند الأصحاب، وشهادة الكلينی والصدوق رضوان الله تعالی عليهما بأنّ ما رويا في كتابيهما فهو مروی عن الصادقين</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 وقد تقدّم أنّ المعيار في قبول الخبر عند الأصحاب هو وثاقة الخبر لا الرّاوی وأنّ وثاقة الرّاوی طريق إلی وثاقته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أنّ الله عزّ وجلّ قد نفی مطلق تسلّط الكفّار علی المؤمنين الّذی منه أخذهم الرّبا من المؤمنين، بمقتضی قوله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أشار إليه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ما كانت أموالهم فيئاً للمسلمين فيجوز تملّكها لكلّ من تسلّط عليها من المسلمين لا سيّما إذا بذلها بطيب نفسه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فإذا أحلّ قوم علی أنفسهم الرّبا واعتقدوا جوازه فلا مانع من إلزامهم بذلك، وقد دلّت عليه أخبار، منها موثقة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الْأَحْكَامِ؟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عَلَى أَهْلِ كُلِّ ذِی دِينٍ بِمَا يَسْتَحِلُّونَ</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علیّ بن أبی حمزة البطائنی عن أبی الحسن الكاظم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أَلْزِمُوهُمْ بِمَا أَلْزَمُوا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الكلام في الكافر الحربی، وأمّا الذمّی فقد تقدّم إجمالاً أنّ المشهور فيه هو ثبوت الرّبا كثبوته بين المسلمَين، يؤيّد ذلك أنّ الذمّی من أهل الكتاب بالتزامه بشرائط الذمّة</w:t>
      </w:r>
      <w:r>
        <w:rPr>
          <w:rStyle w:val="FootnoteAnchor"/>
          <w:rtl w:val="true"/>
        </w:rPr>
        <w:footnoteReference w:id="968"/>
      </w:r>
      <w:r>
        <w:rPr>
          <w:rFonts w:ascii="Amiri" w:hAnsi="Amiri" w:eastAsia="Amiri" w:cs="Amiri"/>
          <w:color w:val="111111"/>
          <w:sz w:val="28"/>
          <w:sz w:val="28"/>
          <w:szCs w:val="28"/>
          <w:rtl w:val="true"/>
          <w:lang w:bidi="ar-SA"/>
        </w:rPr>
        <w:t xml:space="preserve">يدخل في ضمان المسلمِين ويجعل نفسه كأحد </w:t>
      </w:r>
    </w:p>
    <w:p>
      <w:pPr>
        <w:pStyle w:val="BookText"/>
        <w:rPr/>
      </w:pPr>
      <w:r>
        <w:rPr>
          <w:rFonts w:ascii="IRNazanin" w:hAnsi="IRNazanin" w:eastAsia="IRNazanin"/>
          <w:color w:val="111111"/>
          <w:sz w:val="28"/>
          <w:sz w:val="28"/>
          <w:szCs w:val="28"/>
          <w:rtl w:val="true"/>
          <w:lang w:bidi="fa-IR"/>
        </w:rPr>
        <w:t xml:space="preserve">منهم، ولا أقلّ من الشك وحيث كان المخصّص منفصلاً لزوم الأخذ بعمومات ما دلّت علی حرمة مطلق الرّباء، قال ابن إدريس الحلي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والرّبا يثبت بين المسلم وأهل الذمة، كثبوته بينه وبين مسلم مثله، وهذا هو الصحيح من أقوال أصحابنا، و إليه يذهب شيخنا أبو جعفر الطوسی في جميع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أصحابنا إلى أنّه لا ربا بين المسلم وأهل الذمة، وجعلهم كالحربيّين، ذهب إلى ذلك شيخنا المفيد وابن بابويه وغيرهما، والأوّل هو المعتمد، ويعضده ظاهر التنزيل وهو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الْبَيْعَ وَحَرَّمَ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ذلك أهل الحرب، بالإجماع المنعقد من أصحابنا، وبقی من عداهم داخلاً في عموم الآية، فلا يجوز التخصيص للعموم، إلا بأدلّة موجبة للعلم، قاطعة للأعذار</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ثبوت الرّبا بين المسلم والذمّیّ خلاف أقربه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الثبوت، لعصمة أموالهم، وعموم الأحاديث والنصوص الدالّة على تحريم مطلق الرّبا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كلام المحقق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ويثبت الرّبا بين المسلم والذمّی،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قطعاً إذا كان الآخذ الذمّی، وبالعكس على الأشهر بل المشهور، نقلاً وتحصيلاً، بل عليه عامة المتأخرين إلا النادر، بل لم أجد فيه خلافاً إلا ما سمعته من المرتضى وحكی عن ابني بابويه والمفيد والقطيفی، مع أنّه قال بعض مشايخنا أنّی لم أجد له ذكراً في المقنعة</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ورد نفی الربا بالنسبة إليه أيضاً في مرفوعة الصدوق 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الْمُسْلِمِ وَبَيْنَ الذِّمِّیِّ رِبًا وَلَا بَيْنَ الْمَرْأَةِ وَبَيْنَ زَوْجِهَا رِبًا</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والتحقيق بعد فرض تسليم السند أنّها كما صرّح به العلامة رحمه الله محمول علی الذمّی الخارج عن شرائط الذمّة</w:t>
      </w:r>
      <w:r>
        <w:rPr>
          <w:rStyle w:val="FootnoteAnchor"/>
          <w:rtl w:val="true"/>
        </w:rPr>
        <w:footnoteReference w:id="973"/>
      </w:r>
      <w:r>
        <w:rPr>
          <w:rFonts w:ascii="IRNazanin" w:hAnsi="IRNazanin" w:eastAsia="IRNazanin"/>
          <w:color w:val="111111"/>
          <w:sz w:val="28"/>
          <w:sz w:val="28"/>
          <w:szCs w:val="28"/>
          <w:rtl w:val="true"/>
          <w:lang w:bidi="fa-IR"/>
        </w:rPr>
        <w:t>، فهم حينئذ كما سيأتی ويستفاد من بعض النصوص كانوا بمنزلة أهل الحرب، وإلا فهی مطروحة بإعراض الأصحاب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القول بثبوت الرّبا بين المسلم والذمّی كما هو المختار، وأنّ من شرائط الذمّة علی ما صرّح به الكتاب وبعض الأخبار، أداء الجزية، وبعد الإذعان بأنّ الّذين يعيشون منهم معنا الآن في جميع الممالك الإسلاميّة لا يعطونها، بل يعمل معهم معاملة سائر المسلمين، فهل يحرم أيضاً أخذ الرّباء منهم فعلاً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التحقيق أنّ الحكم هنا نفياً وإثباتاً دائر مدار الالتزام بشرائط الذمّة وعدمه، فما دام الذمّی التزم بشرائط الذمّة الّتي منها أداء الجزية، حصنت نفسه وحرمت أمواله، وإلا كما صرّح به غير واحد يعامل معه معاملة الكافر الحربی ويصير ماله حينئذ فيئاً للمسلمين، منهم قطب الدّين الرّواندی رحمه الله حيث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وشرائط الذمّة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الجزية، وأن لا يتظاهروا بأكل لحم الخنزير، وشرب الخمر، ونكاح الزناء، ونكاح المحرمات، فإن خالفوا شيئاً من ذلك خرجوا من الذمّة،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w:t>
      </w:r>
      <w:r>
        <w:rPr>
          <w:rFonts w:eastAsia="Amiri" w:cs="Amiri" w:ascii="Amiri" w:hAnsi="Amiri"/>
          <w:color w:val="111111"/>
          <w:sz w:val="28"/>
          <w:szCs w:val="28"/>
          <w:rtl w:val="true"/>
          <w:lang w:bidi="ar-SA"/>
        </w:rPr>
        <w:t>)</w:t>
      </w:r>
      <w:r>
        <w:rPr>
          <w:rStyle w:val="FootnoteAnchor"/>
          <w:rtl w:val="true"/>
        </w:rPr>
        <w:footnoteReference w:id="974"/>
      </w:r>
      <w:r>
        <w:rPr>
          <w:rFonts w:ascii="IRNazanin" w:hAnsi="IRNazanin" w:eastAsia="IRNazanin"/>
          <w:color w:val="111111"/>
          <w:sz w:val="28"/>
          <w:sz w:val="28"/>
          <w:szCs w:val="28"/>
          <w:rtl w:val="true"/>
          <w:lang w:bidi="fa-IR"/>
        </w:rPr>
        <w:t>، أی فقاتلوهم، فوضع المظهر موضع المضمر إشعاراً بأنّهم إذا نكثوا فهم ذوو الرئاسة في الكفر، وفی الآية دلالة على أنّ الذمّی إذا أظهر الطعن في الإسلام فإنّه يجب قتله لأنّ عهده معقود على أن لا يطعن في الإسلام، فإذا طعن فقد نقض عهده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المحقق البحرانی رحمه الله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بين الأصحاب ثبوت الرّبا بين المسلم والذمّی، لعموم أدلة التحريم، ولأنّ مال الذمّی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السيّد المرتضى وابنا بابويه وجماعة إلى عدم ثبوته وعليه دلّت الأخبار المتقدمة، والّذی يقرب عندی أنّ هذه الأخبار إنّما صرّحت بنفی الرّبا بين المسلم والذمّی، بناء على أنّ أهل الكتاب في تلك الأعصار فضلاً عن زماننا هذا قد خرقوا الذمّة، ولم يقوموا بها كما صرّح به جملة من الأخبار، ومن ثمّ دلّ جملة من الأخبار على أنّ مالهم فی‌ء للمسلمين، وجواز استرقاقهم، كما صرّح به جملة من الأصحاب أيضاً، وحينئذ فلا اشكال، وعلى هذا فيختصّ جواز أخذ الفضل بالمسلم، دون الذمّی كما تقدّم في الحربی</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بيان عن العلامة الطباطبائی رحمه الله في حكمة أخذ الجزية منهم، يؤيّد ما ذكرناه حيث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الجزية فهی عطيّة ماليّة مأخوذة منهم مصروفة في حفظ ذمّتهم وحُسن إدارتهم، ولا غنی عم مثلها لحكومة قائمة علی ساقها حقّة أو باطلة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إنّه يمكن أن نستدلّ علی أنّ الحكم هنا نفياً وإثباتاً دائر مدار الالتزام بشرائط الذمّة وعدمه،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 وما رواه أبو البختری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الْقِتَالُ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أَهْلِ الشِّرْكِ لَا يُنْفَرُ عَنْهُمْ حَتَّى يُسْلِمُوا أَوْ يُؤْتُوا الْجِزْيَةَ عَنْ يَدٍ وَهُمْ صَاغِرُونَ، وَقِتَالٌ لِأَهْلِ الزَّيْغِ لَا يُنْفَرُ عَنْهُمْ حَتَّى يَفِيئُوا إِلَى أَمْرِ اللَّهِ أَوْ يُقْتَلُوا</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 وما رواه حفص بن غياث عن أبی عبدالله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أَبِی علیه السلام عَنْ حُرُوبِ أَمِيرِ الْمُؤْمِنِينَ علیه السلام وَكَانَ السَّائِلُ مِنْ مُحِبِّينَا، 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صَلَّى اَللَّهُ عَلَيْهِ وَ آلِهِ وَ سَلَّمْ بِخَمْسَةِ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مِنْهَا شَاهِرَةٌ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وَسَيْفٌ مِنْهَا مَكْفُوفٌ، وَسَيْفٌ مِنْهَا مَغْمُودٌ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السُّيُوفُ الثَّلَاثَةُ الْمَشْهُورَةُ، فَسَيْفٌ عَلَى مُشْرِكِي الْعَرَبِ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 وَخُذُوهُمْ وَاحْصُرُوهُمْ وَاقْعُدُوا لَهُمْ كُلَّ مَرْصَدٍ</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تابُوا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يَعْنِی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وَأَقامُوا الصَّلاةَ وَآتَوُا الزَّكاةَ فَإِخْوانُكُمْ في الدِّينِ</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فَهَؤُلَاءِ لَا يُقْبَلُ مِنْهُمْ إِلَّا الْقَتْلُ أَوِ الدُّخُولُ في الْإِسْلَامِ، وَأَمْوَالُهُمْ وَذَرَارِيُّهُمْ سَبْیٌ عَلَى مَا سَنَّ رَسُولُ اللَّه صَلَّى اَللَّهُ عَلَيْهِ وَ آلِهِ وَ سَلَّمْ فَإِنَّهُ سَبَى وَعَفَا وَقَبِلَ الْفِدَاءَ، وَالسَّيْفُ الثَّانِی عَلَى أَهْلِ الذِّمَّةِ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نَزَلَتْ هَذِهِ الْآيَةُ في أَهْلِ الذِّمَّةِ، ثُمَّ نَسَخَهَا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 فَمَنْ كَانَ مِنْهُمْ في دَارِ الْإِسْلَامِ فَلَنْ يُقْبَلَ مِنْهُمْ إِلَّا الْجِزْيَةُ أَوِ الْقَتْلُ وَمَالُهُمْ فَیْ‌ءٌ، وَذَرَارِيُّهُمْ سَبْیٌ، وَإِذَا قَبِلُوا الْجِزْيَةَ عَلَى أَنْفُسِهِمْ حَرُمَ عَلَيْنَا سَبْيُهُمْ، وَحَرُمَتْ أَمْوَالُهُمْ، وَحَلَّتْ لَنَا مُنَاكَحَتُهُم</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مرفوعة الصدوق رحمه الله 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الْمُسْلِمِ وَبَيْنَ الذِّمِّیِّ رِبًا وَلَا بَيْنَ الْمَرْأَةِ وَبَيْنَ زَوْجِهَا رِبًا</w:t>
      </w:r>
      <w:r>
        <w:rPr>
          <w:rFonts w:eastAsia="Amiri" w:cs="Amiri" w:ascii="Amiri" w:hAnsi="Amiri"/>
          <w:color w:val="111111"/>
          <w:sz w:val="28"/>
          <w:szCs w:val="28"/>
          <w:rtl w:val="true"/>
          <w:lang w:bidi="ar-SA"/>
        </w:rPr>
        <w:t>»</w:t>
      </w:r>
      <w:r>
        <w:rPr>
          <w:rStyle w:val="FootnoteAnchor"/>
          <w:rtl w:val="true"/>
        </w:rPr>
        <w:footnoteReference w:id="986"/>
      </w:r>
      <w:r>
        <w:rPr>
          <w:rFonts w:ascii="IRNazanin" w:hAnsi="IRNazanin" w:eastAsia="IRNazanin"/>
          <w:color w:val="111111"/>
          <w:sz w:val="28"/>
          <w:sz w:val="28"/>
          <w:szCs w:val="28"/>
          <w:rtl w:val="true"/>
          <w:lang w:bidi="fa-IR"/>
        </w:rPr>
        <w:t>، وحملها علی الذمّی الخارج عن شرائط الذمّة</w:t>
      </w:r>
      <w:r>
        <w:rPr>
          <w:rFonts w:eastAsia="IRNazanin" w:cs="IRNazanin"/>
          <w:color w:val="111111"/>
          <w:sz w:val="28"/>
          <w:szCs w:val="28"/>
          <w:rtl w:val="true"/>
          <w:lang w:bidi="fa-IR"/>
        </w:rPr>
        <w:t xml:space="preserve">. </w:t>
      </w:r>
      <w:bookmarkStart w:id="291" w:name="pg7917_85074"/>
    </w:p>
    <w:p>
      <w:pPr>
        <w:pStyle w:val="Heading2"/>
        <w:numPr>
          <w:ilvl w:val="1"/>
          <w:numId w:val="1"/>
        </w:numPr>
        <w:rPr/>
      </w:pPr>
      <w:bookmarkStart w:id="292" w:name="__RefHeading___Toc6355297_1051229030"/>
      <w:bookmarkStart w:id="293" w:name="_Toc97"/>
      <w:bookmarkEnd w:id="291"/>
      <w:bookmarkEnd w:id="292"/>
      <w:r>
        <w:rPr>
          <w:rtl w:val="true"/>
        </w:rPr>
        <w:t>السادس من مستثنيات الرّبا نفيه بين المولی وعبده</w:t>
      </w:r>
      <w:r>
        <w:rPr>
          <w:rtl w:val="true"/>
        </w:rPr>
        <w:t>:</w:t>
      </w:r>
      <w:bookmarkEnd w:id="293"/>
    </w:p>
    <w:p>
      <w:pPr>
        <w:pStyle w:val="BookText"/>
        <w:rPr/>
      </w:pPr>
      <w:r>
        <w:rPr>
          <w:rFonts w:ascii="IRNazanin" w:hAnsi="IRNazanin" w:eastAsia="IRNazanin"/>
          <w:color w:val="111111"/>
          <w:sz w:val="28"/>
          <w:sz w:val="28"/>
          <w:szCs w:val="28"/>
          <w:rtl w:val="true"/>
          <w:lang w:bidi="fa-IR"/>
        </w:rPr>
        <w:t xml:space="preserve">ادّعوا الإجماع بقسميه علی نفی الرّباء بين المولی وعبده،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نقل كلام المحقق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بين المولی ومملوكه،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إجماعاً بقسميه، وللخبرين السّابقين</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والحكم بنفی الرّبا بين السيّد ومملوكه إمّا لعدم صحّة البيع، بناء على أنّه لا يملك، فيصدق عدم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السالبة بانتفاع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بناء على أنّه يملك، وكان الأولى بالقائل بعدم ملكه ترك ذكره، لكن لمّا ورد النصّ به تعرّضوا له، ويشترط مع القول بملكه أن لا يكون مشتركاً، فلو كان كذلك ثبت بينه وبين كلّ من الشركاء، والمدبّر وأمّ الولد في حكم القنّ، أمّا المكاتب بقسميه فلا على الظاهر مع احتماله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الميرزا القمّی رحمه الله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العلماء فى أنّ العبد هل يصلح للتملك أو لا؟ بل هو كالدابة بالنسبة إلى جلّه او علفه، وفيه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الأوّل إلى الأكثر الشهيد الثانى، وجعله فى الدّروس ظاهر الأكثر، ولكن نسب جماعة من الأصحاب الثانى إلى المشهور والأكثر، وعن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الأكثر، وعن كتاب 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الإماميّة، وعن الشيخ فى الخلاف فى باب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عليه لأنّه لا يملك اجماعاً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أصحابنا أنّ جميع ما بيد العبد فهو مال لسيّده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p>
    <w:p>
      <w:pPr>
        <w:pStyle w:val="BookText"/>
        <w:rPr/>
      </w:pPr>
      <w:r>
        <w:rPr>
          <w:rFonts w:ascii="Amiri" w:hAnsi="Amiri" w:eastAsia="Amiri" w:cs="Amiri"/>
          <w:color w:val="111111"/>
          <w:sz w:val="28"/>
          <w:sz w:val="28"/>
          <w:szCs w:val="28"/>
          <w:rtl w:val="true"/>
          <w:lang w:bidi="ar-SA"/>
        </w:rPr>
        <w:t>نهاية الأحكام وموضع آخر من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غير مالك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المنتهى نسبته إلى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عن المبسوط فى كتاب الكفارات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الصدوق وابن الجنيد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فى المقنع كالصريح فى أنّه يملك فاضل الضريبة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يقاطعه عليه مولاه بأن يعطيه كلّ شهر، أو كلّ سنة، ويكون الزائد له، وعن جماعة أنّهم حملوا كلامهم على أنّه يملك ملكاً غير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يملك ملكاً غير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لا يملك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فاضل الضريبة، وهو المروی، وارش الجناية على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مطلقاً لكنّه محجور عليه بالرّق حتّى يأذن المولى كان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الأظهر القول بعدم ملكه مطلقاً كما أنّ الأظهر أنّه قول الأكثر</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وكيف كان إنّه قد استدلّ علی عدم ثبوت الرّباء بين العبد وسيّده بروايات،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زرارة عن أبی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الرَّجُلِ وَوَلَدِهِ وَبَيْنَهُ وَبَيْنَ عَبْدِهِ وَلَا بَيْنَ أَهْلِهِ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عمرو بن جُمَيع الّذی رواه المشايخ الثلاثة عن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الرَّجُلِ وَ وَلَدِهِ رِبًا، وَلَيْسَ بَيْنَ السَّيِّدِ وَعَبْدِهِ رِبًا</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في فقه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بَيْنَ الْوَالِدِ وَ وَلَدِهِ رِبًا، وَلَا بَيْنَ الزَّوْجِ وَالْمَرْأَةِ رِباً، وَلَا بَيْنَ الْمَوْلَى وَالْعَبْدِ، وَلَا بَيْنَ الْمُسْلِمِ وَالذِّمِّیِّ</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والتحقيق أنّ مسألة عدم ثبوت الرّباء بين السيّد وعبده يبتنی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ذهب إليه المشهور من أنّ العبد لا يملك مطلقاً، وللسيّد أن يتصرّف في أمواله كيف شاء حتّی اشتهر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وما في يده كان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مستدلّين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فيكون عدم الرّباء حينئذ من قبيل السالبة بانتفاع الموضوع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له أن يملك لكنّه محجور عن التصرف في أمواله كالصغير والمجنون وكان اختيار أمره بيد مولاه، فعليه يكون عدم ثبوته حينئذ لأجل تخصيص عمومات حرمة الرّباء</w:t>
      </w:r>
      <w:r>
        <w:rPr>
          <w:rFonts w:eastAsia="IRNazanin" w:cs="IRNazanin"/>
          <w:color w:val="111111"/>
          <w:sz w:val="28"/>
          <w:szCs w:val="28"/>
          <w:rtl w:val="true"/>
          <w:lang w:bidi="fa-IR"/>
        </w:rPr>
        <w:t xml:space="preserve">. </w:t>
      </w:r>
      <w:bookmarkStart w:id="294" w:name="pg7917_85080"/>
    </w:p>
    <w:p>
      <w:pPr>
        <w:pStyle w:val="Heading2"/>
        <w:numPr>
          <w:ilvl w:val="1"/>
          <w:numId w:val="1"/>
        </w:numPr>
        <w:rPr/>
      </w:pPr>
      <w:bookmarkStart w:id="295" w:name="__RefHeading___Toc6355299_1051229030"/>
      <w:bookmarkStart w:id="296" w:name="_Toc98"/>
      <w:bookmarkEnd w:id="294"/>
      <w:bookmarkEnd w:id="295"/>
      <w:r>
        <w:rPr>
          <w:rtl w:val="true"/>
        </w:rPr>
        <w:t>السابع من مستثنيات الرّبا نفيه في بيع المعدود مطلقاً، وفی المكيل والموزون مع اختلاف الجنسين</w:t>
      </w:r>
      <w:r>
        <w:rPr>
          <w:rtl w:val="true"/>
        </w:rPr>
        <w:t>:</w:t>
      </w:r>
      <w:bookmarkEnd w:id="296"/>
    </w:p>
    <w:p>
      <w:pPr>
        <w:pStyle w:val="BookText"/>
        <w:rPr/>
      </w:pPr>
      <w:r>
        <w:rPr>
          <w:rFonts w:ascii="IRNazanin" w:hAnsi="IRNazanin" w:eastAsia="IRNazanin"/>
          <w:color w:val="111111"/>
          <w:sz w:val="28"/>
          <w:sz w:val="28"/>
          <w:szCs w:val="28"/>
          <w:rtl w:val="true"/>
          <w:lang w:bidi="fa-IR"/>
        </w:rPr>
        <w:t xml:space="preserve">قد عرفت أنّ الرباء قرضی ومعاملی، ما نبحث عنه هنا ناظر إلی نفيه في خصوص بيع المعدود مطلقاً سواء كان العوضان مختلفين في الجنس أم متحدين، وفی بيع المكيل والموزون إذا كانا مختلفين من حيث الجنس، وادّعی أنّ جوازه إجماعيّاً عندنا، قال الشيخ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باع ما فيه الرّبا من المكيل والموزون، مختلف الجنس، مثل الطعام والتمر، جاز بيع بعضه ببعض متماثلاً ومتفاضلاً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ربا في المعدودات، ويجوز بيع بعضها ببعض متماثلاً ومتفاضلاً، نقداً ونسيةً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وللشافعی فيه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قلناه، وقال في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الرّبا إذا كان مطعوماً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السفرجل والرّمان والبطيخ وما أشبه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يجوز بيع جنس بجنس غيره متفاضلاً يداً بيد، مثل رمانة بسفرجلتين، وسفرجلة بخوختين، وما أشبه ذلك، لأن التفاضل لا يحرم في جنسين، وإنّما يحرم النسية والتفرق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الجنس الواحد فإنه لا يجوز بيع بعضه ببعض متفاضلين، مثل رمانة برمانتين، وسفرجلة بسفرجلتين، و خوخة بخوختين، وبطيخة ببطيختين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وأيضاً الأصل الإباحة، والمنع منه يحتاج إلى دليل، وأيضاً عليه إجماع الفرقة، وأخبارهم تدلّ على ذلك</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يكون الرّبا المنهی عنه المحرّم في شريعة الإسلام، عند أهل البيت علیهم السلام ، إلا فيما يكال أو يوزن، فأمّا ما عداهما من جميع المبيعات فلا ربا فيها بحال، لأنّ حقيقة الرّبا في عرف الشرع، هو بيع المثل من </w:t>
      </w:r>
    </w:p>
    <w:p>
      <w:pPr>
        <w:pStyle w:val="BookText"/>
        <w:rPr/>
      </w:pPr>
      <w:r>
        <w:rPr>
          <w:rFonts w:ascii="IRNazanin" w:hAnsi="IRNazanin" w:eastAsia="IRNazanin"/>
          <w:color w:val="111111"/>
          <w:sz w:val="28"/>
          <w:sz w:val="28"/>
          <w:szCs w:val="28"/>
          <w:rtl w:val="true"/>
          <w:lang w:bidi="fa-IR"/>
        </w:rPr>
        <w:t>المكيل أو الموزون بالمثل متفاضلاً نقداً ونسيئة إذا كان البيّعان غير والد و ولد، أو زوج و زوجة، أو مسلم وحربی، أو عبد وسيّده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من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المعتبرة في ثبوت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الكيل والوزن فإذا كان المبيع والثمن كذلك مع اتحاد الجنس حرم الرّبا فيهما إجماعاً بقسميه، وسنّة وكتاباً، بل كاد يكون ضرورياً، إنّما الكلام في اشتراط ذلك فيه وقد عرفت سابقاً اشتراط الجنسية، أمّا التقدير بهما على معنى أنّه لا ربا إلا في مكيل أو موزون فهو المشهور بين الأصحاب شهرة عظيمة، بل عن الخلاف ومجمع البيان والتذكرة وظاهر الغنية والسرائر الإجماع على عدم الرّبا في المقدر بالعدد، وإن كنت لم أتحقّقه فيما حضرنی منها، إلا أنّ الأصل والعمومات كافية في الجواز، مضافاً إلى النصوص المستفيضة إن لم تكن متواترة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واستدلّوا علی ذلك زائداً علی الإجماع المدّعی، بأخبار متظافرة بل متواترة بحيث يغنينا عن البحث حول أسانيدها،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زرارة عن أبی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الرِّبَا إِلَّا فِيمَا يُكَالُ أَوْ يُوزَنُ</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الّتي روها المشايخ الثلاثة عن عبيد بن زرارة قال سمعت أبا عبدالله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الرِّبَا إِلَّا فِيمَا يُكَالُ أَوْ يُوزَنُ</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وصحيحة الحلبیّ عن أبی عبدالله علیه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طَعَامٍ مُخْتَلِفٍ أَوْ مَتَاعٍ أَوْ شَیْ‌ءٍ مِنَ الْأَشْيَاءِ يَتَفَاضَلُ فَلَا بَأْسَ بِبَيْعِهِ مِثْلَيْنِ بِمِثْلٍ يَداً بِيَدٍ، فَأَمَّا نَظِرَةً فَلَا يَصْلُحُ</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أخری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لآِخَرَ بِعْنِی ثَمَرَةَ نَخْلِكَ هَذَا الَّذِی فِيهِ بِقَفِيزَيْنِ مِنْ بُرٍّ، أَوْ أَقَلَّ مِنْ ذَلِكَ أَوْ أَكْثَرَ يُسَمِّی مَا شَاءَ فَبَاعَهُ،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الطَّعَامِ وَالتَّمْرِ وَالزَّبِيبِ؟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شَیْ‌ءٌ مِنْهُ اثْنَانِ بِوَاحِدٍ إِلَّا أَنْ يَصْرِفَهُ نَوْعاً إِلَى نَوْعٍ آخَرَ، فَإِذَا صَرَفْتَهُ فَلَا بَأْسَ اثْنَيْنِ بِوَاحِدٍ وَأَكْثَرَ</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أخری عن سماعة عن أبی عبدالله علیه السلام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الْمُخْتَلِفُ مِثْلَانِ بِمِثْلٍ يَداً بِيَدٍ لَا بَأْسَ</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الشَّاةِ بِالشَّاتَيْنِ وَالْبَيْضَةِ بِالْبَيْضَتَيْنِ؟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يَكُنْ كَيْلًا أَوْ وَزْناً</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bookmarkStart w:id="297" w:name="pg7917_85085"/>
    </w:p>
    <w:p>
      <w:pPr>
        <w:pStyle w:val="BookText"/>
        <w:rPr/>
      </w:pPr>
      <w:bookmarkEnd w:id="297"/>
      <w:r>
        <w:rPr>
          <w:rFonts w:ascii="Amiri" w:hAnsi="Amiri" w:eastAsia="Amiri" w:cs="Amiri"/>
          <w:color w:val="111111"/>
          <w:sz w:val="28"/>
          <w:sz w:val="28"/>
          <w:szCs w:val="28"/>
          <w:rtl w:val="true"/>
          <w:lang w:bidi="ar-SA"/>
        </w:rPr>
        <w:t>وما رواه عبدالله بن جعفر في قرب الإسناد عن عبدالله بن الحسن عن جدّه علیّ بن جعفر عن أخيه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سَمْناً فَفَضَلَ لَهُ فَضْلٌ أَ يَحِلُّ أَنْ يَأْخُذَ مَكَانَهُ رِطْلًا أَوْ رِطْلَيْنِ زَيْتاً؟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اخْتَلَفَا وَتَرَاضَيَا فَلَا بَأْسَ</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محمّد بن مسلم في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الشَّيْئَانِ فَلَا بَأْسَ بِهِ مِثْلَيْنِ بِمِثْلٍ يَداً بِيَدٍ</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8" w:name="__RefHeading___Toc6355301_1051229030"/>
      <w:bookmarkStart w:id="299" w:name="_Toc99"/>
      <w:bookmarkEnd w:id="298"/>
      <w:r>
        <w:rPr>
          <w:rtl w:val="true"/>
        </w:rPr>
        <w:t>الثامن من مستثنيات الرّبا جواز أخذه من دون شرط</w:t>
      </w:r>
      <w:r>
        <w:rPr>
          <w:rtl w:val="true"/>
        </w:rPr>
        <w:t>:</w:t>
      </w:r>
      <w:bookmarkEnd w:id="299"/>
    </w:p>
    <w:p>
      <w:pPr>
        <w:pStyle w:val="BookText"/>
        <w:rPr/>
      </w:pPr>
      <w:r>
        <w:rPr>
          <w:rFonts w:ascii="IRNazanin" w:hAnsi="IRNazanin" w:eastAsia="IRNazanin"/>
          <w:color w:val="111111"/>
          <w:sz w:val="28"/>
          <w:sz w:val="28"/>
          <w:szCs w:val="28"/>
          <w:rtl w:val="true"/>
          <w:lang w:bidi="fa-IR"/>
        </w:rPr>
        <w:t xml:space="preserve">إنّ من المسائل الّتي اتفقت عليها الخاصّة وأكثر العامّة، مسألة جواز أو استحباب إعطاء المستقرض غريمه تبرعاً و عن طيب نفسه ومن دون شرط سابق، أزيد من دَينه لما فيه من حسن القضاء، لكنّه استحب للدائن احتسابه حينئذ عوضاً عن طلبه، خلافاً للحنفيّة من العامة حيث أجازوه علی نحو الكراهة إذا اشترط ذلك حين العقد، قال العلامة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دفع إليه أزيد فإن شرط ذلك كان حراماً إجمالاً لما روی الجمهور عن النَّبِیِّ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يجرّ منفعة 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دفع الأزيد في المقدار من غير شرط عن طيبة نفس منه بالتبرّع كان حلالاً إجماعاً، ولم يكره بل كان أفضل للمقترض</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كلام المحقق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النفع حرم الشرط،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بلا خلاف فيه بل الإجماع منّا بقسميه عليه،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إجماع المسلمين لأنّه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تبرّع المقترض بزيادة في العين أو الصفة</w:t>
      </w:r>
    </w:p>
    <w:p>
      <w:pPr>
        <w:pStyle w:val="BookText"/>
        <w:rPr/>
      </w:pPr>
      <w:r>
        <w:rPr>
          <w:rFonts w:ascii="Amiri" w:hAnsi="Amiri" w:eastAsia="Amiri" w:cs="Amiri"/>
          <w:color w:val="111111"/>
          <w:sz w:val="28"/>
          <w:sz w:val="28"/>
          <w:szCs w:val="28"/>
          <w:rtl w:val="true"/>
          <w:lang w:bidi="ar-SA"/>
        </w:rPr>
        <w:t xml:space="preserve">جاز، بل لا أجد فيها خلافاً بيننا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الراحل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تحرم الزيادة مع الشرط، وأمّا بدونه فلا بأس، بل تستحب للمقترض حيث أنّه من حسن القضاء، و خير النّاس أحسنهم قضاء، بل يجوز ذلك إعطاء وأخذاً لو كان الإعطاء لأجل أن يراه المقرض حسن القضاء، فيقرضه كلّما احتاج إلى الاقتراض، أو كان الإقراض لأجل أن ينتفع من المقترض لكونه حسن القضاء، ويكافئ من أحسن إليه بأحسن الجزاء بحيث لو لا ذلك لم يقرضه، نعم يكره أخذه للمقرض خصوصاً إذا كان إقراضه لأجل ذلك، بل يستحب أنّه إذا أعطاه شيئاً بعنوان الهدية ونحوها يحسبه عوض طلبه، بمعنى أنّه يسقط منه بمقداره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الجزيری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الحنفيّة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يتعلّق بالقرض 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يكره أن يقرض شخص لآخر في نظير منفعة، ولكن محلّ ذلك إذا كانت المنفعة مشترطة في العقد كأن يقرضه مثلاً عشرين إردباً من القمح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يأخذ مثلها نظيفاً، أمّا إذا أقرضه شيئاً رديئاً فأعطاه جيّداً بدون شرط فإنّه لا كراهة فيه، والشافعيّة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يفسد القرض بشرط يجرّ منفعة للمقرض كردّ زيادة في القدر أو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ردّ زيادة بلا شرط فحسن، والمالكيّة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إنّه يحرم علی المقرض أن يأخذ هديّة من المقترض إلا إذا كانت له عادة بذلك من قبل، أو طرأ ما يدعو للهديّة كمصاهرة ونحوها، </w:t>
      </w:r>
      <w:bookmarkStart w:id="300" w:name="pg7917_85089"/>
    </w:p>
    <w:p>
      <w:pPr>
        <w:pStyle w:val="BookText"/>
        <w:rPr/>
      </w:pPr>
      <w:bookmarkEnd w:id="300"/>
      <w:r>
        <w:rPr>
          <w:rFonts w:ascii="IRNazanin" w:hAnsi="IRNazanin" w:eastAsia="IRNazanin"/>
          <w:color w:val="111111"/>
          <w:sz w:val="28"/>
          <w:sz w:val="28"/>
          <w:szCs w:val="28"/>
          <w:rtl w:val="true"/>
          <w:lang w:bidi="fa-IR"/>
        </w:rPr>
        <w:t>أمّا الهديّة لأجل الدّين فهی تحرم ظاهراً وباطناً، فإن كانت لمجرد التوادّ والتحابب فإنّها تحلّ باطناً ولكن لا يقرّها القاضی ظاهراً، والحنابلة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لا يجوز أن يشترط في عقد القرض شرطاً يجرّ منفعة للمقرض كأن يشترط المقرض علی المقترض أن يسكنه داراً مجاناً، أو رخيصاً، أو يعطيه خيراً ممّا أخذه منه، أو يهدی إليه هديّة، أو نحو ذلك</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قد استدلّ الإماميّة علی ذلك زائداً علی الإجماع المدعی، بروايات متظافرة، بل متواترة</w:t>
      </w:r>
      <w:r>
        <w:rPr>
          <w:rStyle w:val="FootnoteAnchor"/>
          <w:rtl w:val="true"/>
        </w:rPr>
        <w:footnoteReference w:id="1010"/>
      </w:r>
      <w:r>
        <w:rPr>
          <w:rFonts w:ascii="Amiri" w:hAnsi="Amiri" w:eastAsia="Amiri" w:cs="Amiri"/>
          <w:color w:val="111111"/>
          <w:sz w:val="28"/>
          <w:sz w:val="28"/>
          <w:szCs w:val="28"/>
          <w:rtl w:val="true"/>
          <w:lang w:bidi="ar-SA"/>
        </w:rPr>
        <w:t>، يمكن إدراجها ضمن خمسة طوائف</w:t>
      </w:r>
      <w:r>
        <w:rPr>
          <w:rFonts w:eastAsia="Amiri" w:cs="Amiri" w:ascii="Amiri" w:hAnsi="Amiri"/>
          <w:color w:val="111111"/>
          <w:sz w:val="28"/>
          <w:szCs w:val="28"/>
          <w:rtl w:val="true"/>
          <w:lang w:bidi="ar-SA"/>
        </w:rPr>
        <w:t>:</w:t>
      </w:r>
    </w:p>
    <w:p>
      <w:pPr>
        <w:pStyle w:val="Heading2"/>
        <w:numPr>
          <w:ilvl w:val="1"/>
          <w:numId w:val="1"/>
        </w:numPr>
        <w:rPr/>
      </w:pPr>
      <w:bookmarkStart w:id="301" w:name="__RefHeading___Toc6355303_1051229030"/>
      <w:bookmarkStart w:id="302" w:name="_Toc100"/>
      <w:bookmarkEnd w:id="301"/>
      <w:r>
        <w:rPr>
          <w:rtl w:val="true"/>
        </w:rPr>
        <w:t>الروایات الواردة في المقام</w:t>
      </w:r>
      <w:r>
        <w:rPr>
          <w:rtl w:val="true"/>
        </w:rPr>
        <w:t>:</w:t>
      </w:r>
      <w:bookmarkEnd w:id="302"/>
    </w:p>
    <w:p>
      <w:pPr>
        <w:pStyle w:val="Heading2"/>
        <w:numPr>
          <w:ilvl w:val="1"/>
          <w:numId w:val="1"/>
        </w:numPr>
        <w:rPr/>
      </w:pPr>
      <w:bookmarkStart w:id="303" w:name="__RefHeading___Toc6355305_1051229030"/>
      <w:bookmarkStart w:id="304" w:name="_Toc101"/>
      <w:bookmarkEnd w:id="303"/>
      <w:r>
        <w:rPr>
          <w:rtl w:val="true"/>
        </w:rPr>
        <w:t>الطائفة الأولی</w:t>
      </w:r>
      <w:r>
        <w:rPr>
          <w:rtl w:val="true"/>
        </w:rPr>
        <w:t xml:space="preserve">: </w:t>
      </w:r>
      <w:r>
        <w:rPr>
          <w:rtl w:val="true"/>
        </w:rPr>
        <w:t>ما دلّت علی أنّ خير القرض ما يجرّ منفعة، منها</w:t>
      </w:r>
      <w:r>
        <w:rPr>
          <w:rtl w:val="true"/>
        </w:rPr>
        <w:t>:</w:t>
      </w:r>
      <w:bookmarkEnd w:id="304"/>
    </w:p>
    <w:p>
      <w:pPr>
        <w:pStyle w:val="BookText"/>
        <w:rPr/>
      </w:pPr>
      <w:r>
        <w:rPr>
          <w:rFonts w:ascii="Amiri" w:hAnsi="Amiri" w:eastAsia="Amiri" w:cs="Amiri"/>
          <w:color w:val="111111"/>
          <w:sz w:val="28"/>
          <w:sz w:val="28"/>
          <w:szCs w:val="28"/>
          <w:rtl w:val="true"/>
          <w:lang w:bidi="ar-SA"/>
        </w:rPr>
        <w:t>موثقة بشير بن مَسلمة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مَا جَرَّ الْمَنْفَعَةَ</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محمّد بن 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الْقَرْضِ يَجُرُّ الْمَنْفَعَةَ؟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الَّذِی يَجُرُّ الْمَنْفَعَةَ</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العامة عن النَّبِیِّ صَلَّى اَللَّهُ عَلَيْهِ وَ آلِهِ وَ سَلَّمْ أنّه اقترض بكراً فردّ بازلاً رباعيّاً،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النَّاسِ أَحْسَنُهُمْ قَضاءً</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bookmarkStart w:id="305" w:name="pg7917_85090"/>
    </w:p>
    <w:p>
      <w:pPr>
        <w:pStyle w:val="Heading2"/>
        <w:numPr>
          <w:ilvl w:val="1"/>
          <w:numId w:val="1"/>
        </w:numPr>
        <w:rPr/>
      </w:pPr>
      <w:bookmarkStart w:id="306" w:name="__RefHeading___Toc6355307_1051229030"/>
      <w:bookmarkStart w:id="307" w:name="_Toc102"/>
      <w:bookmarkEnd w:id="305"/>
      <w:bookmarkEnd w:id="306"/>
      <w:r>
        <w:rPr>
          <w:rtl w:val="true"/>
        </w:rPr>
        <w:t>الطائفة الثانية</w:t>
      </w:r>
      <w:r>
        <w:rPr>
          <w:rtl w:val="true"/>
        </w:rPr>
        <w:t xml:space="preserve">: </w:t>
      </w:r>
      <w:r>
        <w:rPr>
          <w:rtl w:val="true"/>
        </w:rPr>
        <w:t>ما دلّت علی الجواز بالمعنی الأعمّ إذا لم يكن بينهما شرط، منها</w:t>
      </w:r>
      <w:r>
        <w:rPr>
          <w:rtl w:val="true"/>
        </w:rPr>
        <w:t>:</w:t>
      </w:r>
      <w:bookmarkEnd w:id="307"/>
    </w:p>
    <w:p>
      <w:pPr>
        <w:pStyle w:val="BookText"/>
        <w:rPr/>
      </w:pPr>
      <w:r>
        <w:rPr>
          <w:rFonts w:ascii="Amiri" w:hAnsi="Amiri" w:eastAsia="Amiri" w:cs="Amiri"/>
          <w:color w:val="111111"/>
          <w:sz w:val="28"/>
          <w:sz w:val="28"/>
          <w:szCs w:val="28"/>
          <w:rtl w:val="true"/>
          <w:lang w:bidi="ar-SA"/>
        </w:rPr>
        <w:t>صحيحة الحلبیّ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أَقْرَضْتَ الدَّرَاهِمَ ثُمَّ جَاءَكَ بِخَيْرٍ مِنْهَا فَلَا بَأْسَ إِذَا لَمْ يَكُنْ بَيْنَكُمَا شَرْطٌ</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إسحاق بن عمّار عن أبی الحسن الكاظم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مَعَ رَجُلٍ مَالٌ قَرْضاً فَيُعْطِيهِ الشَّیْ‌ءَ مِنْ رِبْحِهِ مَخَافَةَ أَنْ يَقْطَعَ ذَلِكَ عَنْهُ فَيَأْخُذَ مَالَهُ مِنْ غَيْرِ أَنْ يَكُونَ شَرَطَ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مَا لَمْ يَكُنْ شَرْطاً</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خالد بن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كَانَتْ لِی عَلَيْهِ مِائَةُ دِرْهَمٍ عَدَداً قَضَانِيهَا مِائَةً وَزْناً؟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يَشْتَرِطْ،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إِنَّمَا يُفْسِدُهُ الشُّرُوطُ</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الحلبیّ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يَسْتَقْرِضُ الدَّرَاهِمَ الْبِيضَ عَدَداً ثُمَّ يُعْطِی سُوداً وَزْناً وَقَدْ عَرَفَ أَنَّهَا أَثْقَلُ مِمَّا أَخَذَ وَتَطِيبُ نَفْسُهُ أَنْ يَجْعَلَ لَهُ فَضْلَهَا؟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لَمْ يَكُنْ فِيهِ شَرْطٌ وَلَوْ وَهَبَهَا لَهُ كُلَّهَا صَلَحَ</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bookmarkStart w:id="308" w:name="pg7917_85093"/>
    </w:p>
    <w:p>
      <w:pPr>
        <w:pStyle w:val="BookText"/>
        <w:rPr/>
      </w:pPr>
      <w:bookmarkEnd w:id="308"/>
      <w:r>
        <w:rPr>
          <w:rFonts w:ascii="Amiri" w:hAnsi="Amiri" w:eastAsia="Amiri" w:cs="Amiri"/>
          <w:color w:val="111111"/>
          <w:sz w:val="28"/>
          <w:sz w:val="28"/>
          <w:szCs w:val="28"/>
          <w:rtl w:val="true"/>
          <w:lang w:bidi="ar-SA"/>
        </w:rPr>
        <w:t>وصحيحة أخری عنه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أَقْرَضْتَ الدَّرَاهِمَ ثُمَّ أَتَاكَ بِخَيْرٍ مِنْهَا فَلَا بَأْسَ إِذَا لَمْ يَكُنْ بَيْنَكُمَا شَرْطٌ</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علیّ بن إبراهيم في تفسيره بإسناده عن حفص بن غياث عن أبی عبدالله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رِبَاءَانِ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رِبًا حَلَالٌ، وَالْآخَرُ حَرَامٌ، فَأَمَّا الْحَلَالُ فَهُوَ أَنْ يُقْرِضَ الرَّجُلُ قَرْضاً طَمَعاً أَنْ يَزِيدَهُ وَيُعَوِّضَهُ بِأَكْثَرَ مِمَّا أَخَذَهُ بِلَا شَرْطٍ بَيْنَهُمَا، فَإِنْ أَعْطَاهُ أَكْثَرَ مِمَّا أَخَذَهُ بِلَا شَرْطٍ بَيْنَهُمَا فَهُوَ مُبَاحٌ لَهُ وَ لَيْسَ لَهُ عِنْدَ اللَّهِ ثَوَابٌ فِيمَا أَقْرَضَهُ،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يَرْبُوا عِنْدَ اللَّهِ</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 وَأَمَّا الرِّبَا الْحَرَامُ فَهُوَ الرَّجُلُ يُقْرِضُ قَرْضاً وَيَشْتَرِطُ أَنْ يَرُدَّ أَكْثَرَ مِمَّا أَخَذَهُ فَهَذَا هُوَ الْحَرَامُ</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9" w:name="__RefHeading___Toc6355309_1051229030"/>
      <w:bookmarkStart w:id="310" w:name="_Toc103"/>
      <w:bookmarkEnd w:id="309"/>
      <w:r>
        <w:rPr>
          <w:rtl w:val="true"/>
        </w:rPr>
        <w:t>الطائفة الثالثة</w:t>
      </w:r>
      <w:r>
        <w:rPr>
          <w:rtl w:val="true"/>
        </w:rPr>
        <w:t xml:space="preserve">: </w:t>
      </w:r>
      <w:r>
        <w:rPr>
          <w:rtl w:val="true"/>
        </w:rPr>
        <w:t>ما دلّت علی الجواز إذا كان ذلك معروفاً بينهما من قبل، منها</w:t>
      </w:r>
      <w:r>
        <w:rPr>
          <w:rtl w:val="true"/>
        </w:rPr>
        <w:t>:</w:t>
      </w:r>
      <w:bookmarkEnd w:id="31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يعقوب بن شعيب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يُسْلِمُ في بَيْعٍ أَوْ تَمْرٍ عِشْرِينَ دِينَاراً وَيُقْرِضُ صَاحِبَ السَّلَمِ عَشَرَةَ دَنَانِيرَ أَوْ عِشْرِينَ دِينَاراً؟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إِذَا كَانَ قَرْضاً يَجُرُّ شَيْئاً فَلَا 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يَأْتِی حَرِيفَهُ وَخَلِيطَهُ فَيَسْتَقْرِضُ مِنْهُ الدَّنَانِيرَ فَيُقْرِضُهُ وَلَوْ لَا أَنْ يُخَالِطَهُ وَيُحَارِفَهُ وَيُصِيبَ عَلَيْهِ لَمْ يُقْرِضْهُ؟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مَعْرُوفاً بَيْنَهُمَا فَلَا بَأْسَ، وَإِنْ كَانَ إِنَّمَا يُقْرِضُهُ مِنْ أَجْلِ أَنَّهُ يُصِيبُ عَلَيْهِ فَلَا يَصْلُحُ</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bookmarkStart w:id="311" w:name="pg7917_85095"/>
    </w:p>
    <w:p>
      <w:pPr>
        <w:pStyle w:val="BookText"/>
        <w:rPr/>
      </w:pPr>
      <w:bookmarkEnd w:id="311"/>
      <w:r>
        <w:rPr>
          <w:rFonts w:ascii="IRNazanin" w:hAnsi="IRNazanin" w:eastAsia="IRNazanin"/>
          <w:color w:val="111111"/>
          <w:sz w:val="28"/>
          <w:sz w:val="28"/>
          <w:szCs w:val="28"/>
          <w:rtl w:val="true"/>
          <w:lang w:bidi="fa-IR"/>
        </w:rPr>
        <w:t>وما رواه المشايخ الثلاثة في كتبهم عن هذيل بن حيّان أخی جعفر بن حيّان الصيرفی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دَفَعْتُ إِلَى أَخِی جَعْفَرٍ مَالًا فَهُوَ يُعْطِينِی مَا أُنْفِقُهُ وَأَحُجُّ مِنْهُ وَأَتَصَدَّقُ، وَقَدْ سَأَلْتُ مَنْ قِبَلَنَا فَذَكَرُوا أَنَّ ذَلِكَ فَاسِدٌ لَا يَحِلُّ، وَأَنَا أُحِبُّ أَنْ أَنْتَهِیَ إِلَى قَوْلِكَ،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أَكَانَ يَصِلُكَ قَبْلَ أَنْ تَدْفَعَ إِلَيْهِ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مَا يُعْطِيكَ فَكُلْ مِنْهُ وَاشْرَبْ وَحُجَّ وَتَصَدَّقْ، فَإِذَا قَدِمْتَ الْعِرَاقَ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أَفْتَانِی بِهَذَا</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2" w:name="__RefHeading___Toc6355311_1051229030"/>
      <w:bookmarkStart w:id="313" w:name="_Toc104"/>
      <w:bookmarkEnd w:id="312"/>
      <w:r>
        <w:rPr>
          <w:rtl w:val="true"/>
        </w:rPr>
        <w:t>الطائفة الرابعة</w:t>
      </w:r>
      <w:r>
        <w:rPr>
          <w:rtl w:val="true"/>
        </w:rPr>
        <w:t xml:space="preserve">: </w:t>
      </w:r>
      <w:r>
        <w:rPr>
          <w:rtl w:val="true"/>
        </w:rPr>
        <w:t>ما دلّت علی كراهة أخذ ذلك، منها</w:t>
      </w:r>
      <w:r>
        <w:rPr>
          <w:rtl w:val="true"/>
        </w:rPr>
        <w:t>:</w:t>
      </w:r>
      <w:bookmarkEnd w:id="313"/>
    </w:p>
    <w:p>
      <w:pPr>
        <w:pStyle w:val="BookText"/>
        <w:rPr/>
      </w:pPr>
      <w:r>
        <w:rPr>
          <w:rFonts w:ascii="Amiri" w:hAnsi="Amiri" w:eastAsia="Amiri" w:cs="Amiri"/>
          <w:color w:val="111111"/>
          <w:sz w:val="28"/>
          <w:sz w:val="28"/>
          <w:szCs w:val="28"/>
          <w:rtl w:val="true"/>
          <w:lang w:bidi="ar-SA"/>
        </w:rPr>
        <w:t>موثقة إسحاق بن عمّار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يَرْهَنُ الْعَبْدَ أَوِ الثَّوْبَ أَوِ الْحلي أَوِ الْمَتَاعَ مِنْ مَتَاعِ الْبَيْتِ، فَيَقُولُ صَاحِبُ الرَّهْنِ 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مِنْ لُبْسِ هَذَا الثَّوْبِ، فَالْبَسِ الثَّوْبَ وَانْتَفِعْ بِالْمَتَاعِ وَاسْتَخْدِمِ 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حَلَالٌ إِذَا أَحَلَّهُ وَمَا أُحِبُّ لَهُ أَنْ يَفْعَلَ</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4" w:name="__RefHeading___Toc6355313_1051229030"/>
      <w:bookmarkStart w:id="315" w:name="_Toc105"/>
      <w:bookmarkEnd w:id="314"/>
      <w:r>
        <w:rPr>
          <w:rtl w:val="true"/>
        </w:rPr>
        <w:t>الطائفة الخامسة</w:t>
      </w:r>
      <w:r>
        <w:rPr>
          <w:rtl w:val="true"/>
        </w:rPr>
        <w:t xml:space="preserve">: </w:t>
      </w:r>
      <w:r>
        <w:rPr>
          <w:rtl w:val="true"/>
        </w:rPr>
        <w:t>ما دلّت علی احتسابه بعنوان الدّين، منها</w:t>
      </w:r>
      <w:r>
        <w:rPr>
          <w:rtl w:val="true"/>
        </w:rPr>
        <w:t>:</w:t>
      </w:r>
      <w:bookmarkEnd w:id="31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غياث بن إبراهيم عن أبی عبدالله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عَلِيّاً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عَلَى رَجُلٍ دَيْناً فَأَهْدَى إِلَیَّ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احْسُبْهُ مِنْ دَيْنِكَ عَلَيْهِ</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bookmarkStart w:id="316" w:name="pg7917_85097"/>
    </w:p>
    <w:p>
      <w:pPr>
        <w:pStyle w:val="Heading2"/>
        <w:numPr>
          <w:ilvl w:val="1"/>
          <w:numId w:val="1"/>
        </w:numPr>
        <w:rPr/>
      </w:pPr>
      <w:bookmarkStart w:id="317" w:name="__RefHeading___Toc6355315_1051229030"/>
      <w:bookmarkStart w:id="318" w:name="_Toc106"/>
      <w:bookmarkEnd w:id="316"/>
      <w:bookmarkEnd w:id="317"/>
      <w:r>
        <w:rPr>
          <w:rtl w:val="true"/>
        </w:rPr>
        <w:t>طريقة الجمع بين الأخبار الواردة في الطوائف الخمسة</w:t>
      </w:r>
      <w:r>
        <w:rPr>
          <w:rtl w:val="true"/>
        </w:rPr>
        <w:t>:</w:t>
      </w:r>
      <w:bookmarkEnd w:id="318"/>
    </w:p>
    <w:p>
      <w:pPr>
        <w:pStyle w:val="BookText"/>
        <w:rPr/>
      </w:pPr>
      <w:r>
        <w:rPr>
          <w:rFonts w:ascii="IRNazanin" w:hAnsi="IRNazanin" w:eastAsia="IRNazanin"/>
          <w:color w:val="111111"/>
          <w:sz w:val="28"/>
          <w:sz w:val="28"/>
          <w:szCs w:val="28"/>
          <w:rtl w:val="true"/>
          <w:lang w:bidi="fa-IR"/>
        </w:rPr>
        <w:t>ثمّ إنّا إذا تأملنا الأخبار الواردة في المقام وننظر بعضها مع بعض، نستنتج أنّ الطائفة الأولی منها بقرينة ما دلّت من العمومات الدالّة علی حرمة الرّباء والزيّادة في القرض، بأنّها ناظرة إلی فعل المقترض فيما إذا لم يكن هناك شرط حين العقد، بل إنّما أعطاه المستقرض بطيب نفسه واختياره كما صرّحت بذلك الرّوايات في الطائفة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دلّت علی كراهة أخذه، أو احتسابه بعنوان الدّين في الأخيرتين فإنّها ناظرة إلی فعل الدائن، وأنّ الأمر الوارد في الأخير بقرينة الطوائف السابقة ولا سيّما الرابعة يحمل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دلّت في الطائفة الثالثة علی جوازه إذا كان ذلك معروفاً بينهما من قبل، فبقرينة ما تقدّم في الطائفة الثانية من جواز أخذه إذا لم هناك شرط، وما يأتی في الطائفة الرابعة من كراهة أخذه من جانب الدائن يحمل علی عدم كراهته فيما إذا لم يكن للقرض فيه دخل أصلاً، بل وهبه كما يهبه قبل ذلك، وإلا كان مكروهاً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مانع من كون فعل من ناحية شخص مندوباً وأنّه بعينه من جانب آخر مكروهاً، فإذا لم يكن هناك شرط ولا يكون ذلك معروفاً بينهما من قبل فإنّه يستحب إعطائه للمستقرض من باب إجزاء المحسن بالإحسان وشكر المنعم، لكنّه يكره حينئذ للدائن أخذه هديّة لنفسه، بل يحتسبه بعنوان بعض طلبه</w:t>
      </w:r>
      <w:r>
        <w:rPr>
          <w:rFonts w:eastAsia="Amiri" w:cs="Amiri" w:ascii="Amiri" w:hAnsi="Amiri"/>
          <w:color w:val="111111"/>
          <w:sz w:val="28"/>
          <w:szCs w:val="28"/>
          <w:rtl w:val="true"/>
          <w:lang w:bidi="ar-SA"/>
        </w:rPr>
        <w:t xml:space="preserve">. </w:t>
      </w:r>
      <w:bookmarkStart w:id="319" w:name="pg7917_85099"/>
    </w:p>
    <w:p>
      <w:pPr>
        <w:pStyle w:val="Heading2"/>
        <w:numPr>
          <w:ilvl w:val="1"/>
          <w:numId w:val="1"/>
        </w:numPr>
        <w:rPr/>
      </w:pPr>
      <w:bookmarkStart w:id="320" w:name="__RefHeading___Toc6355317_1051229030"/>
      <w:bookmarkStart w:id="321" w:name="_Toc107"/>
      <w:bookmarkEnd w:id="319"/>
      <w:bookmarkEnd w:id="320"/>
      <w:r>
        <w:rPr>
          <w:rtl w:val="true"/>
        </w:rPr>
        <w:t>التاسع من مستثنيات الرّبا</w:t>
      </w:r>
      <w:r>
        <w:rPr>
          <w:rtl w:val="true"/>
        </w:rPr>
        <w:t>:</w:t>
      </w:r>
      <w:bookmarkEnd w:id="321"/>
    </w:p>
    <w:p>
      <w:pPr>
        <w:pStyle w:val="BookText"/>
        <w:rPr/>
      </w:pPr>
      <w:r>
        <w:rPr>
          <w:rFonts w:ascii="Amiri" w:hAnsi="Amiri" w:eastAsia="Amiri" w:cs="Amiri"/>
          <w:color w:val="111111"/>
          <w:sz w:val="28"/>
          <w:sz w:val="28"/>
          <w:szCs w:val="28"/>
          <w:rtl w:val="true"/>
          <w:lang w:bidi="ar-SA"/>
        </w:rPr>
        <w:t>جواز أخذه في قالب النقد والنسيئة والبيع بالأقساط</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الطرق المانعة عن الابتلاء بالرّبا اختصاص التسهيلات بصورة البيع وهو في الحقيقة خارج عن عنوانه موضوعاً وحكماً، فإذا طلب مستقرض من الأشخاص الحقيقيّة أو المؤسّسات الحقوقيّة الماليّة مالاً بعنوان القرض ليصرفه في جهة من حاجاته، يجوز لهم أن يخصّهم ذلك المال حسب المقتضيات والظروف في قالب بعض العقود الشرعيّة غير القرض، كالمشاركة والمضاربة والجعالة وأمثالها، ويكون أخذ الربح بإزائها حينئذ علی ما ثبت في مباحثها جائزاً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النقد والنسيئة والبيع بالأقساط الرائجتان بين النّاس في معاملاتهم من قديم الأيّام إلی زماننا هذا وتبعاً لبعض الدواعی والأغراض العقلائيّة، وحيث كان للأجل قسطاً من الثمن يبذل بإزائه من الثمن فيهما عادتاً أكثر ممّا يبذل منه في النقد، وبنسبة مدّة وصوله زماناً تقلّ القيمة وتكثر، وهذه الزيادة إذا كان الأجل مضبوطاً ولم يكن البيع مردداً بين النقد والنسيئة أو الآجال المتعددة مشروعة لكونها حاصلة من جهة البيع لا القرض، أو الرّبا المعاملی الّذی يعتبر فيه اتحاد </w:t>
      </w:r>
    </w:p>
    <w:p>
      <w:pPr>
        <w:pStyle w:val="BookText"/>
        <w:rPr/>
      </w:pPr>
      <w:r>
        <w:rPr>
          <w:rFonts w:ascii="IRNazanin" w:hAnsi="IRNazanin" w:eastAsia="IRNazanin"/>
          <w:color w:val="111111"/>
          <w:sz w:val="28"/>
          <w:sz w:val="28"/>
          <w:szCs w:val="28"/>
          <w:rtl w:val="true"/>
          <w:lang w:bidi="fa-IR"/>
        </w:rPr>
        <w:t>الجنسين إذا كانا من قبيل المكيل أو الموزون، إلی ذلك أشار المفيد رحمه الله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 البيع بأجلين على التخيير كقولهم هذا المتاع بدرهم نقداً وبدرهمين إلى شهر أو إلى سنة، أو بدرهم إلى شهر واثنين إلى شهرين، فإن ابتاع إنسان شيئاً على هذا الشرط كان عليه أقلّ الثمنين في آخر الأجلين</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البيع نقداً ونسيئة معاً، وأن يكون ما يبيعه بالنسيئة أكثر ثمناً ممّا لو</w:t>
      </w:r>
    </w:p>
    <w:p>
      <w:pPr>
        <w:pStyle w:val="BookText"/>
        <w:rPr/>
      </w:pPr>
      <w:r>
        <w:rPr>
          <w:rFonts w:ascii="Amiri" w:hAnsi="Amiri" w:eastAsia="Amiri" w:cs="Amiri"/>
          <w:color w:val="111111"/>
          <w:sz w:val="28"/>
          <w:sz w:val="28"/>
          <w:szCs w:val="28"/>
          <w:rtl w:val="true"/>
          <w:lang w:bidi="ar-SA"/>
        </w:rPr>
        <w:t xml:space="preserve">باعه نقداً إذا عرف المتبايعان القيمة من غير كراهة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ما لو اشتری سلعة بثمن نسيئة إلی أجل معيّن، ثمّ باعها بصاحبه أو غيره بثمن أقلّ منها نقداً، فقال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باع سلعةً بثمن مؤجّل ثمّ اشتراها قبل قبض الثمن بأقلّ من ذلك الثمن، جاز، وكذا لو باعها بثمن نقداً واشتراها بأكثر منه إلىٰ أجل، جاز، سواء كان قد قبض الثمن أو لم يقبض، وبه قال الشافعی، لأنّ البيع ناقل والعين قابلة للنقل دائماً، والمتبايعان من أهل العقد، فكان صحيحاً؛ عملًا بالمقتضی السالم عن 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ثمن يجوز بيع السلعة به من غير بائعها، فجاز بيعها به من بائعها، كما لو كان باعه بسلعة أو بمثل الثمن</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322" w:name="pg7917_85103"/>
    </w:p>
    <w:p>
      <w:pPr>
        <w:pStyle w:val="BookText"/>
        <w:rPr/>
      </w:pPr>
      <w:bookmarkEnd w:id="322"/>
      <w:r>
        <w:rPr>
          <w:rFonts w:ascii="IRNazanin" w:hAnsi="IRNazanin" w:eastAsia="IRNazanin"/>
          <w:color w:val="111111"/>
          <w:sz w:val="28"/>
          <w:sz w:val="28"/>
          <w:szCs w:val="28"/>
          <w:rtl w:val="true"/>
          <w:lang w:bidi="fa-IR"/>
        </w:rPr>
        <w:t>وكيف كان إنّه يمكن أن يستدل علی ذلك زائداً علی أصالة الجواز وعدم كونها من مصاديق الرّبا، بما يستدل به علی جواز تلك العقود</w:t>
      </w:r>
      <w:r>
        <w:rPr>
          <w:rFonts w:eastAsia="IRNazanin" w:cs="IRNazanin"/>
          <w:color w:val="111111"/>
          <w:sz w:val="28"/>
          <w:szCs w:val="28"/>
          <w:rtl w:val="true"/>
          <w:lang w:bidi="fa-IR"/>
        </w:rPr>
        <w:t>.</w:t>
      </w:r>
    </w:p>
    <w:p>
      <w:pPr>
        <w:pStyle w:val="Heading2"/>
        <w:numPr>
          <w:ilvl w:val="1"/>
          <w:numId w:val="1"/>
        </w:numPr>
        <w:rPr/>
      </w:pPr>
      <w:bookmarkStart w:id="323" w:name="__RefHeading___Toc6355319_1051229030"/>
      <w:bookmarkStart w:id="324" w:name="_Toc108"/>
      <w:bookmarkEnd w:id="323"/>
      <w:r>
        <w:rPr>
          <w:rtl w:val="true"/>
        </w:rPr>
        <w:t>العاشر من مستثنيات الرّبا جواز أخذه في قالب الإجارة أو البيع بشرط القرض</w:t>
      </w:r>
      <w:r>
        <w:rPr>
          <w:rtl w:val="true"/>
        </w:rPr>
        <w:t>:</w:t>
      </w:r>
      <w:bookmarkEnd w:id="324"/>
    </w:p>
    <w:p>
      <w:pPr>
        <w:pStyle w:val="BookText"/>
        <w:rPr/>
      </w:pPr>
      <w:r>
        <w:rPr>
          <w:rFonts w:ascii="IRNazanin" w:hAnsi="IRNazanin" w:eastAsia="IRNazanin"/>
          <w:color w:val="111111"/>
          <w:sz w:val="28"/>
          <w:sz w:val="28"/>
          <w:szCs w:val="28"/>
          <w:rtl w:val="true"/>
          <w:lang w:bidi="fa-IR"/>
        </w:rPr>
        <w:t xml:space="preserve">إنّ من المسائل المبتلی بها بين المؤجرين والمستأجرين في هذه الأزمنة،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والإجارة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أن يعطی المستأجر بموجره مبلغاً ليقلّ بنسبته من مبلغ الإجارة، في حين أنّها في الحقيقة قرض وإجارة لما ثبت في محلّه أنّ الرّهن أمانة في يد المرتهن لا يجوز له أن يتصرّف فيه تصرّفاً مزيلة للعين، بل لا يجوز له أن يتصرّف فيه من دون إذن منه وإن كان غير مزيل، وحيث يعامل معه الموجرين معاملة القرض فيترتب عليه أحكامه، فبناء على ذلك لو أقرض المستأجر أو المشتری مبلغاً وشرط على المؤجر أو المالك تقليل مبلغ الإجارة أو البيع كان من قبيل الزيادة الانتفاعية ويشمله أدلة حرمة الرّبا الّتي لا خلاف في حرمته بين الخاصة والعامة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لكنّه لو أجار المؤجر ملكه أو باع البائغ ماله بأقلّ من قيمته السوقية، وشرطا على المستأجر أو المشتری أن يقرضه مبلغاً معيّناً، فتقليل الثمن حينئذ يكون من باب تخفيف من جانب المؤجر أو البائع لمبلغ الإجارة أو ثمن المبيع، لا الشرط الممنوع من جانب المقرض، وهو جائز عند الإماميّة وأكثر العامة، بل الدعی عليه الإجماع عندنا، وقد أشار إليه المفيد رحمه الله حيث قال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يبتاع الإنسان من غيره متاعاً أو حيواناً أو عقاراً بالنقد والنسية معاً على أن يسلف البائع شيئاً في مبيع، أو يستسلف منه في مبيع، أو يقرضه مائة درهم إلى أجل، أو يستقرض منه، وقد أنكر ذلك جماعة من أهل الخلاف ولسنا نعرف لهم حجة في الإنكار، وذلك أنّ </w:t>
      </w:r>
    </w:p>
    <w:p>
      <w:pPr>
        <w:pStyle w:val="BookText"/>
        <w:rPr/>
      </w:pPr>
      <w:r>
        <w:rPr>
          <w:rFonts w:ascii="Amiri" w:hAnsi="Amiri" w:eastAsia="Amiri" w:cs="Amiri"/>
          <w:color w:val="111111"/>
          <w:sz w:val="28"/>
          <w:sz w:val="28"/>
          <w:szCs w:val="28"/>
          <w:rtl w:val="true"/>
          <w:lang w:bidi="ar-SA"/>
        </w:rPr>
        <w:t>البيع وقع على حلال والسّلف والقرض جائزان، واشتراطهما في عقد البيع غير مفسد له بحال</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يكره البيع والسلف في عقد واحد، وليس بمحظور ولا فاسد، وهو أن يبيع داراً على أن يقرض المشتری ألف درهم، أو يقرضه البائع ألف درهم، وليس ذلك بمحظور، 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وأيضاً الأصل الإباحة، والمنع يحتاج إلى دليل، وأيضاً البيع صحيح بالانفراد، والقرض صحيح مثله، فمن ادّعى أنّ الجمع بينهما فاسد فعليه الدلالة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الأقوى حرمة القرض بشرط البيع محاباة أو الإجارة أو غيرها من العقود، فضلاً عن الهبة ونحوها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الراحل قدس سره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يجوز شرط الزيادة بأن يقرض مالاً على أن يؤدّی المقترض أزيد ممّا اقترضه، سواء اشتراطاه صريحاً أو أضمراه بحيث وقع القرض مبنيّاً عليه، وهذا هو الرّبا القرضى المحرّم الّذی ورد التشديد عليه، ولا فرق في الزيادة بين أن تكون عينية كعشرة دراهم باثني عشر، أو عملاً كخياطة ثوب له، أو منفعة، أو انتفاعاً كالانتفاع بالعين المرهونة عنده، أو صفة مثل أن يقرضه دراهم مكسورة على أن يؤدّيها صحيحة، وكذا لا فرق بين أن يكون المال المقترض ربويّاً بأن كان من المكيل والموزون، وغيره بأن كان معدوداً كالجوز والبيض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أقرضه وشرط عليه أن يبيع منه شيئاً بأقلّ من قيمته، أو يؤاجره بأقلّ من أجرته كان داخلاً في شرط الزيادة، نعم لو باع المقترض من المقرض مالاً بأقلّ من قيمته وشرط عليه أن يقرضه مبلغاً معيناً لا بأس به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قدامة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 قرض شرط فيه أن يزيده فهو حرام بغير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شرط أن يؤجره داره بأقلّ من أجرتها، أو على أن يستأجر دار المقرض بأكثر من أجرتها، أو على أن يهدی له هدية، أو يعمل له عملاً كان أبلغ في التحريم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شرط في القرض أن يوفّيه أنقص ممّا أقرضه وكان ذلك ممّا يجری فيه الرّبا لم يجز لإفضائه إلى فوات المماثلة فيما هی شرط فيه، وإن كان في غيره لم يجز أيضاً، وهو أحد الوجهين لأصحاب الشافعی، وفی الوجه الآخر يجوز، لأنّ القرض جُعل للرفق بالمستقرض، وشرط النقصان لا يخرجه عن موضوعه، بخلاف الزيادة، 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القرض يقتضی المثل، فشرط النقصان يخالف مقتضاه، فلم يجز كشرط الزيادة</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إنّه قد استدل الإمامية على جواز الأجارة أو البيع بشرط القرض زائدة على الإجماع بروايات متظافرة منها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سَلْسَبِيلَ طَلَبَتْ مِنِّی مِائَةَ أَلْفِ دِرْهَمٍ عَلَى أَنْ تُرْبِحَنِی عَشَرَةَ آلَافٍ فَأُقْرِضُهَا تِسْعِينَ أَلْفاً وَأَبِيعُهَا ثَوْبَ وَشْیٍ تُقَوَّمُ بِأَلْفِ دِرْهَمٍ بِعَشَرَةِ آلَافِ 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وصحيحة أخری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الْمَالُ فَيَدْخُلُ عَلَى صَاحِبِهِ يَبِيعُهُ لُؤْلُؤَةً تَسْوَى مِائَةَ دِرْهَمٍ بِأَلْفِ دِرْهَمٍ وَيُؤَخِّرُ عَنْهُ الْمَالَ إِلَى 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قَدْ أَمَرَنِی أَبِی فَفَعَلْتُ ذَلِكَ</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عبد الملك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يُرِيدُ أَنْ أُعَيِّنَهُ الْمَالَ أَوْ يَكُونُ لِی عَلَيْهِ مَالٌ قَبْلَ ذَلِكَ، فَيَطْلُبُ مِنِّی مَالًا أَزِيدُهُ عَلَى مَالِیَ الَّذِی لِی عَلَيْهِ، أَ يَسْتَقِيمُ أَنْ أَزِيدَهُ مَالًا وَأَبِيعَهُ لُؤْلُؤَةً تَسْوَى مِائَةَ دِرْهَمٍ بِأَلْفِ دِرْهَمٍ،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هَذِهِ اللُّؤْلُؤَةَ بِأَلْفِ دِرْهَمٍ عَلَى أَنْ أُؤَخِّرَكَ بِثَمَنِهَا وَبِمَالِی عَلَيْكَ كَذَا وَكَذَا شَهْراً؟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رَجُلٌ لَهُ مَالٌ عَلَى رَجُلٍ مِنْ قِبَلِ عِينَةٍ عَيَّنَهَا إِيَّاهُ، فَلَمَّا حَلَّ عَلَيْهِ الْمَالُ لَمْ يَكُنْ عِنْدَهُ مَا يُعْطِيهِ، فَأَرَادَ أَنْ يَقْلِبَ عَلَيْهِ وَيَرْبَحَ، أَ يَبِيعُهُ لُؤْلُؤاً أَوْ غَيْرَ ذَلِكَ مَا يَسْوَى مِائَةَ دِرْهَمٍ بِأَلْفِ دِرْهَمٍ وَيُؤَخِّرُهُ؟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قَدْ فَعَلَ ذَلِكَ أَبِی رَضِیَ اللَّهُ عَنْهُ، وَأَمَرَنِی أَنْ أَفْعَلَ ذَلِكَ في شَیْ‌ءٍ كَانَ عَلَيْهِ</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محمّد بن سليمان الديلمی عن أبيه عن رجل كتب إلى العبد الصالح علیه السلام يَسْأَلُهُ أَنِّی أُعَامِلُ قَوْماً أَبِيعُهُمُ الدَّقِيقَ أَرْبَحُ عَلَيْهِمْ في الْقَفِيزِ دِرْهَمَيْنِ إِلَى أَجَلٍ مَعْلُومٍ، وَأَنَّهُمْ سَأَلُونِی أَنْ أُعْطِيَهُمْ عَنْ نِصْفِ الدَّقِيقِ دَرَاهِمَ، فَهَلْ مِنْ </w:t>
      </w:r>
    </w:p>
    <w:p>
      <w:pPr>
        <w:pStyle w:val="BookText"/>
        <w:rPr/>
      </w:pPr>
      <w:r>
        <w:rPr>
          <w:rFonts w:ascii="Amiri" w:hAnsi="Amiri" w:eastAsia="Amiri" w:cs="Amiri"/>
          <w:color w:val="111111"/>
          <w:sz w:val="28"/>
          <w:sz w:val="28"/>
          <w:szCs w:val="28"/>
          <w:rtl w:val="true"/>
          <w:lang w:bidi="ar-SA"/>
        </w:rPr>
        <w:t>حِيلَةٍ لَا أَدْخُلُ في الْحَرَامِ؟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أَقْرِضْهُمُ الدَّرَاهِمَ قَرْضاً، وَازْدَدْ عَلَيْهِمْ في نِصْفِ الْقَفِيزِ بِقَدْرِ مَا كُنْتَ تَرْبَحُ عَلَيْهِمْ</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 أنّه يستفاد منها جواز كون البيع مشروطاً بالقرض، لكن يقابلها صحيحة يعقوب بن شعيب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يُسْلِمُ في بَيْعٍ أَوْ تَمْرٍ عِشْرِينَ دِينَاراً وَيُقْرِضُ صَاحِبَ السَّلَمِ عَشَرَةَ دَنَانِيرَ أَوْ عِشْرِينَ دِينَاراً؟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إِذَا كَانَ قَرْضاً يَجُرُّ شَيْئاً فَلَا 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يَأْتِی حَرِيفَهُ وَخَلِيطَهُ فَيَسْتَقْرِضُ مِنْهُ الدَّنَانِيرَ فَيُقْرِضُهُ، وَلَوْ لَا أَنْ يُخَالِطَهُ وَيُحَارِفَهُ وَيُصِيبَ عَلَيْهِ لَمْ يُقْرِضْهُ؟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مَعْرُوفاً بَيْنَهُمَا فَلَا بَأْسَ، وَإِنْ كَانَ إِنَّمَا يُقْرِضُهُ مِنْ أَجْلِ أَنَّهُ يُصِيبُ عَلَيْهِ فَلَا يَصْلُحُ</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والتحقيق أنّه حيث بعد ما كان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نصّاً في التحريم أن يحمل على الكراهة، وذلك لأنّ القول بالجواز هو المفتی بها عند الإمامية أوّلاً، وقد دلّت عليه الروايات المتظافرة المتقدمة ثانياً، ولذا ﻿حمله الأصحاب على الكراهة أو التقيّة لموافقته لما ذهب إليه بعض العامة، إلى ذلك أشار الفيض الكاشانی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الخبر يحتمل الكراهة والاشتراط والتقيّة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أقلّ من الشك فيرجع فيه إلى الأصل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بحمد الله والمنّة ما أردنا أن نبحث عنه حول موضوع الرّبا حكمه، أقسامه ومستثنياته</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7917_85115"/>
      <w:bookmarkStart w:id="326" w:name="pg7917_85115"/>
      <w:bookmarkEnd w:id="32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7" w:name="pg7917_85115"/>
      <w:bookmarkStart w:id="328" w:name="__RefHeading___Toc6355321_1051229030"/>
      <w:bookmarkStart w:id="329" w:name="_Toc109"/>
      <w:bookmarkEnd w:id="327"/>
      <w:bookmarkEnd w:id="328"/>
      <w:r>
        <w:rPr>
          <w:rtl w:val="true"/>
        </w:rPr>
        <w:t>المقالة السابعة</w:t>
      </w:r>
      <w:r>
        <w:rPr>
          <w:rtl w:val="true"/>
        </w:rPr>
        <w:t>:</w:t>
      </w:r>
      <w:r>
        <w:rPr>
          <w:rtl w:val="true"/>
        </w:rPr>
        <w:t>فيما يشترط في صحّة الإجارة من ناحية المتعاقدين،والعين المستأجرة، والمنفعة، والأجرة</w:t>
      </w:r>
      <w:bookmarkEnd w:id="32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7917_85118"/>
      <w:bookmarkStart w:id="331" w:name="pg7917_85118"/>
      <w:bookmarkEnd w:id="331"/>
    </w:p>
    <w:p>
      <w:pPr>
        <w:pStyle w:val="BookText"/>
        <w:rPr/>
      </w:pPr>
      <w:bookmarkStart w:id="332" w:name="pg7917_85118"/>
      <w:bookmarkEnd w:id="332"/>
      <w:r>
        <w:rPr>
          <w:rFonts w:ascii="IRNazanin" w:hAnsi="IRNazanin" w:eastAsia="IRNazanin"/>
          <w:color w:val="111111"/>
          <w:sz w:val="28"/>
          <w:sz w:val="28"/>
          <w:szCs w:val="28"/>
          <w:rtl w:val="true"/>
          <w:lang w:bidi="fa-IR"/>
        </w:rPr>
        <w:t>إنّ الشرائط المعتبرة في المقام إمّا راجعة إلى المتعاقدين، أو إلى العين المستأجرة، أو إلى المنفعة المقصودة منها، أو إلى الأجرة المقابلة لها، نبحث عنها إن شاءالله تعالی طیّ فروع أربعة</w:t>
      </w:r>
      <w:r>
        <w:rPr>
          <w:rFonts w:eastAsia="IRNazanin" w:cs="IRNazanin"/>
          <w:color w:val="111111"/>
          <w:sz w:val="28"/>
          <w:szCs w:val="28"/>
          <w:rtl w:val="true"/>
          <w:lang w:bidi="fa-IR"/>
        </w:rPr>
        <w:t>:</w:t>
      </w:r>
    </w:p>
    <w:p>
      <w:pPr>
        <w:pStyle w:val="Heading2"/>
        <w:numPr>
          <w:ilvl w:val="1"/>
          <w:numId w:val="1"/>
        </w:numPr>
        <w:rPr/>
      </w:pPr>
      <w:bookmarkStart w:id="333" w:name="__RefHeading___Toc6355323_1051229030"/>
      <w:bookmarkStart w:id="334" w:name="_Toc110"/>
      <w:bookmarkEnd w:id="333"/>
      <w:r>
        <w:rPr>
          <w:rtl w:val="true"/>
        </w:rPr>
        <w:t>الأوّل</w:t>
      </w:r>
      <w:r>
        <w:rPr>
          <w:rtl w:val="true"/>
        </w:rPr>
        <w:t xml:space="preserve">: </w:t>
      </w:r>
      <w:r>
        <w:rPr>
          <w:rtl w:val="true"/>
        </w:rPr>
        <w:t>ما يشترط فيها من ناحية المتعاقدين</w:t>
      </w:r>
      <w:r>
        <w:rPr>
          <w:rtl w:val="true"/>
        </w:rPr>
        <w:t>:</w:t>
      </w:r>
      <w:bookmarkEnd w:id="334"/>
    </w:p>
    <w:p>
      <w:pPr>
        <w:pStyle w:val="BookText"/>
        <w:rPr/>
      </w:pPr>
      <w:r>
        <w:rPr>
          <w:rFonts w:ascii="IRNazanin" w:hAnsi="IRNazanin" w:eastAsia="IRNazanin"/>
          <w:color w:val="111111"/>
          <w:sz w:val="28"/>
          <w:sz w:val="28"/>
          <w:szCs w:val="28"/>
          <w:rtl w:val="true"/>
          <w:lang w:bidi="fa-IR"/>
        </w:rPr>
        <w:t>أمّا ما يشترط فيه من ناحية المتعاقدين فيشترط في طرفي العقد في كلّ عقد من العقود المالية شروط يعبّر عنها بالشرائط العامة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والعقل، والقصد، والإختيار، والرشد، وعدم الحجر، من دون فرق فيها بين كونه بيعاً أو إجارة أو مضاربة ونحوها، قد بحث عنها الفقهاء غالباً في أبواب مختلفة من الكتب الفقهية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أرسلوه بعض منهم إرسال المسلمات، وقد صرّح أيضاً بعدم الخلاف أو الإجماع بعض آخر، قال المحقق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شرائطها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المتعاقدان كاملين جائزي التصرف، فلو آجر المجنون لم تنعقد إجارته وكذا الصبیّ غير المميز، وكذا المميّز إلا بإذن وليه، وفيه تردّد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المتعاقدان جائزي التصرف</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 خلاف، بل في الغنية عليه الإجماع، لعموم أدلة الحجر على غيرهما، فلا تصحّ إجارة الصبیّ مطلقاً وإن كان مميزاً وأذن له الولیّ على </w:t>
      </w:r>
    </w:p>
    <w:p>
      <w:pPr>
        <w:pStyle w:val="BookText"/>
        <w:rPr/>
      </w:pPr>
      <w:r>
        <w:rPr>
          <w:rFonts w:ascii="IRNazanin" w:hAnsi="IRNazanin" w:eastAsia="IRNazanin"/>
          <w:color w:val="111111"/>
          <w:sz w:val="28"/>
          <w:sz w:val="28"/>
          <w:szCs w:val="28"/>
          <w:rtl w:val="true"/>
          <w:lang w:bidi="fa-IR"/>
        </w:rPr>
        <w:t xml:space="preserve">الأقوى، ولا المجنون مطلقاً، ولا المحجور عليه بدون إذن الولیّ أو من في حكمه، لامطلقاً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مبحث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كلام المحقق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الشروط فمنها ما يتعلّق بالمتعاقدين، وهو البلوغ والعقل والاختيار، فلا يصحّ بيع الصبیّ ولا شراؤه،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معتد به أجده فيه، بل الإجماع بقسميه عليه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تعرض لها إجمالاً في مبحث الإجارة منه اتّكالاً لما بيّنه في مبحث البيع</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مبحث المفلس من كتابه بعد نقل كلام المحقق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حجر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منع التصرف لتعلّق حقّ الغرماء، واختصاص كلّ غريم بعين ماله، و قسمة أمواله بين غرمائه،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خلاف بين الأصحاب في أنّه يمنع من التصرف</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الراحل قدس سره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يشترط في صحّة الإجارة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في المتعاقدين أعنی المؤجر والمستأجر، وبعضها في العين المستأجرة، وبعضها في المنفعة ، وبعضها في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المتعاقدان، فيعتبر فيهما ما اعتبر في المتبايعين من البلوغ والعقل والقصد والاختيار وعدم الحجر الفلس أو سفه ونحوهما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أشار إلى هذه الشرائط إجمالاً القرطبی من العامة في مبحث الإجارات من كتابه،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والنظر في هذا الكتاب شبيه بالنظر في البيوع، أعنی إنّ أصوله تنحصر بالنظر في أنواعها، وفی شروط الصحّة فيها والفساد، وفی أحكامها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مبحث الحجر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العلماء على وجوب الحجر على الأيتام الّذين لم يبلغوا الحلم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واختلفوا في الحجر على العقلاء الكبّار إذا ظهر منهم تبذير أموالهم، فذهب مالك والشافعی وأهل المدينة وكثير من أهل العراق إلى جواز ابتداء الحجر عليهم بحكم الحاكم، وكذلك إذا ثبت عنده سفهم وأعذر إليهم فلم يكن عندهم مدفع، وهو رأی ابن عباس وابن زبير، وذهب أبو حنيفة وجماعة من أهل العراق إلى أنّه لا يبتدأ الحجر علی الكبّار، وهو قول إبراهيم وابن سيرين، وهؤلاء انقسموا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لا يجوز عليهم بعد البلوغ بحال وإن ظهر منهم التبذير،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استصحبوا التبذير من الصّغر يستمرّ عليهم وإن ظهر منه رشد بعد البلوغ ثمّ ظهر منهم 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 هو المؤثر في منع التصرف بالمال، بدليل تأثيره في إسقاط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اعتبر الصّغر، لأنّه الّذی يوجد فيه السفه غالباً، كما يوجد فيه نقص العقل غالباً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الباب الثانی من أبواب الطلاق</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واتّفقوا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المطلِّق الجائز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العاقل البالغ الحرّ غير المكروه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فأمّا طلاق المكره فإنّه غير واقع عند مالك والشافعی وأحمد وداود وجماعة وبه قال عبدالله عمر وابن زبير وعمربن الخطاب وعلیّ بن أبی طالب وابن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أبوحنيفة </w:t>
      </w:r>
    </w:p>
    <w:p>
      <w:pPr>
        <w:pStyle w:val="BookText"/>
        <w:rPr/>
      </w:pP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واقع، وكذلك عتقه دون بيعه، ففرّقوا بين البيع والطلاق والعتق</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وتعرّض الجزيری منهم أيضاً للشروط المعتبرة في المقام عند المذاهب مفصلاً في مبحث الإجارة من كتابه، وقال في مبحث الحجر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ويحجر على المدين في تصرفاته المالية حتّى لا تضيع على النّاس حقوقهم وأموالهم الّتي استندانها منهم، ثمّ ذكر اتفاق المذاهب علی ذلك</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الركن الثانی من أركان البيع</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العاقد، وأمّا العاقد سواء كان بائعاً أو مشترياً فإنّه يشترط له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مميزاً، فلا ينعقد بيع الصبی الّذی لا يميز، وكذلك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العاقد مختاراً، فلا ينعقد بيع المكره ولا شراؤه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بِالْبَاطِلِ 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 xml:space="preserve">، وقول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 عن تَراضٍ</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335" w:name="pg7917_85126"/>
    </w:p>
    <w:p>
      <w:pPr>
        <w:pStyle w:val="Heading2"/>
        <w:numPr>
          <w:ilvl w:val="1"/>
          <w:numId w:val="1"/>
        </w:numPr>
        <w:rPr/>
      </w:pPr>
      <w:bookmarkStart w:id="336" w:name="__RefHeading___Toc6355325_1051229030"/>
      <w:bookmarkStart w:id="337" w:name="_Toc111"/>
      <w:bookmarkEnd w:id="335"/>
      <w:bookmarkEnd w:id="336"/>
      <w:r>
        <w:rPr>
          <w:rtl w:val="true"/>
        </w:rPr>
        <w:t>ما يستدل به على ما يشترط في المتعاقدين</w:t>
      </w:r>
      <w:r>
        <w:rPr>
          <w:rtl w:val="true"/>
        </w:rPr>
        <w:t>:</w:t>
      </w:r>
      <w:bookmarkEnd w:id="33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استدلّ على اشتراط هذه الأمور زائداً على ما تقدّم من إرساله إرسال المسلمات ودعوى الإجماع عليه، بالكتاب والسنة، أمّا الكتاب فقوله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بتقريب أنّه سبحانه قد أمر بدفع أموال اليتامى إليهم بعد بلوغهم واستئناس رشدهم، وعبّر عن الشرط الأوّل ببلوغ النكاح، كما أشار إليه أيضاً ببلوغهم زمان الإحتلام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بَلَغَ الْأَطْفالُ مِنْكُمُ الْحُلُمَ فَلْيَسْتَأْذِنُوا كَمَا اسْتَأْذَنَ الَّذينَ مِنْ قَبْلِهِمْ كَذلِكَ يُبَيِّنُ اللَّهُ لَكُمْ آياتِهِ وَاللَّهُ عَليمٌ حَكيمٌ</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الّذی هو كناية عن خروج المنی ويكون من إحدى علامات البلوغ، وصرّح به في صحيحة هشام بن سالم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يُتْمِ الْيَتِيمِ الِاحْتِلَامُ، وَهُوَ أَشُدُّهُ، وَإِنِ احْتَلَمَ وَلَمْ يُؤْنَسْ مِنْهُ رُشْدٌ وَكَانَ سَفِيهاً أَوْ ضَعِيفاً فَلْيُمْسِكْ عَنْهُ وَلِيُّهُ مَالَهُ</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 وكذا في خبر بل صحيحة حمران بن أعين الشيبانی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عَلَى الْغُلَامِ أَنْ يُؤْخَذَ بِالْحُدُودِ التَّامَّةِ، وَتُقَامَ عَلَيْهِ، وَيُؤْخَذَ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عَنْهُ الْيُتْمُ وَأَدْرَكَ،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حَدٌّ يُعْرَفُ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أَوْ بَلَغَ خَمْسَ عَشْرَةَ سَنَةً، أَوْ أَشْعَرَ، أَوْ أَنْبَتَ قَبْلَ ذَلِكَ أُقِيمَتْ عَلَيْهِ الْحُدُودُ التَّامَّةُ، وَأُخِذَ بِهَا وَأُخِذَتْ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مَتَى تَجِبُ عَلَيْهَا الْحُدُودُ التَّامَّةُ، وَتُؤْخَذُ بِهَا، وَيُؤْخَذُ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الْجَارِيَةَ لَيْسَتْ مِثْلَ الْغُلَامِ، إِنَّ الْجَارِيَةَ إِذَا تَزَوَّجَتْ وَ دُخِلَ بِهَا وَلَهَا تِسْعُ سِنِينَ ذَهَبَ عَنْهَا الْيُتْمُ، وَدُفِعَ إِلَيْهَا </w:t>
      </w:r>
    </w:p>
    <w:p>
      <w:pPr>
        <w:pStyle w:val="BookText"/>
        <w:rPr/>
      </w:pPr>
      <w:r>
        <w:rPr>
          <w:rFonts w:ascii="Amiri" w:hAnsi="Amiri" w:eastAsia="Amiri" w:cs="Amiri"/>
          <w:color w:val="111111"/>
          <w:sz w:val="28"/>
          <w:sz w:val="28"/>
          <w:szCs w:val="28"/>
          <w:rtl w:val="true"/>
          <w:lang w:bidi="ar-SA"/>
        </w:rPr>
        <w:t>مَالُهَا، وَجَازَ أَمْرُهَا في الشِّرَاءِ وَالْبَيْعِ، وَأُقِيمَتْ عَلَيْهَا الْحُدُودُ التَّامَّةُ، وَأُخِذَ لَهَا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وَالْغُلَامُ لَا يَجُوزُ أَمْرُهُ في الشِّرَاءِ وَالْبَيْعِ وَلَا يَخْرُجُ مِنَ الْيُتْمِ حَتَّى يَبْلُغَ خَمْسَ عَشْرَةَ سَنَةً، أَوْ يَحْتَلِمَ، أَوْ يُشْعِرَ، أَوْ يُنْبِتَ قَبْلَ ذَلِكَ</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والرشد كما صرّح به علماء اللغة، هو الصلاح واصابة الحقّ والصّواب، خلاف الغیّ والضلال</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 الرشيد السفيه، وهو أعمّ من أن يكون لقلّة سنه، أو لقلّة عقله وإدراكه،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 وَارْزُقُوهُمْ فيها وَاكْسُوهُمْ وَقُولُوا لَهُمْ قَوْلاً مَعْرُوفاً</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 xml:space="preserve">، وقد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مرفوعتي يونس بن يعقوب</w:t>
      </w:r>
      <w:r>
        <w:rPr>
          <w:rStyle w:val="FootnoteAnchor"/>
          <w:rtl w:val="true"/>
        </w:rPr>
        <w:footnoteReference w:id="1058"/>
      </w:r>
      <w:r>
        <w:rPr>
          <w:rFonts w:ascii="IRNazanin" w:hAnsi="IRNazanin" w:eastAsia="IRNazanin"/>
          <w:color w:val="111111"/>
          <w:sz w:val="28"/>
          <w:sz w:val="28"/>
          <w:szCs w:val="28"/>
          <w:rtl w:val="true"/>
          <w:lang w:bidi="fa-IR"/>
        </w:rPr>
        <w:t>وعلیّ بن أبی حمزة البطائنی</w:t>
      </w:r>
      <w:r>
        <w:rPr>
          <w:rStyle w:val="FootnoteAnchor"/>
          <w:rtl w:val="true"/>
        </w:rPr>
        <w:footnoteReference w:id="1059"/>
      </w:r>
      <w:r>
        <w:rPr>
          <w:rFonts w:ascii="IRNazanin" w:hAnsi="IRNazanin" w:eastAsia="IRNazanin"/>
          <w:color w:val="111111"/>
          <w:sz w:val="28"/>
          <w:sz w:val="28"/>
          <w:szCs w:val="28"/>
          <w:rtl w:val="true"/>
          <w:lang w:bidi="fa-IR"/>
        </w:rPr>
        <w:t>عن الصّادق علیه 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بعمومها للمجنون أيضاً سواء كان كبيراً أم لا، وبدلالته الإلتزامية على اشتراط العقل، فعليه لا يكون الصغير ولا المجنون برشيدين، فتدلّ الكريمتان على اشتراط البلوغ والعقل من هذه الشروط في صحة المعاملات الماليّة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قد استدل على اشتراط كون العاقد في المعاملات مختاراً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تِجارَةًعَنْ تَراضٍ مِنْكُمْ وَلا تَقْتُلُوا أَنْفُسَكُمْ إِنَّ اللَّهَ كانَ بِكُمْ رَحيماً</w:t>
      </w:r>
      <w:r>
        <w:rPr>
          <w:rFonts w:eastAsia="Amiri" w:cs="Amiri" w:ascii="Amiri" w:hAnsi="Amiri"/>
          <w:color w:val="111111"/>
          <w:sz w:val="28"/>
          <w:szCs w:val="28"/>
          <w:rtl w:val="true"/>
          <w:lang w:bidi="ar-SA"/>
        </w:rPr>
        <w:t>)</w:t>
      </w:r>
      <w:r>
        <w:rPr>
          <w:rStyle w:val="FootnoteAnchor"/>
          <w:rtl w:val="true"/>
        </w:rPr>
        <w:footnoteReference w:id="1060"/>
      </w:r>
      <w:r>
        <w:rPr>
          <w:rFonts w:ascii="IRNazanin" w:hAnsi="IRNazanin" w:eastAsia="IRNazanin"/>
          <w:color w:val="111111"/>
          <w:sz w:val="28"/>
          <w:sz w:val="28"/>
          <w:szCs w:val="28"/>
          <w:rtl w:val="true"/>
          <w:lang w:bidi="fa-IR"/>
        </w:rPr>
        <w:t>، فمن اكره على شیء من المعاملات فلا تكون تجارته تجارة عن تراض منه، وبقرينة المقابلة يكون أكل ماله حينئذ أكلاً للمال بالباطل قد نهى الله تعالی عنه، وقد ثبت في محله أنّ الأوامر والنواهی الواردة في أبواب المعاملات كانت للإرشاد إلى الأحكام الوضعية من اشتراط متعلقاتهما في صحّة هذه العقود والمعاملات والحكم بفسادها عند مخالفتهما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التراضی إنّما يتحقّق بالرضاء والإختيار، لا بالإجبار والإكراه، فانحصر الحلّ في المستشنی من الإستثناء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قوله سبحانه في آية الإكراه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وَقَلْبُهُ مُطْمَئِنٌّ بِالْإيمانِ وَلكِنْ مَنْ شَرَحَ بِالْكُفْرِ صَدْراً فَعَلَيْهِمْ غَضَبٌ مِنَ اللَّهِ وَلَهُمْ عَذابٌ عَظيمٌ</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 الّتي نزلت في قصّة عمّار ياسر بعدم البأس بانكار الحقّ واظهار الكفر كرهاً وتقية، فإطلاقه يشمل المقام أيضاً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بالإكراه في المقام هو العاقد الّذی حمّل عليه أيجاب الإجارة أو قبولها قهراً، بحيث يخاف على نفسه أو عرضه أو ماله الضرر لو تركه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دليل اشتراط هذه الأمور أی البلوغ والعقل والإختيار بالكتاب، وأمّا دليل اشتراطها بما وردت من الأخبار والأحاديث فإنّه قد استدل على اشتراط البلوغ والعقل بروايات مستفيضة، فيها صحاح وغير صحاح،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هشام بن سالم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يُتْمِ الْيَتِيمِ بِالاحْتِلَامِ وَهُوَ أَشُدُّهُ، وَإِنِ احْتَلَمَ وَلَمْ يُؤْنَسْ مِنْهُ رُشْدُهُ وَ كَانَ سَفِيهاً أَوْ ضَعِيفاً فَلْيُمْسِكْ عَنْهُ وَلِيُّهُ مَالَهُ</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كان هذا حكم السفيه، الّذی يصرف أمواله في غير الأغراض الصحيحة والعقلائية، ففی المجنون بالأولوية والفحوی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وصحيحة عبد الله بن سنان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أَشُدَّهُ ثَلَاثَ عَشْرَةَ سَنَةً وَدَخَلَ في الْأَرْبَعَ عَشْرَةَ وَجَبَ عَلَيْهِ مَا وَجَبَ عَلَى الْمُسْلِمِينَ احْتَلَمَ أَمْ لَمْ يَحْتَلِمْ، وَكُتِبَتْ عَلَيْهِ السَّيِّئَاتُ، وَكُتِبَتْ لَهُ الْحَسَنَاتُ، وَجَازَ لَهُ كُلُّ شَیْ‌ءٍ إِلَّا أَنْ يَكُونَ ضَعِيفاً أَوْ سَفِيهاً</w:t>
      </w:r>
      <w:r>
        <w:rPr>
          <w:rFonts w:eastAsia="Amiri" w:cs="Amiri" w:ascii="Amiri" w:hAnsi="Amiri"/>
          <w:color w:val="111111"/>
          <w:sz w:val="28"/>
          <w:szCs w:val="28"/>
          <w:rtl w:val="true"/>
          <w:lang w:bidi="ar-SA"/>
        </w:rPr>
        <w:t>»</w:t>
      </w:r>
      <w:r>
        <w:rPr>
          <w:rStyle w:val="FootnoteAnchor"/>
          <w:rtl w:val="true"/>
        </w:rPr>
        <w:footnoteReference w:id="1063"/>
      </w:r>
      <w:r>
        <w:rPr>
          <w:rFonts w:ascii="IRNazanin" w:hAnsi="IRNazanin" w:eastAsia="IRNazanin"/>
          <w:color w:val="111111"/>
          <w:sz w:val="28"/>
          <w:sz w:val="28"/>
          <w:szCs w:val="28"/>
          <w:rtl w:val="true"/>
          <w:lang w:bidi="fa-IR"/>
        </w:rPr>
        <w:t xml:space="preserve">، قد حملها الشيخ الحرّ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حصول البلوغ بالانبات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محمّد بن يعقوب عن محمّد بن يحيی عن أحمد بن محمّد عن بن محبوب عن عبد العزيز العبدی عن حمزة بن حمران عن أبی جعفر علیه السلام في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الْجَارِيَةُ إِذَا تَزَوَّجَتْ وَدُخِلَ بِهَا وَلَهَا تِسْعُ سِنِينَ ذَهَبَ عَنْهَا الْيُتْمُ، وَدُفِعَ إِلَيْهَا مَالُهَا، وَجَازَ أَمْرُهَا في الشِّرَاءِ وَالْبَيْعِ، وَأُقِيمَتْ عَلَيْهَا الْحُدُودُ التَّامَّةُ، وَأُخِذَ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لَا يَجُوزُ أَمْرُهُ في الشِّرَاءِ وَالْبَيْعِ وَلَا يَخْرُجُ مِنَ الْيُتْمِ حَتَّى يَبْلُغَ خَمْسَ عَشْرَةَ سَنَةً، أَوْ يَحْتَلِمَ، أَوْ يُشْعِرَ، أَوْ يُنْبِتَ قَبْلَ ذَلِكَ</w:t>
      </w:r>
      <w:r>
        <w:rPr>
          <w:rFonts w:eastAsia="Amiri" w:cs="Amiri" w:ascii="Amiri" w:hAnsi="Amiri"/>
          <w:color w:val="111111"/>
          <w:sz w:val="28"/>
          <w:szCs w:val="28"/>
          <w:rtl w:val="true"/>
          <w:lang w:bidi="ar-SA"/>
        </w:rPr>
        <w:t>»</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السند كلّهم إمامی ثقات، سوی حمزة بن حمران أعين الشيبانی الّذی لم يرد له في الرجال توثيق</w:t>
      </w:r>
      <w:r>
        <w:rPr>
          <w:rStyle w:val="FootnoteAnchor"/>
          <w:rtl w:val="true"/>
        </w:rPr>
        <w:footnoteReference w:id="1065"/>
      </w:r>
      <w:r>
        <w:rPr>
          <w:rFonts w:ascii="IRNazanin" w:hAnsi="IRNazanin" w:eastAsia="IRNazanin"/>
          <w:color w:val="111111"/>
          <w:sz w:val="28"/>
          <w:sz w:val="28"/>
          <w:szCs w:val="28"/>
          <w:rtl w:val="true"/>
          <w:lang w:bidi="fa-IR"/>
        </w:rPr>
        <w:t xml:space="preserve">، وعبد العزيز العبدی الّذی حكی ضعفه النجاشی عن شيخه ابن نوح وبتبعه سائر أصحاب الرّجال من دون أن يذكروا لضعفه وجهاً </w:t>
      </w:r>
      <w:r>
        <w:rPr>
          <w:rStyle w:val="FootnoteAnchor"/>
          <w:rtl w:val="true"/>
        </w:rPr>
        <w:footnoteReference w:id="1066"/>
      </w:r>
      <w:r>
        <w:rPr>
          <w:rFonts w:ascii="Amiri" w:hAnsi="Amiri" w:eastAsia="Amiri" w:cs="Amiri"/>
          <w:color w:val="111111"/>
          <w:sz w:val="28"/>
          <w:sz w:val="28"/>
          <w:szCs w:val="28"/>
          <w:rtl w:val="true"/>
          <w:lang w:bidi="ar-SA"/>
        </w:rPr>
        <w:t>، مع كونهما ذا كتاب وأصل في الحديث، ويروى كتاب الأخير جماعة منهم الحسن بن المحبوب</w:t>
      </w:r>
      <w:r>
        <w:rPr>
          <w:rStyle w:val="FootnoteAnchor"/>
          <w:rtl w:val="true"/>
        </w:rPr>
        <w:footnoteReference w:id="1067"/>
      </w:r>
      <w:r>
        <w:rPr>
          <w:rFonts w:ascii="IRNazanin" w:hAnsi="IRNazanin" w:eastAsia="IRNazanin"/>
          <w:color w:val="111111"/>
          <w:sz w:val="28"/>
          <w:sz w:val="28"/>
          <w:szCs w:val="28"/>
          <w:rtl w:val="true"/>
          <w:lang w:bidi="fa-IR"/>
        </w:rPr>
        <w:t>الّذی هو إمامی ثقة جليل، قد جعله الكشی في إعداد ما أجمع أصحابنا على تصحيح ما يصحّ عن هولاء وتصدقيهم وأقرّوا لهم بالفقه والعلم</w:t>
      </w:r>
      <w:r>
        <w:rPr>
          <w:rStyle w:val="FootnoteAnchor"/>
          <w:rtl w:val="true"/>
        </w:rPr>
        <w:footnoteReference w:id="1068"/>
      </w:r>
      <w:r>
        <w:rPr>
          <w:rFonts w:ascii="Amiri" w:hAnsi="Amiri" w:eastAsia="Amiri" w:cs="Amiri"/>
          <w:color w:val="111111"/>
          <w:sz w:val="28"/>
          <w:sz w:val="28"/>
          <w:szCs w:val="28"/>
          <w:rtl w:val="true"/>
          <w:lang w:bidi="ar-SA"/>
        </w:rPr>
        <w:t>، وقال ابن داود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عنه والاقرار له بالفقه</w:t>
      </w:r>
      <w:r>
        <w:rPr>
          <w:rStyle w:val="FootnoteAnchor"/>
          <w:rtl w:val="true"/>
        </w:rPr>
        <w:footnoteReference w:id="1069"/>
      </w:r>
      <w:r>
        <w:rPr>
          <w:rFonts w:ascii="IRNazanin" w:hAnsi="IRNazanin" w:eastAsia="IRNazanin"/>
          <w:color w:val="111111"/>
          <w:sz w:val="28"/>
          <w:sz w:val="28"/>
          <w:szCs w:val="28"/>
          <w:rtl w:val="true"/>
          <w:lang w:bidi="fa-IR"/>
        </w:rPr>
        <w:t xml:space="preserve">، زائداً على كون الرواية مفتی بها عند الفقهاء، وأنّ الرواية مروية بواسطة الكلينی رحمه الله وشهادته بأنّ ما روی في كتابه فهو </w:t>
      </w:r>
    </w:p>
    <w:p>
      <w:pPr>
        <w:pStyle w:val="BookText"/>
        <w:rPr/>
      </w:pPr>
      <w:r>
        <w:rPr>
          <w:rFonts w:ascii="IRNazanin" w:hAnsi="IRNazanin" w:eastAsia="IRNazanin"/>
          <w:color w:val="111111"/>
          <w:sz w:val="28"/>
          <w:sz w:val="28"/>
          <w:szCs w:val="28"/>
          <w:rtl w:val="true"/>
          <w:lang w:bidi="fa-IR"/>
        </w:rPr>
        <w:t>مروی عن الصادقين</w:t>
      </w:r>
      <w:r>
        <w:rPr>
          <w:rFonts w:eastAsia="IRNazanin" w:cs="IRNazanin"/>
          <w:color w:val="111111"/>
          <w:sz w:val="28"/>
          <w:szCs w:val="28"/>
          <w:rtl w:val="true"/>
          <w:lang w:bidi="fa-IR"/>
        </w:rPr>
        <w:t>:</w:t>
      </w:r>
      <w:r>
        <w:rPr>
          <w:rStyle w:val="FootnoteAnchor"/>
          <w:rtl w:val="true"/>
        </w:rPr>
        <w:footnoteReference w:id="1070"/>
      </w:r>
      <w:r>
        <w:rPr>
          <w:rFonts w:ascii="Amiri" w:hAnsi="Amiri" w:eastAsia="Amiri" w:cs="Amiri"/>
          <w:color w:val="111111"/>
          <w:sz w:val="28"/>
          <w:sz w:val="28"/>
          <w:szCs w:val="28"/>
          <w:rtl w:val="true"/>
          <w:lang w:bidi="ar-SA"/>
        </w:rPr>
        <w:t>، فبذلك لا يبعد أن نعبّر عنها بالموثقة بل الصحيحة</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ومرفوعة دعائم الإسلام، عن أبی عبد الله رحمه الله أنّه قال في وَلِیِّ 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 الْقُرْآنَ وَاحْتَلَمَ وَأُونِسَ مِنْهُ الرُّشْدُ دَفَعَ إِلَيْهِ مَالَهُ، وَإِنِ احْتَلَمَ وَلَمْ يَكُنْ لَهُ عَقْلٌ يُوثَقُ بِهِ لَمْ يَدْفَعْ إِلَيْهِ، وَأَنْفَقَ مِنْهُ بِالْمَعْرُوفِ عَلَيْهِ</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روت العامة والخاصة عن النَّبِیِّ صَلَّى اَللَّهُ عَلَيْهِ وَ آلِهِ وَ سَلَّمْ وعلىّ علیه السلام مسنداً أو مرفوعاً من رفع القلم عن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النَّائِمِ حَتَّى يَسْتَيْقِظَ، وَعَنِ الْمَجْنُونِ حَتَّى يُفِيقَ، وَعَنِ الطِّفْلِ حَتَّى يَحْتَلِمَ</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والرواية وإن كانت ضعيفة سنداً إلا أنّ فقهاء الفريقين قد تلقّاها بالقبول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دليل اشتراط الإختيار من الأخبار، فقد روی عن النَّبِیِّ صَلَّى اَللَّهُ عَلَيْهِ وَ آلِهِ وَ سَلَّمْ في خطبته بمنى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أَيُّهَا النَّاسُ إِنَ الْمُسْلِمَ أَخُو الْمُسْلِمِ حَقّاً، لَا يَحِلُّ لِامْرِئٍ مُسْلِمٍ دَمُ امْرِئٍ مُسْلِمٍ وَمَالُهُ إِلَّا مَا أَعْطَاهُ بِطِيبَةِ نَفْسٍ مِنْهُ</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روی ابن أبی جمهور الأحسائی في كتابه عن رسول الل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لَا يَحِلُّ مَالُهُ إلّا عَن طِيبِ نَفْسِهِ</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روی عن طريق العامة عن النبّی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بِطِيبَةِ نَفْسٍ مِنْهُ</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كونهما واحدة ، وكيف كان لا يقدح وحدتها، أو ضعف أسانيدهما بعد ما كانت الرواية أو الروايات واضحة الدلالة، معمولة بها عند الأصحاب بل عند الفريقين، وكونها موافقاً للكتاب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ما ورد من لزوم الإختيار في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بانضام عدم الفرق بينهما وسائر العقود والايقاعات من باب تنقيح المناط القطعی، إذ لا يعرف لخصوص الطلاق أو العتق خصوصية من هذه الجهة مفقودة في غيرهما، منها صحيحة زرارة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الْمُكْرَهِ وَعِتْقِهِ؟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طَلَاقُهُ بِطَلَاقٍ، وَلَا عِتْقُهُ بِعِتْقٍ،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رَجُلٌ تَاجِرٌ أَمُرُّ بِالْعَشَّارِ وَمَعِی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مَا اسْتَطَعْتَ وَضَعْهُ مَوَاضِعَهُ،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حَلَّفَنِی بِالطَّلَاقِوَالْعَتَاقِ؟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لَهُ، ثُمَّ أَخَذَ تَمْرَةً فَحَفَرَ بِهَا مِنْ زُبْدٍ كَانَ قُدَّامَهُ،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أُبَالِی حَلَفْتُ لَهُمْ بِالطَّلَاقِ </w:t>
      </w:r>
    </w:p>
    <w:p>
      <w:pPr>
        <w:pStyle w:val="BookText"/>
        <w:rPr/>
      </w:pPr>
      <w:r>
        <w:rPr>
          <w:rFonts w:ascii="Amiri" w:hAnsi="Amiri" w:eastAsia="Amiri" w:cs="Amiri"/>
          <w:color w:val="111111"/>
          <w:sz w:val="28"/>
          <w:sz w:val="28"/>
          <w:szCs w:val="28"/>
          <w:rtl w:val="true"/>
          <w:lang w:bidi="ar-SA"/>
        </w:rPr>
        <w:t>وَالْعَتَاقِ أَوْ أَكَلْتُهَا</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دليل اشتراط كون العاقد غير محجور عن التصرف في أمواله، أنّه إذا كان ديون شخص زائداً عمّا يملكه فعلاً وحكم عليه الحاكم أيضاً بكونه ممنوعاً عن التصرف في أمواله، فحيث تعلّق بأمواله حقّ غرمائه لا سيّما كلّ من وجد عين ماله فيها، فلا يجوز له أن يتصرف فيها إلا بإجازتهم، قد استدلّ على ذلك بصحيحة غياث بن إبراهيم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علیه السلام كَانَ يُفَلِّسُ الرَّجُلَ إِذَا الْتَوَى عَلَى غُرَمَائِهِ، ثُمَّ يَأْمُرُ بِهِ، فَيُقْسَمُ مَالُهُ بَيْنَهُمْ بِالْحِصَصِ، فَإِنْ أَبَى بَاعَهُ فَقَسَمَ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يَعْنِی مَالَهُ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السكونی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علیه السلام كَانَ يَحْبِسُ في الدَّيْنِ ثُمَّ يَنْظُرُ، فَإِنْ كَانَ لَهُ مَالٌ أَعْطَى الْغُرَمَاءَ، وَإِنْ لَمْ يَكُنْ لَهُ مَالٌ دَفَعَهُ إِلَى الْغُرَمَاءِ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 مَا شِئْتُمْ، إِنْ شِئْتُمْ آجِرُوهُ، وَإِنْ شِئْتُمُ اسْتَعْمِلُوهُ</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ومرفوعة دعائم الإسلام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الْمُفْلِسُ إِذَا قَامَ عَلَيْهِ الْغُرَمَاءُ فَإِنَّهُ يَبْدَأُ مِنْهُمْ بِقَبْضِ حَقِّهِ مِمَّا وَجَدَ في يَدَيْهِ كُلُّ عَامِلٍ عَمِلَ فِيهِ، أَوْ أَجِيرٍ اسْتُؤْجِرَ عَلَيْهِ بِأُجْرَةٍ، أَوْ بِثَمَنِ دَابَّةٍ إِنْ كَانَ قَدْ عَمِلَتْ عَلَيْهِ، وَمَا أَشْبَهَ ذَلِكَ، وَيَكُونُ الْغُرَمَاءُ بَعْدَ ذَلِكَ أُسْوَةً</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 ينجبر ضعفها بعمل الأصحاب</w:t>
      </w:r>
      <w:r>
        <w:rPr>
          <w:rFonts w:eastAsia="Amiri" w:cs="Amiri" w:ascii="Amiri" w:hAnsi="Amiri"/>
          <w:color w:val="111111"/>
          <w:sz w:val="28"/>
          <w:szCs w:val="28"/>
          <w:rtl w:val="true"/>
          <w:lang w:bidi="ar-SA"/>
        </w:rPr>
        <w:t xml:space="preserve">. </w:t>
      </w:r>
      <w:bookmarkStart w:id="338" w:name="pg7917_85142"/>
    </w:p>
    <w:p>
      <w:pPr>
        <w:pStyle w:val="BookText"/>
        <w:rPr/>
      </w:pPr>
      <w:bookmarkEnd w:id="338"/>
      <w:r>
        <w:rPr>
          <w:rFonts w:ascii="IRNazanin" w:hAnsi="IRNazanin" w:eastAsia="IRNazanin"/>
          <w:color w:val="111111"/>
          <w:sz w:val="28"/>
          <w:sz w:val="28"/>
          <w:szCs w:val="28"/>
          <w:rtl w:val="true"/>
          <w:lang w:bidi="fa-IR"/>
        </w:rPr>
        <w:t>أمّا اعتبار القصد في المتعاقدين فهو من قبيل القضايا قياساتها معها، لبناء العقلاء كافة على أنّ ما لا قصد فيه ساقط عن الاعتبار مطلقاً، والمراد به القصد الجدّی الإنشائی، فعليه لا عبرة بما صدر أحياناً من الغافل والنائم والساهی والناسی والمدهوش والسكران والمغمى عليه، زائداً على ما ورد من تعميم كون الأعمال بالنّيات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إلى ذلك كلّه أنّ العقلاء بما هم عقلاء لا يترتبون الآثار المترتبة على العقود والايقاعات على من أكره على شیء منها، وكذا على كلّ من لم يكن ببالغ ولا قاصد ولا عاقل أو سفيه أو محجور، هذا تمام الكلام في الفرع الأوّل</w:t>
      </w:r>
      <w:r>
        <w:rPr>
          <w:rFonts w:eastAsia="IRNazanin" w:cs="IRNazanin"/>
          <w:color w:val="111111"/>
          <w:sz w:val="28"/>
          <w:szCs w:val="28"/>
          <w:rtl w:val="true"/>
          <w:lang w:bidi="fa-IR"/>
        </w:rPr>
        <w:t>.</w:t>
      </w:r>
    </w:p>
    <w:p>
      <w:pPr>
        <w:pStyle w:val="Heading2"/>
        <w:numPr>
          <w:ilvl w:val="1"/>
          <w:numId w:val="1"/>
        </w:numPr>
        <w:rPr/>
      </w:pPr>
      <w:bookmarkStart w:id="339" w:name="__RefHeading___Toc6355327_1051229030"/>
      <w:bookmarkStart w:id="340" w:name="_Toc112"/>
      <w:bookmarkEnd w:id="339"/>
      <w:r>
        <w:rPr>
          <w:rtl w:val="true"/>
        </w:rPr>
        <w:t>الثانی</w:t>
      </w:r>
      <w:r>
        <w:rPr>
          <w:rtl w:val="true"/>
        </w:rPr>
        <w:t xml:space="preserve">: </w:t>
      </w:r>
      <w:r>
        <w:rPr>
          <w:rtl w:val="true"/>
        </w:rPr>
        <w:t>ما يشترط في العين المستأجرة وأدلّتها</w:t>
      </w:r>
      <w:r>
        <w:rPr>
          <w:rtl w:val="true"/>
        </w:rPr>
        <w:t>:</w:t>
      </w:r>
      <w:bookmarkEnd w:id="340"/>
    </w:p>
    <w:p>
      <w:pPr>
        <w:pStyle w:val="BookText"/>
        <w:rPr/>
      </w:pPr>
      <w:r>
        <w:rPr>
          <w:rFonts w:ascii="IRNazanin" w:hAnsi="IRNazanin" w:eastAsia="IRNazanin"/>
          <w:color w:val="111111"/>
          <w:sz w:val="28"/>
          <w:sz w:val="28"/>
          <w:szCs w:val="28"/>
          <w:rtl w:val="true"/>
          <w:lang w:bidi="fa-IR"/>
        </w:rPr>
        <w:t>نتعرّض في هذا الفرع للأمور المعتبرة في العين المستأجرة وأدلتها، وأحسن الأقوال في هذا المجال علی ما ظفرنا عليه هو ما قاله الإمام الراحل قدس سره حيث قال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العين المستأجرة فيعتبر فيها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فلو آجر إحدي الدارين أو إحدي الدابتين لم تصحّ،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المعلوميّة، فإن كانت عيناً خارجية فإمّا بالمشاهدة وإمّا بذكر الأوصاف الّتي تختلف بها الرغبات في إجارتها، وكذا لو كانت غائبة أو كانت كلية،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مقدوراً على تسليمها، فلا تصحّ إجارة الدابة الشاردة ونحوها،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ممّا يمكن الانتفاع بها مع بقاء عينها، فلا تصحّ إجارة ما لا يمكن الانتفاع بها، كما إذا آجر أرضاً للزراعة مع عدم إمكان إيصال الماء إليها، ولا ينفعها ولا يكفيها ماء المطر ونحوه، وكذا ما لا يمكن الانتفاع بها إلا بإذهاب عينها كالخبز للأكل والشمع أو الحطب للإشعال،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مملوكة أو مستأجرة، فلا تصحّ إجارة مال الغير إلا بإذنه أو </w:t>
      </w:r>
      <w:bookmarkStart w:id="341" w:name="pg7917_85144"/>
    </w:p>
    <w:p>
      <w:pPr>
        <w:pStyle w:val="BookText"/>
        <w:rPr/>
      </w:pPr>
      <w:bookmarkEnd w:id="341"/>
      <w:r>
        <w:rPr>
          <w:rFonts w:ascii="Amiri" w:hAnsi="Amiri" w:eastAsia="Amiri" w:cs="Amiri"/>
          <w:color w:val="111111"/>
          <w:sz w:val="28"/>
          <w:sz w:val="28"/>
          <w:szCs w:val="28"/>
          <w:rtl w:val="true"/>
          <w:lang w:bidi="ar-SA"/>
        </w:rPr>
        <w:t xml:space="preserve">إجازته،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الانتفاع بها، فلا تصحّ إجارة الحائض لكنس المسجد مباشرة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 يمكن الإنتفاع بالمنفعة إلا بعد تسليم العين المؤجرة فيعتبر فيها أمور وهی كثيرة</w:t>
      </w:r>
      <w:r>
        <w:rPr>
          <w:rFonts w:eastAsia="IRNazanin" w:cs="IRNazanin"/>
          <w:color w:val="111111"/>
          <w:sz w:val="28"/>
          <w:szCs w:val="28"/>
          <w:rtl w:val="true"/>
          <w:lang w:bidi="fa-IR"/>
        </w:rPr>
        <w:t>:</w:t>
      </w:r>
    </w:p>
    <w:p>
      <w:pPr>
        <w:pStyle w:val="Heading2"/>
        <w:numPr>
          <w:ilvl w:val="1"/>
          <w:numId w:val="1"/>
        </w:numPr>
        <w:rPr/>
      </w:pPr>
      <w:bookmarkStart w:id="342" w:name="__RefHeading___Toc6355329_1051229030"/>
      <w:bookmarkStart w:id="343" w:name="_Toc113"/>
      <w:bookmarkEnd w:id="342"/>
      <w:r>
        <w:rPr>
          <w:rtl w:val="true"/>
        </w:rPr>
        <w:t>منها</w:t>
      </w:r>
      <w:r>
        <w:rPr>
          <w:rtl w:val="true"/>
        </w:rPr>
        <w:t xml:space="preserve">: </w:t>
      </w:r>
      <w:r>
        <w:rPr>
          <w:rtl w:val="true"/>
        </w:rPr>
        <w:t>تعيين العين المستأجرة</w:t>
      </w:r>
      <w:r>
        <w:rPr>
          <w:rtl w:val="true"/>
        </w:rPr>
        <w:t>:</w:t>
      </w:r>
      <w:bookmarkEnd w:id="343"/>
    </w:p>
    <w:p>
      <w:pPr>
        <w:pStyle w:val="BookText"/>
        <w:rPr/>
      </w:pPr>
      <w:r>
        <w:rPr>
          <w:rFonts w:ascii="IRNazanin" w:hAnsi="IRNazanin" w:eastAsia="IRNazanin"/>
          <w:color w:val="111111"/>
          <w:sz w:val="28"/>
          <w:sz w:val="28"/>
          <w:szCs w:val="28"/>
          <w:rtl w:val="true"/>
          <w:lang w:bidi="fa-IR"/>
        </w:rPr>
        <w:t>لو كانت العين مجهولة أو مردّدة بين فردين أو أفراد مثل أن آجر إحدي الدارين أو إحدي الدابتين لم تصحّ، نعم إذا كان أصل الإجارة قطعياً ويكون موردها إحدي العينين المتماثلتين من جميع الصفات والمنافع المقصودة عندهما، وكذا في الأجرة المجعولة لهما بأن لا يتفاوت لواحد من المتعاقدين كونه هذا أو ذلك كتفاح أنتصف من الوسط، فالأقوی كون الإجارة صحيحة، وتكون مثل من باع صاعاً من صبرة معلومة متساوية الأجزاء حيث يكون المبيع واحد منها على البدل، ففی المقام يتشخّص مورد الإجارة بما اختاره المستأجر، وحيث يكون عقد الإجارة لازمة من الطرفين فليس للموجر حينئذ منعه منها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يختص التعيين بالعين المستأجرة فقط، بل كما سيأتی يشمل الطرف الآخر وهو الأجرة أيضاً، فكما يجوز كون الأجرة المجعولة للعين جزئية أو كليّة تتشخصّ بما سلّمها المستأجر، فكذلك يجوز أن يكون مورد الإجارة واحدة من العيون الّتي متشابهات من جميع الصفات والمنافع المقصودة منها عند المتعاقدين وفی الأجرة المجعولة لها، بحيث لا يتفاوت لواحد منهما كونه هذا أو ذلك</w:t>
      </w:r>
      <w:r>
        <w:rPr>
          <w:rFonts w:eastAsia="IRNazanin" w:cs="IRNazanin"/>
          <w:color w:val="111111"/>
          <w:sz w:val="28"/>
          <w:szCs w:val="28"/>
          <w:rtl w:val="true"/>
          <w:lang w:bidi="fa-IR"/>
        </w:rPr>
        <w:t xml:space="preserve">. </w:t>
      </w:r>
      <w:bookmarkStart w:id="344" w:name="pg7917_85146"/>
    </w:p>
    <w:p>
      <w:pPr>
        <w:pStyle w:val="Heading2"/>
        <w:numPr>
          <w:ilvl w:val="1"/>
          <w:numId w:val="1"/>
        </w:numPr>
        <w:rPr/>
      </w:pPr>
      <w:bookmarkStart w:id="345" w:name="__RefHeading___Toc6355331_1051229030"/>
      <w:bookmarkStart w:id="346" w:name="_Toc114"/>
      <w:bookmarkEnd w:id="344"/>
      <w:bookmarkEnd w:id="345"/>
      <w:r>
        <w:rPr>
          <w:rtl w:val="true"/>
        </w:rPr>
        <w:t>ومنها</w:t>
      </w:r>
      <w:r>
        <w:rPr>
          <w:rtl w:val="true"/>
        </w:rPr>
        <w:t xml:space="preserve">: </w:t>
      </w:r>
      <w:r>
        <w:rPr>
          <w:rtl w:val="true"/>
        </w:rPr>
        <w:t>كونها معلومة عند المتعاقدين</w:t>
      </w:r>
      <w:r>
        <w:rPr>
          <w:rtl w:val="true"/>
        </w:rPr>
        <w:t>:</w:t>
      </w:r>
      <w:bookmarkEnd w:id="346"/>
    </w:p>
    <w:p>
      <w:pPr>
        <w:pStyle w:val="BookText"/>
        <w:rPr/>
      </w:pPr>
      <w:r>
        <w:rPr>
          <w:rFonts w:ascii="Amiri" w:hAnsi="Amiri" w:eastAsia="Amiri" w:cs="Amiri"/>
          <w:color w:val="111111"/>
          <w:sz w:val="28"/>
          <w:sz w:val="28"/>
          <w:szCs w:val="28"/>
          <w:rtl w:val="true"/>
          <w:lang w:bidi="ar-SA"/>
        </w:rPr>
        <w:t>فزائداً على كون العين المستأجرة معينة عندهما، للزم أن تكون معلومة لديهما أيضاً، والمراد به المعلومية بالإضافة إلى الصفات والمنافع الّتي تختلف بها الرغبات لغرض إجارتها، فإن كانت داراً مثلاً، احتاج إلى مشاهدة البيوت، ليعرف تعدادها وأنّها صغيرة أو كبيرة، وغيرها من الأوصاف والكيفيات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والنسبة﻿ بين العنوانين هی العموم والخصوص المطلق، وذلك لأنّ كلّ معلوم معين، لكنّه ليس كلّ معيّن بمعلوم لاحتمال أن يكون شیء واحد معين مجهولاً من بعض الجهات والأوصاف، فعليه لو كانت العين حاضرة للزم مشاهدتها حتّى لا يبقى فيها جهة مخفية عند من استأجرها، ولو كانت غائبة أو كليّة للزم توصيفها بما يرفع معه الجهالة كما في بيع السّلم، قال العلامة رحمه الله في مبحث البيع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علماؤنا على أنّ العلم شرط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ليعرف ما الّذی ملك بإزاء ما بذل فينتفی الغرر، فلا يصحّ بيع الغائب ما لم تتقدّم رؤيته مع عدم تغيره، أو وصفه وصفاً يرفع الجهالة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الشعبی والنخعی والأوزاعی والحسن البصری وعبيد الله بن الحسن العنبری ومالك وإسحاق والشافعی في أصحّ القولين، وأحمد في إحدي الروايتين لنهي صَلَّى اَللَّهُ عَلَيْهِ وَ آلِهِ وَ سَلَّمْ عن الغرر، ولأنّه باع ما لم يره ولم يوصف فلم يصحّ، كبيع النوى في التمر، ولأنّه نوع بيع فلم يصحّ مع الجهل بصفة المبيع، كالسّلم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أبو حنيفة والشافعی في القول الثانی، وأحمد في 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بالصّحة،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اللَّهُ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ولأنّه عقد معاوضة، فلا تفتقر صحّته إلى رؤية المعقود عليه كالنكاح</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بضميمة أنّ شرائط العين في المقام تساوی شرائطها هاهنا، وقال في مبحث الإجارة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تجوز إجارة الأعيان المشاهدة والموصوفة، ويثبت له خيار الرؤية، والأقرب عندی جواز إجارة غير المعيّن مع الوصف الرافع للجهالة، ويجب في الأعيان المشاهدة رؤية كلّما يتعلّق الغرض به، فإن كانت داراً احتاج إلى مشاهدة البيوت، ليعرف صغيرها وكبيرها ومرافقها، وإن كانت حمّاماً، وجب مشاهدة قدره ليعلم كبرها وصغرها، ومعرفة مائه هل هو من قناة أو بئر؟ ويحتاج إلى مشاهدة البئر وعمقها ومئونة إخراج الماء منها، ومشاهدة الأتون</w:t>
      </w:r>
      <w:r>
        <w:rPr>
          <w:rStyle w:val="FootnoteAnchor"/>
          <w:rtl w:val="true"/>
        </w:rPr>
        <w:footnoteReference w:id="1083"/>
      </w:r>
      <w:r>
        <w:rPr>
          <w:rFonts w:ascii="Amiri" w:hAnsi="Amiri" w:eastAsia="Amiri" w:cs="Amiri"/>
          <w:color w:val="111111"/>
          <w:sz w:val="28"/>
          <w:sz w:val="28"/>
          <w:szCs w:val="28"/>
          <w:rtl w:val="true"/>
          <w:lang w:bidi="ar-SA"/>
        </w:rPr>
        <w:t xml:space="preserve">ومطرح الرماد، وموضع الرمل، ومصرف ماء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 أرضاً، وجب أن يشاهدها لانتفاء معرفتها بالوصف</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المحقق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 أن تكون المنفعة معلومة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خلاف أجده فيه بل الإجماع بقسميه عليه، للغرر وغيره،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العامّة الّذين اكتفوا بالمشاهدة في البيع، وافقوا هنا علی وجوب العلم بقدر المنفعة، لا يجوز حينئذ علی المجهولة فضلاً عن المبهمة ولو </w:t>
      </w:r>
    </w:p>
    <w:p>
      <w:pPr>
        <w:pStyle w:val="BookText"/>
        <w:rPr/>
      </w:pPr>
      <w:r>
        <w:rPr>
          <w:rFonts w:ascii="Amiri" w:hAnsi="Amiri" w:eastAsia="Amiri" w:cs="Amiri"/>
          <w:color w:val="111111"/>
          <w:sz w:val="28"/>
          <w:sz w:val="28"/>
          <w:szCs w:val="28"/>
          <w:rtl w:val="true"/>
          <w:lang w:bidi="ar-SA"/>
        </w:rPr>
        <w:t>بابهام العين المستأجرة بل لا بدّ من التزام العين في الذمّة كما يلتزمها بالسّلم وتشخيص العين</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قد استدل على اشتراطها تارة بعدم الخلاف أو الإجماع، وأخرى وهو العمدة بأنّ بناء العقلاء على ذلك حيث إنّهم ينتظمون عقودهم الماليّة الهامّة على وجه معلوم واضح لا يعتريه أیّ ترديد وشبهة يوجب منازعة في الحال أو المستقبل، ويذمّون كلّ من لم يلتفت بذلك، فعليه فالمعاملة على المردد غير المعلوم، خارج عن حدود المعاملات الرائجة بينهم، ولا تكون مشمولة عندهم لأدلة وجوب الوفاء بالعقود والعهود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الخاصة والعامة عن النَّبِیِّ صَلَّى اَللَّهُ عَلَيْهِ وَ آلِهِ وَ سَلَّمْ من أنّه قد نهى رسول اللّ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الْغَرَرِ</w:t>
      </w:r>
      <w:r>
        <w:rPr>
          <w:rFonts w:eastAsia="Amiri" w:cs="Amiri" w:ascii="Amiri" w:hAnsi="Amiri"/>
          <w:color w:val="111111"/>
          <w:sz w:val="28"/>
          <w:szCs w:val="28"/>
          <w:rtl w:val="true"/>
          <w:lang w:bidi="ar-SA"/>
        </w:rPr>
        <w:t>»</w:t>
      </w:r>
      <w:r>
        <w:rPr>
          <w:rStyle w:val="FootnoteAnchor"/>
          <w:rtl w:val="true"/>
        </w:rPr>
        <w:footnoteReference w:id="1086"/>
      </w:r>
      <w:r>
        <w:rPr>
          <w:rFonts w:ascii="IRNazanin" w:hAnsi="IRNazanin" w:eastAsia="IRNazanin"/>
          <w:color w:val="111111"/>
          <w:sz w:val="28"/>
          <w:sz w:val="28"/>
          <w:szCs w:val="28"/>
          <w:rtl w:val="true"/>
          <w:lang w:bidi="fa-IR"/>
        </w:rPr>
        <w:t>، بناء على إلغاء خصوصية عن البيع واستفادة المناط القطعی للمقام منه، والخبر وإن كان غير نقی السند إلا أنّه حيث كان مشهوراً بينهم قد أفتى به الفقهاء على بطلان ما يوجب الغرر في كافة المعاملات، فينجبر به ضعفه، قال الشيخ الأعظم رحمه الله بعد نقله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واشتهار الخبر بين الخاصة والعامة يجبر إرساله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347" w:name="pg7917_85152"/>
    </w:p>
    <w:p>
      <w:pPr>
        <w:pStyle w:val="Heading2"/>
        <w:numPr>
          <w:ilvl w:val="1"/>
          <w:numId w:val="1"/>
        </w:numPr>
        <w:rPr/>
      </w:pPr>
      <w:bookmarkStart w:id="348" w:name="__RefHeading___Toc6355333_1051229030"/>
      <w:bookmarkStart w:id="349" w:name="_Toc115"/>
      <w:bookmarkEnd w:id="347"/>
      <w:bookmarkEnd w:id="348"/>
      <w:r>
        <w:rPr>
          <w:rtl w:val="true"/>
        </w:rPr>
        <w:t>ومنها</w:t>
      </w:r>
      <w:r>
        <w:rPr>
          <w:rtl w:val="true"/>
        </w:rPr>
        <w:t xml:space="preserve">: </w:t>
      </w:r>
      <w:r>
        <w:rPr>
          <w:rtl w:val="true"/>
        </w:rPr>
        <w:t>القدرة على التسليم في الجملة</w:t>
      </w:r>
      <w:r>
        <w:rPr>
          <w:rtl w:val="true"/>
        </w:rPr>
        <w:t>:</w:t>
      </w:r>
      <w:bookmarkEnd w:id="349"/>
    </w:p>
    <w:p>
      <w:pPr>
        <w:pStyle w:val="BookText"/>
        <w:rPr/>
      </w:pPr>
      <w:r>
        <w:rPr>
          <w:rFonts w:ascii="IRNazanin" w:hAnsi="IRNazanin" w:eastAsia="IRNazanin"/>
          <w:color w:val="111111"/>
          <w:sz w:val="28"/>
          <w:sz w:val="28"/>
          <w:szCs w:val="28"/>
          <w:rtl w:val="true"/>
          <w:lang w:bidi="fa-IR"/>
        </w:rPr>
        <w:t>حيث إنّ الغرض من الإجارة هو الانتفاع بمنفعة العين، فيجب إمّا أن يكون الموجر قادراً على تسلميها، أو على قول قویّ أن يكون المستأجر قادراً بنفسه على الانتفاع بها ولو بأخذها من الغاصب ونحوه، وإلا يكون بذل المال بإزائها حينئذ عملاً سفهيّاً قد نهى العقل والنقل عنه، أرسلها كثير من الفقهاء إرسال المسلمات منهم الإمام الراحل قدس سره في المقام، وادّعى عدم الخلاف أو كونها ممّا أجمع عليه الأصحاب بعض آخر، بل وهی أيضاً شرط عند قاطبة العامة</w:t>
      </w:r>
      <w:r>
        <w:rPr>
          <w:rStyle w:val="FootnoteAnchor"/>
          <w:rtl w:val="true"/>
        </w:rPr>
        <w:footnoteReference w:id="1088"/>
      </w:r>
      <w:r>
        <w:rPr>
          <w:rFonts w:ascii="Amiri" w:hAnsi="Amiri" w:eastAsia="Amiri" w:cs="Amiri"/>
          <w:color w:val="111111"/>
          <w:sz w:val="28"/>
          <w:sz w:val="28"/>
          <w:szCs w:val="28"/>
          <w:rtl w:val="true"/>
          <w:lang w:bidi="ar-SA"/>
        </w:rPr>
        <w:t xml:space="preserve">، فلا تصحّ إجارة الآبق ولا الدابة الشاردة ونحوهما، قال ابن إدريس الحلى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مقدوراً على تسليمه، حسّاً وشرعاً، فلو آجر عبداً آبقاً، أو جملاً شارداً، أو ما لا يملك التصرف فيه، لم يصحّ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المحقق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شرائط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المنفعة مقدوراً على تسليمها، فلو آجر عبداً آبقاً لم تصحّ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المستأجر يتمكّن من تحصيله جاز من غير ضميمة 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المغصوب لو آجره للغاصب أو لمن يتمكّن من قبضه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المحقق الأردبيلی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شرائط الإجارة قدرة الموجر على تسليم العين المستأجرة إلى المستأجر، ولا شك في اشتراط كون العين المستأجرة مقدورة التسليم في الجملة ليمكن الانتفاع المطلوب منها، إذ استيجار الغير المقدورة الّتي لا يمكن الانتفاع المطلوب منها سفه و غرر، ولا يجوز ، والظاهر عدم الخلاف فيه، ويدلّ عليه العقل والنقل مثل استيجار الأخرس للتعليم والأعمى لحفظ متاع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اشتراط كون تسليم المنفعة مقدوراً للموجر فالظاهر لا، بل يكفی إمكان التسليم، فلو كان المستأجر قادراً على استيفاء المنفعة بأخذ العين من الغاصب بنفسه أو بمعاونة غيره، فالظاهر جواز استيجاره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وسيّد بن زهرة الحلبیّ رحمه الله بعد ما عدّ القدرة على التّسليم في إعداد ما يشترط في صحة الإجارة،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بدليل إجماع الطائفة المحقّة، ولأنّه لا خلاف في صحة العقد مع تكامل ما ذكرناه، وليس على صحته مع اختلال بعضه دليل</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ابن قدامة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قدرة المستأجر من الانتفاع بالعين في بعض مدّة الإجارة تثبت للمستأجر خيار الفسخ فإن فسخ فلا كلام، وإن لم ينفسخ وعادت العين في أثناء المدّة استوفی ما بقی منها، وعليه من الأجر بقدر ما استوفی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تمام طول مدّة الإجارة توجب انفساخ العقد، لفوات المعقود عليه وهو المنفعة</w:t>
      </w:r>
      <w:r>
        <w:rPr>
          <w:rStyle w:val="FootnoteAnchor"/>
          <w:rtl w:val="true"/>
        </w:rPr>
        <w:footnoteReference w:id="1094"/>
      </w:r>
      <w:r>
        <w:rPr>
          <w:rFonts w:ascii="Amiri" w:hAnsi="Amiri" w:eastAsia="Amiri" w:cs="Amiri"/>
          <w:color w:val="111111"/>
          <w:sz w:val="28"/>
          <w:sz w:val="28"/>
          <w:szCs w:val="28"/>
          <w:rtl w:val="true"/>
          <w:lang w:bidi="ar-SA"/>
        </w:rPr>
        <w:t>، فيدلّ بالملازمة على أنّ القدرة شرط في صحة الإجارة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رحمه الله في كتاب البيوع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يجوز بيع العبد الآبق منفرداً، ويجوز بيعه مع سلعة أخرى، وقال الفقهاء بأسرهم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بيعه، ولم يفصّلوا، وحكی عن ابن عمر أنّه أجازه، وعن محمّد بن سيرين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يعلم موضعه لم يجز، وإن علم موضعه جاز، دليلنا على منع بيعه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ولأنّه لا يقدر على تسليمه، ولأنّه بيع الغرر، فأمّا جوازه مع السلعة الأخرى فإجماع الفرقة، ودلالة الأصل، والمنع يحتاج إلى دليل</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كونه شرطاً مشتركاً في البيع والإجارة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قد استدلّ عليه تارة بالاتفاق والإجماع، وأخرى بالكتاب وثالثة بما وردت من الأخبار في المقام، أمّا الإجماع فقد أشرنا إليه آنفاً عند نقل كلمات الحلبی والمحقق الأردبيلی والشيخ رضوان الله تعالی عليهم، وتقدّم أنّها أيضاً شرط عند قاطبة العامة، وأمّا الكتاب فقد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 وحيث إنّ الغرض من الإجارة عند العرف والعقلاء منحصر في إمكان استيفاء المستأجر بالعين المستأجرة، يكون إعطاء الأجر عند فقدانه إعطاءً سفهيّاً قد نهى الله عنها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الأخبار فالعمدة منها هو ما تقدّم من النّبو صَلَّى اَللَّهُ عَلَيْهِ وَ آلِهِ وَ سَلَّمْ المشهور الدّال على النّهى عن بيع الغرر، والاستدلال به بعد تماميّة سنده وشموله لكافة المعاملات والعقود، متفرع على بيان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 لغة وعرفاً، فأمّا معناه عند أهل اللغة، فقد ذكروا لمادة الغرّ والغرور والغرر والغِرّة بالكسر والغُرّة بالضم معاني </w:t>
      </w:r>
    </w:p>
    <w:p>
      <w:pPr>
        <w:pStyle w:val="BookText"/>
        <w:rPr/>
      </w:pPr>
      <w:r>
        <w:rPr>
          <w:rFonts w:ascii="Amiri" w:hAnsi="Amiri" w:eastAsia="Amiri" w:cs="Amiri"/>
          <w:color w:val="111111"/>
          <w:sz w:val="28"/>
          <w:sz w:val="28"/>
          <w:szCs w:val="28"/>
          <w:rtl w:val="true"/>
          <w:lang w:bidi="ar-SA"/>
        </w:rPr>
        <w:t>متعددة، إلا أنّ ما يناسب منها في المقام هو الغرر بمعنى الخطر والهلاك</w:t>
      </w:r>
      <w:r>
        <w:rPr>
          <w:rStyle w:val="FootnoteAnchor"/>
          <w:rtl w:val="true"/>
        </w:rPr>
        <w:footnoteReference w:id="1097"/>
      </w:r>
      <w:r>
        <w:rPr>
          <w:rFonts w:ascii="IRNazanin" w:hAnsi="IRNazanin" w:eastAsia="IRNazanin"/>
          <w:color w:val="111111"/>
          <w:sz w:val="28"/>
          <w:sz w:val="28"/>
          <w:szCs w:val="28"/>
          <w:rtl w:val="true"/>
          <w:lang w:bidi="fa-IR"/>
        </w:rPr>
        <w:t>، والمراد به كلّ ما كانت من البيوع والمعاملات غرريّة في حدّ ذاته ومحلّاً للخطر باعتبار كون أحد العوضين فيه كبيع السمك في الماء، والطير في الهواء، والآبق بلا ضميمة، غير معلوم الحصول، فيكون إعطاء المال في مقابله حينئذ تضيعاً للمال وتعريضاً للتلف والهلاك، ومن شأنه أن يحترز عنه في العرف والعادة، بحيث من لم يلتفت إليه ولا يعتنی به ولم يحترز عنه، كان محلاً للتوبيخ ومستحقّاً للّوم عند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معناه عند العرف هو الفساد والبطلان، كما هو متفاهم فقهاء الفريقين منه في الحديث، بأنّ النهی الوارد في النّبوى صَلَّى اَللَّهُ عَلَيْهِ وَ آلِهِ وَ سَلَّمْ يكون للإرشاد إلى فساد متعلّقه، بمعنی أنّ كلّ ما يخالف الأغراض من ايجادها في باب البيوع والمعاملات فهو غرری وفاسد، ولم يكن مشمولاً لأدلّة وجوب الوفاء بالعقود والعهود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الحسين بن زيد عن الصادق علیه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مناهی النَّبِیِّ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عَنْ بَيْعِ مَا لَيْسَ عِنْدَكَ، وَنَهَى عَنْ بَيْعٍ وَسَلَفٍ</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بتقريب أنّه على عمومه يشمل لمن آجر ما لا يقدر على تسليمه، ومثله ما رواه الفريقين مرسلاً عن النَّبِیِّ صَلَّى اَللَّهُ عَلَيْهِ وَ آلِهِ وَ سَلَّمْ في قوله لحكيم بن حزام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bookmarkStart w:id="350" w:name="pg7917_85160"/>
    </w:p>
    <w:p>
      <w:pPr>
        <w:pStyle w:val="Heading2"/>
        <w:numPr>
          <w:ilvl w:val="1"/>
          <w:numId w:val="1"/>
        </w:numPr>
        <w:rPr/>
      </w:pPr>
      <w:bookmarkStart w:id="351" w:name="__RefHeading___Toc6355335_1051229030"/>
      <w:bookmarkStart w:id="352" w:name="_Toc116"/>
      <w:bookmarkEnd w:id="350"/>
      <w:bookmarkEnd w:id="351"/>
      <w:r>
        <w:rPr>
          <w:rtl w:val="true"/>
        </w:rPr>
        <w:t>بقى هنا شیء</w:t>
      </w:r>
      <w:r>
        <w:rPr>
          <w:rtl w:val="true"/>
        </w:rPr>
        <w:t>:</w:t>
      </w:r>
      <w:bookmarkEnd w:id="352"/>
    </w:p>
    <w:p>
      <w:pPr>
        <w:pStyle w:val="BookText"/>
        <w:rPr/>
      </w:pPr>
      <w:r>
        <w:rPr>
          <w:rFonts w:ascii="Amiri" w:hAnsi="Amiri" w:eastAsia="Amiri" w:cs="Amiri"/>
          <w:color w:val="111111"/>
          <w:sz w:val="28"/>
          <w:sz w:val="28"/>
          <w:szCs w:val="28"/>
          <w:rtl w:val="true"/>
          <w:lang w:bidi="ar-SA"/>
        </w:rPr>
        <w:t>بعد ما ثبت اشتراط القدرة هنا، فهل يشترط مباشرة المؤجر التسليم بنفسه أم لا؟</w:t>
      </w:r>
    </w:p>
    <w:p>
      <w:pPr>
        <w:pStyle w:val="BookText"/>
        <w:rPr/>
      </w:pPr>
      <w:r>
        <w:rPr>
          <w:rFonts w:ascii="Amiri" w:hAnsi="Amiri" w:eastAsia="Amiri" w:cs="Amiri"/>
          <w:color w:val="111111"/>
          <w:sz w:val="28"/>
          <w:sz w:val="28"/>
          <w:szCs w:val="28"/>
          <w:rtl w:val="true"/>
          <w:lang w:bidi="ar-SA"/>
        </w:rPr>
        <w:t>قد مرّ أنّ الغرض من الإجارة هو أن ينتفع المستأجر بمنفعة العين، فالظاهر</w:t>
      </w:r>
    </w:p>
    <w:p>
      <w:pPr>
        <w:pStyle w:val="BookText"/>
        <w:rPr/>
      </w:pPr>
      <w:r>
        <w:rPr>
          <w:rFonts w:ascii="IRNazanin" w:hAnsi="IRNazanin" w:eastAsia="IRNazanin"/>
          <w:color w:val="111111"/>
          <w:sz w:val="28"/>
          <w:sz w:val="28"/>
          <w:szCs w:val="28"/>
          <w:rtl w:val="true"/>
          <w:lang w:bidi="fa-IR"/>
        </w:rPr>
        <w:t>أنّه كما تقدّم من استظهار الأردبيلی رحمه الله في شرح الإرشاد</w:t>
      </w:r>
      <w:r>
        <w:rPr>
          <w:rStyle w:val="FootnoteAnchor"/>
          <w:rtl w:val="true"/>
        </w:rPr>
        <w:footnoteReference w:id="1100"/>
      </w:r>
      <w:r>
        <w:rPr>
          <w:rFonts w:ascii="IRNazanin" w:hAnsi="IRNazanin" w:eastAsia="IRNazanin"/>
          <w:color w:val="111111"/>
          <w:sz w:val="28"/>
          <w:sz w:val="28"/>
          <w:szCs w:val="28"/>
          <w:rtl w:val="true"/>
          <w:lang w:bidi="fa-IR"/>
        </w:rPr>
        <w:t>أنّه لا فرق بين أن سلّمها المؤجر بنفسه العين إليه، أو تصدّی غيره لذلك من دون فرق بين كونه وكيلاً عنه أو متبرعاً، أو كفّله المستأجر بشخصه ولو بإن استأجرها بثمن أرخص من ثمن المثل، ولاأقلّ من الشك فيرجع لدفعه حينئذ إلى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ممّا يمكن الانتفاع بها مع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الشرائط المعتبرة في العين المستأجرة أن تكون العين ممّا يمكن الانتفاع</w:t>
      </w:r>
    </w:p>
    <w:p>
      <w:pPr>
        <w:pStyle w:val="BookText"/>
        <w:rPr/>
      </w:pPr>
      <w:r>
        <w:rPr>
          <w:rFonts w:ascii="IRNazanin" w:hAnsi="IRNazanin" w:eastAsia="IRNazanin"/>
          <w:color w:val="111111"/>
          <w:sz w:val="28"/>
          <w:sz w:val="28"/>
          <w:szCs w:val="28"/>
          <w:rtl w:val="true"/>
          <w:lang w:bidi="fa-IR"/>
        </w:rPr>
        <w:t>بها مع بقاء عينها، وهذا من قبيل قضايا قياساتها معها بحيث لا يحتاج إلى إقامة الدليل والبرهان، إذ حقيقة الإجارة عبارة عن تمليك المنافع لا الأعيان، فلا بدّ في مصاديقها من التّحفظ على رعاية هذا الأصل، و كلّ ما ينافی ذلك فهو يضادّ مفهومها، من دون فرق فيه بين أن تكون العين ممّا انعدمت منها المنفعة المقصودة، أو فاقدة لها من البدو، مثل ما إذا آجر أرضاً للزراعة مع عدم إمكان إيصال الماء إليها، ولا يكفيها ماء المطر ونحوه، أو تكون ممّا يتعذّر فيه الزرع لغلبة الملح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بين أن لا تكون العين ممّا ينتفع بها مع بقاء عينها كأن يستأجر شيئاً لا ينتفع به إلا بإذهاب عينه كالخبز للاكل والحطب والنفط للاشتعال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مملوكة أو مستأجرة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خلاف في اشتراط هذا الشرط على وجه أرسله الأصحاب إرسال المسلمات، وذلك لإنّ الإجارة نوع تصرف في المال فيشترط أن تكون العين مملوكة أو مستأجرة حتّی لا يتصرّف في مال الغير بغير إذنه، فإذا لم يكن العاقد مالكاً فإن آجرها لنفسه فهو غاصب وكان آكلاً للمال بالباطل، وإن آجره لمالكه فهو فضول، فإن قلنا ببطلانها من أصلها فلا تصحّ الإجارة رأساً، وإن قلنا بالصّحة والتوقف على الإجازة فتصحّ معها،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حكاية كلام المحقق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المنفعة مملوكة،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أجده فيه، بل هو من الواضحات، ضرورة عدم تحقّق المعارضة في غير المملوكة الّتي يكون الموجر والمستأجر فيها على حدّ سواء كمنافع الأعيان المباحة</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نستدلّ علی ذلك بعموم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 xml:space="preserve">، وما روی الفريقين عن النَّبِیِّ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 نَفْسِه</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من الملكية في المقام، هو ملكية التصرف لا العين، إذ النسبة بين العنوانين عموم وخصوص من وجه، قد تجتمعان كما إذا كان المالك واجداً لجميع الشروط المعتبرة في المتعاقدين، وأخرى ما يكون مالكاً للعين فقط دون﻿ التّصرف كأن يكون سفيهاً أو محجوراً، وثالثة على عكس ذلك بأن يكون مالكاً </w:t>
      </w:r>
    </w:p>
    <w:p>
      <w:pPr>
        <w:pStyle w:val="BookText"/>
        <w:rPr/>
      </w:pPr>
      <w:r>
        <w:rPr>
          <w:rFonts w:ascii="IRNazanin" w:hAnsi="IRNazanin" w:eastAsia="IRNazanin"/>
          <w:color w:val="111111"/>
          <w:sz w:val="28"/>
          <w:sz w:val="28"/>
          <w:szCs w:val="28"/>
          <w:rtl w:val="true"/>
          <w:lang w:bidi="fa-IR"/>
        </w:rPr>
        <w:t>للتّصرف لا العين كما إذا كان العاقد وليّاً أو وصيّاً أو وكيلاً عن المالك، فإنّهم حينما كانوا غير مالكين لكنّه يصحّ تصرفاتهم في أموال المولّى عليه والموصی عليه والموكّل، فالأولى أن نعبّر هنا عوض كون العين مملوكة أو مستأجرة، بأنّ الموجر ممّن يجوز له التصرف في العين المستأجرة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العين ممّا يجوز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الشرائط المذكورة في المقام جواز الانتفاع بالعين حالة الإجارة، وقد مثّلوا لذلك بعدم صحة إجارة الحائض والجنب لكنس المسجد مباشرة في زمان حدثهما، حيث إنّ المنفعة إذا كانت محرمة فلا يمكن، أو لا يجوز تسليمها شرعاً، والممتنع شرعاً كالممتنع عقلاً، وقد تقدّم أنّ القدرة على التّسليم شرط في صحة الاجارة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قول بالصّحة بأنّ هذا الاستدلال إنّما يصحّ إذا كان نفس العمل بذاته محرماً كأن آجر نفسه لعمل محرّم من قتل أو ضرب ونحوهما من المحرّمات الإلهيّة الّتي لم يكن لأحد بالنسبة إليها بعد نهى الشارع سلطنة حتّى يمكن تمليكه للغير بالإجارة ونحوها وبتبعه لم يكن الغاصب ضامناً لما أتلفه، بخلاف المقام الّتي كانت المنفعة وهى كنس المسجد حلالاً بذاته، إذ الكنس بما هو كنس حلال، وإنّما المحرّم هو مكث الحائض في المسجد المتوقّف عليه الكنس، وحرمة هذا لا تستلزم حرمة مقارناته، ومن ثمّ لو آجرت نفسها لذلك حينئذ غير مبالية بأمر الدّين، فهى مالكة لأجرة المسمّی، فمن القائلين بالقول الأوّل العلامة الحلي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والمنع الشرعی كالحسّی، فلو استأجر لقلع ضرس صحيح أو قطع يد صحيحة أو استأجر جنباً أو حائضاً لكنس المسجد لم يصحّ، ولو </w:t>
      </w:r>
    </w:p>
    <w:p>
      <w:pPr>
        <w:pStyle w:val="BookText"/>
        <w:rPr/>
      </w:pPr>
      <w:r>
        <w:rPr>
          <w:rFonts w:ascii="Amiri" w:hAnsi="Amiri" w:eastAsia="Amiri" w:cs="Amiri"/>
          <w:color w:val="111111"/>
          <w:sz w:val="28"/>
          <w:sz w:val="28"/>
          <w:szCs w:val="28"/>
          <w:rtl w:val="true"/>
          <w:lang w:bidi="ar-SA"/>
        </w:rPr>
        <w:t xml:space="preserve">كانت السنّ وجعة أو اليد متآكلة صحّت، فإن زال الألم قبل القلع انفسخت الإجارة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لا فرق في تعذّر التّسليم المانع من صحة الإجارة بين العقلی والشرعی، فلو استأجر لقلع ضرس صحيح أو قطع يد صحيحة، أو جنباً أو حائضاً بخصوصهما لكنس المسجد في زمان حدثهما لم تصحّ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واختار القول الآخر السيّد الخوئی قدس سره حيث قال في ملاحظته على دليل منعه الّذی ذكره أستاذه المحقق النائينی رحمه الله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المنفعة المحرمة ليست مملوكة ليمكن تمليكها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ويتندفع بأنّ هذا إنّما يتّجه بالإضافة إلى إجارة الأعمال، فلو آجر نفسه لعمل محرّم من قتل أو ضرب أو كذب أو نقل الخمر من مكان إلى آخر و نحو ذلك من المحرّمات الإلهية لم يصحّ، نظراً إلى عدم السلطنة له على هذه الأعمال بعد النهی الشرعی، فلا تعتبر ملكيّته لما هو ممنوع عنه، ولم يكن تحت اختياره، فليس له إذاً التمليك للغير كما افاده قدس سره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إلى إجارة الأعيان فكلّا، إذ المحرّم إنّما هو فعل المستأجر من إحراز المسكر أو بيع الخمر ونحو ذلك لا الحيّثية القائمة بالمال الّتي هی مناط صحة الإيجار حسبما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 يرشدك إلى أنّ تلك القابليّة مملوكة حتّى فيما لو صرفت في الحرام أنّه لا ينبغی التأمّل في أنّ من غصب داراً فأحرز فيها الخمر، أو دكّاناً فباعها فيه، أو دابة فحملها عليها من مكان إلى آخر فإنّه يضمن لمالك العين أجرة المثل </w:t>
      </w:r>
    </w:p>
    <w:p>
      <w:pPr>
        <w:pStyle w:val="BookText"/>
        <w:rPr/>
      </w:pPr>
      <w:r>
        <w:rPr>
          <w:rFonts w:ascii="Amiri" w:hAnsi="Amiri" w:eastAsia="Amiri" w:cs="Amiri"/>
          <w:color w:val="111111"/>
          <w:sz w:val="28"/>
          <w:sz w:val="28"/>
          <w:szCs w:val="28"/>
          <w:rtl w:val="true"/>
          <w:lang w:bidi="ar-SA"/>
        </w:rPr>
        <w:t>لما استوفاها من المنافع جزماً، ولا سبيل إلى القول بعدم الضمان بدعوى عدم ماليّتها بعد كونها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لو أجبر حراً على عمل محرّم من كذب أو ضرب أو حمل الخمر ونحو ذلك، فإنّه لا يضمن هذه المنافع، إذ الحرام لا مالية له في شريعة الإسلام، فلا يكون الحرّ مالكاً لذاك العمل حتّى يكون الغاصب ضامناً لما أتلفه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وصل إلى هذه النتيجة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فرضناها غير مبالية بالدّين فدخلت المسجد وكنست فلما ذا لا تكون هذه المنفعة مملوكة بعد أن كانت محللة ومقدورة التسليم تكويناً ؟ وهذا المقدار كاف في صحة الإجارة، إذاً فلا بدّ في الحكم بالبطلان من التماس دليل آخر</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كما عرفت ذات 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بالمنع الّذی اختاره الأكثر بل كثير، وقول بالجواز الّذی هو خيرة السيّد الخوئی رحمه الله ، والتحقيق أن نفصّل في المقام بين ما لو أنشأ العقد مبنياً على فرض العصيان، أی الكنس مباشرة بشرط كونهما في زمان حدثهما، فإنّه لا وجه لصحته حينئذ، لتوقف الوفاء بالإجارة دائماً مع هذا الفرض على المكث الحرام والممتنع شرعاً كالممتنع عقلاً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وبين ما لم يكن كذلك بأن اتّفق كونهما في تلك الحالة، ولم يكن من عزمهما فعله حينئذ، فالأقوى من هذين القولين عندی فيها هو القول الثانی، وذلك لأنّه بعد ما كان طرفي الإجارة أی المنفعة والأجرة مباحة في حدّ ذاتهما، وكون المقام من قبيل الأقلّ والأكثر الاستقلاليين الّذی مرجعه البرائة، يشمله إطلاقات أدلة الإجارة، إذ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الممنوع شرعاً كالممنوع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w:t>
      </w:r>
    </w:p>
    <w:p>
      <w:pPr>
        <w:pStyle w:val="BookText"/>
        <w:rPr/>
      </w:pPr>
      <w:r>
        <w:rPr>
          <w:rFonts w:ascii="Amiri" w:hAnsi="Amiri" w:eastAsia="Amiri" w:cs="Amiri"/>
          <w:color w:val="111111"/>
          <w:sz w:val="28"/>
          <w:sz w:val="28"/>
          <w:szCs w:val="28"/>
          <w:rtl w:val="true"/>
          <w:lang w:bidi="ar-SA"/>
        </w:rPr>
        <w:t>تسليمها لم تثبت أزيد من فرض الأوّل، فإن دلّ دليل آخر على منع الأكثر أيضاً، وإلا فالأصل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ريب في أنّهما لو كنسا المسجد مباشرة حالة حدثهما عاصيان، لكنّ الإجارة لم تكن من قبيل العبادات حتّى يكون النهی عن شیء غير مرتبط بها مستقيماً وهو المكث في المسجد زمان حدثهما مبطلاً لها، العصيان شیء والبطلان شیء آخر، وحيث إنّ رفع الحدث في الجنب اختياری فالصّحة بالنسبة إليه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يستكشف من إثبات الحكم تكليفاً إثباته وضعاً كما في البيع وقت النداء على ما هو المشهور</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حدّ المنع أيضاً في خبر تحف العقول عن الصادق علیه السلام المنجبر ضعفه بفتوى المشهور، وجوه الحرام من الإجارة، في أن يؤاجر الإنسان نفسه على عمل كان منهياً ومحرماً عليه من غير جهة الإجارة،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وُجُوهُ الْحَرَامِ مِنْ وُجُوهِ الْإِجَارَةِ نَظِيرِ أَنْ يُؤَاجِرَ نَفْسَهُ عَلَى مَا يَحْرُمُ عَلَيْهِ أَكْلُهُ، أَوْ شُرْبُهُ، أَوْ لُبْسُهُ، أَوْ يُؤَاجِرَ نَفْسَهُ في صَنْعَةِ ذَلِكَ الشيء، أَوْ حِفْظِهِ، أَوْ لُبْسِهِ، أَوْ يُؤَاجِرَ نَفْسَهُ في هَدْمِ الْمَسَاجِدِ ضِرَاراً، أَوْ قَتْلِ النَّفْسِ بِغَيْرِ حِلٍّ، أَوْ حَمْلِ التَّصَاوِيرِ وَالْأَصْنَامِ وَالْمَزَامِيرِ وَالْبَرَابِطِ وَالْخَمْرِ وَالْخَنَازِيرِ وَالْمَيْتَةِ وَالدَّمِ، أَوْ شيء مِنْ وُجُوهِ الْفَسَادِ الَّذِی كَانَ مُحَرَّماً عَلَيْهِ مِنْ غَيْرِ جِهَةِ الْإِجَارَةِ فِيه،ِ وَكُلُّ أَمْرٍ مَنْهِیٍّ عَنْهُ مِنْ جِهَةٍ مِنَ الْجِهَاتِ مُحَرَّمٌ عَلَى الْإِنْسَانِ إِجَارَةُ نَفْسِهِ فِيهِ، أَوْ لَهُ، أَوْ شيء مِنْهُ، أَوْ لَهُ إِلَّا لِمَنْفَعَةِ مَنِ اسْتَأْجَرَهُ كَالَّذِی يَسْتَأْجِرُ الْأَجِيرَ يَحْمِلُ لَهُ الْمَيْتَةَ يُنَحِّيهَا عَنْ أَذَاهُ، أَوْ أَذَى غَيْرِهِ، وَمَا أَشْبَهَ ذَلِكَ</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تمّ الكلام في الفرع الثانی من الفروع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53" w:name="pg7917_85173"/>
    </w:p>
    <w:p>
      <w:pPr>
        <w:pStyle w:val="Heading2"/>
        <w:numPr>
          <w:ilvl w:val="1"/>
          <w:numId w:val="1"/>
        </w:numPr>
        <w:rPr/>
      </w:pPr>
      <w:bookmarkStart w:id="354" w:name="__RefHeading___Toc6355337_1051229030"/>
      <w:bookmarkStart w:id="355" w:name="_Toc117"/>
      <w:bookmarkEnd w:id="353"/>
      <w:bookmarkEnd w:id="354"/>
      <w:r>
        <w:rPr>
          <w:rtl w:val="true"/>
        </w:rPr>
        <w:t>الثالث</w:t>
      </w:r>
      <w:r>
        <w:rPr>
          <w:rtl w:val="true"/>
        </w:rPr>
        <w:t xml:space="preserve">: </w:t>
      </w:r>
      <w:r>
        <w:rPr>
          <w:rtl w:val="true"/>
        </w:rPr>
        <w:t>ما يشترط في المنفعة المقصودة وأدلّتها</w:t>
      </w:r>
      <w:r>
        <w:rPr>
          <w:rtl w:val="true"/>
        </w:rPr>
        <w:t>:</w:t>
      </w:r>
      <w:bookmarkEnd w:id="355"/>
    </w:p>
    <w:p>
      <w:pPr>
        <w:pStyle w:val="BookText"/>
        <w:rPr/>
      </w:pPr>
      <w:r>
        <w:rPr>
          <w:rFonts w:ascii="IRNazanin" w:hAnsi="IRNazanin" w:eastAsia="IRNazanin"/>
          <w:color w:val="111111"/>
          <w:sz w:val="28"/>
          <w:sz w:val="28"/>
          <w:szCs w:val="28"/>
          <w:rtl w:val="true"/>
          <w:lang w:bidi="fa-IR"/>
        </w:rPr>
        <w:t>وأمّا ما يعتبر في المنفعة المستأجرة فهی أيضاً أمور، وأحسن الأقوال في هذا المجال علی ما ظفرنا عليه أيضاً هو ما قاله الإمام الراحل قدس سره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المنفعة فيعتبر فيها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كونها مباحة، فلا تصحّ إجارة الدكّان لإحراز المسكرات أو بيعها، ولا الدابة والسفينة لحملها، ولا الجارية المغنية للتغنی ونحو ذلك، ومنها كونها متمولّة يبذل بإزائها المال عند العقلاء، ومنها تعيين نوعها إن كانت للعين منافع متعددة، فلو استأجر الدابة يعيّن أنّها للحمل أو الركوب أو لإدارة الرّحى وغيرها، نعم تصحّ إجارتها لجميع منافعها، فيملك المستأجر جميعها، ومنها معلوميتها إمّا بتقديرها بالزمان المعلوم كسكنی الدار شهرة أو الخياطة أو التعمير والبناء يوماً، وإمّا بتقدير العمل كخياطة الثوب المعيّن خياطة كذائية فارسية أو روميّة من غير تعرّض للزمان إن لم يكن دخيلاً في الرّغبات وإلا فلا بدّ من تعيين منتهاه</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فأوّل ما يعتبر فيها هو كونها مباحة، فلا تصحّ ولا تنعقد إجارة الدكّان لإحراز المسكرات أو بيعها ولا الدابة والسفينة لحملها، ولا الجارية المغنية للتغنّی ونحو ذلك، أرسله بعض إرسال المسلمات، وادّعى عليه الإجماع عند الأصحاب بعض آخر، والظاهر أنّه كذلك عند العامة</w:t>
      </w:r>
      <w:r>
        <w:rPr>
          <w:rStyle w:val="FootnoteAnchor"/>
          <w:rtl w:val="true"/>
        </w:rPr>
        <w:footnoteReference w:id="1110"/>
      </w:r>
      <w:r>
        <w:rPr>
          <w:rFonts w:ascii="IRNazanin" w:hAnsi="IRNazanin" w:eastAsia="IRNazanin"/>
          <w:color w:val="111111"/>
          <w:sz w:val="28"/>
          <w:sz w:val="28"/>
          <w:szCs w:val="28"/>
          <w:rtl w:val="true"/>
          <w:lang w:bidi="fa-IR"/>
        </w:rPr>
        <w:t xml:space="preserve">، لكن حكی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حنفية والشافعی من العامة القول بالصّحة والتحريم، فعليه أن يعمل فيه بغيرها من الأعمال المباحة دون ما استأجره له، حيث قال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استأجر داراً ليتّخذها مأخوراً يبيع فيها الخمر، أو ليتّخذها كنيسة، أو بيت نار، فإنّ ذلك لا يجوز والعقد باطل،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p>
    <w:p>
      <w:pPr>
        <w:pStyle w:val="BookText"/>
        <w:rPr/>
      </w:pPr>
      <w:r>
        <w:rPr>
          <w:rFonts w:ascii="IRNazanin" w:hAnsi="IRNazanin" w:eastAsia="IRNazanin"/>
          <w:color w:val="111111"/>
          <w:sz w:val="28"/>
          <w:sz w:val="28"/>
          <w:szCs w:val="28"/>
          <w:rtl w:val="true"/>
          <w:lang w:bidi="fa-IR"/>
        </w:rPr>
        <w:t>صحيح، ويعمل فيه غير ذلك من الأعمال المباحة دون ما استأجره له، وبه قال الشافعی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وأيضاً فهذه الأشياء محظورة بلا خلاف، فلا يجوز الاستيجار لها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آجره مسكناً ليحرز فيه خمراً، أو دكّاناً ليبيع فيه آلة محرمة، أو أجيراً ليحمل له مسكراً لم تنعقد الإجارة، وربما قيل بالتحريم وانعقاد الإجارة، لإمكان الانتفاع في غير المحرّم، والأوّل أشبه لأنّ ذلك لم يتناوله العقد</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مبحث التجارة منه عند البحث عمّا يحرم التكسب به لحرمة ما قصد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كالآت اللهو مثل العود والمزمر، وهياكل العبادة المبدعة كالصليب والصنم، وآلات القمار كالنرد والشطرنج، وما يفضی إلى مساعدة على محرّم كبيع السلاح لأعداء الدّين، وإجارة المساكن والسفن للمحرمات، وبيع العنب ليعمل خمراً وبيع الخشب ليعمل صنماً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خلاف أجدها فيها مع التصريح بالشرطية أو الاتفاق عليها على وجه بنی العقد عليها، بل عن مجمع البرهان نسبته إلى ظاهر الأصحاب، بل عن المنتهی دعوى الإجماع عليه، كما عن الخلاف والغنية الإجماع على عدم صحة إجارة المسكن ليحرز فيه الخمر أو الدكّان ليباع فيه، بل عن الأوّل زيادة نسبته إلى أخبار الفرقة أيضاً، بل قد </w:t>
      </w:r>
    </w:p>
    <w:p>
      <w:pPr>
        <w:pStyle w:val="BookText"/>
        <w:rPr/>
      </w:pPr>
      <w:r>
        <w:rPr>
          <w:rFonts w:ascii="IRNazanin" w:hAnsi="IRNazanin" w:eastAsia="IRNazanin"/>
          <w:color w:val="111111"/>
          <w:sz w:val="28"/>
          <w:sz w:val="28"/>
          <w:szCs w:val="28"/>
          <w:rtl w:val="true"/>
          <w:lang w:bidi="fa-IR"/>
        </w:rPr>
        <w:t>يظهر من الأصحاب كون الحكم كذلك مع فرض القصد لذلك وإن لم يكن على جهة الشرطية بل إنّما كان على جهة الغائية، بل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الحكم كذلك عندهم مع فرض ذلك من البائع خاصة، فضلاً عن اشتراطه وعن اتفاق المشتری معه عليه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المصرّحين بكونها إجماعيّة سيّد بن زهزة الحلبی رحمه الله حيث بعد ما عدّ إباحة المنفعة في إعداد ما يشترط في صحة الإجارة،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بدليل إجماع الطائفة المحقّة، ولأنّه لا خلاف في صحة العقد مع تكامل ما ذكرناه، وليس على صحته مع اختلال بعضه دليل</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القرطبی فيما أجتمعوا على إبطال إجارته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منفعة كانت لشیء محرّم العين، وكذلك كلّ منفعة كانت محرّمة بالشرع مثل أجر النوائح وأجر المغنّيات، وكذلك كلّ منفعة كانت فرض عين على الإنسان بالشرع مثل الصلاة وغيرها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استدلّ علی ذلك زائداً على ما تقدّم من دعوى الإجماع،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المنفعة المحرّمة مطلوبة العدم في نظر الشارع والممنوع شرعاً كالممتنع عقلاً، أو لا تكون هی مملوكة لأحد بوجه من الوجوه، فلا يتعلّق بها ملك المؤجر حتّى يملّكها غيره، أو أنّ جواز العقد عليها حينئذ يكون من قبيل التعاون على الإثم، أو </w:t>
      </w:r>
    </w:p>
    <w:p>
      <w:pPr>
        <w:pStyle w:val="BookText"/>
        <w:rPr/>
      </w:pPr>
      <w:r>
        <w:rPr>
          <w:rFonts w:ascii="Amiri" w:hAnsi="Amiri" w:eastAsia="Amiri" w:cs="Amiri"/>
          <w:color w:val="111111"/>
          <w:sz w:val="28"/>
          <w:sz w:val="28"/>
          <w:szCs w:val="28"/>
          <w:rtl w:val="true"/>
          <w:lang w:bidi="ar-SA"/>
        </w:rPr>
        <w:t>أكل المال بالباطل</w:t>
      </w:r>
      <w:r>
        <w:rPr>
          <w:rStyle w:val="FootnoteAnchor"/>
          <w:rtl w:val="true"/>
        </w:rPr>
        <w:footnoteReference w:id="1117"/>
      </w:r>
      <w:r>
        <w:rPr>
          <w:rFonts w:ascii="IRNazanin" w:hAnsi="IRNazanin" w:eastAsia="IRNazanin"/>
          <w:color w:val="111111"/>
          <w:sz w:val="28"/>
          <w:sz w:val="28"/>
          <w:szCs w:val="28"/>
          <w:rtl w:val="true"/>
          <w:lang w:bidi="fa-IR"/>
        </w:rPr>
        <w:t>، وقد نهى الله عزّ وجل عنهما</w:t>
      </w:r>
      <w:r>
        <w:rPr>
          <w:rStyle w:val="FootnoteAnchor"/>
          <w:rtl w:val="true"/>
        </w:rPr>
        <w:footnoteReference w:id="1118"/>
      </w:r>
      <w:r>
        <w:rPr>
          <w:rFonts w:ascii="Amiri" w:hAnsi="Amiri" w:eastAsia="Amiri" w:cs="Amiri"/>
          <w:color w:val="111111"/>
          <w:sz w:val="28"/>
          <w:sz w:val="28"/>
          <w:szCs w:val="28"/>
          <w:rtl w:val="true"/>
          <w:lang w:bidi="ar-SA"/>
        </w:rPr>
        <w:t>، إليه أشار إجمالاً العلامة رحمه الله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منفعة محرّمة لا يجوز عقد الإجارة فيها لأنّها مطلوبة العدم في نظر الشرع، فلا يجوز عقد الإجارة على تحصيلها وذلك كالزنا والزمر وأنواع الملاهی وتعلّمها وتعليمها، والغناء والنوح بالباطل، فلا يجوز الاستيجار لفعل الغناء، وبه قال مالك والشافعی وأبو حنيفه وصاحباه وأبو ثور، وكره ذلك الشعبی والنخعی لأنّه محرّم، فلا يجوز الاستيجار عليه كإجارة أمة للزنا، ولا يجوز استيجار كاتب ليكتب له غناء ونوحاً بالباطل لأنّه انتفاع بمحرّم ، وقال أبوحنيفة يجوز ولا يجوز الاستيجار على كتابة شعر محرّم ولا بدعة ولا شیء محرّم كذلك</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حكى السيّد الخوئی رحمه الله عن أستاذه الشيخ النائينی قدس سره بأنّ المنفعة المحرّمة غير مملوكة</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الأخبار الواردة في المقام كرواية تحف العقول المتقدّمة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وُجُوهُ الْحَرَامِ مِنْ وُجُوهِ الْإِجَارَةِ نَظِيرِ أَنْ يُؤَاجِرَ نَفْسَهُ عَلَى مَا يَحْرُمُ عَلَيْهِ أَكْلُهُ، أَوْ شُرْبُهُ، أَوْ لُبْسُهُ، أَوْ يُؤَاجِرَ نَفْسَهُ في صَنْعَةِ ذَلِكَ الشيء، أَوْ حِفْظِهِ، أَوْ لُبْسِهِ، أَوْ يُؤَاجِرَ نَفْسَهُ في هَدْمِ الْمَسَاجِدِ ضِرَاراً، أَوْ قَتْلِ النَّفْسِ </w:t>
      </w:r>
    </w:p>
    <w:p>
      <w:pPr>
        <w:pStyle w:val="BookText"/>
        <w:rPr/>
      </w:pPr>
      <w:r>
        <w:rPr>
          <w:rFonts w:ascii="Amiri" w:hAnsi="Amiri" w:eastAsia="Amiri" w:cs="Amiri"/>
          <w:color w:val="111111"/>
          <w:sz w:val="28"/>
          <w:sz w:val="28"/>
          <w:szCs w:val="28"/>
          <w:rtl w:val="true"/>
          <w:lang w:bidi="ar-SA"/>
        </w:rPr>
        <w:t>بِغَيْرِ حِلٍّ، أَوْحَمْلِ التَّصَاوِيرِ وَالْأَصْنَامِ وَالْمَزَامِيرِ وَالْبَرَابِطِ وَالْخَمْرِ وَالْخَنَازِيرِ وَالْمَيْتَةِ وَالدَّمِ، أَوْ شيء مِنْ وُجُوهِ الْفَسَادِ الَّذِی كَانَ مُحَرَّماً عَلَيْهِ مِنْ غَيْرِ جِهَةِ الْإِجَارَةِ فِيه،ِ وَكُلُّ أَمْرٍ مَنْهِیٍّ عَنْهُ مِنْ جِهَةٍ مِنَ الْجِهَاتِ مُحَرَّمٌ عَلَى الْإِنْسَانِ إِجَارَةُ نَفْسِهِ فِيهِ، أَوْ لَهُ، أَوْ شيء مِنْهُ، أَوْ لَهُ إِلَّا لِمَنْفَعَةِ مَنِ اسْتَأْجَرَهُ كَالَّذِی يَسْتَأْجِرُ الْأَجِيرَ يَحْمِلُ لَهُ الْمَيْتَةَ يُنَحِّيهَا عَنْ أَذَاهُ، أَوْ أَذَى غَيْرِهِ، وَمَا أَشْبَهَ ذَلِكَ</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صابر أو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يُؤَاجِرُ بَيْتَهُ فَيُبَاعُ فِيهِ الْخَمْرُ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أَجْرُهُ</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 وما وردت في تحريم مؤنة الظالمين ولو بمدّة قلم وأنّ الإعانة على الإثم كنفس الإثم</w:t>
      </w:r>
      <w:r>
        <w:rPr>
          <w:rStyle w:val="FootnoteAnchor"/>
          <w:rtl w:val="true"/>
        </w:rPr>
        <w:footnoteReference w:id="1123"/>
      </w:r>
      <w:r>
        <w:rPr>
          <w:rFonts w:ascii="Amiri" w:hAnsi="Amiri" w:eastAsia="Amiri" w:cs="Amiri"/>
          <w:color w:val="111111"/>
          <w:sz w:val="28"/>
          <w:sz w:val="28"/>
          <w:szCs w:val="28"/>
          <w:rtl w:val="true"/>
          <w:lang w:bidi="ar-SA"/>
        </w:rPr>
        <w:t>، وغيرها ممّا وردت في باب النهى عن المنكر</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هناك روايات أخر تدلّ على جواز ذلك، منها صحيحة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أَبِی عَبْدِ اللَّهِ علیه السلام أَسْأَلُهُ عَنِ الرَّجُلِ يُؤَاجِرُ سَفِينَتَهُ وَدَابَّتَهُ مِمَّنْ يَحْمِلُ فِيهَا أَوْ عَلَيْهَا الْخَمْرَ وَالْخَنَازِيرَ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 xml:space="preserve">، وما وردت أيضاً في جواز بيع العصير والعنب والتمر ممّن يعمله خمراً </w:t>
      </w:r>
      <w:r>
        <w:rPr>
          <w:rStyle w:val="FootnoteAnchor"/>
          <w:rtl w:val="true"/>
        </w:rPr>
        <w:footnoteReference w:id="1126"/>
      </w:r>
      <w:r>
        <w:rPr>
          <w:rFonts w:ascii="Amiri" w:hAnsi="Amiri" w:eastAsia="Amiri" w:cs="Amiri"/>
          <w:color w:val="111111"/>
          <w:sz w:val="28"/>
          <w:sz w:val="28"/>
          <w:szCs w:val="28"/>
          <w:rtl w:val="true"/>
          <w:lang w:bidi="ar-SA"/>
        </w:rPr>
        <w:t xml:space="preserve">، قد ذكروا الفقهاء في مقام الجمع بينها وجوها من الاحتمالات، والأحسن منها ما اختاره عدّدة من حمل الأوّل على ما يكون الغرض من الإجارة تلك الغاية المنتهيّة، بأن ذكرت وشرطت في متن </w:t>
      </w:r>
    </w:p>
    <w:p>
      <w:pPr>
        <w:pStyle w:val="BookText"/>
        <w:rPr/>
      </w:pPr>
      <w:r>
        <w:rPr>
          <w:rFonts w:ascii="IRNazanin" w:hAnsi="IRNazanin" w:eastAsia="IRNazanin"/>
          <w:color w:val="111111"/>
          <w:sz w:val="28"/>
          <w:sz w:val="28"/>
          <w:szCs w:val="28"/>
          <w:rtl w:val="true"/>
          <w:lang w:bidi="fa-IR"/>
        </w:rPr>
        <w:t>العقد أو وقع الاتفاق عليها، والثانی على ما لم يكن كذلك</w:t>
      </w:r>
      <w:r>
        <w:rPr>
          <w:rStyle w:val="FootnoteAnchor"/>
          <w:rtl w:val="true"/>
        </w:rPr>
        <w:footnoteReference w:id="1127"/>
      </w:r>
      <w:r>
        <w:rPr>
          <w:rFonts w:ascii="Amiri" w:hAnsi="Amiri" w:eastAsia="Amiri" w:cs="Amiri"/>
          <w:color w:val="111111"/>
          <w:sz w:val="28"/>
          <w:sz w:val="28"/>
          <w:szCs w:val="28"/>
          <w:rtl w:val="true"/>
          <w:lang w:bidi="ar-SA"/>
        </w:rPr>
        <w:t xml:space="preserve">، أو ردّها لكونها مخالفة للكتاب وللأخبار المستفيضة بل المتواترة، ولحكم العقل، صرّح بذلك الإمام الراحل قدس سره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فتلك الروايات بما أنّها مخالفة للكتاب والسنة المستفيضة، وبما أنّها مخالفة الحكم العقل كما تقدّم، وبما أنّها مخالفة لروايات النهی عن المنكر، بل بما أنّها مخالفة لأصول المذهب ومخالفة لقداسة ساحة المعصوم علیه السلام حيث إنّ الظاهر منها أنّ الأئمة علیهم السلام كانوا يبيعون تمرهم ممّن يجعله خمراً وشراباً خبيثاً ولم يبيعوه من غيره، وهو ممّا لا يرضى به الشيعة الإمامية، كيف ولو صدر هذا العمل من أواسط الناس كان يعاب عليه، فالمسلم بما هو مسلم والشيعی بما هو كذلك، يرى هذا العمل قبيحاً مخالفاً لرضا الشارع، فكيف يمكن صدوره من المعصوم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فإلى هنا ثبت بطلان الإجارة وحرمة الأجرة لو كانت المنفعة مقيّدة بوجه الحرام أو إذا بنی العقد عليه، وأمّا ما حكی عن أبی حنفية والشافعی من القول بالصحة والتحريم، فعليه أن يعمل فيه بغيرها من الأعمال المباحة دون ما استأجره له، فهو علی فرض تسليمه دعوی بلا دليل، ويكون من قبيل ما قصد لم يقع وما وقع لم يقصد، فساده أظهر من أن يخفی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من الأمور المعتبرة في باب المنفعة عند الفريقين كونها متموّلة أو متقوّمة أو مقصودة على اختلاف التعابير، يبدل بإزائها المال عند العقلاء، والدليل عليه زائداً علی الإجماع أو كونه ممّا لا ريب فيه عند الأصحاب أنّ </w:t>
      </w:r>
    </w:p>
    <w:p>
      <w:pPr>
        <w:pStyle w:val="BookText"/>
        <w:rPr/>
      </w:pPr>
      <w:r>
        <w:rPr>
          <w:rFonts w:ascii="Amiri" w:hAnsi="Amiri" w:eastAsia="Amiri" w:cs="Amiri"/>
          <w:color w:val="111111"/>
          <w:sz w:val="28"/>
          <w:sz w:val="28"/>
          <w:szCs w:val="28"/>
          <w:rtl w:val="true"/>
          <w:lang w:bidi="ar-SA"/>
        </w:rPr>
        <w:t>الإجارة وإن كانت حقيقتها لغة وشرعاً عبارة عن تمليك منفعة معلومة بعوض معلوم من دون تقيّد بكونها متموّلة، إلا أنّ العقلاء حذراً عن كونها معاوضة سفيهيّة يعتبرون كونها متموّلة حتّى يصحّ بذل المال بإزائها في عرفهم، وحيث إنّ الشارع لم يتصرّف في مفهوم الإجارة من هذه الجهة لا دليل على ثبوتها عنده لو كانت المنفعة غير متمولة، فينتج كونها ممضاة عنده أيضاً، هذا وقد تقدّم في مبحث الشرائط المعتبرة في المتعاقدين اشتراط كونهما غير محجورين لسفه ونحوه، فبناء على ذلك لا فرق في بطلان الإجارة سواء كانا المتعاقدان أو أحدهما سفيهاً، أو كانا عاقلين لكنّهما يعملان بعمل السفهاء، قال العلامة رحمه الله في إعداد الشرائط المعتبرة في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شروطها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متقوّمة ليصحّ بذل المال في مقابلتها، فإنّ ما لا قيمة له لا يجوز بذل المال في مقابلته لأنّه يكون سفهاً كما لا يجوز بيع لا قيمة له، فكما لا يجوز بيع حبة واحدة من حنطة لعدم تقوّمها كذا لا يجوز استيجار ورقه واحدة من الرّيحان للشمّ لأنّها لا تقصد للشمّ ولا يصحّ تقويمها، فأشبه الحبة الواحدة من الحنطة لا يجوز بيعها، ولو كثرت الأوراق في الأغصان متعددة حتّى قصدت بالشمّ جاز استيجارها</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الكركی رحمه الله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يشترط لجواز بذل العوض المالی في مقابل المنفعة أن تكون متقوّمة، أی أن يكون لها قيمة عند أهل العرف غالباً، لأنّ ما لا قيمة له لا يجوز بذل المال في مقابله، ولا يحسن وقوع المعاوضة عليه، فلو استأجر نحو التفاحة للشمّ، أو طعاماً لتزيين المجلس به، أو الدراهم والدنانير </w:t>
      </w:r>
    </w:p>
    <w:p>
      <w:pPr>
        <w:pStyle w:val="BookText"/>
        <w:rPr/>
      </w:pPr>
      <w:r>
        <w:rPr>
          <w:rFonts w:ascii="IRNazanin" w:hAnsi="IRNazanin" w:eastAsia="IRNazanin"/>
          <w:color w:val="111111"/>
          <w:sz w:val="28"/>
          <w:sz w:val="28"/>
          <w:szCs w:val="28"/>
          <w:rtl w:val="true"/>
          <w:lang w:bidi="fa-IR"/>
        </w:rPr>
        <w:t xml:space="preserve">للتزيين بها، أو الشمع كذلك، أو الأشجار للوقوف في ظلّها، ففی صحّة الإجارة نظر، ينشأ من التردّد في كون هذه المنافع مقوّمة أم لا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المحقق العاملی رحمه الله أنّ المسألة ممّا لا ريب فيه عند الأصحاب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ممّا لا ريب فيه عندهم لكنّهم لم يذكروا له عنواناً، ومعنى كونها مقوّمة أن يكون لها قيمة عند أهل العرف، سواء كان الغالب ذلك أو</w:t>
      </w:r>
    </w:p>
    <w:p>
      <w:pPr>
        <w:pStyle w:val="BookText"/>
        <w:rPr/>
      </w:pPr>
      <w:r>
        <w:rPr>
          <w:rFonts w:ascii="Amiri" w:hAnsi="Amiri" w:eastAsia="Amiri" w:cs="Amiri"/>
          <w:color w:val="111111"/>
          <w:sz w:val="28"/>
          <w:sz w:val="28"/>
          <w:szCs w:val="28"/>
          <w:rtl w:val="true"/>
          <w:lang w:bidi="ar-SA"/>
        </w:rPr>
        <w:t>احتيج إلى ذلك في بعض الأحيان فكانت لها قيمة حينئذ</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البحرانی رحمه الله في مبحث إجارة الآبق مع الضميمة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على تقدير الجواز مع الضميمة فإنّهم قد صرّحوا بأنّه يشترط كونها متموّلة يمكن إفرادها بالمعاوضة</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وحكى الجزيری من العامة اتفاق المذاهب علی ذلك</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من الأمور المعتبرة في باب المنفعة أنّها لو كانت لها منافع متعددة، وتعلّق الغرض بواحدة منها أو ببعضها أن يتعيّن نوعها، فلو استأجر الدابة لمنفعة خاصة من الحمل أو الركوب أو إدارة الرحی ونحوها لا بدّ من التعيين حين العقد لاختلاف الأغراض والرغبات والأجرة باختلاف منافعها لئلّا يتحقّق الغرر الناشئ عن الجهل، نعم إن كان الغرض متعلقاً بالجميع فلا يلزم التعيين وهی له جميعاً، فهی من القضايا قياساتها معها، إذ الإجارة معاملة عقلائية، وأساس المعاملات العقلائية على التحفظ على أمور رائجة بينهم الّتي منها تعيين منفعة عين </w:t>
      </w:r>
    </w:p>
    <w:p>
      <w:pPr>
        <w:pStyle w:val="BookText"/>
        <w:rPr/>
      </w:pPr>
      <w:r>
        <w:rPr>
          <w:rFonts w:ascii="Amiri" w:hAnsi="Amiri" w:eastAsia="Amiri" w:cs="Amiri"/>
          <w:color w:val="111111"/>
          <w:sz w:val="28"/>
          <w:sz w:val="28"/>
          <w:szCs w:val="28"/>
          <w:rtl w:val="true"/>
          <w:lang w:bidi="ar-SA"/>
        </w:rPr>
        <w:t>المستأجرة، فإذا كان هناك منافع متعددة و تعلّق غرضهما بواحدة منها أو ببعضها للزم أن يصرّح بها حين العقد، وإلا كان العقد خارجاً عن حدود المعاملات الرائجة بينهم لكونها معاملة غررية أو سفهة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من الأمور المعتبرة في هذا الفرع الّتي ادعی كونها ممّا لا خلاف فيه 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بقسميه عليه، هی معلوميّة المنفعة المقصودة منها بتمام أبعادها، الّتي لها دخل في مقاصد العقلاء، ويتفاوت بها رغباتهم في الإجارة، على وجه ينتفی معها الغرر، وترتفع بها الجهالة، ويسدّ باب المنازعة بين المتعاقدين، وذلك لأنّها من مقوّمات حقيقة الإجارة حتّی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عبارة عن تمليك منفعة معلومة بعوض معلوم</w:t>
      </w:r>
      <w:r>
        <w:rPr>
          <w:rFonts w:eastAsia="IRNazanin" w:cs="IRNazanin"/>
          <w:color w:val="111111"/>
          <w:sz w:val="28"/>
          <w:szCs w:val="28"/>
          <w:rtl w:val="true"/>
          <w:lang w:bidi="fa-IR"/>
        </w:rPr>
        <w:t>»</w:t>
      </w:r>
      <w:r>
        <w:rPr>
          <w:rStyle w:val="FootnoteAnchor"/>
          <w:rtl w:val="true"/>
        </w:rPr>
        <w:footnoteReference w:id="1134"/>
      </w:r>
      <w:r>
        <w:rPr>
          <w:rFonts w:ascii="Amiri" w:hAnsi="Amiri" w:eastAsia="Amiri" w:cs="Amiri"/>
          <w:color w:val="111111"/>
          <w:sz w:val="28"/>
          <w:sz w:val="28"/>
          <w:szCs w:val="28"/>
          <w:rtl w:val="true"/>
          <w:lang w:bidi="ar-SA"/>
        </w:rPr>
        <w:t>، فلا تتحقّق حقيقتها عند العرف والعقلاء ما لم تكن طرفيها معلومة عند المتعاقدين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يخفی أنّ معلوميّة كلّ شیء بحسبه وله طرق فإمّا أن تكون بتقدير العمل بنسبته إلى المعمول كخياطة الثوب المعلوم وركوب الدّابة إلى موضع معيّن أو تعلم بتقدير المدّة والزمان كأن يستأجر داره أو دابته لسكونة شهر و ركوب شهر، ونحوها،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كلام المحقق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المنفعة معلومة، قال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أجده فيه، بل الإجماع بقسميه عليه، للغرر وغيره،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الّذين اكتفوا بالمشاهدة في البيع وافقوا هنا على وجوب العلم بقدر المنفعة، فلا يجوز حينئذ على المجهولة فضلاً عن المبهمة، ولو بايهام العين المستأجرة، بل لا بدّ من التزام العين في الذّمة كما يلتزمها بالسّلم وتشخيص العين</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فبناءً علی ذلك لو كانت العين غائبة أو كليّة للزم توصيفها بما يرفع الجهالة كما في السّلم، ولو كانت حاضرة كفته المشاهدة أو التوصيف، وكيف كان قد استدلّ على اشتراطه تارة بعدم الخلاف أو الإجماع كما مرّ، وأخرى وهو العمدة بأنّ بناء العقلاء على ذلك حيث إنّهم ينتظمون عقودهم الماليّة الهامّة على وجه معلوم واضح لا يعتريه أیّ ترديد وشبهة يوجب المنازعة في الحال أو المستقبل، ويذمّون كلّ من لم يعتن بذلك، فعليه فالمعاملة على المبهم غير المعلوم خارج عن حدود المعاملات الرائجة بينهم، ولا يكون مشمولاً عندهم لأدلّة وجوب الوفاء بالعقود والعهود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الخاصة والعامة عن النَّبِیِّ صَلَّى اَللَّهُ عَلَيْهِ وَ آلِهِ وَ سَلَّمْ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نَهَى عَنْ بَيْعِ الْغَرَرِ</w:t>
      </w:r>
      <w:r>
        <w:rPr>
          <w:rFonts w:eastAsia="Amiri" w:cs="Amiri" w:ascii="Amiri" w:hAnsi="Amiri"/>
          <w:color w:val="111111"/>
          <w:sz w:val="28"/>
          <w:szCs w:val="28"/>
          <w:rtl w:val="true"/>
          <w:lang w:bidi="ar-SA"/>
        </w:rPr>
        <w:t>»</w:t>
      </w:r>
      <w:r>
        <w:rPr>
          <w:rStyle w:val="FootnoteAnchor"/>
          <w:rtl w:val="true"/>
        </w:rPr>
        <w:footnoteReference w:id="1136"/>
      </w:r>
      <w:r>
        <w:rPr>
          <w:rFonts w:ascii="IRNazanin" w:hAnsi="IRNazanin" w:eastAsia="IRNazanin"/>
          <w:color w:val="111111"/>
          <w:sz w:val="28"/>
          <w:sz w:val="28"/>
          <w:szCs w:val="28"/>
          <w:rtl w:val="true"/>
          <w:lang w:bidi="fa-IR"/>
        </w:rPr>
        <w:t>، بناء على إلغاء خصوصيّة البيع واستفادة المناط القطعی منه، والخبر وإن كان غير نقى السند إلا أنّه حيث كان مشهوراً بينهم قد أفتى به الفقهاء على بطلان ما يوجب الغرر في كافة المعاملات، فينجبر به ضعفه، وقد مرّ كلام الشيخ الأعظم رحمه الله بعد نقله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واشتهار الخبر بين الخاصة والعامة يجبر إرساله</w:t>
      </w:r>
      <w:r>
        <w:rPr>
          <w:rStyle w:val="FootnoteAnchor"/>
          <w:rtl w:val="true"/>
        </w:rPr>
        <w:footnoteReference w:id="1137"/>
      </w:r>
      <w:r>
        <w:rPr>
          <w:rFonts w:ascii="Amiri" w:hAnsi="Amiri" w:eastAsia="Amiri" w:cs="Amiri"/>
          <w:color w:val="111111"/>
          <w:sz w:val="28"/>
          <w:sz w:val="28"/>
          <w:szCs w:val="28"/>
          <w:rtl w:val="true"/>
          <w:lang w:bidi="ar-SA"/>
        </w:rPr>
        <w:t>، هذا تمام الكلام في الفرع الثالث</w:t>
      </w:r>
      <w:r>
        <w:rPr>
          <w:rFonts w:eastAsia="Amiri" w:cs="Amiri" w:ascii="Amiri" w:hAnsi="Amiri"/>
          <w:color w:val="111111"/>
          <w:sz w:val="28"/>
          <w:szCs w:val="28"/>
          <w:rtl w:val="true"/>
          <w:lang w:bidi="ar-SA"/>
        </w:rPr>
        <w:t xml:space="preserve">. </w:t>
      </w:r>
      <w:bookmarkStart w:id="356" w:name="pg7917_85193"/>
    </w:p>
    <w:p>
      <w:pPr>
        <w:pStyle w:val="Heading2"/>
        <w:numPr>
          <w:ilvl w:val="1"/>
          <w:numId w:val="1"/>
        </w:numPr>
        <w:rPr/>
      </w:pPr>
      <w:bookmarkStart w:id="357" w:name="__RefHeading___Toc6355339_1051229030"/>
      <w:bookmarkStart w:id="358" w:name="_Toc118"/>
      <w:bookmarkEnd w:id="356"/>
      <w:bookmarkEnd w:id="357"/>
      <w:r>
        <w:rPr>
          <w:rtl w:val="true"/>
        </w:rPr>
        <w:t>﻿الرابع</w:t>
      </w:r>
      <w:r>
        <w:rPr>
          <w:rtl w:val="true"/>
        </w:rPr>
        <w:t xml:space="preserve">: </w:t>
      </w:r>
      <w:r>
        <w:rPr>
          <w:rtl w:val="true"/>
        </w:rPr>
        <w:t>ما يشترط في أجرة الإجارة وأدلّتها</w:t>
      </w:r>
      <w:r>
        <w:rPr>
          <w:rtl w:val="true"/>
        </w:rPr>
        <w:t>:</w:t>
      </w:r>
      <w:bookmarkEnd w:id="358"/>
    </w:p>
    <w:p>
      <w:pPr>
        <w:pStyle w:val="BookText"/>
        <w:rPr/>
      </w:pPr>
      <w:r>
        <w:rPr>
          <w:rFonts w:ascii="IRNazanin" w:hAnsi="IRNazanin" w:eastAsia="IRNazanin"/>
          <w:color w:val="111111"/>
          <w:sz w:val="28"/>
          <w:sz w:val="28"/>
          <w:szCs w:val="28"/>
          <w:rtl w:val="true"/>
          <w:lang w:bidi="fa-IR"/>
        </w:rPr>
        <w:t>وأمّا ما يعتبر في أجرة الإجارة فهی أيضاً أمور، أشار إليه الإمام الراحل قدس سره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الأجرة فتعتبر معلوميّتها، وتعيين مقدارها بالكيل أو الوزن أو العدّ في المكيل والموزون والمعدود، وبالمشاهدة أو التوصيف في غيرها، ويجوز أن تكون عيناً خارجيّةً، أو كليّاً في الذمة، أو عملاً، أو منفعةً أو حقاً قابلاً للنقل مثل الثمن في البيع</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الأمور المعتبرة في الأجرة أيضاً من جهة اعتبار معلوميّتها وتعيين مقدارها، كالكلام في العين المستأجرة، وحيث إنّ الأجرة قد تكون من قبيل المكيلات أو الموزونات، أو المعدودات فطريق تعيينها إنّما هو بالكيل أو الوزن أو العدّ، وأمّا إذا كانت من غيرها مثل ما لوكانت من قبيل عمل، أو منفعة، أو حقّ قابل للنقل، أو كانت كليّة في الذّمة فيعتبر كونها بالمشاهدة أو توصيفها بما يرفع معه الغرر كما في السّلم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هنا تمّ بحمد الله والمنة ما أردنا أن نبحث عنه حول ما يشترط في صحة الإجارة من الشرائط المعتبرة في المتعاقدين، وفی العين المستأجرة، وفی المنفعة، وفی الأجرة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359" w:name="pg7917_8519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0" w:name="__RefHeading___Toc6355341_1051229030"/>
      <w:bookmarkStart w:id="361" w:name="_Toc119"/>
      <w:bookmarkEnd w:id="359"/>
      <w:bookmarkEnd w:id="360"/>
      <w:r>
        <w:rPr>
          <w:rtl w:val="true"/>
        </w:rPr>
        <w:t>المقالة الثامنة في شرائط المتعاقدين في المضاربة وشرائط مال القراض وربحه</w:t>
      </w:r>
      <w:r>
        <w:rPr>
          <w:rtl w:val="true"/>
        </w:rPr>
        <w:t>:</w:t>
      </w:r>
      <w:bookmarkEnd w:id="36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المضاربة عقد من العقود في باب المعاملات وقد تسمّی قراضاً أيضاً وكيف كان هما اسمان بمعنی واحد إلا أنّ الأوّل لغة أهل العراق والثانی لغة أهل الحجاز</w:t>
      </w:r>
      <w:r>
        <w:rPr>
          <w:rStyle w:val="FootnoteAnchor"/>
          <w:rtl w:val="true"/>
        </w:rPr>
        <w:footnoteReference w:id="1139"/>
      </w:r>
      <w:r>
        <w:rPr>
          <w:rFonts w:ascii="IRNazanin" w:hAnsi="IRNazanin" w:eastAsia="IRNazanin"/>
          <w:color w:val="111111"/>
          <w:sz w:val="28"/>
          <w:sz w:val="28"/>
          <w:szCs w:val="28"/>
          <w:rtl w:val="true"/>
          <w:lang w:bidi="fa-IR"/>
        </w:rPr>
        <w:t>، والمضاربة مفاعلة من الضرب بمعنی السفر من باب تسمية الشیء باسم لازمه وذلك لأنّ الإتجار يلازم السفر غالباً لا سيّما في مثل الأزمنة القديمة، يقال لضرب العامل في الأرض لتحصيل الربح مضاربة إذ المالك سبب والعامل مباشر له، أو لأنّ كلا ًمنهما يضرب الربح بسهمه، المالك بماله والعامل بعمله فهما شريكان فيه ويساوى كلّ واحد منهما صاحبه في الاشتراك في أصل الربح وإن اختلفا في كميّته ومقداره في بعض الأحيان، والثانی مأخوذ من القرض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الّذی منه المقراض، لقطع المالك حصّة من ماله ودفعه إلى العامل ليتّجر به، وقطع العامل حصة من الربح الحاصل بسعيه للمالك، فعليه العامل مقارَض بالبناء للمفعول كما أنّه على الأول مضارِب بالبناء للفاعل، وقد احتمل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كسافرت في سافرت الدّهر بمعنی سفرته، وداويت في داويت المريض بمعنی دويته، وآويت الغريب بمعنی أويته، وطالعت الكتاب بمعنی طلعته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أحسن ما قيل في وجه تسميته بهما 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حيث قال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المضاربة مأخوذة من الضرب في الأرض، لأنّ العامل يضرب فيها للسعی على التجارة وابتغاء الربح بطلب صاحب المال، فكان الضرب مسبّب عنهما، فتحقّقت المفاعلة لذلك، أو من ضرب كلّ منهما في الربح بسهم، أو لما فيه من الضرب بالمال وتقليبه، وهذه لغة أهل </w:t>
      </w:r>
    </w:p>
    <w:p>
      <w:pPr>
        <w:pStyle w:val="BookText"/>
        <w:rPr/>
      </w:pPr>
      <w:r>
        <w:rPr>
          <w:rFonts w:ascii="IRNazanin" w:hAnsi="IRNazanin" w:eastAsia="IRNazanin"/>
          <w:color w:val="111111"/>
          <w:sz w:val="28"/>
          <w:sz w:val="28"/>
          <w:szCs w:val="28"/>
          <w:rtl w:val="true"/>
          <w:lang w:bidi="fa-IR"/>
        </w:rPr>
        <w:t>العراق، وأهل الحجاز يعبّرون عنها بالقراض من القرض وهو القطع، كأنّ صاحب المال اقتطع منه قطعة وسلّمها إلى العامل، أو اقتطع له قطعة من الربح في مقابلة عمله؛ أو من المقارضة، وهی المساواة، ومنه قول أبی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 الناس ما قارضوك فإن تركتهم لم يتركوك، و وجه التساوی هنا أنّ المال من جهةٍ والعمل من أخرى والربح في مقابلهما، فقد تساويا في قوام العقد، أو أصل استحقاق الربح وإن اختلفا في كمّيته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الاتجار بمال الغير إن كان بصورة اشتراك كلّ من المالك والعامل في الربح الحاصلة علی ما سيأتی تفصيله فهو قراض أو مضاربة، وإن كان علی وجه أن يكون الربح كلّه للعامل فهو قرض، وعلی العكس فهو بضاعة، أشار إلی ذلك ابن سعيد الحلي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إعطاء الغير مالاً ليحفظه وديعة، وليكون الربح للعامل قرض، وليكون الربح لربّه بضاعة، وليكون الربح بينهما قراض</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يبحث عن موضوع ما نحن فيه الفقهاء غالباً في كتبهم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xml:space="preserve">، لكنّهم قد بحثوا عنها أيضاً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القراض</w:t>
      </w:r>
      <w:r>
        <w:rPr>
          <w:rFonts w:eastAsia="Amiri" w:cs="Amiri" w:ascii="Amiri" w:hAnsi="Amiri"/>
          <w:color w:val="111111"/>
          <w:sz w:val="28"/>
          <w:szCs w:val="28"/>
          <w:rtl w:val="true"/>
          <w:lang w:bidi="ar-SA"/>
        </w:rPr>
        <w:t>»</w:t>
      </w:r>
      <w:r>
        <w:rPr>
          <w:rStyle w:val="FootnoteAnchor"/>
          <w:rtl w:val="true"/>
        </w:rPr>
        <w:footnoteReference w:id="1143"/>
      </w:r>
      <w:r>
        <w:rPr>
          <w:rFonts w:ascii="IRNazanin" w:hAnsi="IRNazanin" w:eastAsia="IRNazanin"/>
          <w:color w:val="111111"/>
          <w:sz w:val="28"/>
          <w:sz w:val="28"/>
          <w:szCs w:val="28"/>
          <w:rtl w:val="true"/>
          <w:lang w:bidi="fa-IR"/>
        </w:rPr>
        <w:t xml:space="preserve">، وأخری </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القراض والمضاربة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Style w:val="FootnoteAnchor"/>
          <w:rtl w:val="true"/>
        </w:rPr>
        <w:footnoteReference w:id="1144"/>
      </w:r>
      <w:r>
        <w:rPr>
          <w:rFonts w:ascii="IRNazanin" w:hAnsi="IRNazanin" w:eastAsia="IRNazanin"/>
          <w:color w:val="111111"/>
          <w:sz w:val="28"/>
          <w:sz w:val="28"/>
          <w:szCs w:val="28"/>
          <w:rtl w:val="true"/>
          <w:lang w:bidi="fa-IR"/>
        </w:rPr>
        <w:t xml:space="preserve">، إلا أنّ بعضاً منهم كالشيخ المفيد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الطوسی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وقطب الدّين الراوندی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الخاصّة، وابن قدامة الّذی كان من الفقهاء الحنبلی المعروف في القرن السابع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العامة أدرجواها تحت أبحاث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الشركة</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 حيث إنّها عقد من العقود تحتاج إلى الطرفين هما الموجب والقابل، يكفی في الإيجاب كلّ لفظ يفيد هذا المعنی بالظهور العرفی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ضاربتك أو قارضتك أو عاملتك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أفاد هذا المعنى، وفی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عبّر عنها السيّد رحمه الله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47"/>
      </w:r>
      <w:r>
        <w:rPr>
          <w:rFonts w:ascii="IRNazanin" w:hAnsi="IRNazanin" w:eastAsia="IRNazanin"/>
          <w:color w:val="111111"/>
          <w:sz w:val="28"/>
          <w:sz w:val="28"/>
          <w:szCs w:val="28"/>
          <w:rtl w:val="true"/>
          <w:lang w:bidi="fa-IR"/>
        </w:rPr>
        <w:t>بأنّها عبارة عن دفع الإنسان مالاً إلی غيره ليتّجر به علی أن يكون الربح بينهما، ثمّ اعترض عليه بعض محشي العروة بأنّ المضاربة ليست من الأفعال الخارجيّة حتّی يفسّر بأنّها عبارة عن دفع الإنسان بل هی عقد واقع بين شخصين علی أن يكون رأس المال في التجارة من أحدهما والعمل من الآخر ولو حصل ربح يكون بينهما بنسبة معيّنة</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الإنصاف أنّ العقود والمعاملات كما هو المختار تقع بالكتابة والمعاطاة كما تقع بالصيغ والألفاظ، والدفع نوع من المعاطاة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فرق في المقام بين أن يكون الموجب هو المالك أو العامل كما إذا تقدّم المقاولة بها من دون أن ينشیء العقد، ثمّ قال العامل إنّی أخذت مالك لأتّجر به ويكون الربح بيننا نصفاً وقال المالك قبلت، وكذا الكلام في كلّ عقد من العقود، فلا فرق في البيع حينئذ أن يكون الموجب هو البائع أو المشتری، وفی الإجارة أن يكون هو المؤجر أو المستأجر، وفی الجعالة أن يكون هو الجاعل أو العامل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 لا فرق فيهما أيضاً بين أن يكونا مفردين أم مجتمعين أو مختلفين، فيقسّم الربح بينهم إذا حصل علی نسبة حصصهم وما تعيّنا وقت العقد من أحد الكسور مثل النصف أو الثلث وأمثالهما، وتقسيمه كما يمكن أن يكون عند إتمام العمل بعد انقضاء المدّة والمحاسبات الدقيقة، كذلك يمكن أن يكون تخميناً </w:t>
      </w:r>
    </w:p>
    <w:p>
      <w:pPr>
        <w:pStyle w:val="BookText"/>
        <w:rPr/>
      </w:pPr>
      <w:r>
        <w:rPr>
          <w:rFonts w:ascii="IRNazanin" w:hAnsi="IRNazanin" w:eastAsia="IRNazanin"/>
          <w:color w:val="111111"/>
          <w:sz w:val="28"/>
          <w:sz w:val="28"/>
          <w:szCs w:val="28"/>
          <w:rtl w:val="true"/>
          <w:lang w:bidi="fa-IR"/>
        </w:rPr>
        <w:t>طیّ المدّة علی النسبة الّتي تعيّنا وقت العقد بصورة اليوميّة أو الأسبوعيّة ونحوهما ثمّ محاسبته دقيقاً عند إتمام العمل والمدّة وأخذ الناقص منهما سهمه منه حينئذ، كما هو المتعارف اليوم في المؤسسات الماليّة والبنوك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نبحث هنا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المتعاقدين في المضاربة وشرائط مال القراض و ربحه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نستدلّ في هذه المقالة إن شاء الله تعالی عن هذه المسألة بالتّفصيل علی حسب مبانی الإستدلاليّة في الفقه الإماميّة، نقتفی في بحثنا رأی الإمام الراحل قدس سره نذكر كلامه أوّلاً، ثمّ نعقّبه بذكر بعض أقوال فقهاء الفريقين الّتي وردت في المقام فإنّه رحمه الله ذكر المسألة، في المسألة الأولی من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يشترط في المتعاقدين البلوغ والعقل والاختيار، وفی ربّ المال عدم الحجر لفلس، وفی العامل القدرة على التجارة برأس المال، فلو كان عاجزاً مطلقاً بطلت، ومع العجز في بعضه لا تبعد الصّحة بالنسبة على إشكال، نعم لو طرأ في أثناء التجارة تبطل من حين طروّه بالنسبة إلى الجميع لو عجز مطلقاً، وإلى البعض لو عجز عنه على الأقوى، وفی رأس المال أن يكون عيناً، فلا تصحّ بالمنفعة ولا بالدَّين سواء كان على العامل أو غيره إلا بعد قبضه، وأن يكون درهماً وديناراً، فلا تصحّ بالذهب والفضة غير المسكوكين والسبائك والعروض، نعم جوازها بمثل الأوراق النقدية ونحوها من الأثمان غير الذهب والفضة لا يخلو من قوة، وكذا في الفلوس السود، وأن يكون معيّناً، فلا تصحّ بالمبهم كأن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قارضتك بأحد هذين أو بأيّهما شئت، وأن يكون معلوماً قدراً و وصفاً، وفی الربح أن يكون معلوماً،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 مثل ما شرط فلان لعامله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يعلماه بطلت، وأن يكون مشاعاً مقدراً بأحد الكسور كالنصف أو الثلث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لك من الربح مائة والباقی لی أو بالعكس أو لك نصف الربح وعشرة دراهم مثلاً لم تصحّ، وأن يكون </w:t>
      </w:r>
      <w:bookmarkStart w:id="362" w:name="pg7917_85210"/>
    </w:p>
    <w:p>
      <w:pPr>
        <w:pStyle w:val="BookText"/>
        <w:rPr/>
      </w:pPr>
      <w:bookmarkEnd w:id="362"/>
      <w:r>
        <w:rPr>
          <w:rFonts w:ascii="IRNazanin" w:hAnsi="IRNazanin" w:eastAsia="IRNazanin"/>
          <w:color w:val="111111"/>
          <w:sz w:val="28"/>
          <w:sz w:val="28"/>
          <w:szCs w:val="28"/>
          <w:rtl w:val="true"/>
          <w:lang w:bidi="fa-IR"/>
        </w:rPr>
        <w:t xml:space="preserve">بين المالك والعامل لا يشاركهما الغير، فلو جعلا جزء منه لأجنبی بطلت إلا أن يكون له عمل متعلّق بالتجارة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3" w:name="__RefHeading___Toc6355343_1051229030"/>
      <w:bookmarkStart w:id="364" w:name="_Toc120"/>
      <w:bookmarkEnd w:id="363"/>
      <w:r>
        <w:rPr>
          <w:rtl w:val="true"/>
        </w:rPr>
        <w:t>عناوين فروعات المسألة إجمالاً</w:t>
      </w:r>
      <w:r>
        <w:rPr>
          <w:rtl w:val="true"/>
        </w:rPr>
        <w:t>:</w:t>
      </w:r>
      <w:bookmarkEnd w:id="364"/>
    </w:p>
    <w:p>
      <w:pPr>
        <w:pStyle w:val="BookText"/>
        <w:rPr/>
      </w:pPr>
      <w:r>
        <w:rPr>
          <w:rFonts w:ascii="IRNazanin" w:hAnsi="IRNazanin" w:eastAsia="IRNazanin"/>
          <w:color w:val="111111"/>
          <w:sz w:val="28"/>
          <w:sz w:val="28"/>
          <w:szCs w:val="28"/>
          <w:rtl w:val="true"/>
          <w:lang w:bidi="fa-IR"/>
        </w:rPr>
        <w:t>إنّ المباحث المطروحة في هذه المسألة يمكن إدراجها طی فروع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المتعاقدين</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المضاربة لو كان أو طرأ عليه العجز عن التجارة أثنائها</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القراض وشرائطه</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الربح الحاصل منها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الورود في صلب الموضوع فالتحقيق يقتضی أن نبحث عن أصل جواز هذا العقد عند الشارع فنقول وبه نستعين</w:t>
      </w:r>
      <w:r>
        <w:rPr>
          <w:rFonts w:eastAsia="IRNazanin" w:cs="IRNazanin"/>
          <w:color w:val="111111"/>
          <w:sz w:val="28"/>
          <w:szCs w:val="28"/>
          <w:rtl w:val="true"/>
          <w:lang w:bidi="fa-IR"/>
        </w:rPr>
        <w:t xml:space="preserve">: </w:t>
      </w:r>
      <w:bookmarkStart w:id="365" w:name="pg7917_85212"/>
    </w:p>
    <w:p>
      <w:pPr>
        <w:pStyle w:val="Heading2"/>
        <w:numPr>
          <w:ilvl w:val="1"/>
          <w:numId w:val="1"/>
        </w:numPr>
        <w:rPr/>
      </w:pPr>
      <w:bookmarkStart w:id="366" w:name="__RefHeading___Toc6355345_1051229030"/>
      <w:bookmarkStart w:id="367" w:name="_Toc121"/>
      <w:bookmarkEnd w:id="365"/>
      <w:bookmarkEnd w:id="366"/>
      <w:r>
        <w:rPr>
          <w:rtl w:val="true"/>
        </w:rPr>
        <w:t>أمّا دليل جواز المضاربة</w:t>
      </w:r>
      <w:r>
        <w:rPr>
          <w:rtl w:val="true"/>
        </w:rPr>
        <w:t>:</w:t>
      </w:r>
      <w:bookmarkEnd w:id="367"/>
    </w:p>
    <w:p>
      <w:pPr>
        <w:pStyle w:val="BookText"/>
        <w:rPr/>
      </w:pPr>
      <w:r>
        <w:rPr>
          <w:rFonts w:ascii="IRNazanin" w:hAnsi="IRNazanin" w:eastAsia="IRNazanin"/>
          <w:color w:val="111111"/>
          <w:sz w:val="28"/>
          <w:sz w:val="28"/>
          <w:szCs w:val="28"/>
          <w:rtl w:val="true"/>
          <w:lang w:bidi="fa-IR"/>
        </w:rPr>
        <w:t xml:space="preserve">إنّه قد استدلّ علی ذلك تارة بعدم الخلاف أو الإجماع بل البديهی بين المسلمين، وأخری بالنصّ والأخبار المستفيضة، فمن القائلين بعدم الخلاف أو الإجماع أو كونها بدهيّاً بين المسلمين الشيخ الطوسی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الكتاب وإجماع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خلاف فيه</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البراج الطرابلسی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والقراض من العقود الجائزة في الشريعة بغير خلاف</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وعلامة الحلي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القراض معاملة صحيحة بالإجماع</w:t>
      </w:r>
      <w:r>
        <w:rPr>
          <w:rStyle w:val="FootnoteAnchor"/>
          <w:rtl w:val="true"/>
        </w:rPr>
        <w:footnoteReference w:id="1152"/>
      </w:r>
      <w:r>
        <w:rPr>
          <w:rFonts w:ascii="IRNazanin" w:hAnsi="IRNazanin" w:eastAsia="IRNazanin"/>
          <w:color w:val="111111"/>
          <w:sz w:val="28"/>
          <w:sz w:val="28"/>
          <w:szCs w:val="28"/>
          <w:rtl w:val="true"/>
          <w:lang w:bidi="fa-IR"/>
        </w:rPr>
        <w:t xml:space="preserve">، 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المعاملة جائزة بالنصّ والإجماع، لما روی العامّة أنّ الصحابة أجمعوا عليها</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وقريب منه ما قاله جمال الدّين أحمد بن محمد الأسدی المعروف بإبن فهد الحلي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الإجماع فلم يختلف فيه الأمة، بل أجمعوا على مشروعيته، وإن اختلفوا في آحاد مسائله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الموافق لما هو المشهور بل المجمع عليه من مشروعيتها المدلول عليها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تَكُونَ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و بالمتواتر من السنة المرويّة من الطرفين، فما عن المفيد والشيخ في النهاية وسلار وابن البراج وظاهر أبی الصلاح من عدم مشروعيتها فليس للعامل حينئذ إلا أجرة المثل، وإن وقع من المالك اشتراط الحصة من الربح، الا أنّه من الوعد الّذی لا يجب الوفاء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البطلان و واضح الفساد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آنفاً تصريح ابن البراج الطرابلسی بكون المضاربة من العقود الجائزة في الشريعة المقدسة بغير خلاف، فما نسبه إليه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مخالفته لذلك إمّا غير صحيح أو فتوی آخر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القاضی ابن رشد القرطبی المالكی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خلاف بين المسلمين في جواز القراض وإنّه ممّا كان في الجاهليّة فأقرّه الإسلام</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بذلك أيضاً الشيخ عبد الرّحمن الجزيری من علماء الأزهر بمصر في القرن الرابع عشر حيث قال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المضاربة الإجماع فقد أجمع المسلمون على جواز ذلك النوع من المعاملة ولم يخالف فيه أحد وقد كان معروفاً في الجاهلية فأقرّه </w:t>
      </w:r>
    </w:p>
    <w:p>
      <w:pPr>
        <w:pStyle w:val="BookText"/>
        <w:rPr/>
      </w:pPr>
      <w:r>
        <w:rPr>
          <w:rFonts w:ascii="IRNazanin" w:hAnsi="IRNazanin" w:eastAsia="IRNazanin"/>
          <w:color w:val="111111"/>
          <w:sz w:val="28"/>
          <w:sz w:val="28"/>
          <w:szCs w:val="28"/>
          <w:rtl w:val="true"/>
          <w:lang w:bidi="fa-IR"/>
        </w:rPr>
        <w:t>الإسلام لما فيه من المصلحة، وذلك شأنه في كلّ تشريعه فهو دائماً يبحث عن المصلحة ليقرّها ويحثّ على تحصيلها ويحذّر من المفسدة والدنو منهاحتّى يعيش المجتمع عيشة راضية، يستعين بعض أفراده ببعض فيما يعود عليهم جميعاً بالخير والسعادة، فالمضاربة عقد قد يكون فيه مصلحة ضرورية للناس وعند ذلك يكون داخلاً في القاعدة العامة وهی الحثّ على عمل ما فيه المصلحة ويكون له حكم الفائدة المترتبة عليها فكلّما عظمت فائدة المضاربة كان طلبها مؤكداً في نظر الشرع، ولهذا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سنة، ولا حاجة إلى تأويل قوله هذا بأنّها ثبتت بالسن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خالف الإجماع بعض منهم شيخي المفيد والطوسی رضوان الله تعالی عليهما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 ولعلّهم استدلّوا علی ذلك بتبعيّة المنافع للأعيان فإن وقع من المالك للعامل اشتراط الحصّة من الربح فهو في الحقيقة من الوعد الّذی لا يجب الوفاء به، بل المالك حينئذ مخيّر بين اعطائه العامل ما وافقه عليه وبين اعطائه أجرة المثل، إلا أنّه مدفوع نقضاً وحلاً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فبالنقض بمثل المزارعة والمساقاة حيث إنّ المزارعة معاملة علی أن تزرع الأرض بحصة من حاصلها، والمساقاة معاملة علی أصول ثابتة بأن يسقيها مدة معيّنة بحصة من ثمرها </w:t>
      </w:r>
      <w:r>
        <w:rPr>
          <w:rStyle w:val="FootnoteAnchor"/>
          <w:rtl w:val="true"/>
        </w:rPr>
        <w:footnoteReference w:id="1159"/>
      </w:r>
      <w:r>
        <w:rPr>
          <w:rFonts w:ascii="IRNazanin" w:hAnsi="IRNazanin" w:eastAsia="IRNazanin"/>
          <w:color w:val="111111"/>
          <w:sz w:val="28"/>
          <w:sz w:val="28"/>
          <w:szCs w:val="28"/>
          <w:rtl w:val="true"/>
          <w:lang w:bidi="fa-IR"/>
        </w:rPr>
        <w:t>، فكما كانت العين في المزارعة للعامل وفی المساقاة للمالك إلا أنّ منفعتهما تنقسم بينهما علی حسب نسبة الّتي تعيّنا وقت العقد فكذلك في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الثانی بأنّ تبعيّة المنافع للأعيان فهو من قبيل المقتضی لولا المانع، فلا تنافی تفكيكها بالمعاقدة أو الاشتراط كما في مثل بيع العين المستأجرة حيث إنّها تصير مسلوبة المنفعة مدّة إجارتها بالشرط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دليل المسألة بحسب الإجماع والإتفاق، وأمّا دليلها بحسب النصّ والأدلّة النقليّة فقد استدلّ عليها بالكتاب والأخبار، فمن الكتاب بانضمام الآيات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قوله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الصَّلاة</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w:t>
      </w:r>
    </w:p>
    <w:p>
      <w:pPr>
        <w:pStyle w:val="BookText"/>
        <w:rPr/>
      </w:pPr>
      <w:r>
        <w:rPr>
          <w:rFonts w:ascii="Amiri" w:hAnsi="Amiri" w:eastAsia="Amiri" w:cs="Amiri"/>
          <w:color w:val="111111"/>
          <w:sz w:val="28"/>
          <w:sz w:val="28"/>
          <w:szCs w:val="28"/>
          <w:rtl w:val="true"/>
          <w:lang w:bidi="ar-SA"/>
        </w:rPr>
        <w:t>ما تَيَسَّرَ مِنَ الْقُرْآنِ عَلِمَ أَنْ سَيَكُونُ مِنْكُمْ مَرْضى وَآخَرُونَ يَضْرِبُونَ في الْأَرْضِ يَبْتَغُونَ مِنْ فَضْلِ اللَّهِ وَآخَرُونَ يُقاتِلُونَ في سَبيلِ اللَّهِ فَاقْرَؤُا ما تَيَسَّرَ مِنْهُ</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eastAsia="Amiri" w:cs="Amiri" w:ascii="Amiri" w:hAnsi="Amiri"/>
          <w:color w:val="111111"/>
          <w:sz w:val="28"/>
          <w:szCs w:val="28"/>
          <w:rtl w:val="true"/>
          <w:lang w:bidi="ar-SA"/>
        </w:rPr>
        <w:t>)</w:t>
      </w:r>
      <w:r>
        <w:rPr>
          <w:rStyle w:val="FootnoteAnchor"/>
          <w:rtl w:val="true"/>
        </w:rPr>
        <w:footnoteReference w:id="1162"/>
      </w:r>
      <w:r>
        <w:rPr>
          <w:rFonts w:ascii="IRNazanin" w:hAnsi="IRNazanin" w:eastAsia="IRNazanin"/>
          <w:color w:val="111111"/>
          <w:sz w:val="28"/>
          <w:sz w:val="28"/>
          <w:szCs w:val="28"/>
          <w:rtl w:val="true"/>
          <w:lang w:bidi="fa-IR"/>
        </w:rPr>
        <w:t>، يعلم أنّ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السفر، والسفر أعمّ من أن يكون للتجارة أو لغيرها من الأغراض المشروعة مثل السفر لمناسك الحجّ والعمرة أو الزيارات أو لتحصيل العلم أو لصلة الرحم ونحوها، قال السيّد محمّد بن علی بن إبراهيم الأسترآبادی في كتابه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الأحكام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يَضْرِبُونَ في الْأَرْضِ يَبْتَغُونَ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أنّ فضل اللّه أعمّ من المال والعلم والثّواب وغيرها فيدخل فيه السّفر للتجارة وتحصيل المال، ولتحصيل العلم، والحجّ والزيارات، وصلة </w:t>
      </w:r>
    </w:p>
    <w:p>
      <w:pPr>
        <w:pStyle w:val="BookText"/>
        <w:rPr/>
      </w:pPr>
      <w:r>
        <w:rPr>
          <w:rFonts w:ascii="Amiri" w:hAnsi="Amiri" w:eastAsia="Amiri" w:cs="Amiri"/>
          <w:color w:val="111111"/>
          <w:sz w:val="28"/>
          <w:sz w:val="28"/>
          <w:szCs w:val="28"/>
          <w:rtl w:val="true"/>
          <w:lang w:bidi="ar-SA"/>
        </w:rPr>
        <w:t>الرّحم ونحوها، وقد ورد من طرق العامّة والخاصّة روايات في الحثّ على التّجارة مذكورة في موضعها، نقل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أيّمارجل جلب شيئاً إلى مدينة من مدائن المسلمين صابراً محتسباً فباعه بسعر يومه، كان عند اللّه بمنزلة الشّهداء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يَضْرِبُونَ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عموم قوله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1164"/>
      </w:r>
      <w:r>
        <w:rPr>
          <w:rFonts w:ascii="IRNazanin" w:hAnsi="IRNazanin" w:eastAsia="IRNazanin"/>
          <w:color w:val="111111"/>
          <w:sz w:val="28"/>
          <w:sz w:val="28"/>
          <w:szCs w:val="28"/>
          <w:rtl w:val="true"/>
          <w:lang w:bidi="fa-IR"/>
        </w:rPr>
        <w:t>، فالعامل يضرب في الأرض للتجارة ابتغاء الربح فهو مضارب، ولا شیء يدلّ علی انحصار جواز تجارة الإنسان بمال نفسه فقط، بل هی أعمّ من أن تكون بمال نفسه أو بمال غيره إذا ارتضيا بأن يكون رأس المال في التجارة من أحدهما والعمل من الآخر ويكون الربح بينهما علی ما شرطاه من الحصّة وقت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ذلك كلّه أنّ المضاربة كانت من العقود والمعاملات المقصودة عند العقلاء الّتي لها مكانة خاصة في عالَم الإقتصاد منذ قبل الإسلام ولم ينافيها الشارع بل يؤيّدها، فبناءً علی القول بكونها من العقود اللازمة علی ما سيأتی يشملها عموم الأمر بالوفاء بالعقود في قوله تبارك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أَوْفُوا بِالْعُقُودِ</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دليل المسألة من الأخبار والأحاديث فهناك أخبار مستفيضة متضافرة، بل متواترة كثيرة تدلّ علی بعض حالات وعوارض المسألة بعد تسالم الرواة </w:t>
      </w:r>
    </w:p>
    <w:p>
      <w:pPr>
        <w:pStyle w:val="BookText"/>
        <w:rPr/>
      </w:pPr>
      <w:r>
        <w:rPr>
          <w:rFonts w:ascii="IRNazanin" w:hAnsi="IRNazanin" w:eastAsia="IRNazanin"/>
          <w:color w:val="111111"/>
          <w:sz w:val="28"/>
          <w:sz w:val="28"/>
          <w:szCs w:val="28"/>
          <w:rtl w:val="true"/>
          <w:lang w:bidi="fa-IR"/>
        </w:rPr>
        <w:t>والمروی عنهم أصل جوازها</w:t>
      </w:r>
      <w:r>
        <w:rPr>
          <w:rStyle w:val="FootnoteAnchor"/>
          <w:rtl w:val="true"/>
        </w:rPr>
        <w:footnoteReference w:id="1166"/>
      </w:r>
      <w:r>
        <w:rPr>
          <w:rFonts w:ascii="Amiri" w:hAnsi="Amiri" w:eastAsia="Amiri" w:cs="Amiri"/>
          <w:color w:val="111111"/>
          <w:sz w:val="28"/>
          <w:sz w:val="28"/>
          <w:szCs w:val="28"/>
          <w:rtl w:val="true"/>
          <w:lang w:bidi="ar-SA"/>
        </w:rPr>
        <w:t>، منها صحيحة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يُعْطِی الْمَالَ مُضَارَبَةً، وَيَنْهَى أَنْ يَخْرُجَ بِهِ فَخَرَجَ؟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يُضَمَّنُ الْمَالَ، وَالرِّبْحُ بَيْنَهُمَا</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السند وهم محمّد بن يعقوب الكلينی، ومحمّد بن يحيی العطار، ومحمّد بن الحسين أبی الخطاب، وعلیّ بن الحكم الأنباری، والعلاء بن رزين القلاء، و محمّد بن مسلم الثقفی كلّهم إماميون ثقات وجليلون، زائداً علی أنّ الأخير من الأصحاب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وموثقة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يَكُونُ مَعَهُ الْمَالُ مُضَارَبَةً فَيَقِلُّ رِبْحُهُ فَيَتَخَوَّفُ أَنْ يُؤْخَذَ فَيَزِيدُ صَاحِبَهُ عَلَى شَرْطِهِ الَّذِی كَانَ بَيْنَهُمَا، وَإِنَّمَا يَفْعَلُ ذَلِكَ مَخَافَةَ أَنْ يُؤْخَذَ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السند الواقع فيها كلّهم ثقات أيضاً إلا أنّ القاسم بن محمّد الجوهری الواقع فيه واقفی، قال الشيخ الطوسی رحمه الله في رجاله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بن محمّد الجوهری له كتاب، واقفی</w:t>
      </w:r>
      <w:r>
        <w:rPr>
          <w:rStyle w:val="FootnoteAnchor"/>
          <w:rtl w:val="true"/>
        </w:rPr>
        <w:footnoteReference w:id="1169"/>
      </w:r>
      <w:r>
        <w:rPr>
          <w:rFonts w:ascii="IRNazanin" w:hAnsi="IRNazanin" w:eastAsia="IRNazanin"/>
          <w:color w:val="111111"/>
          <w:sz w:val="28"/>
          <w:sz w:val="28"/>
          <w:szCs w:val="28"/>
          <w:rtl w:val="true"/>
          <w:lang w:bidi="fa-IR"/>
        </w:rPr>
        <w:t>، وقال في 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الجوهری الكوفی له كتاب، أخبرنا به المفيد عن ابن بابويه عن ابن الوليد عن الصفار عن أحمد بن محمّد، وأحمد بن أبی عبد الله عن أبی عبد الله البرقی، والحسين بن سعيد عنه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يخفی جلالة مثل الشيخ المفيد، وعلیّ بن الحسين بن بابويه القمّی والد الصدوق، ومحمّد بن الحسن بن أحمد بن الوليد، ومحمّد بن الحسن الصفار، وأحمد بن محمّد بن عيسی الأشعری رضوان الله تعالی عليهم الّذين رووا كتاب الجوهری، والأخير هو الّذی كان شيخاً للقمّيين وأخرج البرقی وسهل بن زياد الآدمی وغيرهما من الرواة عن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اعتمادهم علی المجاهيل والمراسيل ورواياتهم عن الضعفاء</w:t>
      </w:r>
      <w:r>
        <w:rPr>
          <w:rStyle w:val="FootnoteAnchor"/>
          <w:rtl w:val="true"/>
        </w:rPr>
        <w:footnoteReference w:id="1171"/>
      </w:r>
      <w:r>
        <w:rPr>
          <w:rFonts w:ascii="IRNazanin" w:hAnsi="IRNazanin" w:eastAsia="IRNazanin"/>
          <w:color w:val="111111"/>
          <w:sz w:val="28"/>
          <w:sz w:val="28"/>
          <w:szCs w:val="28"/>
          <w:rtl w:val="true"/>
          <w:lang w:bidi="fa-IR"/>
        </w:rPr>
        <w:t xml:space="preserve">،أضف إلی ذلك جعله في رجال ابن داود في إعداد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الممدوحين ومن لم يضعّفهم الأصحاب فيما علمته</w:t>
      </w:r>
      <w:r>
        <w:rPr>
          <w:rStyle w:val="FootnoteAnchor"/>
          <w:rtl w:val="true"/>
        </w:rPr>
        <w:footnoteReference w:id="1172"/>
      </w:r>
      <w:r>
        <w:rPr>
          <w:rFonts w:ascii="IRNazanin" w:hAnsi="IRNazanin" w:eastAsia="IRNazanin"/>
          <w:color w:val="111111"/>
          <w:sz w:val="28"/>
          <w:sz w:val="28"/>
          <w:szCs w:val="28"/>
          <w:rtl w:val="true"/>
          <w:lang w:bidi="fa-IR"/>
        </w:rPr>
        <w:t>، فعليه لا مانع من أن نعبّر عن الرواية بكونها موثقة، لاسيّما بعد ما كان الراوی من الرّواة الكثير الرّواية، قد نقل رواياته الكلينی والشيخ وغيرهما رضوان الله تعالی عليهم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 الاستدلال بهما أنّ أصل مسألة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كليهما كانت مفروغة عنها عند السائل والإمام علیه السلام وإنّما سأله عن حكم خروج العامل مع مال القراض عند نهی المالك في الأولی، وجواز إعطاء سهم المالك </w:t>
      </w:r>
      <w:bookmarkStart w:id="368" w:name="pg7917_85226"/>
    </w:p>
    <w:p>
      <w:pPr>
        <w:pStyle w:val="BookText"/>
        <w:rPr/>
      </w:pPr>
      <w:bookmarkEnd w:id="368"/>
      <w:r>
        <w:rPr>
          <w:rFonts w:ascii="IRNazanin" w:hAnsi="IRNazanin" w:eastAsia="IRNazanin"/>
          <w:color w:val="111111"/>
          <w:sz w:val="28"/>
          <w:sz w:val="28"/>
          <w:szCs w:val="28"/>
          <w:rtl w:val="true"/>
          <w:lang w:bidi="fa-IR"/>
        </w:rPr>
        <w:t>أكثر ممّا توافقا عليه حين العقد في الثانية، فأجاب الإمام علیه السلام في الأوّل بالضمان وشركتهما في الربح عند حصوله، وعدم البأس في الثانی</w:t>
      </w:r>
      <w:r>
        <w:rPr>
          <w:rFonts w:eastAsia="IRNazanin" w:cs="IRNazanin"/>
          <w:color w:val="111111"/>
          <w:sz w:val="28"/>
          <w:szCs w:val="28"/>
          <w:rtl w:val="true"/>
          <w:lang w:bidi="fa-IR"/>
        </w:rPr>
        <w:t>.</w:t>
      </w:r>
    </w:p>
    <w:p>
      <w:pPr>
        <w:pStyle w:val="Heading2"/>
        <w:numPr>
          <w:ilvl w:val="1"/>
          <w:numId w:val="1"/>
        </w:numPr>
        <w:rPr/>
      </w:pPr>
      <w:bookmarkStart w:id="369" w:name="__RefHeading___Toc6355347_1051229030"/>
      <w:bookmarkStart w:id="370" w:name="_Toc122"/>
      <w:bookmarkEnd w:id="369"/>
      <w:r>
        <w:rPr>
          <w:rtl w:val="true"/>
        </w:rPr>
        <w:t>بقی هنا شیء وهو أنّه</w:t>
      </w:r>
      <w:r>
        <w:rPr>
          <w:rtl w:val="true"/>
        </w:rPr>
        <w:t xml:space="preserve">: </w:t>
      </w:r>
      <w:r>
        <w:rPr>
          <w:rtl w:val="true"/>
        </w:rPr>
        <w:t>هل المضاربة من العقود اللازمة أو الجائزة؟ وما هو الأصل فيها عند الشك فيهما؟</w:t>
      </w:r>
      <w:bookmarkEnd w:id="370"/>
    </w:p>
    <w:p>
      <w:pPr>
        <w:pStyle w:val="BookText"/>
        <w:rPr/>
      </w:pPr>
      <w:r>
        <w:rPr>
          <w:rFonts w:ascii="IRNazanin" w:hAnsi="IRNazanin" w:eastAsia="IRNazanin"/>
          <w:color w:val="111111"/>
          <w:sz w:val="28"/>
          <w:sz w:val="28"/>
          <w:szCs w:val="28"/>
          <w:rtl w:val="true"/>
          <w:lang w:bidi="fa-IR"/>
        </w:rPr>
        <w:t xml:space="preserve">المعروف والمشهور عند فقهائنا كونها من العقود الجائزة من الجانين، أرسله بعض إرسال المسلمات منهم الإمام الراحل قدس سره في المسألة الحادی عشرة من مسائل كتاب المضاربة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w:t>
      </w:r>
      <w:r>
        <w:rPr>
          <w:rStyle w:val="FootnoteAnchor"/>
          <w:rtl w:val="true"/>
        </w:rPr>
        <w:footnoteReference w:id="1173"/>
      </w:r>
      <w:r>
        <w:rPr>
          <w:rFonts w:ascii="IRNazanin" w:hAnsi="IRNazanin" w:eastAsia="IRNazanin"/>
          <w:color w:val="111111"/>
          <w:sz w:val="28"/>
          <w:sz w:val="28"/>
          <w:szCs w:val="28"/>
          <w:rtl w:val="true"/>
          <w:lang w:bidi="fa-IR"/>
        </w:rPr>
        <w:t xml:space="preserve">، وادّعی عدم الخلاف والإجماع عليه بعض آخر، 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بقسميه عليه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العامة فقد فصّلوا فيها بين قبل الشروع في العمل وبعده، فاتّفقوا علی كونها من العقود الجائزة في الأوّل واختلفوا بعده، فقال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حينئذ عقد </w:t>
      </w:r>
    </w:p>
    <w:p>
      <w:pPr>
        <w:pStyle w:val="BookText"/>
        <w:rPr/>
      </w:pPr>
      <w:r>
        <w:rPr>
          <w:rFonts w:ascii="IRNazanin" w:hAnsi="IRNazanin" w:eastAsia="IRNazanin"/>
          <w:color w:val="111111"/>
          <w:sz w:val="28"/>
          <w:sz w:val="28"/>
          <w:szCs w:val="28"/>
          <w:rtl w:val="true"/>
          <w:lang w:bidi="fa-IR"/>
        </w:rPr>
        <w:t>لازم يورث، وقال الشافعية والحنفية والحنابلة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باقية علی ما هی من الجواز لا فرق فيها بين قبل العمل وبعده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المعاملة جائزة بالنصّ والإجماع</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والمحقق العاملی رحمه الله بعد ما حكی كلام العلامة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القراض عقد جائز من الطرفين لكلّ منهما فسخه سواء نضّ المال أو كان به عروض،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إجماعاً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 خلاف كما فيه أيضاً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على جوازه وأنّ لكلّ منهما فسخه متى شاء، وبذلك صرّح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وبجميع ما في الكتاب صرّح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وشروحه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وصرّح بأنّها جائزة من الطرفين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وهو المستفاد من مطاوی كلمات كتب القدماء، وبه أفصحت عباراتهم عند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يلزم اشتراط الأجل، وهو قضية كلام كلّ من قال إنّها تبطل بالموت، ومع ذلك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عقد لازم من الطرفين، ولم يحضرنی نسخة أخرى إذ لعلّه غلط من قلم الناسخ</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رحمه الله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جائز من الطرفين، لكلّ واحد منهما فسخه سواءٌ نضّ المال أو كان به عروض، ثمّ زاد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 خلاف فيه بل الإجماع بقسميه عليه، وهو الحجّة في الخروج عن قاعدة اللزوم</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كون القراض من العقود الجائزة من الطرفين، ولأنّه وكالة في الابتداء، ثمّ قد يصير شركة، وهما جائزان أيضاً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وقريب منها ما قاله المحقق الكركی رحمه الله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القراض عقد جائز من الطرفين يتضمّن معنى التوكيل، فيبطل بخروج المالك عن أهلية الاستنابة، والعامل عن أهلية النيابة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القاضی ابن رشد القرطبی المالكی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أجمع العلماء علی أنّ اللزوم ليس من موجبات عقد القراض، وأنّ لكلّ واحد منهما فسخه ما لم يشرع العامل في القراض، واختلفوا إذا شرع العامل فقال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لازم وهو عقد يورث، فإن مات وكان للمقارض بنون أمناء كانوا في القراض مثل أبيهم، وإن لم يكونوا أمناء كان لهم أن يأتوا بأمين، وقال الشافعی وأبوحنيفة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واحد منهما</w:t>
      </w:r>
    </w:p>
    <w:p>
      <w:pPr>
        <w:pStyle w:val="BookText"/>
        <w:rPr/>
      </w:pPr>
      <w:r>
        <w:rPr>
          <w:rFonts w:ascii="Amiri" w:hAnsi="Amiri" w:eastAsia="Amiri" w:cs="Amiri"/>
          <w:color w:val="111111"/>
          <w:sz w:val="28"/>
          <w:sz w:val="28"/>
          <w:szCs w:val="28"/>
          <w:rtl w:val="true"/>
          <w:lang w:bidi="ar-SA"/>
        </w:rPr>
        <w:t>الفسخ إذا شاء وليس هو عقد يورث</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قدامة الحنبلی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المضاربة من العقود الجائزة تنفسخ بفسخ أحدهما أيّهما كان، وبموته والحجر عليه لسفه، لأنّه متصرف في مال غيره بإذنه كالوكيل، ولا فرق </w:t>
      </w:r>
    </w:p>
    <w:p>
      <w:pPr>
        <w:pStyle w:val="BookText"/>
        <w:rPr/>
      </w:pPr>
      <w:r>
        <w:rPr>
          <w:rFonts w:ascii="IRNazanin" w:hAnsi="IRNazanin" w:eastAsia="IRNazanin"/>
          <w:color w:val="111111"/>
          <w:sz w:val="28"/>
          <w:sz w:val="28"/>
          <w:szCs w:val="28"/>
          <w:rtl w:val="true"/>
          <w:lang w:bidi="fa-IR"/>
        </w:rPr>
        <w:t>بين ما قبل التصرف وبعده، فإذا انفسخت والمال ناض لا ربح فيه أخذه ربّه، وإن كان فيه ربح قسما الرّبح علی ما شرطاه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ما ادعوا من الإجماع علی كون القراض من العقود الجائزة، إجماع مدركی لحملهم القراض علی الوكالة أو كونه يتضمّن معناها </w:t>
      </w:r>
      <w:r>
        <w:rPr>
          <w:rStyle w:val="FootnoteAnchor"/>
          <w:rtl w:val="true"/>
        </w:rPr>
        <w:footnoteReference w:id="1181"/>
      </w:r>
      <w:r>
        <w:rPr>
          <w:rFonts w:ascii="IRNazanin" w:hAnsi="IRNazanin" w:eastAsia="IRNazanin"/>
          <w:color w:val="111111"/>
          <w:sz w:val="28"/>
          <w:sz w:val="28"/>
          <w:szCs w:val="28"/>
          <w:rtl w:val="true"/>
          <w:lang w:bidi="fa-IR"/>
        </w:rPr>
        <w:t>، مع أنّ المرتكز في عرف العقلاء منذ قبل الإسلام إلی زماننا هذا كونه عقداً مستقلاً متداولاً بينهم وإنّهم فرّقوا عملاً بينه وبين الوكالة، إذ في الوكالة علی تجارة مثلاً يستحقّ الوكيل أجرة مورد وكالته مطلقاً سواء حصل ربح أم لا، قليلاً كان أم كثيراً، بخلافه في المقام إذ العامل إنّما يستحقّ الربح علی فرض حصوله لا مطلقاً، وهو شريك فيه مع المالك علی النّسبة الّتي تعيّنا وقت العقد من أحد الكسور مثل النصف أو الثلث</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 أنّ مشابهة القراض بالمزارعة والمساقاة أكثر من الوكالة، حيث إنّ أصل الأرض والأشجار فيهما كانتا لمالكيهما وإنّما العامل فيهما في قبال عمله شريك بحصة من حاصلهما وثمرهما كالمضاربة، والمعروف بين فقهائنا وأكثر العامة كونهما عقدين لازمين لا تنفسخان بفسخ أحدهما إلا إذا كان له خيار أو التقايل كسائر العقود اللازمة فلا تبطل بموت أحدهما بل يقوم وارثه مقامه</w:t>
      </w:r>
      <w:r>
        <w:rPr>
          <w:rStyle w:val="FootnoteAnchor"/>
          <w:rtl w:val="true"/>
        </w:rPr>
        <w:footnoteReference w:id="1182"/>
      </w:r>
      <w:r>
        <w:rPr>
          <w:rFonts w:ascii="Amiri" w:hAnsi="Amiri" w:eastAsia="Amiri" w:cs="Amiri"/>
          <w:color w:val="111111"/>
          <w:sz w:val="28"/>
          <w:sz w:val="28"/>
          <w:szCs w:val="28"/>
          <w:rtl w:val="true"/>
          <w:lang w:bidi="ar-SA"/>
        </w:rPr>
        <w:t xml:space="preserve">، نعم لو مات العامل وكانت المضاربة مشروطة بمباشرته أو كان وارثه </w:t>
      </w:r>
    </w:p>
    <w:p>
      <w:pPr>
        <w:pStyle w:val="BookText"/>
        <w:rPr/>
      </w:pPr>
      <w:r>
        <w:rPr>
          <w:rFonts w:ascii="IRNazanin" w:hAnsi="IRNazanin" w:eastAsia="IRNazanin"/>
          <w:color w:val="111111"/>
          <w:sz w:val="28"/>
          <w:sz w:val="28"/>
          <w:szCs w:val="28"/>
          <w:rtl w:val="true"/>
          <w:lang w:bidi="fa-IR"/>
        </w:rPr>
        <w:t>غير أمين أو غير صالح للعمل، تبطل العقد حينئذ مراعاة للشرط ودفعاً للضرر المحتمل المتوجه إلی المالك لحكومة</w:t>
      </w:r>
      <w:r>
        <w:rPr>
          <w:rStyle w:val="FootnoteAnchor"/>
          <w:rtl w:val="true"/>
        </w:rPr>
        <w:footnoteReference w:id="1183"/>
      </w:r>
      <w:r>
        <w:rPr>
          <w:rFonts w:ascii="IRNazanin" w:hAnsi="IRNazanin" w:eastAsia="IRNazanin"/>
          <w:color w:val="111111"/>
          <w:sz w:val="28"/>
          <w:sz w:val="28"/>
          <w:szCs w:val="28"/>
          <w:rtl w:val="true"/>
          <w:lang w:bidi="fa-IR"/>
        </w:rPr>
        <w:t>أدلته علی كلّ دليل</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تقدير عدم تماميّة ما ذكرناه لرفع الإجماع المدّعی علی الجواز وبقاء الشك في اللزوم، فنأخذ بلأصل الجاری في باب العقود من أنّ الأصل فيها كونها لازمةً إلا ما دلّ الدليل علی خلافه، وذلك لبناء العقلاء علی الوفاء بعقودهم وإلا لما استقرّ بينهم حجر علی حجر، ولعموم الأمر بالوفاء بالعقود في مثل قوله تبارك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أَوْفُوا بِالْعُقُودِ</w:t>
      </w:r>
      <w:r>
        <w:rPr>
          <w:rFonts w:eastAsia="IRNazanin" w:cs="IRNazanin"/>
          <w:color w:val="111111"/>
          <w:sz w:val="28"/>
          <w:szCs w:val="28"/>
          <w:rtl w:val="true"/>
          <w:lang w:bidi="fa-IR"/>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bookmarkStart w:id="371" w:name="pg7917_85236"/>
    </w:p>
    <w:p>
      <w:pPr>
        <w:pStyle w:val="BookText"/>
        <w:rPr/>
      </w:pPr>
      <w:bookmarkEnd w:id="371"/>
      <w:r>
        <w:rPr>
          <w:rFonts w:ascii="IRNazanin" w:hAnsi="IRNazanin" w:eastAsia="IRNazanin"/>
          <w:color w:val="111111"/>
          <w:sz w:val="28"/>
          <w:sz w:val="28"/>
          <w:szCs w:val="28"/>
          <w:rtl w:val="true"/>
          <w:lang w:bidi="fa-IR"/>
        </w:rPr>
        <w:t>هذا علی مبنی اللزوم وأمّا علی المبنی الجواز كما عليه القوم فلو فسخت المضاربة قبل حلول أجله رجع المال إلی مالكه، فلو حصل ربح قسّم بينهماعلی النسبة الّتي تعيّنا حين العقد، نعم حذراً عن ضرر كلّ منهما بفسخ صاحبه قبل حلول الأجل يمكن اشتراط لزومها في ضمن عقد لازم آخر وإن لم يكن الضرر موجوداً فعلاً بناءً علی القول بأنّ الشروط الجائزة في ضمن العقود اللازمة تصير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فرغنا من هذه المرحلة فلنبحث في فروعات المسألة، وهی كما عرفت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المتعاقدين، فنقول وعليه التكلان</w:t>
      </w:r>
      <w:r>
        <w:rPr>
          <w:rFonts w:eastAsia="IRNazanin" w:cs="IRNazanin"/>
          <w:color w:val="111111"/>
          <w:sz w:val="28"/>
          <w:szCs w:val="28"/>
          <w:rtl w:val="true"/>
          <w:lang w:bidi="fa-IR"/>
        </w:rPr>
        <w:t>:</w:t>
      </w:r>
    </w:p>
    <w:p>
      <w:pPr>
        <w:pStyle w:val="Heading2"/>
        <w:numPr>
          <w:ilvl w:val="1"/>
          <w:numId w:val="1"/>
        </w:numPr>
        <w:rPr/>
      </w:pPr>
      <w:bookmarkStart w:id="372" w:name="__RefHeading___Toc6355349_1051229030"/>
      <w:bookmarkStart w:id="373" w:name="_Toc123"/>
      <w:bookmarkEnd w:id="372"/>
      <w:r>
        <w:rPr>
          <w:rtl w:val="true"/>
        </w:rPr>
        <w:t>ها هنا فروع</w:t>
      </w:r>
      <w:r>
        <w:rPr>
          <w:rtl w:val="true"/>
        </w:rPr>
        <w:t xml:space="preserve">: </w:t>
      </w:r>
      <w:r>
        <w:rPr>
          <w:rtl w:val="true"/>
        </w:rPr>
        <w:t>أمّا الفرع الأول</w:t>
      </w:r>
      <w:r>
        <w:rPr>
          <w:rtl w:val="true"/>
        </w:rPr>
        <w:t xml:space="preserve">: </w:t>
      </w:r>
      <w:r>
        <w:rPr>
          <w:rtl w:val="true"/>
        </w:rPr>
        <w:t>شرائط المتعاقدين</w:t>
      </w:r>
      <w:r>
        <w:rPr>
          <w:rtl w:val="true"/>
        </w:rPr>
        <w:t>:</w:t>
      </w:r>
      <w:bookmarkEnd w:id="373"/>
    </w:p>
    <w:p>
      <w:pPr>
        <w:pStyle w:val="BookText"/>
        <w:rPr/>
      </w:pPr>
      <w:r>
        <w:rPr>
          <w:rFonts w:ascii="IRNazanin" w:hAnsi="IRNazanin" w:eastAsia="IRNazanin"/>
          <w:color w:val="111111"/>
          <w:sz w:val="28"/>
          <w:sz w:val="28"/>
          <w:szCs w:val="28"/>
          <w:rtl w:val="true"/>
          <w:lang w:bidi="fa-IR"/>
        </w:rPr>
        <w:t xml:space="preserve">قال الإمام الراحل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يشترط في المتعاقدين البلوغ والعقل والاختيار، وفی ربّ المال عدم الحجر لفلس، وفی العامل القدرة على التجارة برأس المال</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 كما تری إمّا مشتركة بينهما وإمّا مختصة بكلّ واحد من المالك أو العامل، أمّا الشرائط المشتركة بينهما فثلاثة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والعقل، والإختيار، وهذه الشروط إجمالاً شروط عامة، معتبرة في كلّ عقد من العقود الماليّة من دون فرق فيها بين المضاربة وغيرها، قد بحث عنها الفقهاء غالباً في أبواب مختلفة من الكتب الفقهيّة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 والمضاربة، والإقرار، والحجر، والطلاق، والحدود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بحثنا عنها وعن أدلّتها مفصّلاً فيما يشترط من ناحية المتعاقدين في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حكم الشرائط المشتركة بين المالك والعامل، وأمّا يختصّ المالك زائداً علی ذلك بعدم المنع من التصرف في أمواله لفلس، والعامل بالقدرة علی التجارة برأس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الحجر المالك والظاهر أنّه لا اختصاص بخصوص المفلّس، بل يعمّ المملوك أيضاً بناءً علی عدم تملكه شيئاً، وكيف كان إنّ المفلّس إذا كان ديونه زائداً علی أمواله وحكم الحاكم عليه أيضاً بكونه ممنوعاً من التصرف في أمواله فلا يجوز له أن يتصرف فيها من دون فرق فيه بين المباشرة والمشاركة والمضاربة باتفاق الفريقين، بل يقسّم أمواله بين غرمائه لتعلّق حقّهم إليها، ولا يخفی في اختصاصه بالمالك فقط، إذ العامل ولو كان مفلساً فإنّه ممنوع من التصرف في أمواله لتعلّق حقّ غرمائه إليها، لكنّه ليس ممنوعاً من التصرف في نفسه بتحصيل مال جديد بالمضاربة والجعالة وأمثالهما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وادّعی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الأصحاب علی اشتراطه، فإنّه بعد ما نقل كلام المحقق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حجر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منع التصرف لتعلّق حقّ الغرماء، واختصاص كلّ غريم بعين ماله، وقسمة أمواله بين غرمائه،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خلاف بين الأصحاب في أنّه يمنع من التصرف</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الجزيری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ويحجر علی المدين في تصرفاته المالية حتّی لا تضيع علی الناس حقوقهم وأموالهم الّتي استدانها منهم، ثمّ ذكر اتفاق المذاهب علی ذلك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استدلّ علی ذلك بخبر السَّكُونِیِّ عَنْ جَعْفَرٍ عَنْ أَبِيهِ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علیه السلام كَانَ يَحْبِسُ في الدَّيْنِ ثُمَّ يَنْظُرُ فَإِنْ كَانَ لَهُ مَالٌ أَعْطَى الْغُرَمَاءَ وَإِنْ لَمْ يَكُنْ لَهُ مَالٌ دَفَعَهُ إِلَى الْغُرَمَاءِ فَيَقُولُ لَهُمُ اصْنَعُوا بِهِ مَا شِئْتُمْ إِنْ شِئْتُمْ آجِرُوهُ وَإِنْ شِئْتُمُ اسْتَعْمِلُوهُ</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ومرفوعة دعائم الإسلام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الْمُفْلِسُ إِذَا قَامَ عَلَيْهِ الْغُرَمَاءُ فَإِنَّهُ يَبْدَأُ مِنْهُمْ بِقَبْضِ حَقِّهِ مِمَّا وَجَدَ في يَدَيْهِ كُلُّ عَامِلٍ عَمِلَ فِيهِ أَوْ أَجِيرٍ اسْتُؤْجِرَ عَلَيْهِ بِأُجْرَةٍ، أَوْ بِثَمَنِ دَابَّةٍ إِنْ كَانَ قَدْ عَمِلَتْ عَلَيْهِ، وَمَا أَشْبَهَ ذَلِكَ، وَيَكُونُ الْغُرَمَاءُ بَعْدَ ذَلِكَ أُسْوَةً</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ينجبر ضعفهما بعمل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يختص العامل زائداً علی ما تقدّم بكونه قادراً علی التجارة برأس المال بأن لا يكون عاجزاً عن العمل نفسياً أو بواسطة كثرة المال أو كثرة الرقباء أو غيرهما، واشتراط القدرة كغيرها من الشروط المشتركة أو المختصة في المقام كانت من قبيل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القضايا قياساتها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حكمة دفع المالك المال إليه وماهيّة المضاربة ليست إلا التجارة وكسب الربح والمال، كما أشار إليه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لمعلومية اعتبار قدرة العامل على العمل في الصحة نحو ما ذكروه في الإجارة، ضرورة لغوية التعاقد مع العاجز عن العمل الّذی هو روح هذه المعاملة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لا يبعد أن يقال أنّها قبل أن تكون من الشرائط الشرعيّة كانت من الشرائط العقليّة، ولأجل ذلك فرضه الأكثر مفروغاً عنه وإنّما بحثوا عن عوارضها </w:t>
      </w:r>
      <w:bookmarkStart w:id="374" w:name="pg7917_85242"/>
    </w:p>
    <w:p>
      <w:pPr>
        <w:pStyle w:val="BookText"/>
        <w:rPr/>
      </w:pPr>
      <w:bookmarkEnd w:id="374"/>
      <w:r>
        <w:rPr>
          <w:rFonts w:ascii="IRNazanin" w:hAnsi="IRNazanin" w:eastAsia="IRNazanin"/>
          <w:color w:val="111111"/>
          <w:sz w:val="28"/>
          <w:sz w:val="28"/>
          <w:szCs w:val="28"/>
          <w:rtl w:val="true"/>
          <w:lang w:bidi="fa-IR"/>
        </w:rPr>
        <w:t>وما يتعلّق بها من كونه ضامناً حينئذ لما أخذه أم لا؟ وكيف كان هذا الشرط غير مختص بالمقام بل يأتی أيضاً في كلّ أجير آجر نفسه لإتيان عمل من صوم أو صلاة أو حجّ ونحوها، هذا تمام الكلام في الفرع الأول</w:t>
      </w:r>
      <w:r>
        <w:rPr>
          <w:rFonts w:eastAsia="IRNazanin" w:cs="IRNazanin"/>
          <w:color w:val="111111"/>
          <w:sz w:val="28"/>
          <w:szCs w:val="28"/>
          <w:rtl w:val="true"/>
          <w:lang w:bidi="fa-IR"/>
        </w:rPr>
        <w:t>.</w:t>
      </w:r>
    </w:p>
    <w:p>
      <w:pPr>
        <w:pStyle w:val="Heading2"/>
        <w:numPr>
          <w:ilvl w:val="1"/>
          <w:numId w:val="1"/>
        </w:numPr>
        <w:rPr/>
      </w:pPr>
      <w:bookmarkStart w:id="375" w:name="__RefHeading___Toc6355351_1051229030"/>
      <w:bookmarkStart w:id="376" w:name="_Toc124"/>
      <w:bookmarkEnd w:id="375"/>
      <w:r>
        <w:rPr>
          <w:rtl w:val="true"/>
        </w:rPr>
        <w:t>أمّا الفرع الثانی</w:t>
      </w:r>
      <w:r>
        <w:rPr>
          <w:rtl w:val="true"/>
        </w:rPr>
        <w:t xml:space="preserve">: </w:t>
      </w:r>
      <w:r>
        <w:rPr>
          <w:rtl w:val="true"/>
        </w:rPr>
        <w:t>بطلان المضاربة لو كان أو طرأ عليه العجز عن التجارة أثنائها</w:t>
      </w:r>
      <w:r>
        <w:rPr>
          <w:rtl w:val="true"/>
        </w:rPr>
        <w:t>:</w:t>
      </w:r>
      <w:bookmarkEnd w:id="376"/>
    </w:p>
    <w:p>
      <w:pPr>
        <w:pStyle w:val="BookText"/>
        <w:rPr/>
      </w:pPr>
      <w:r>
        <w:rPr>
          <w:rFonts w:ascii="IRNazanin" w:hAnsi="IRNazanin" w:eastAsia="IRNazanin"/>
          <w:color w:val="111111"/>
          <w:sz w:val="28"/>
          <w:sz w:val="28"/>
          <w:szCs w:val="28"/>
          <w:rtl w:val="true"/>
          <w:lang w:bidi="fa-IR"/>
        </w:rPr>
        <w:t xml:space="preserve">قال الإمام الراحل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كان عاجزاً مطلقاً بطلت، ومع العجز في بعضه لا تبعد الصّحة بالنسبة على إشكال، نعم لو طرأ في أثناء التجارة تبطل من حين طروّه بالنسبة إلى الجميع لو عجز مطلقاً، وإلى البعض لو عجز عنه على الأقوى</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آنفا أنّ من الشرائط المختصة بالعامل أن يكون قادراً علی التجارة بالمال، فهذا الفرع في الحقيقة نتيجة لذلك الشرط ويستفاد حكمه منه بأنّه لو تبيّن أنّ العامل كان عاجزاً من التجارة بذلك المال بتمامه من بدو الأمر بطلت المضاربة بلا شك، لفقدانها شرط الصحة من حين العقد، وبانتفاعه ينتفی المشروط لتابعيّة النتيجة دائماً أخس مقدماتها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كان عاجزاً عنها بالنسبة إلی بعض المال، فيمكن أن نحكم بالبطلان بالنسبة إلی المقدار غير المقدور، وبالصحة بالنسبة إلی الميسور منه لاقتضاءكلّ سبب مسببه، لكنّه حيث كانت العقود تابعة للقصود لو كان قصد المالك التجارة بتمام المال فلا يمكن حينئذ أن نحكم بالصحة أيضاً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المالك هنا واحد أو متعدد؟ فإن كان مطلوبه واحداً فحيث كانت العقود تابعة للقصود فلا محالة يكون العقد باطلاً، وإن كان متعدداً فنحكم فيه بالتفصيل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كلا التقديرين يكون يد العامل يداً ضمانيّا، لأنّه مع كونه عاجزاً ثبوتاً وواقعاً عن الإتجار بذلك وضع يده علی المال علی غير وجه المأذون له فيكون ضامناً، سواء علم بعجز نفسه أم لا، لعدم دخالة علم العامل في مسألة الضمان لبطلان المضاربة بحسب الواقع ونفس الأمر وقد ثبت في الأصول اشتراك الأحكام بين العالم بها والجاهل</w:t>
      </w:r>
      <w:r>
        <w:rPr>
          <w:rStyle w:val="FootnoteAnchor"/>
          <w:rtl w:val="true"/>
        </w:rPr>
        <w:footnoteReference w:id="1192"/>
      </w:r>
      <w:r>
        <w:rPr>
          <w:rFonts w:ascii="IRNazanin" w:hAnsi="IRNazanin" w:eastAsia="IRNazanin"/>
          <w:color w:val="111111"/>
          <w:sz w:val="28"/>
          <w:sz w:val="28"/>
          <w:szCs w:val="28"/>
          <w:rtl w:val="true"/>
          <w:lang w:bidi="fa-IR"/>
        </w:rPr>
        <w:t>، فيكون يده علی أیّ حال يد غصب وضمان، فإن حصل حينئذ ربح يكون تمامه للمالك وللعامل أجرة مثل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 المالك عالماً بذلك من حين العقد فهو الّذی أقدم عليه ويكون ماله أمانة مالكيّة في يد العامل ولا يكون ضامناً إذا تلف بغير الإفراط أو التفريط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كان العجز عن التجارة من حين العقد، أمّا لو طرأ العجز عن التجارة أثنائها فإن عجز عنها مطلقاً فتبطل العقد لانتفاء المشروط بانتفاء شرطه، سواء كان من حين العقد أو أثناء المدة، وأمّا لو عجز عن بعضه فالكلام هو الكلام، من اقتضاء كلّ سبب مسببه، ومن تابعيّة العقود للقصود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في صورة العجز عن بعضه فقد فصّل الإمام الراحل قدس سره بين العجز من بدو الأمر والعجز أثناء التجارة، فاختار صحة القراض بالنسبة إلی المقدور فيالأول علی إشكال، وفی الثانی علی الأقوی، والظاهر أنّ علة التفصيل بين المقامين هی وجود استصحاب الصّحة في الأخير وعدمه في الأول</w:t>
      </w:r>
      <w:r>
        <w:rPr>
          <w:rFonts w:eastAsia="IRNazanin" w:cs="IRNazanin"/>
          <w:color w:val="111111"/>
          <w:sz w:val="28"/>
          <w:szCs w:val="28"/>
          <w:rtl w:val="true"/>
          <w:lang w:bidi="fa-IR"/>
        </w:rPr>
        <w:t xml:space="preserve">. </w:t>
      </w:r>
      <w:bookmarkStart w:id="377" w:name="pg7917_85246"/>
    </w:p>
    <w:p>
      <w:pPr>
        <w:pStyle w:val="Heading2"/>
        <w:numPr>
          <w:ilvl w:val="1"/>
          <w:numId w:val="1"/>
        </w:numPr>
        <w:rPr/>
      </w:pPr>
      <w:bookmarkStart w:id="378" w:name="__RefHeading___Toc6355353_1051229030"/>
      <w:bookmarkStart w:id="379" w:name="_Toc125"/>
      <w:bookmarkEnd w:id="377"/>
      <w:bookmarkEnd w:id="378"/>
      <w:r>
        <w:rPr>
          <w:rtl w:val="true"/>
        </w:rPr>
        <w:t>أمّا الفرع الثالث</w:t>
      </w:r>
      <w:r>
        <w:rPr>
          <w:rtl w:val="true"/>
        </w:rPr>
        <w:t xml:space="preserve">: </w:t>
      </w:r>
      <w:r>
        <w:rPr>
          <w:rtl w:val="true"/>
        </w:rPr>
        <w:t>مال القراض وشرائطه</w:t>
      </w:r>
      <w:r>
        <w:rPr>
          <w:rtl w:val="true"/>
        </w:rPr>
        <w:t>:</w:t>
      </w:r>
      <w:bookmarkEnd w:id="379"/>
    </w:p>
    <w:p>
      <w:pPr>
        <w:pStyle w:val="BookText"/>
        <w:rPr/>
      </w:pPr>
      <w:r>
        <w:rPr>
          <w:rFonts w:ascii="IRNazanin" w:hAnsi="IRNazanin" w:eastAsia="IRNazanin"/>
          <w:color w:val="111111"/>
          <w:sz w:val="28"/>
          <w:sz w:val="28"/>
          <w:szCs w:val="28"/>
          <w:rtl w:val="true"/>
          <w:lang w:bidi="fa-IR"/>
        </w:rPr>
        <w:t xml:space="preserve">قال الإمام الراحل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رأس المال أن يكون عيناً، فلا تصحّ بالمنفعة ولا بالدَّين سواء كان على العامل أو غيره إلا بعد قبضه، وأن يكون درهماً وديناراً، فلا تصحّ بالذهب والفضة غير المسكوكين والسبائك والعروض، نعم جوازها بمثل الأوراق النقدية ونحوها من الأثمان غير الذهب والفضة لا يخلو من قوة، وكذا في الفلوس السود، وأن يكون معيّناً، فلا تصحّ بالمبهم كأن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قارضتك بأحد هذين أو بأيّهما شئت، وأن يكون معلوماً قدراً ووصفاً</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نبحث في هذا الفرع عن مال القراض وما يتعلّق به، يشترط في ذلك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عيناً في مقابل الدّين والمنفعة، فلا تصحّ المضاربة بالدّين حتّی يقبض وإن كان العامل مديوناً باتفاق الفريقين، قد استدلّ علی ذلك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الفقهاء وإجماعهم من غير مخالف في البين كما صرّح بذلك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ما حكی عبارة المحقق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شرطه أن يكون عيناً فلا يجوز بالدّين، وأن يكون دراهم أو دنانير،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خلاف أجده في شی‌ء منه بل الإجماع بقسميه عليه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ما قاله المحقق البحرانی رحمه الله حيث قال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بين الأصحاب في أنّه يشترط في مال القراض أن يكون عيناً لا ديناً وأن يكون دراهم أو دنانير، ثمّ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 الإجماع عليه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الإجماع علی ذلك عن الشهيد رحمه الله في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الحّجة</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وادّعی أيضاً ابن رشد القرطبی اتفاق مالك والشافعی وأبوحنيفة علی ذلك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وجمهور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والشافعی وأبوحنيفة علی أنّه إذا كان لرجل علی رجل دين لم يجز أن يعطيه قراضاً قبل أن يقبضه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قدامة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يجوز أن يقال لمن عليه دين ضارب بالدّين الّذی عليك، نصّ أحمد علی هذا، وهو قول أكثر أهل العلم ولا نعلم فيه مخالفاً، قال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كلّ من نحفظ عنه من أهل العلم أنّه لا يجوز أن يجعل الرجل ديناً له علی رجل مضاربة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المشايخ الثلاثة رضوان الله تعالی عليهم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رَجُلٍ لَهُ عَلَى رَجُلٍ مَالٌ فَيَتَقَاضَاهُ وَلَا يَكُونُ عِنْدَهُ فَيَقُولُ هُوَ عِنْدَكَ مُضَارَبَةً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حَتَّى تَقْبِضَهُ مِنْهُ</w:t>
      </w:r>
      <w:r>
        <w:rPr>
          <w:rFonts w:eastAsia="Amiri" w:cs="Amiri" w:ascii="Amiri" w:hAnsi="Amiri"/>
          <w:color w:val="111111"/>
          <w:sz w:val="28"/>
          <w:szCs w:val="28"/>
          <w:rtl w:val="true"/>
          <w:lang w:bidi="ar-SA"/>
        </w:rPr>
        <w:t>»</w:t>
      </w:r>
      <w:r>
        <w:rPr>
          <w:rStyle w:val="FootnoteAnchor"/>
          <w:rtl w:val="true"/>
        </w:rPr>
        <w:footnoteReference w:id="1199"/>
      </w:r>
      <w:r>
        <w:rPr>
          <w:rFonts w:ascii="IRNazanin" w:hAnsi="IRNazanin" w:eastAsia="IRNazanin"/>
          <w:color w:val="111111"/>
          <w:sz w:val="28"/>
          <w:sz w:val="28"/>
          <w:szCs w:val="28"/>
          <w:rtl w:val="true"/>
          <w:lang w:bidi="fa-IR"/>
        </w:rPr>
        <w:t>، وهوصريح في المدعی، لكنّ طريقه كان ضعيفاً يمكن انجبار ضعفه</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بعمل الأصحاب وتلقّيهم بالقبول زائداً علی ما نقله المشايخ الثلاثة في كتبهم، وشهادة الكلينی والصدوق رضوان الله تعالی عليهما بأنّ ما رويا في كتابيهما فهو مروی عن الصادقين</w:t>
      </w:r>
      <w:r>
        <w:rPr>
          <w:rFonts w:eastAsia="IRNazanin" w:cs="IRNazanin"/>
          <w:color w:val="111111"/>
          <w:sz w:val="28"/>
          <w:szCs w:val="28"/>
          <w:rtl w:val="true"/>
          <w:lang w:bidi="fa-IR"/>
        </w:rPr>
        <w:t>:</w:t>
      </w:r>
      <w:r>
        <w:rPr>
          <w:rStyle w:val="FootnoteAnchor"/>
          <w:rtl w:val="true"/>
        </w:rPr>
        <w:footnoteReference w:id="1201"/>
      </w:r>
      <w:r>
        <w:rPr>
          <w:rFonts w:ascii="IRNazanin" w:hAnsi="IRNazanin" w:eastAsia="IRNazanin"/>
          <w:color w:val="111111"/>
          <w:sz w:val="28"/>
          <w:sz w:val="28"/>
          <w:szCs w:val="28"/>
          <w:rtl w:val="true"/>
          <w:lang w:bidi="fa-IR"/>
        </w:rPr>
        <w:t>، وأنّ المعيار في قبول الخبر عند الأصحاب هو وثاقة الخبر لا الرّاوی وأنّ وثاقة الرّاوی طريق إلی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ذلك كلّه أنّ ماهيّة المضاربة وحقيقتها هی الاتجار بالمال، والدَّين ما لم يقبض مال ثبت في ذمة المديون للدائن فكيف يمكن الاتجار به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ما بإزاء الدَّين موجوداً حين العقد بحيث يمكن تحصيله بسهولة وقال الدائن هو عندك مضاربة بتوكيله العامل في قبضه عن طرفه وجعله مالاًللقراض فلا إشكال فيه كما صرّح بذلك الإمام الراحل قدس سره في المسألة الرابعة من هذه المسائل</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يقال أنّه يشترط أن يكون مال القراض درهماً أو ديناراً مسكوكين، فبناءً علی ذلك لا تصحّ المضاربة بالذّهب والفضة غير المسكوكين، وكذا بما يذاب ويصاغ منهما بصورة القطعات المستطيلة الّتي نسميها اليوم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بالنقود والأوراق الماليّة والإسكناسات الرائجة في أسواق المعاملات، ولا بالأمتعة والأجناس، أرسله الأكثر بل الكثير إرسال المسلمات كابن البراج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 xml:space="preserve">، وابن حمزة الطوسی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w:t>
      </w:r>
      <w:r>
        <w:rPr>
          <w:rStyle w:val="FootnoteAnchor"/>
          <w:rtl w:val="true"/>
        </w:rPr>
        <w:footnoteReference w:id="1204"/>
      </w:r>
      <w:r>
        <w:rPr>
          <w:rFonts w:ascii="Amiri" w:hAnsi="Amiri" w:eastAsia="Amiri" w:cs="Amiri"/>
          <w:color w:val="111111"/>
          <w:sz w:val="28"/>
          <w:sz w:val="28"/>
          <w:szCs w:val="28"/>
          <w:rtl w:val="true"/>
          <w:lang w:bidi="ar-SA"/>
        </w:rPr>
        <w:t xml:space="preserve">، وابن إدريس الحلي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205"/>
      </w:r>
      <w:r>
        <w:rPr>
          <w:rFonts w:ascii="IRNazanin" w:hAnsi="IRNazanin" w:eastAsia="IRNazanin"/>
          <w:color w:val="111111"/>
          <w:sz w:val="28"/>
          <w:sz w:val="28"/>
          <w:szCs w:val="28"/>
          <w:rtl w:val="true"/>
          <w:lang w:bidi="fa-IR"/>
        </w:rPr>
        <w:t xml:space="preserve">، والكيذری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206"/>
      </w:r>
      <w:r>
        <w:rPr>
          <w:rFonts w:ascii="Amiri" w:hAnsi="Amiri" w:eastAsia="Amiri" w:cs="Amiri"/>
          <w:color w:val="111111"/>
          <w:sz w:val="28"/>
          <w:sz w:val="28"/>
          <w:szCs w:val="28"/>
          <w:rtl w:val="true"/>
          <w:lang w:bidi="ar-SA"/>
        </w:rPr>
        <w:t xml:space="preserve">، والمحقق رحمه الله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0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w:t>
      </w:r>
      <w:r>
        <w:rPr>
          <w:rStyle w:val="FootnoteAnchor"/>
          <w:rtl w:val="true"/>
        </w:rPr>
        <w:footnoteReference w:id="1208"/>
      </w:r>
      <w:r>
        <w:rPr>
          <w:rFonts w:ascii="Amiri" w:hAnsi="Amiri" w:eastAsia="Amiri" w:cs="Amiri"/>
          <w:color w:val="111111"/>
          <w:sz w:val="28"/>
          <w:sz w:val="28"/>
          <w:szCs w:val="28"/>
          <w:rtl w:val="true"/>
          <w:lang w:bidi="ar-SA"/>
        </w:rPr>
        <w:t xml:space="preserve">، والعلامة الحلي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09"/>
      </w:r>
      <w:r>
        <w:rPr>
          <w:rFonts w:ascii="IRNazanin" w:hAnsi="IRNazanin" w:eastAsia="IRNazanin"/>
          <w:color w:val="111111"/>
          <w:sz w:val="28"/>
          <w:sz w:val="28"/>
          <w:szCs w:val="28"/>
          <w:rtl w:val="true"/>
          <w:lang w:bidi="fa-IR"/>
        </w:rPr>
        <w:t xml:space="preserve">، وادّعیعليه الإجماع في كلام جماعة من الفقهاء منهم الحلبیّ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w:t>
      </w:r>
      <w:r>
        <w:rPr>
          <w:rStyle w:val="FootnoteAnchor"/>
          <w:rtl w:val="true"/>
        </w:rPr>
        <w:footnoteReference w:id="1210"/>
      </w:r>
      <w:r>
        <w:rPr>
          <w:rFonts w:ascii="IRNazanin" w:hAnsi="IRNazanin" w:eastAsia="IRNazanin"/>
          <w:color w:val="111111"/>
          <w:sz w:val="28"/>
          <w:sz w:val="28"/>
          <w:szCs w:val="28"/>
          <w:rtl w:val="true"/>
          <w:lang w:bidi="fa-IR"/>
        </w:rPr>
        <w:t xml:space="preserve">، والشيخ الطوسی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يجوز القراض إلا بالأثمان الّتي هی الدارهم والدنانير، وبه قال أبوحنيفة، ومالك، والشافعی، وقال الأوزاعی وابن أبی ليلی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بكلّ شیءٍ يتموّل كالحبوب والأدهان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اخترناه مجمع علی جواز القراض به، وليس علی جواز ما قالوه دليل</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من النقدين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 ودنانير مضروبة منقوشة، عند علمائنا وبه قال الشافعی ومالك وأبو حنيفة، لأنّ القراض معاملة تشتمل على غررٍ عظيم؛ إذ العمل مجهول غير منضبطٍ، والربح غير متيقّن الحصول، وإنّما سوّغنا هذه المعاملة مع الغرر الكثير؛ للحاجة والضرورة، فتختصّ بما تسهل التجارة عليه وتروج في كلّ حالٍ وكلّ وقتٍ؛ لأنّ النقدين أثمان البياعات، والناس يتداولون بالمعاملة عليها من عهد النَّبِیِّ صَلَّى اَللَّهُ عَلَيْهِ وَ آلِهِ وَ سَلَّمْ وقبله وبعده إلى زماننا هذا، ويرجعون إليهما في قِيَم المُتلفات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النقدين ثمنان لا يختلفان بالأزمنة والأصقاع إلّا قليلًا نادراً، ولا يقوَّمان بغيرهما، وأمّا غيرهما من العروض فإنّ قيمتها تختلف دائماً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والمحقق الطباطبائی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ويشترط في مال المضاربة أن يكون عيناً لا ديناً إجماعاً، كما يأتی دنانير أو دراهم إجماعاً،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الحجّة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آنفاً دعوی عدم الخلاف بل الإجماع بقسميه علی ذلك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 وبه قال أيضاً جمهور فقهاء العامة، علی ما حكی ابن رشد القرطبی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أجمعوا علی أنّه جائز بالدنانير والدراهم واختلفوا في العروض، فجمهور فقهاء أمصار علی أنّه لا يجوز القراض بالعروض وجوّزه ابن أبی ليلی</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هل يجوز المضاربة بغيرهما من النقود والأوراق الماليّة والإسكناس الرائجة اليوم في أسواق المعاملات، أم لا؟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الأصحاب بل صريحهم أنّه لا يجوز القراض إلا بالنقدين من الذهب والفضة المسكوكين، في حين أنّه قد عبّر عنه بعض تبعاً للأخبار الكثيرة الواردة في المقام</w:t>
      </w:r>
      <w:r>
        <w:rPr>
          <w:rStyle w:val="FootnoteAnchor"/>
          <w:rtl w:val="true"/>
        </w:rPr>
        <w:footnoteReference w:id="1216"/>
      </w:r>
      <w:r>
        <w:rPr>
          <w:rFonts w:ascii="IRNazanin" w:hAnsi="IRNazanin" w:eastAsia="IRNazanin"/>
          <w:color w:val="111111"/>
          <w:sz w:val="28"/>
          <w:sz w:val="28"/>
          <w:szCs w:val="28"/>
          <w:rtl w:val="true"/>
          <w:lang w:bidi="fa-IR"/>
        </w:rPr>
        <w:t xml:space="preserve">بأنّه هو أن يدفع الإنسان إلی غيره مالاً ليتّجر به من دون أن يقيّدوه </w:t>
      </w:r>
    </w:p>
    <w:p>
      <w:pPr>
        <w:pStyle w:val="BookText"/>
        <w:rPr/>
      </w:pPr>
      <w:r>
        <w:rPr>
          <w:rFonts w:ascii="Amiri" w:hAnsi="Amiri" w:eastAsia="Amiri" w:cs="Amiri"/>
          <w:color w:val="111111"/>
          <w:sz w:val="28"/>
          <w:sz w:val="28"/>
          <w:szCs w:val="28"/>
          <w:rtl w:val="true"/>
          <w:lang w:bidi="ar-SA"/>
        </w:rPr>
        <w:t xml:space="preserve">بكونه منهما، منهم المفيد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217"/>
      </w:r>
      <w:r>
        <w:rPr>
          <w:rFonts w:ascii="IRNazanin" w:hAnsi="IRNazanin" w:eastAsia="IRNazanin"/>
          <w:color w:val="111111"/>
          <w:sz w:val="28"/>
          <w:sz w:val="28"/>
          <w:szCs w:val="28"/>
          <w:rtl w:val="true"/>
          <w:lang w:bidi="fa-IR"/>
        </w:rPr>
        <w:t xml:space="preserve">والديلمی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218"/>
      </w:r>
      <w:r>
        <w:rPr>
          <w:rFonts w:ascii="Amiri" w:hAnsi="Amiri" w:eastAsia="Amiri" w:cs="Amiri"/>
          <w:color w:val="111111"/>
          <w:sz w:val="28"/>
          <w:sz w:val="28"/>
          <w:szCs w:val="28"/>
          <w:rtl w:val="true"/>
          <w:lang w:bidi="ar-SA"/>
        </w:rPr>
        <w:t xml:space="preserve">والشيخ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19"/>
      </w:r>
      <w:r>
        <w:rPr>
          <w:rFonts w:ascii="IRNazanin" w:hAnsi="IRNazanin" w:eastAsia="IRNazanin"/>
          <w:color w:val="111111"/>
          <w:sz w:val="28"/>
          <w:sz w:val="28"/>
          <w:szCs w:val="28"/>
          <w:rtl w:val="true"/>
          <w:lang w:bidi="fa-IR"/>
        </w:rPr>
        <w:t>، واستقوی جوازه الإمام الراحل قدس سره هنا بمثل الأوراق النقدية من الأثمان من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والتحقيق أنّه كما يستفاد من الأخبار وكذا أقوال الفقهاء الواردة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الغرض منهما هو التجارة بما يسهل ويروج في كلّ وقت وحال، وأنّ التجارة بالأثمان لا الأجناس هو الرائج غالباً عند المبادلات والمعاملات، وأنّها في بداية أمرها انحصرت في الدراهم والدنانير المضروبتين من الذهب والفضة حتّی يسمّيين بالنقدين، فاشترطوا بأنّ القراض لا يكون إلا بالنقدين من الذهب والفضة المسكوكين، لكنّها بعد ما ظهرت الفلوس والأوراق الماليّة والإسكناس وتبدّلت المبادلة بها في أسواق المعاملات وراجت، خرجت النقدين عن هذا العنوان، وصارتا مثمنات، فالأقوی بل المتعيّن حينئذ هو المضاربة بهذه الإسكناتات والأوراق الماليّة لأنّها أثمان رائجة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حتّی لو فرض وجود الإجماع علی صحّة المضاربة إذا كانت بالنقدين من الذهب والفضة المسكوكين كما أشار إليه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فهو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مدركی،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فيه علی بطلانها إذا كانت بغيرهما من النقود، وذلك لأنّه لا يستلزم من إثبات شیء نفی غيره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مانع من العقد علی رأس المال إذا كان من الفلوس والأوراق الماليّة، أو بغيرها من المنافع والأجناس بناءً علی جواز المضاربة بخصوص </w:t>
      </w:r>
    </w:p>
    <w:p>
      <w:pPr>
        <w:pStyle w:val="BookText"/>
        <w:rPr/>
      </w:pPr>
      <w:r>
        <w:rPr>
          <w:rFonts w:ascii="Amiri" w:hAnsi="Amiri" w:eastAsia="Amiri" w:cs="Amiri"/>
          <w:color w:val="111111"/>
          <w:sz w:val="28"/>
          <w:sz w:val="28"/>
          <w:szCs w:val="28"/>
          <w:rtl w:val="true"/>
          <w:lang w:bidi="ar-SA"/>
        </w:rPr>
        <w:t xml:space="preserve">الدرهم والدينار المضروبين منهما، والعمل من الآخر من باب عقد مستقل رائج مرغوب فيه بين آحاد العقلاء في جميع الأمصار والبلدان وإن لم يكن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المصطلحة في الفقه، بأن يقول المالك للعامل اتّجر بهذه المنافع والأجناس ويكون الربح بيننا نصفين مثلاً، فيكون داخلاً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221"/>
      </w:r>
      <w:r>
        <w:rPr>
          <w:rFonts w:ascii="IRNazanin" w:hAnsi="IRNazanin" w:eastAsia="IRNazanin"/>
          <w:color w:val="111111"/>
          <w:sz w:val="28"/>
          <w:sz w:val="28"/>
          <w:szCs w:val="28"/>
          <w:rtl w:val="true"/>
          <w:lang w:bidi="fa-IR"/>
        </w:rPr>
        <w:t>، لما نری كثيراً ما أنّ صاحب الحرف والمشاغل بعد ما كانوا كبّار السّن أو ضعفوا عن التجارة بأنفسهم، فوّضوا مكاسبهم مع ما فيها من الأمتعة والأجناس إلی العاملين الشابّين علی غير جهة الجعالة تحصيلاً للفائدة الأكثر بأن يقسّمون ربح مكاسبهم مع العاملين بصورة النصف أو بغيره من النسب، حيث إنّ العاملين متی كانوا مشتغلين بالحرف والمكاسب علی أن يكونوا شريكين في تمام الربح الحاصل منها يتهجّدون أكثر ممّا إذا استخدموا عليها بصورة الجعالة وأجر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إلی ما ذكرناه إجمالاً شيخنا الأستاذ مكارم الشيرازی دام ظله حيث قال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تحقّق عنوان المضاربة معلوم ولكن عدم صحته كمعاملة مستقلة ممنوع، لأنّ التحقيق عدم انحصار العقود في العناوين الخاصّة المعروفة، بل يجوز كلّ عقد دائر بين العقلاء بمقتضی العمومات إذا اجتمع فيه الشرائط العامة بعد عدم ردع الشارع عنه</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مال القراض معيّناً غير مردد، فعليه لا تصحّ المضاربة عندنا وعند الشافعيّة من العامة بالمبهم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قارضتك بأيّهما شئت من هذين النقدين ما لم يعيّنهما، 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يصحّ القراض إذا كان رأس المال جزافاً، وبه قال الشافعی، وقال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 القراض ويكون القول قول العامل حين المفاصلة، وإن كان مع كلّ واحد منهما بيّنة قدّمت بيّنة ربّ المال، 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القراض عقد شرعی يحتاج إلى دليل شرعی، وليس في الشرع ما يدلّ على صحّة هذا القراض، فوجب بطلانه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بطلان المضاربة بالمال المردّد بعد ما حكی كلام المحقق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أحضر مالين وقال قارضتك بأيّهما شئت لم ينعقد بذلك قراض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للإبهام المانع من تعلّق العقد، فإنّ المبهم لا وجود له في الخارج، وموقوفية العقد مع التخيير إلى حال وقوعه، وليس في الأدلة حتّى الإطلاقات ما يدلّ على مشروعية ذلك، بل لعلّ الأدلة قاضية بخلافه، ضرورة ظهورها في سببية العقود وعدم تأخّر آثارها عنها، وجعل الخيار كاشفاً عن مورد العقد من أوّل الأمر لا دليل عليه، لكونه مخالفاً للأصل، ومن هنا لم يحك خلاف في البطلان حتّى من القائلين بالجواز مع الجهالة</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معيناً فلو أحضر مالين وقال قارضتك بأحدهما أو بأيّهما شئت لم ينعقد إلا أن يعيّن ثمّ يوقعان العقد عليه، نعم لا فرق بين </w:t>
      </w:r>
    </w:p>
    <w:p>
      <w:pPr>
        <w:pStyle w:val="BookText"/>
        <w:rPr/>
      </w:pPr>
      <w:r>
        <w:rPr>
          <w:rFonts w:ascii="IRNazanin" w:hAnsi="IRNazanin" w:eastAsia="IRNazanin"/>
          <w:color w:val="111111"/>
          <w:sz w:val="28"/>
          <w:sz w:val="28"/>
          <w:szCs w:val="28"/>
          <w:rtl w:val="true"/>
          <w:lang w:bidi="fa-IR"/>
        </w:rPr>
        <w:t>أن يكون مشاعاً أو مفروزاً بعد العلم بمقداره و وصفه، فلو كان المال مشتركاً بين شخصين فقال أحدهما للعامل قارضتك بحصتی في هذا المال صحّ مع العلم بحصته من ثلث أو ربع، وكذا لو كان للمالك مائة دينار مثلاً فقال قارضتك بنصف هذا المال صحّ</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السيّد الخوئی رحمه الله أجاب عمّا استدلّ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للبطلان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الفرد المردّد وإن لم يكن له وجود في الخارج، إلّا أنّ الجامع الّذی هو عبارة عن عنوان أحدهما موجود في الخارج لا محالة، فإنّه موجود بوجود الفردين ولذا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يعلم بنجاسة أحد الإناءين، والحال أنّ الّذی لا وجود له كيف يعلم بنجاسته؟ إذن فلا مانع من إيقاع المضاربة على أحدهما، فإنّه مشمول للعنوان الوارد في النصوص، أعنی دفع المال للتجارة، وحينئذٍ فيكون التخيير للعامل أو المالك على حسب ما يتّفقان عليه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في المقام نصّ بالخصوص إلا ما وردت من عمومات الوفاء بالعقود والشروط، والّذی يمكن أن نستدلّ به هنا للبطلان هو أنّ المضاربة بالمبهم قد ينجر إلی الغرر لإمكان دعوی كلّ منهما كون مال القراض غير ما تصوره الآخر بما يوجب التنازع بينهما، فكما يعتبر العلم التفصيلی بالعوضين في سائر العقود والمعاملات مثل البيع والإجارة والجعالة وغيرها فكذلك في المقام، بل يمكن أن يقال أنّه لم يعهد من العقلاء المضاربة بمال المبهم حتّی أمضاه الشارع</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معلوماً من حيث القدر والوصف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رأس المال قد يكون معيناً إجمالاً بأنّه هو هذا المال الحاضر، لكنّه ربما لا يعلم قدره بأنّه كم هو؟ أو وصفه بأنّه درهم أو دينار، أو من التومان الإيران أو من الدولار الأمريكی، أو كليهما مجهولان بأن لا يكون مقداره ولا وصفه معلومين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بين هذا الشرط والشرط الثالث هو أنّه نبحث في الشرط السابق عن كون مال القراض معيّناً الّذی يقابله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ونبحث هنا عن كونه معلوماً الّذی يقابله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من الممكن أن يكون مال معيناً من حيث العين ولا يكون معلوماً من حيث النوع أو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الحكيم رحمه الله بعد نقله كلام السيّد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معلوماً قدراً و وصفاً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المشهور، بل ظاهر التذكرة أنّه لا خلاف فيه بيننا، وحكی عن الشيخ في الخلاف، ولكن 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حكى عن بعضٍ بطلان المضاربة بالجزاف، وحكى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الأقوى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اختياره، لعموم أدلّة الصحّة، من دون دليل واضح على المنع، وفی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أن يكون المال معلوم المقدار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اشتراط معلوميّة القدر والوصف كالكلام في اشتراط كونه معيّناً غير مبهم، والدليل هنا كالدليل هاهنا وروحه انتفاع الغرر ودفع التنازع بين المتعاقدين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إذا كان المال غير معلوم من حيث قدر والوصف فهل يكفی حينئذ مشاهدته عن بيانهما أم لا؟ صرّح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يكفی حيث قال</w:t>
      </w:r>
      <w:r>
        <w:rPr>
          <w:rFonts w:eastAsia="IRNazanin" w:cs="IRNazanin"/>
          <w:color w:val="111111"/>
          <w:sz w:val="28"/>
          <w:szCs w:val="28"/>
          <w:rtl w:val="true"/>
          <w:lang w:bidi="fa-IR"/>
        </w:rPr>
        <w:t xml:space="preserve">: </w:t>
      </w:r>
      <w:bookmarkStart w:id="380" w:name="pg7917_85268"/>
    </w:p>
    <w:p>
      <w:pPr>
        <w:pStyle w:val="BookText"/>
        <w:rPr/>
      </w:pPr>
      <w:bookmarkEnd w:id="380"/>
      <w:r>
        <w:rPr>
          <w:rFonts w:ascii="IRNazanin" w:hAnsi="IRNazanin" w:eastAsia="IRNazanin"/>
          <w:color w:val="111111"/>
          <w:sz w:val="28"/>
          <w:sz w:val="28"/>
          <w:szCs w:val="28"/>
          <w:rtl w:val="true"/>
          <w:lang w:bidi="fa-IR"/>
        </w:rPr>
        <w:t>أن يكون معلوماً قدراً و وصفاً، ولا تكفی المشاهدة وإن زال به معظم الغرر</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كما أشار إليه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الحكم تابع مدار الغرر وعدمه، فكلّما يصدق بقاء الغرر يشمله أدلة النهی، إذ لا دليل علی التفصيل بين بقاء الغرر بتمامه وببعضه، هذا تمام الكلام في الفرع الثالث</w:t>
      </w:r>
      <w:r>
        <w:rPr>
          <w:rFonts w:eastAsia="IRNazanin" w:cs="IRNazanin"/>
          <w:color w:val="111111"/>
          <w:sz w:val="28"/>
          <w:szCs w:val="28"/>
          <w:rtl w:val="true"/>
          <w:lang w:bidi="fa-IR"/>
        </w:rPr>
        <w:t>.</w:t>
      </w:r>
    </w:p>
    <w:p>
      <w:pPr>
        <w:pStyle w:val="Heading2"/>
        <w:numPr>
          <w:ilvl w:val="1"/>
          <w:numId w:val="1"/>
        </w:numPr>
        <w:rPr/>
      </w:pPr>
      <w:bookmarkStart w:id="381" w:name="__RefHeading___Toc6355355_1051229030"/>
      <w:bookmarkStart w:id="382" w:name="_Toc126"/>
      <w:bookmarkEnd w:id="381"/>
      <w:r>
        <w:rPr>
          <w:rtl w:val="true"/>
        </w:rPr>
        <w:t>أمّا الفرع الرابع</w:t>
      </w:r>
      <w:r>
        <w:rPr>
          <w:rtl w:val="true"/>
        </w:rPr>
        <w:t xml:space="preserve">: </w:t>
      </w:r>
      <w:r>
        <w:rPr>
          <w:rtl w:val="true"/>
        </w:rPr>
        <w:t>شرائط الربح الحاصل منها</w:t>
      </w:r>
      <w:r>
        <w:rPr>
          <w:rtl w:val="true"/>
        </w:rPr>
        <w:t>:</w:t>
      </w:r>
      <w:bookmarkEnd w:id="382"/>
    </w:p>
    <w:p>
      <w:pPr>
        <w:pStyle w:val="BookText"/>
        <w:rPr/>
      </w:pPr>
      <w:r>
        <w:rPr>
          <w:rFonts w:ascii="Amiri" w:hAnsi="Amiri" w:eastAsia="Amiri" w:cs="Amiri"/>
          <w:color w:val="111111"/>
          <w:sz w:val="28"/>
          <w:sz w:val="28"/>
          <w:szCs w:val="28"/>
          <w:rtl w:val="true"/>
          <w:lang w:bidi="ar-SA"/>
        </w:rPr>
        <w:t>قال الإمام الراحل قدس سره في بيان هذا الفرع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الربح أن يكون معلوماً،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مثل ما شرط فلان لعامله، ولم يعلماه بطلت، وأن يكون مشاعاً مقدراً بأحد الكسور كالنصف أو الثلث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لك من الربح مائة والباقی لی أو بالعكس، أو لك نصف الربح وعشرة دراهم مثلاً لم تصحّ، وأن يكون بين المالك والعامل لا يشاركهما الغير، فلو جعلا جزء منه لأجنبی بطلت إلا أن يكون له عمل متعلّق بالتجارة</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يشترط في ربح القراض أمور هی كما تلى</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مقدار نسبة الربح معلوماً عندهما، فعليه فلو قال المالك إنّ لك مثل ما شرط فلان لعامله ولم يعلما به بطلت المضاربة، وذلك لرفع الجهالة المستوجبة للغرر، ودفع التنازع، ولاختلاف أغراض كلّ من المتعاقدين باختلاف مقدار الربح كماً وكيفاً بأن دفع سهم ربح صاحبه نقداً أو بعد مضی زمان مثلاً، أو في بلد كذا ونحو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الربح مشاعاً بينهما مقدّراً بأحد الكسور كالنصف أو الثلث، قال المحدث البحرانی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أنّه لا خلاف بينهم في أنّه يشترط في الربح الشياع، بمعنى أن يكون كلّ جزء جزء منه مشتركاً، لأنّه مقتضى المضاربة كما تنادی به الأخبار المتقدمة من حكمها بأنّ الربح بينهما يعنى كلّ جزء جزء منه، وما لم يكن مشتركاً فإنّه خارج عن مقتضاها، فهذا الشرط داخل في مفهوم المضاربة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حكی كلام المحقق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يكون الربح مشاعاً،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كان لأحدهما شیء معيّن منه والباقی للآخر بطل إجماعاً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رشد القرطبی الأندلسی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وأجمعوا علی أنّ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يعطی الرجلُ الرجلَ المالَ علی أن يتّجر به علی جزء معلوم يأخذه العامل من ربح المال، أیّ جزءٍ كان ممّا يتفقان عليه ثلثاً أو ربعاً أو نصفاً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عبدالرّحمن الجزيری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المضاربة عند الفقهاء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بين اثنين يتضمّن أن يدفع أحدهما للآخر مالاً يملكه ليتّجر فيه بجزء شائع معلوم من الربح كالنصف أو الثلث أو نحوهما بشرائط مخصوصة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إنّه قد استدلّ علی ذلك زائداً علی الإجماع المدعی عند الفريقين، بروايات مستفيضة بل متواترة، الدلالة علی اشتراكهما في الربح وهی بين صحاح وغير صحاح علی نحو نستغنی عن البحث حول أسانيدها</w:t>
      </w:r>
      <w:r>
        <w:rPr>
          <w:rStyle w:val="FootnoteAnchor"/>
          <w:rtl w:val="true"/>
        </w:rPr>
        <w:footnoteReference w:id="1234"/>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يُعْطَى الْمَالَ مُضَارَبَةً وَيُنْهَى أَنْ يَخْرُجَ بِهِ فَخَرَجَ؟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يَضْمَنُ الْمَالَ، وَالرِّبْحُ بَيْنَهُمَا</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الحلبیّ عن أبی عبد اللّه علیه السلام في الرَّجُلِ يُعْطِی الرَّجُلَ مَالًا مُضَارَبَةً فَيُخَالِفُ مَا شَرَطَ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وَالرِّبْحُ بَيْنَهُمَا</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الْكِنَانِیِّ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الْمُضَارَبَةِ يُعْطَى الرَّجُلُ الْمَالَ يَخْرُجُ بِهِ إِلَى الْأَرْضِ، وَيُنْهَى أَنْ يَخْرُجَ بِهِ إِلَى غَيْرِهَا، فَعَصَى فَخَرَجَ بِهِ إِلَى أَرْضٍ أُخْرَى فَعَطِبَ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فَإِنْ سَلِمَ فَرَبِحَ فَالرِّبْحُ بَيْنَهُمَا</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جميل عن أبی عبد اللّه علیه السلام في رَجُلٍ دَفَعَ إِلَى رَجُلٍ مَالًا يَشْتَرِی بِهِ ضَرْباً مِنَ الْمَتَاعِ مُضَارَبَةً، فَذَهَبَ فَاشْتَرَى بِهِ غَيْرَ الَّذِی أَمَرَهُ،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وَالرِّبْحُ بَيْنَهُمَا عَلَى مَا شَرَطَ</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وموثقة إسحاق بن عمّار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مَالِ الْمُضَارَبَةِ؟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 بَيْنَهُمَا وَالْوَضِيعَةُ عَلَى الْمَالِ</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ومرفوعة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أنّه قال في المتضاربين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وَهُمَا</w:t>
      </w:r>
    </w:p>
    <w:p>
      <w:pPr>
        <w:pStyle w:val="BookText"/>
        <w:rPr/>
      </w:pPr>
      <w:r>
        <w:rPr>
          <w:rFonts w:ascii="Amiri" w:hAnsi="Amiri" w:eastAsia="Amiri" w:cs="Amiri"/>
          <w:color w:val="111111"/>
          <w:sz w:val="28"/>
          <w:sz w:val="28"/>
          <w:szCs w:val="28"/>
          <w:rtl w:val="true"/>
          <w:lang w:bidi="ar-SA"/>
        </w:rPr>
        <w:t>الرَّجُلَانِ يَدْفَعُ أَحَدُهُمَا مَالًا مِنْ مَالِهِ إِلَى الْآخَرِ يَتَّجِرُ بِهِ عَلَى أَنَّهُ مَا كَانَ فِيهِ مِنْ فَضْلٍ كَانَ بَيْنَهُمَا عَلَى مَا اتَّفَقَا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ومرفوعة أخری عنه عن أبی عبد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لَوْ كَانَ لِأَحَدِهِمَا مِنْ الْمَالِ أَكْثَرُ مِمَّا لِصَاحِبِهِ، فَالرِّبْحُ عَلَى مَا اشْتَرَطَاهُ، وَالْوَضِيعَةُ عَلَى كُلِّ وَاحِدٍ مِنْهُمَا بِقَدْرِ رَأْسِ مَالِهِ</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جعل الربح لغير المتعاقدين</w:t>
      </w:r>
    </w:p>
    <w:p>
      <w:pPr>
        <w:pStyle w:val="BookText"/>
        <w:rPr/>
      </w:pPr>
      <w:r>
        <w:rPr>
          <w:rFonts w:ascii="IRNazanin" w:hAnsi="IRNazanin" w:eastAsia="IRNazanin"/>
          <w:color w:val="111111"/>
          <w:sz w:val="28"/>
          <w:sz w:val="28"/>
          <w:szCs w:val="28"/>
          <w:rtl w:val="true"/>
          <w:lang w:bidi="fa-IR"/>
        </w:rPr>
        <w:t xml:space="preserve">قال الإمام الراحل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يكون بين المالك والعامل لا يشاركهما الغير، فلو جعلا جزء منه لأجنبی بطلت إلا أن يكون له عمل متعلّق بالتجارة</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العاملی رحمه الله بعد ما حكی كلام العلامة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وشروطه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مخصوصاً بالمتعاقدين، فلو شرط جزءاً منه لأجنبی فإن كان عاملاً صحّ وإلا بطل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قولاً واحداً في الحكمين معاً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وبهما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وحكی الجزيری عن الشافعية أنّهم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يشترط في الربح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مختصاً بالعاقدين فلا يصحّ أن يجعل لغيرهما جزء منه إلا لعبديهما، فما شرط لأحدهما يضمّ إلی ما شرط لسيّده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قد استدلّ علی ذلك بما تقدّم في النصوص المتقدمة الواردة في باب المضاربة من أنّ الربح بينهما أی المالك والعامل، فلو جعل شیء منه لغيرهما فهو خارج عن مقتضی عقد المضاربة، إذ المالك يأخذ حصته من الربح الّذی يكون في مقابل ماله، والعامل يأخذ ما يكون في مقابل عمله، فليس للأجنبی شیء يختصّ به، إلا أن يكون هو أيضاً عاملاً في الجملة مثل الحمّال والدّلال، فيكون بمنزلة العوامل المتعدّد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كان جعل الربح للغير علی وجه إلزامی في متن العقد لكونه أجنبيّاً عن طرفي العقد، لكن الظاهر أنّه لو توافقا و رضيا بطيب نفسهما لجعله لأجنبیّ كالأيتام أو الفقراء أو السادة مثلاً من باب الصدقة والتيمن والتبرك وأمثالها علی وجه يمكن مخالفته لكلّ منهما كلّ حين، بل وعلی وجه إلزامی من باب الوفاء بالنذر وشبهه، فلا دليل حينئذ علی بطلانه، ولا أقلّ من الشك فيرجع فيه إلی الأصل وهو تسلّط النّاس علی أموالهم</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إلی هنا تمّ بحمد الله والمنة ما أردنا أن نبحث عنه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المتعاقدين في المضاربة وشرائط رأس المال و ربحه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383" w:name="pg7917_8528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4" w:name="__RefHeading___Toc6355357_1051229030"/>
      <w:bookmarkStart w:id="385" w:name="_Toc127"/>
      <w:bookmarkEnd w:id="383"/>
      <w:bookmarkEnd w:id="384"/>
      <w:r>
        <w:rPr>
          <w:rtl w:val="true"/>
        </w:rPr>
        <w:t>المقالة التاسعة</w:t>
      </w:r>
      <w:r>
        <w:rPr>
          <w:rtl w:val="true"/>
        </w:rPr>
        <w:t>:</w:t>
      </w:r>
      <w:r>
        <w:rPr>
          <w:rtl w:val="true"/>
        </w:rPr>
        <w:t>في المزارعة وما يعتبر فيها وفي طرفيها من الشرائط والأحكام</w:t>
      </w:r>
      <w:bookmarkEnd w:id="385"/>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المزارعة عقد من العقود اللازمة في باب المعاملات وقد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مخابرة</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أيضاً من الخبرة بمعنی النصيب وذلك لأنّ كلّ واحد من المتعاقدين فيها يستحقّ خبرته ونصيبه من نتاج الزرع</w:t>
      </w:r>
      <w:r>
        <w:rPr>
          <w:rStyle w:val="FootnoteAnchor"/>
          <w:rtl w:val="true"/>
        </w:rPr>
        <w:footnoteReference w:id="1246"/>
      </w:r>
      <w:r>
        <w:rPr>
          <w:rFonts w:ascii="Amiri" w:hAnsi="Amiri" w:eastAsia="Amiri" w:cs="Amiri"/>
          <w:color w:val="111111"/>
          <w:sz w:val="28"/>
          <w:sz w:val="28"/>
          <w:szCs w:val="28"/>
          <w:rtl w:val="true"/>
          <w:lang w:bidi="ar-SA"/>
        </w:rPr>
        <w:t>، أو الخَبْرُ بمعنی الزرع</w:t>
      </w:r>
      <w:r>
        <w:rPr>
          <w:rStyle w:val="FootnoteAnchor"/>
          <w:rtl w:val="true"/>
        </w:rPr>
        <w:footnoteReference w:id="1247"/>
      </w:r>
      <w:r>
        <w:rPr>
          <w:rFonts w:ascii="Amiri" w:hAnsi="Amiri" w:eastAsia="Amiri" w:cs="Amiri"/>
          <w:color w:val="111111"/>
          <w:sz w:val="28"/>
          <w:sz w:val="28"/>
          <w:szCs w:val="28"/>
          <w:rtl w:val="true"/>
          <w:lang w:bidi="ar-SA"/>
        </w:rPr>
        <w:t xml:space="preserve">، وإمّا مأخوذة من معاملة النَّبِیِّ صَلَّى اَللَّهُ عَلَيْهِ وَ آلِهِ وَ سَلَّمْ لأهل خيبر قد أشار إلی ذلك الطريحی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أصل المخابرة من خيبر لأنّ النَّبِیِّ صَلَّى اَللَّهُ عَلَيْهِ وَ آلِهِ وَ سَلَّمْ أقرّها في أيدي أهلها على النصف من محصولها فقيل خابرهم أی عاملهم في خيبر</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يعبّر عن المزارعة بالمخابرة، إمّا من الخبير وهو الأكّار، أو من الخبارة وهی الأرض الرخوة، أو مأخوذة من معاملة النَّبِیِّ صَلَّى اَللَّهُ عَلَيْهِ وَ آلِهِ وَ سَلَّمْ لأهل</w:t>
      </w:r>
    </w:p>
    <w:p>
      <w:pPr>
        <w:pStyle w:val="BookText"/>
        <w:rPr/>
      </w:pPr>
      <w:r>
        <w:rPr>
          <w:rFonts w:ascii="Amiri" w:hAnsi="Amiri" w:eastAsia="Amiri" w:cs="Amiri"/>
          <w:color w:val="111111"/>
          <w:sz w:val="28"/>
          <w:sz w:val="28"/>
          <w:szCs w:val="28"/>
          <w:rtl w:val="true"/>
          <w:lang w:bidi="ar-SA"/>
        </w:rPr>
        <w:t>خيبر</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هی إجمالاً معاملة بين مالك التصرف في الأرض سواء كانت الأرض ملكاً له أو كونه مالكاً لانتفاعها بالإجارة ونحوها </w:t>
      </w:r>
      <w:r>
        <w:rPr>
          <w:rStyle w:val="FootnoteAnchor"/>
          <w:rtl w:val="true"/>
        </w:rPr>
        <w:footnoteReference w:id="1250"/>
      </w:r>
      <w:r>
        <w:rPr>
          <w:rFonts w:ascii="Amiri" w:hAnsi="Amiri" w:eastAsia="Amiri" w:cs="Amiri"/>
          <w:color w:val="111111"/>
          <w:sz w:val="28"/>
          <w:sz w:val="28"/>
          <w:szCs w:val="28"/>
          <w:rtl w:val="true"/>
          <w:lang w:bidi="ar-SA"/>
        </w:rPr>
        <w:t xml:space="preserve">، و بين العامل الزارع </w:t>
      </w:r>
    </w:p>
    <w:p>
      <w:pPr>
        <w:pStyle w:val="BookText"/>
        <w:rPr/>
      </w:pPr>
      <w:r>
        <w:rPr>
          <w:rFonts w:ascii="IRNazanin" w:hAnsi="IRNazanin" w:eastAsia="IRNazanin"/>
          <w:color w:val="111111"/>
          <w:sz w:val="28"/>
          <w:sz w:val="28"/>
          <w:szCs w:val="28"/>
          <w:rtl w:val="true"/>
          <w:lang w:bidi="fa-IR"/>
        </w:rPr>
        <w:t>بحصّة مشاعة معلومة ممّا يخرج من حاصلها علی النسبة الّتي تعيّنا وقت العقد من أحد الكسور كالنصف أو الثلث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نبحث هنا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 وما يعتبر فيها وفی طرفيها من الشرائط والأحكام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ونستدلّ في هذه المقالة إن شاء الله تعالی عن هذه المسألة بالتّفصيل علی حسب مبانی الإستدلاليّة في الفقه الإماميّة، نقتفی في بحثنا رأی الإمام الراحل قدس سره نذكر كلامه أوّلاً، ثمّ نعقّبه بذكر بعض أقوال فقهاء الفريقين الّتي وردت في المقام فإنّه رحمه الله ذكر تعريف المسألة وشرائطها، في طليعة كتاب المزارعة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المسألة الأولی منها حيث قال</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على أن تزرع الأرض بحصة من حاصلها، وهی عقد يحتاج إلى إيجاب من صاحب الأرض، و هو كلّ لفظ أفاد إنشاء هذا المعنى، كقوله زارعتك أو سلمت إليك الأرض مدّة كذا على أن تزرعها على كذا وأمثال ذلك، وقبول من الزارع بلفظ أفاد ذلك كسائر العقود، والظاهر كفاية القبول الفعلی بعد الإيجاب القولی، بأن يتسلم الأرض بهذا القصد، ولا يعتبر في عقدها العربية فيقع بكلّ لغة، ولا يبعد جريان المعاطاة فيها بعد تعيين ما يلزم تعيينه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زائداً على ما اعتبر في المتعاقدين من البلوغ والعقل والقصد والاختيار والرشد وعدم الحجر لفلس إن كان تصرفه مالياً دون غيره كالزارع إذا كان منه العمل فقط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الحاصل مشاعاً بينهما، فلو جعل الكلّ لأحدهما أو بعضه الخاص كالّذی يحصل متقدماً أو الّذی يحصل من القطعة الفلانية لأحدهما والآخر للآخر لم يصحّ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حصة الزارع بمثل النصف أو الثلث أو الربع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المدّة بالأشهر أو السنين، ولو اقتصر على ذكر المزروع في سنة واحدة ففی الاكتفاء به عن تعيين المدّة وجهان، أوجههما الأوّل لكن فيما إذا عيّن مبدأ الشروع في الزرع، وإذا عيّن المدّة بالزمان لا بدّ أن يكون مدّة يدرك فيها الزرع بحسب العادة، فلا تكفی المدّة القليلة الّتي تقصر عن إدراكه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الأرض قابلة للزرع ولو بالعلاج والإصلاح وطم الحفر وحفر النهر ونحو ذلك، فلو كانت سبخة لا تقبل للزرع أو لم يكن لها ماء ولا يكفيه ماء السماء ولا يمكن تحصيل الماء له ولو بمثل حفر النهر أو البئر أو الشراء لم 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المزروع من أنّه حنطة أو شعير أو غيرهما مع اختلاف الأغراض فيه، ويكفی فيه تعارف يوجب الانصراف، ولو صرح بالتعميم صحّ فيتخير الزارع بين أنواعه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الأرض، فلو زارعه على قطعة من هذه القطعات أو مزرعة من هذه المزارع بطل، نعم لو عيّن قطعة معينة من الأرض الّتي لم تختلف أجزاؤها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زارعتك على جريب من هذه القطعة على النّحو الكلّی في المعيّن فالظاهر الصحة، ويكون التخيير في تعينه لصاحب الأرض</w:t>
      </w:r>
      <w:r>
        <w:rPr>
          <w:rFonts w:eastAsia="IRNazanin" w:cs="IRNazanin"/>
          <w:color w:val="111111"/>
          <w:sz w:val="28"/>
          <w:szCs w:val="28"/>
          <w:rtl w:val="true"/>
          <w:lang w:bidi="fa-IR"/>
        </w:rPr>
        <w:t xml:space="preserve">. </w:t>
      </w:r>
      <w:bookmarkStart w:id="386" w:name="pg7917_85290"/>
    </w:p>
    <w:p>
      <w:pPr>
        <w:pStyle w:val="BookText"/>
        <w:rPr/>
      </w:pPr>
      <w:bookmarkEnd w:id="386"/>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يعيّنا كون البذر وسائر المصارف على أیّ منهما إن لم يكن تعارف</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7" w:name="__RefHeading___Toc6355359_1051229030"/>
      <w:bookmarkStart w:id="388" w:name="_Toc128"/>
      <w:bookmarkEnd w:id="387"/>
      <w:r>
        <w:rPr>
          <w:rtl w:val="true"/>
        </w:rPr>
        <w:t>عناوين فروعات المسألة إجمالاً</w:t>
      </w:r>
      <w:r>
        <w:rPr>
          <w:rtl w:val="true"/>
        </w:rPr>
        <w:t>:</w:t>
      </w:r>
      <w:bookmarkEnd w:id="388"/>
    </w:p>
    <w:p>
      <w:pPr>
        <w:pStyle w:val="BookText"/>
        <w:rPr/>
      </w:pPr>
      <w:r>
        <w:rPr>
          <w:rFonts w:ascii="IRNazanin" w:hAnsi="IRNazanin" w:eastAsia="IRNazanin"/>
          <w:color w:val="111111"/>
          <w:sz w:val="28"/>
          <w:sz w:val="28"/>
          <w:szCs w:val="28"/>
          <w:rtl w:val="true"/>
          <w:lang w:bidi="fa-IR"/>
        </w:rPr>
        <w:t>المباحث المطروحة في هذه المسألة وطليعتها يمكن إدراجها طیّ فروع تسعة آتية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المزارعة وماهيّتها طرداً وعكساً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الحاصل فيها مشتركاً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حصة الزرع من أحد الكسور مثل النصف أو الثلث أو الربع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مدّة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الأرض قابلة للزرع إمّا فعلاً أو بالعلاج والإصلاح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المزروع إذا كان الأغراض مختلفاً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الأرض ومقدارها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كون البذر وسائر المصارف علی أیّ منهما إذا لم يكن هناك تعارف وانصراف</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الورود في صلب الموضوع فالتحقيق يقتضی أن نبحث عن أصل جواز هذا العقد وحكمها عند الشارع فنقول وبه نستعين</w:t>
      </w:r>
      <w:r>
        <w:rPr>
          <w:rFonts w:eastAsia="IRNazanin" w:cs="IRNazanin"/>
          <w:color w:val="111111"/>
          <w:sz w:val="28"/>
          <w:szCs w:val="28"/>
          <w:rtl w:val="true"/>
          <w:lang w:bidi="fa-IR"/>
        </w:rPr>
        <w:t xml:space="preserve">: </w:t>
      </w:r>
      <w:bookmarkStart w:id="389" w:name="pg7917_85292"/>
    </w:p>
    <w:p>
      <w:pPr>
        <w:pStyle w:val="Heading2"/>
        <w:numPr>
          <w:ilvl w:val="1"/>
          <w:numId w:val="1"/>
        </w:numPr>
        <w:rPr/>
      </w:pPr>
      <w:bookmarkStart w:id="390" w:name="__RefHeading___Toc6355361_1051229030"/>
      <w:bookmarkStart w:id="391" w:name="_Toc129"/>
      <w:bookmarkEnd w:id="389"/>
      <w:bookmarkEnd w:id="390"/>
      <w:r>
        <w:rPr>
          <w:rtl w:val="true"/>
        </w:rPr>
        <w:t>دليل جواز المزارعة</w:t>
      </w:r>
      <w:r>
        <w:rPr>
          <w:rtl w:val="true"/>
        </w:rPr>
        <w:t>:</w:t>
      </w:r>
      <w:bookmarkEnd w:id="391"/>
    </w:p>
    <w:p>
      <w:pPr>
        <w:pStyle w:val="BookText"/>
        <w:rPr/>
      </w:pPr>
      <w:r>
        <w:rPr>
          <w:rFonts w:ascii="IRNazanin" w:hAnsi="IRNazanin" w:eastAsia="IRNazanin"/>
          <w:color w:val="111111"/>
          <w:sz w:val="28"/>
          <w:sz w:val="28"/>
          <w:szCs w:val="28"/>
          <w:rtl w:val="true"/>
          <w:lang w:bidi="fa-IR"/>
        </w:rPr>
        <w:t>إنّه قد استدلّ علی ذلك تارة بالإجماع زائداً علی أنّ جوازها كانت مفروغاً عنها وسالمة عن النزاع عند كثير من الأصحاب</w:t>
      </w:r>
      <w:r>
        <w:rPr>
          <w:rStyle w:val="FootnoteAnchor"/>
          <w:rtl w:val="true"/>
        </w:rPr>
        <w:footnoteReference w:id="1252"/>
      </w:r>
      <w:r>
        <w:rPr>
          <w:rFonts w:ascii="IRNazanin" w:hAnsi="IRNazanin" w:eastAsia="IRNazanin"/>
          <w:color w:val="111111"/>
          <w:sz w:val="28"/>
          <w:sz w:val="28"/>
          <w:szCs w:val="28"/>
          <w:rtl w:val="true"/>
          <w:lang w:bidi="fa-IR"/>
        </w:rPr>
        <w:t xml:space="preserve">، وأخری بالنصّ والأخبار، وثالثة بالأصل، قال الشيخ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المزارعة بالثلث، والربع، والنصف، أو أقلّ، أو أكثر بعد أن يكون بينهما مشاعاً جائزة، وبه قال في الصحابة علیّ علیه السلام وعبد اللّه بن مسعود، وعمّار بن ياسر، وسعد بن أبی وقاص، وخباب بن الأرت، وفی الفقهاء ابن أبی ليلى، وأبو يوسف، ومحمّد، وأحمد، وإسحاق،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تجوز ذهب إليه ابن عباس، وعبد اللّه بن عمر، وأبو هريرة، وبه قال أبو حنيفة، ومالك، والشافعی، وأبو ثور، 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وأخبارهم، فإنّهم لا يختلفون في ذلك، وأيضاً الأصل جوازه والمنع يحتاج إلی دلالة</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 xml:space="preserve">، وقال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والمزارعة عقد مشروع عندنا إجماعاً، وعند أكثر علماء الإسلام، ومنع منه الشافعی وأبو حنيفة وبعض العامّة إلّا في مواضع مخصوصة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وكذا ما قاله الشيخ محمد حسن النجفی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ريب في مشروعية هذا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وعند أكثر علماء الإسلام، بل نصوصاً فيها وفی المساقاة مستفيضة أو متواترة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المزارعة هی دفع الأرض إلی من يزرعها أو يعمل عليها والزرع بينهما، وهی جائزة في قول كثير من أهل العلم،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بالمدينة أهل بيت إلا ويزرعون علی الثلث والربع، وزارع علیّ وسعد وابن مسعود وعمر بن عبدالعزيز والقاسم وعروة وآل أبی بكر وآل علیّ وابن سيرين، وممّن رأی ذلك سعيد بن المسيّب وطاوس وعبدالرّحمن ابن الأسود وموسی بن طلحة والزهری وعبدالرّحمن بن أبی ليلی وابنه وأبويوسف ومحمّد، وروی ذلك عن معاذ والحسن وعبدالرّحمن ابن يزيد،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وعامل عمر النّاس علی أنّه إن جاء عمر بالبذر من عنده فله الشطر، وإن جاءوا بالبذر فلهم كذا، وكرهها عكرمة ومجاهد والنخعی وأبوحنيفة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دليل المسألة بحسب الإجماع والإتفاق، ثم إنّه قد استدلّ علی ذلك كما مرّ بأصالة الجواز وأنّ المنع يحتاج إلی دليل</w:t>
      </w:r>
      <w:r>
        <w:rPr>
          <w:rStyle w:val="FootnoteAnchor"/>
          <w:rtl w:val="true"/>
        </w:rPr>
        <w:footnoteReference w:id="1258"/>
      </w:r>
      <w:r>
        <w:rPr>
          <w:rFonts w:ascii="IRNazanin" w:hAnsi="IRNazanin" w:eastAsia="IRNazanin"/>
          <w:color w:val="111111"/>
          <w:sz w:val="28"/>
          <w:sz w:val="28"/>
          <w:szCs w:val="28"/>
          <w:rtl w:val="true"/>
          <w:lang w:bidi="fa-IR"/>
        </w:rPr>
        <w:t>، وكذا بالنصوص والأخبار الخاصّة الّتي وردت في المقام،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رواها المحمّدون الثلاث في كتبهم صحيحاً عن يعقوب بن شعيب وقد رواها الشيخ الحر العاملی رحمه الله صاحب </w:t>
      </w:r>
    </w:p>
    <w:p>
      <w:pPr>
        <w:pStyle w:val="BookText"/>
        <w:rPr/>
      </w:pPr>
      <w:r>
        <w:rPr>
          <w:rFonts w:ascii="IRNazanin" w:hAnsi="IRNazanin" w:eastAsia="IRNazanin"/>
          <w:color w:val="111111"/>
          <w:sz w:val="28"/>
          <w:sz w:val="28"/>
          <w:szCs w:val="28"/>
          <w:rtl w:val="true"/>
          <w:lang w:bidi="fa-IR"/>
        </w:rPr>
        <w:t xml:space="preserve">الوسائل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ثلاثة أحاديث مقطعات</w:t>
      </w:r>
      <w:r>
        <w:rPr>
          <w:rStyle w:val="FootnoteAnchor"/>
          <w:rtl w:val="true"/>
        </w:rPr>
        <w:footnoteReference w:id="1259"/>
      </w:r>
      <w:r>
        <w:rPr>
          <w:rFonts w:ascii="IRNazanin" w:hAnsi="IRNazanin" w:eastAsia="IRNazanin"/>
          <w:color w:val="111111"/>
          <w:sz w:val="28"/>
          <w:sz w:val="28"/>
          <w:szCs w:val="28"/>
          <w:rtl w:val="true"/>
          <w:lang w:bidi="fa-IR"/>
        </w:rPr>
        <w:t xml:space="preserve">، وهی علی ما رواها الكلينی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محمّد بن الحسين عن صفوان عن يعقوب بن شعيب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الْأَرْضُ مِنْ أَرْضِ الْخَرَاجِ فَيَدْفَعُهَا إِلَى الرَّجُلِ عَلَى أَنْ يَعْمُرَهَا وَيُصْلِحَهَا وَيُؤَدِّیَ خَرَاجَهَا وَمَا كَانَ مِنْ فَضْلٍ فَهُوَ بَيْنَهُمَا؟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يُعْطِی الرَّجُلَ أَرْضَهُ وَفِيهَا رُمَّانٌ أَوْ نَخْلٌ أَوْ فَاكِهَةٌ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هَذَا مِنَ الْمَاءِ وَاعْمُرْهُ وَلَكَ نِصْفُ مَا أُخْرِجَ؟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يُعْطِی الرَّجُلَ الْأَرْضَ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اعْمُرْهَا وَهِیَ لَكَ ثَلَاثُ سِنِينَ أَوْ خَمْسُ سِنِينَ أَوْ مَا شَاءَ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الْمُزَارَعَةِ؟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النَّفَقَةُ مِنْكَ وَالْأَرْضُ لِصَاحِبِهَا فَمَا أَخْرَجَ اللَّهُ مِنْهَا مِنْ شَیْ‌ءٍ قُسِمَ عَلَى الشَّطْرِ، وَكَذَلِكَ أَعْطَى رَسُولُ اللَّه صَلَّى اَللَّهُ عَلَيْهِ وَ آلِهِ وَ سَلَّمْ أَهْلَ خَيْبَرَ حِينَ أَتَوْهُ فَأَعْطَاهُمْ إِيَّاهَا عَلَى أَنْ يَعْمُرُوهَا وَلَهُمُ النِّصْفُ مِمَّا أَخْرَجَتْ</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الحديث علی المطلوب واضحة، و رجال السند وهم محمّد بن يعقوب الكلينی</w:t>
      </w:r>
      <w:r>
        <w:rPr>
          <w:rStyle w:val="FootnoteAnchor"/>
          <w:rtl w:val="true"/>
        </w:rPr>
        <w:footnoteReference w:id="1261"/>
      </w:r>
      <w:r>
        <w:rPr>
          <w:rFonts w:ascii="IRNazanin" w:hAnsi="IRNazanin" w:eastAsia="IRNazanin"/>
          <w:color w:val="111111"/>
          <w:sz w:val="28"/>
          <w:sz w:val="28"/>
          <w:szCs w:val="28"/>
          <w:rtl w:val="true"/>
          <w:lang w:bidi="fa-IR"/>
        </w:rPr>
        <w:t>و محمّد بن يحيی العطار القمّی</w:t>
      </w:r>
      <w:r>
        <w:rPr>
          <w:rStyle w:val="FootnoteAnchor"/>
          <w:rtl w:val="true"/>
        </w:rPr>
        <w:footnoteReference w:id="1262"/>
      </w:r>
      <w:r>
        <w:rPr>
          <w:rFonts w:ascii="Amiri" w:hAnsi="Amiri" w:eastAsia="Amiri" w:cs="Amiri"/>
          <w:color w:val="111111"/>
          <w:sz w:val="28"/>
          <w:sz w:val="28"/>
          <w:szCs w:val="28"/>
          <w:rtl w:val="true"/>
          <w:lang w:bidi="ar-SA"/>
        </w:rPr>
        <w:t xml:space="preserve">ومحمّد بن الحسين بن </w:t>
      </w:r>
    </w:p>
    <w:p>
      <w:pPr>
        <w:pStyle w:val="BookText"/>
        <w:rPr/>
      </w:pPr>
      <w:r>
        <w:rPr>
          <w:rFonts w:ascii="IRNazanin" w:hAnsi="IRNazanin" w:eastAsia="IRNazanin"/>
          <w:color w:val="111111"/>
          <w:sz w:val="28"/>
          <w:sz w:val="28"/>
          <w:szCs w:val="28"/>
          <w:rtl w:val="true"/>
          <w:lang w:bidi="fa-IR"/>
        </w:rPr>
        <w:t xml:space="preserve">أبی الخطاب </w:t>
      </w:r>
      <w:r>
        <w:rPr>
          <w:rStyle w:val="FootnoteAnchor"/>
          <w:rtl w:val="true"/>
        </w:rPr>
        <w:footnoteReference w:id="1263"/>
      </w:r>
      <w:r>
        <w:rPr>
          <w:rFonts w:ascii="IRNazanin" w:hAnsi="IRNazanin" w:eastAsia="IRNazanin"/>
          <w:color w:val="111111"/>
          <w:sz w:val="28"/>
          <w:sz w:val="28"/>
          <w:szCs w:val="28"/>
          <w:rtl w:val="true"/>
          <w:lang w:bidi="fa-IR"/>
        </w:rPr>
        <w:t>وصفوان بن يحيی البجلی</w:t>
      </w:r>
      <w:r>
        <w:rPr>
          <w:rStyle w:val="FootnoteAnchor"/>
          <w:rtl w:val="true"/>
        </w:rPr>
        <w:footnoteReference w:id="1264"/>
      </w:r>
      <w:r>
        <w:rPr>
          <w:rFonts w:ascii="Amiri" w:hAnsi="Amiri" w:eastAsia="Amiri" w:cs="Amiri"/>
          <w:color w:val="111111"/>
          <w:sz w:val="28"/>
          <w:sz w:val="28"/>
          <w:szCs w:val="28"/>
          <w:rtl w:val="true"/>
          <w:lang w:bidi="ar-SA"/>
        </w:rPr>
        <w:t>ويعقوب بن شعيب بن ميثم التمّار</w:t>
      </w:r>
      <w:r>
        <w:rPr>
          <w:rStyle w:val="FootnoteAnchor"/>
          <w:rtl w:val="true"/>
        </w:rPr>
        <w:footnoteReference w:id="1265"/>
      </w:r>
      <w:r>
        <w:rPr>
          <w:rFonts w:ascii="IRNazanin" w:hAnsi="IRNazanin" w:eastAsia="IRNazanin"/>
          <w:color w:val="111111"/>
          <w:sz w:val="28"/>
          <w:sz w:val="28"/>
          <w:szCs w:val="28"/>
          <w:rtl w:val="true"/>
          <w:lang w:bidi="fa-IR"/>
        </w:rPr>
        <w:t>كلّهم من الثقات الإماميين زائداً علی أنّ غير الأخير منهم من الأجلاء وأنّ صفوان بن يحيی البجلی قد عدّه الكشی وابن داود و غيرهما في السّتة الّذين كانوا من أصحاب أبی عبد الله علیه السلام وأجمعوا الأصحاب على تصحيح ما يصحّ عنهم وأقرّوا لهم بالفقه وكونهم ممّن لايروون ولايرسلون إلا عن الثقات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الرحمن، وصفوان بن يحيى بياع السابری، ومحمّد بن أبی عمير، وعبد الله بن مغيرة ، والحسن بن محبوب ، وأحمد بن محمّد بن أبی نصر</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رواها الشيخ رحمه الله صحيحاً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الآتی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ابن مسكان وفضالة عن أبان جميعاً عن محمّد الحلبیّ وابن أبی عمير عن حمّاد عن عبيد اللّه الحلبیّ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بِالْمُزَارَعَةِ بِالثُّلُثِ وَالرُّبُعِ وَالْخُمُسِ</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الرواية كسابقتها واضحة وأمّا رجال السند فهم متشكل من الشيخ رحمه الله إلی الحسين بن سعيد و منه إلی الإمام علیه السلام، أمّا الحسين بن سعيد بن حمّاد بن مهران الأهوازی فهو إمامی ثقة عين جليل القدر له مصنفات كثيرة</w:t>
      </w:r>
      <w:r>
        <w:rPr>
          <w:rStyle w:val="FootnoteAnchor"/>
          <w:rtl w:val="true"/>
        </w:rPr>
        <w:footnoteReference w:id="1268"/>
      </w:r>
      <w:r>
        <w:rPr>
          <w:rFonts w:ascii="IRNazanin" w:hAnsi="IRNazanin" w:eastAsia="IRNazanin"/>
          <w:color w:val="111111"/>
          <w:sz w:val="28"/>
          <w:sz w:val="28"/>
          <w:szCs w:val="28"/>
          <w:rtl w:val="true"/>
          <w:lang w:bidi="fa-IR"/>
        </w:rPr>
        <w:t>، وصفوان بن يحيی البجلی الّذی قد تقدّم الكلام آنفاً في كونه من السّتة الّذين كانوا من أصحاب أبی عبد الله علیه السلام وأجمعوا الأصحاب على تصحيح ما يصحّ عنهم وأقروا لهم بالفقه وكونهم ممّن لايروون ولايرسلون إلا عن الثقات، وعبدالله بن مسكان أبو محمّد فهو أيضاً إمامی فقيه عين ثقة جليل من أصحاب الإجماع</w:t>
      </w:r>
      <w:r>
        <w:rPr>
          <w:rStyle w:val="FootnoteAnchor"/>
          <w:rtl w:val="true"/>
        </w:rPr>
        <w:footnoteReference w:id="1269"/>
      </w:r>
      <w:r>
        <w:rPr>
          <w:rFonts w:ascii="IRNazanin" w:hAnsi="IRNazanin" w:eastAsia="IRNazanin"/>
          <w:color w:val="111111"/>
          <w:sz w:val="28"/>
          <w:sz w:val="28"/>
          <w:szCs w:val="28"/>
          <w:rtl w:val="true"/>
          <w:lang w:bidi="fa-IR"/>
        </w:rPr>
        <w:t>، وفضالة بن أيّوب الأزدی كان ثقة في حديثه مستقيماً في دينه ومن فقهاء بلده</w:t>
      </w:r>
      <w:r>
        <w:rPr>
          <w:rStyle w:val="FootnoteAnchor"/>
          <w:rtl w:val="true"/>
        </w:rPr>
        <w:footnoteReference w:id="1270"/>
      </w:r>
      <w:r>
        <w:rPr>
          <w:rFonts w:ascii="Amiri" w:hAnsi="Amiri" w:eastAsia="Amiri" w:cs="Amiri"/>
          <w:color w:val="111111"/>
          <w:sz w:val="28"/>
          <w:sz w:val="28"/>
          <w:szCs w:val="28"/>
          <w:rtl w:val="true"/>
          <w:lang w:bidi="ar-SA"/>
        </w:rPr>
        <w:t xml:space="preserve">، وأبان بن عثمان الأحمر فهو أيضاً من السّتة الّذين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أجمعت العصابة على تقديمهم والإقرار له بالفقه وإن كان مذهبه ناووسياً فاسداً لكنّه مقبول عند الكشی وغيره لذلك الإجماع </w:t>
      </w:r>
      <w:r>
        <w:rPr>
          <w:rStyle w:val="FootnoteAnchor"/>
          <w:rtl w:val="true"/>
        </w:rPr>
        <w:footnoteReference w:id="1271"/>
      </w:r>
      <w:r>
        <w:rPr>
          <w:rFonts w:ascii="IRNazanin" w:hAnsi="IRNazanin" w:eastAsia="IRNazanin"/>
          <w:color w:val="111111"/>
          <w:sz w:val="28"/>
          <w:sz w:val="28"/>
          <w:szCs w:val="28"/>
          <w:rtl w:val="true"/>
          <w:lang w:bidi="fa-IR"/>
        </w:rPr>
        <w:t>، ومحمّد بن علیّ بن أبی شعبة الحلبی أبو جعفر كان من الإمامية ثقة في حديثه لا يطعن عليه وعلی إخوته عبيد الله وعمران وعبد الأعلى، حفظة بصير بالفقه والأخبار، شيخ الطائفة وفقيهها و وجهها بخراسان، سمع منه شيوخ الطائفة وهو حديث السن، له مصنفات كثيرة لم ير في القمّيين مثله في الحفظ وفی كثرة علمه، له نحو من ثلاثمائة مصنف</w:t>
      </w:r>
      <w:r>
        <w:rPr>
          <w:rStyle w:val="FootnoteAnchor"/>
          <w:rtl w:val="true"/>
        </w:rPr>
        <w:footnoteReference w:id="1272"/>
      </w:r>
      <w:r>
        <w:rPr>
          <w:rFonts w:ascii="IRNazanin" w:hAnsi="IRNazanin" w:eastAsia="IRNazanin"/>
          <w:color w:val="111111"/>
          <w:sz w:val="28"/>
          <w:sz w:val="28"/>
          <w:szCs w:val="28"/>
          <w:rtl w:val="true"/>
          <w:lang w:bidi="fa-IR"/>
        </w:rPr>
        <w:t>، ومحمّد ابن أبی عمير زياد بن عيسى أبو أحمد الأزدی البزاز فقد تقدّم الكلام في كونه من السّتة الّذين كانوا من أصحاب أبی عبد الله علیه السلام وأجمعوا الأصحاب على تصحيح ما يصحّ عنهم وأقروا لهم بالفقه وكونهم ممّن لايروون ولايرسلون إلا عن الثقات</w:t>
      </w:r>
      <w:r>
        <w:rPr>
          <w:rStyle w:val="FootnoteAnchor"/>
          <w:rtl w:val="true"/>
        </w:rPr>
        <w:footnoteReference w:id="1273"/>
      </w:r>
      <w:r>
        <w:rPr>
          <w:rFonts w:ascii="IRNazanin" w:hAnsi="IRNazanin" w:eastAsia="IRNazanin"/>
          <w:color w:val="111111"/>
          <w:sz w:val="28"/>
          <w:sz w:val="28"/>
          <w:szCs w:val="28"/>
          <w:rtl w:val="true"/>
          <w:lang w:bidi="fa-IR"/>
        </w:rPr>
        <w:t>، زائداً علی كونه وجهاً من وجوه الإماميّة جليل القدر عظيم المنزلة عند الخاصّة والعامّة، من أورع النّاس وأعبدهم وأنسكهم نسكاً في زمانه صاحب مصنفات كثيرة حتّی قيل أنّها أربعة وتسعون كتاباً منها كتاب النوادرالمعروف</w:t>
      </w:r>
      <w:r>
        <w:rPr>
          <w:rStyle w:val="FootnoteAnchor"/>
          <w:rtl w:val="true"/>
        </w:rPr>
        <w:footnoteReference w:id="1274"/>
      </w:r>
      <w:r>
        <w:rPr>
          <w:rFonts w:ascii="Amiri" w:hAnsi="Amiri" w:eastAsia="Amiri" w:cs="Amiri"/>
          <w:color w:val="111111"/>
          <w:sz w:val="28"/>
          <w:sz w:val="28"/>
          <w:szCs w:val="28"/>
          <w:rtl w:val="true"/>
          <w:lang w:bidi="ar-SA"/>
        </w:rPr>
        <w:t xml:space="preserve">، وحمّاد بن عثمان الناب جليل </w:t>
      </w:r>
    </w:p>
    <w:p>
      <w:pPr>
        <w:pStyle w:val="BookText"/>
        <w:rPr/>
      </w:pPr>
      <w:r>
        <w:rPr>
          <w:rFonts w:ascii="IRNazanin" w:hAnsi="IRNazanin" w:eastAsia="IRNazanin"/>
          <w:color w:val="111111"/>
          <w:sz w:val="28"/>
          <w:sz w:val="28"/>
          <w:szCs w:val="28"/>
          <w:rtl w:val="true"/>
          <w:lang w:bidi="fa-IR"/>
        </w:rPr>
        <w:t>القدر هووأخواه جعفر والحسين بنی عثمان بن زياد الرواسی كلّهم فاضلون خيار ثقات وكان حمّاد ممّن أجمعت العصابة على تصحيح ما يصحّ عنهم والإقرار لهم بالفقه الّذين لم يختلفوا الأصحاب في تعظيمهم، هم ثمانية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منهم من أصحاب أبی جعفر الباقر علیه السلام وستّة منهم من أصحاب أبی عبد الله علیه السلام وستّة منهم من أصحاب الكاظم والرّضا عليهما السلام وحمّاد من الأخير روى عنه جماعة منهم أبو جعفر محمّد بن الوليد بن خالد الخزاز البجلی</w:t>
      </w:r>
      <w:r>
        <w:rPr>
          <w:rStyle w:val="FootnoteAnchor"/>
          <w:rtl w:val="true"/>
        </w:rPr>
        <w:footnoteReference w:id="1275"/>
      </w:r>
      <w:r>
        <w:rPr>
          <w:rFonts w:ascii="IRNazanin" w:hAnsi="IRNazanin" w:eastAsia="IRNazanin"/>
          <w:color w:val="111111"/>
          <w:sz w:val="28"/>
          <w:sz w:val="28"/>
          <w:szCs w:val="28"/>
          <w:rtl w:val="true"/>
          <w:lang w:bidi="fa-IR"/>
        </w:rPr>
        <w:t xml:space="preserve">، وعبيد الله بن علیّ بن أبی شعبة الحلبی الكوفی، بيت آل أبی شعبة بيت معروف في الكوفه من الثقات الأخيار مرجوعاً إليهم فيما يقولون وكان عبيد الله كبيرهم و وجههم، له كتاب معمول عليه هو أوّل كتاب صنّفه الشيعة، قيل إنّه عرض على الصادق علیه السلام فصحّحه واستحسنه وقال ليس لهؤلاء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الفقه مثله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رجال السند من الحسين بن سعيد إلی الإمام علیه السلام وأمّا رجاله من الشيخ رحمه الله إلی الحسين سعيد فقال الشيخ رحمه الله في بيان طريقه إلی الحسين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بكتبه و رواياته ابن أبی جيد القمّی عن محمّد بن الحسن عن </w:t>
      </w:r>
    </w:p>
    <w:p>
      <w:pPr>
        <w:pStyle w:val="BookText"/>
        <w:rPr/>
      </w:pPr>
      <w:r>
        <w:rPr>
          <w:rFonts w:ascii="IRNazanin" w:hAnsi="IRNazanin" w:eastAsia="IRNazanin"/>
          <w:color w:val="111111"/>
          <w:sz w:val="28"/>
          <w:sz w:val="28"/>
          <w:szCs w:val="28"/>
          <w:rtl w:val="true"/>
          <w:lang w:bidi="fa-IR"/>
        </w:rPr>
        <w:t>الحسين بن الحسن بن أبان عن الحسين بن سعيد بن حمّاد بن سعيد بن مهران، قال ابن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وأخرجها إلينا الحسين بن الحسن بن أبان بخط الحسين بن سعيد وذكر أنّه كان ضيف أبيه، وأخبرنا بها عدّة من أصحابنا عن محمّد بن علیّ بن الحسين عن أبيه، ومحمّد بن الحسن ومحمّد بن موسى بن المتوكل عن سعد بن عبد الله، والحميری عن أحمد بن محمّد بن عيسى عن الحسين بن سعيد</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صحّح العلامة رحمه الله طريق الشيخ رحمه الله إلی عدّة رجال منهم الحسين بن سعيد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الشيخ أبی جعفر الطوسی رحمه الله في كتاب الاستبصار إلى محمّد بن يعقوب صحيح، وكذا علیّ بن إبراهيم بن هاشم، وكذا عن محمّد بن يحيى العطار، وكذا عن أحمد بن إدريس، وكذا عن الحسين بن محمّد، وكذا عن محمّد بن إسماعيل، وكذا عن حميد بن زياد، وكذا عن أحمد بن محمّد بن عيسى وعن أحمد بن محمّد بن خالد البرقی، وكذا عن الفضل بن شاذان، وعن الحسن بن محبوب حسن، وعن الحسين بن سعيد صحيح</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غير هاتين الرّوايتين من الرّوايات المتضافرة بل المتواترة الدالّة بالمطابقة أو الإلتزام علی جواز المزارعة عند الشارع المقدس</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ذلك أنّ الزراعة كانت من المشاغل الرائجة بين النّاس منذ خلق الله تبارك وتعالی آدم علیه السلام إلی زماننا هذا، وهی الآن صارت من الفنون و الحرف </w:t>
      </w:r>
    </w:p>
    <w:p>
      <w:pPr>
        <w:pStyle w:val="BookText"/>
        <w:rPr/>
      </w:pPr>
      <w:r>
        <w:rPr>
          <w:rFonts w:ascii="IRNazanin" w:hAnsi="IRNazanin" w:eastAsia="IRNazanin"/>
          <w:color w:val="111111"/>
          <w:sz w:val="28"/>
          <w:sz w:val="28"/>
          <w:szCs w:val="28"/>
          <w:rtl w:val="true"/>
          <w:lang w:bidi="fa-IR"/>
        </w:rPr>
        <w:t>الصناعيّة الّتي يتعلّمها الطلاب في الجامعات الفنيّة العلميّة، كم من مالك من المالكين الأراضی الزراعيّة لم يعلّمها بهذا النحو وكم من عالم بها ليس له ملك زراعيّة أصلاً، والمالكين لهذه الأراضی لاسيّما في الأراضی الكبيرة الوسيعة وإن يمكن لهم استخدام العاملين العالمين بها من طريق الجعالة والإجارة إلا أنّه حيث إذا كان العامل شريكاً مع المالك في حاصل الزرع بنحو الإشاعة إزدادت حاصلها إزدياداً فاحشاً فالرغبة فيها من الجانبين علی المعاملة بنحو المزارعة أكثر من الرغبة إليها علی نحو الجعالة والإجارة، بل يمكن أن يقال إنّ الزراعة بنحو المزراعة كانت من العقود والمعاملات العقلائيّة الرائجة المتداولة بين النّاس حتّی قبل الإسلام ولم يردع عنها الشارع بل امضاها بمقتضی الرّوايات الّتي أشرنا إليها آنفاً فيشملها عموم الأمر بالوفاء بالعقود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أَوْفُوا بِالْعُقُودِ</w:t>
      </w:r>
      <w:r>
        <w:rPr>
          <w:rFonts w:eastAsia="IRNazanin" w:cs="IRNazanin"/>
          <w:color w:val="111111"/>
          <w:sz w:val="28"/>
          <w:szCs w:val="28"/>
          <w:rtl w:val="true"/>
          <w:lang w:bidi="fa-IR"/>
        </w:rPr>
        <w:t>)</w:t>
      </w:r>
      <w:r>
        <w:rPr>
          <w:rStyle w:val="FootnoteAnchor"/>
          <w:rtl w:val="true"/>
        </w:rPr>
        <w:footnoteReference w:id="128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استدلّ بعض العامة القائلين بعدم جواز المزراعة تارة بأصالة تابعيّة كلّ نماء ونتاج لمن ملك العين كما أشار إليها الشيخ رحمه الله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بعدم جواز المزراعة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زارع رجلا فعمل كان الزرع لصاحب البذر لأنّه عين ماله، سواء كان هو العامل أو المالك، فعليه أجرة المثل للأكار إن كان البذر لرب الأرض أو أجرة المثل للمالك إن كان البذر للعامل، وإن كان البذر لهما فالزرع لهما بنسبة بذره وعليهما أجرة المثل للآخر بنسبة أجرة الأرض أو العمل</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روی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 صَلَّى اَللَّهُ عَلَيْهِ وَ آلِهِ وَ سَلَّمْ عن المخابرة،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المخابرة؟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تأخذ الأرض بنصف أو ثلث أو ربع</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 وكذا ما روی ابن قدامة من الفقهاء الحنابلة وغيره حديثاً في منعها عن رافع بن خديج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نخابر على عهد رسول الل صَلَّى اَللَّهُ عَلَيْهِ وَ آلِهِ وَ سَلَّمْ فذكر أنّ بعض عمومته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 صَلَّى اَللَّهُ عَلَيْهِ وَ آلِهِ وَ سَلَّمْ عن أمر كان لنا نافعاً وطواعية رسول الله أنفع،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أرض فليزرعها ولا يكرها بثلث ولا ربع ولا بطعام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نرى بالمزارعة بأساً حتّى سمعنا رافع بن خديج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 صَلَّى اَللَّهُ عَلَيْهِ وَ آلِهِ وَ سَلَّمْ عن المخايرة، ثمّ روى مثله عن جابر</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ففيه أمّا قصة تابعيّة كلّ نماء و منفعة لمن ملك العين والأصل فهی علی إطلاقها ممنوعة لعدم دليل عليها أولاً، وانتقاضها في مثل جواز بيع العين المستأجرة للأجنبی مع بقاء الإجارة، وجواز بيع الثمرة علی أصولها، وجواز التجارة بمال الغير مضاربة وغيرها ثانياً، وكونها في مقابل تلك النصوص المجوزة إجتهاداً في مقابل النصّ ثالثاً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رافع بن خديج بقرينة حديث زيد بن ثابت يحتمل قويّاً أن يكون المراد منه إجارة الأرض بالثلث أو الربع ونحوهما لما يستعمل المخابرة كثيراً ما في كلي المزارعة المصطلحة، وفی إجارة الأرض، يشهد لما ذكرنا جعل الراوی قول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نخابر على عهد رسول الل صَلَّى اَللَّهُ عَلَيْهِ وَ آلِهِ وَ سَلَّمْ فيستفاد منه أنّ المراد من المخابرة في الخبر هو استكراء الأرض </w:t>
      </w:r>
    </w:p>
    <w:p>
      <w:pPr>
        <w:pStyle w:val="BookText"/>
        <w:rPr/>
      </w:pPr>
      <w:r>
        <w:rPr>
          <w:rFonts w:ascii="IRNazanin" w:hAnsi="IRNazanin" w:eastAsia="IRNazanin"/>
          <w:color w:val="111111"/>
          <w:sz w:val="28"/>
          <w:sz w:val="28"/>
          <w:szCs w:val="28"/>
          <w:rtl w:val="true"/>
          <w:lang w:bidi="fa-IR"/>
        </w:rPr>
        <w:t xml:space="preserve">للزراعة لا المزارعة المعهودة، فالنهی الوارد في الخبرين وأمثالهما محمول علی الإجارةعلی شیء مشاع، لما ثبت في محله من لزوم كون مال الإجارة معلومةً قدراً وجنساً ونوعاً و صفةً </w:t>
      </w:r>
      <w:r>
        <w:rPr>
          <w:rStyle w:val="FootnoteAnchor"/>
          <w:rtl w:val="true"/>
        </w:rPr>
        <w:footnoteReference w:id="1285"/>
      </w:r>
      <w:r>
        <w:rPr>
          <w:rFonts w:ascii="IRNazanin" w:hAnsi="IRNazanin" w:eastAsia="IRNazanin"/>
          <w:color w:val="111111"/>
          <w:sz w:val="28"/>
          <w:sz w:val="28"/>
          <w:szCs w:val="28"/>
          <w:rtl w:val="true"/>
          <w:lang w:bidi="fa-IR"/>
        </w:rPr>
        <w:t>، فلا تصحّ بشیء غير محقق الوقوع أو المجهول وزناً وإن كان معلوماً سهماً علی فرض حصوله، بخلاف المزارعة حيث يعتبر فيها كون العوض مشتركاً بنحو الإشاعة السيّالة، ولا أقلّ من الإحتمال وبطلان الاستدلال، لقد أشار إلی ذلك السيّد أبوالمكارم بن زهرة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روى من نهي صَلَّى اَللَّهُ عَلَيْهِ وَ آلِهِ وَ سَلَّمْ عن المخابرة محمول على إجارة الأرض ببعض الخارج منها وإن كان معيّناً، لأنّ ذلك لا يجوز باتفاق، لعدم القطع على</w:t>
      </w:r>
    </w:p>
    <w:p>
      <w:pPr>
        <w:pStyle w:val="BookText"/>
        <w:rPr/>
      </w:pPr>
      <w:r>
        <w:rPr>
          <w:rFonts w:ascii="Amiri" w:hAnsi="Amiri" w:eastAsia="Amiri" w:cs="Amiri"/>
          <w:color w:val="111111"/>
          <w:sz w:val="28"/>
          <w:sz w:val="28"/>
          <w:szCs w:val="28"/>
          <w:rtl w:val="true"/>
          <w:lang w:bidi="ar-SA"/>
        </w:rPr>
        <w:t>إمكان تسليمه</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علی فرض تسليم سند الخبرين وكون النهی الوارد فيهما هو المزارعة المعهودة فهو معارض للرّوايات المتضافرة بل المتواترة الدالة بالمطابقة أو الإلتزام علی جواز المزارعة عند الشارع المقدس، منها ما روی العامة والخاصة من معاملة النَّبِیِّ صَلَّى اَللَّهُ عَلَيْهِ وَ آلِهِ وَ سَلَّمْ مع أهل خيبر بما يخرج من حاصلها بالنصف، قال ابن القدامة الفقيه العامی الحنبلی بعد نقل قصة النَّبِیِّ صَلَّى اَللَّهُ عَلَيْهِ وَ آلِهِ وَ سَلَّمْ مع أهل خيبر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أمر صحيح مشهور، عمل به رسول الل صَلَّى اَللَّهُ عَلَيْهِ وَ آلِهِ وَ سَلَّمْ حتّی مات ثمّ خلفاؤه الراشدون حتّی ماتوا، ثمّ أهلوهم من بعدهم ولم يبق بالمدينة أهل بيت إلا عمل به، وعمل به أزواج رسول الل صَلَّى اَللَّهُ عَلَيْهِ وَ آلِهِ وَ سَلَّمْ من بعده،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رافع مضطربة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اختلافاً كثيراً يوجب ترك العمل بها لو انفردت فكيف يقدّم علی مثل حديثنا؟ 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p>
    <w:p>
      <w:pPr>
        <w:pStyle w:val="BookText"/>
        <w:rPr/>
      </w:pPr>
      <w:r>
        <w:rPr>
          <w:rFonts w:ascii="Amiri" w:hAnsi="Amiri" w:eastAsia="Amiri" w:cs="Amiri"/>
          <w:color w:val="111111"/>
          <w:sz w:val="28"/>
          <w:sz w:val="28"/>
          <w:szCs w:val="28"/>
          <w:rtl w:val="true"/>
          <w:lang w:bidi="ar-SA"/>
        </w:rPr>
        <w:t xml:space="preserve">رافع ألوان أو 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روی البخاری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قلتلطاوس لو تركت المخابرة فإنّهم يزعمون أنّ النَّبِیِّ صَلَّى اَللَّهُ عَلَيْهِ وَ آلِهِ وَ سَلَّمْ نهی عنها، قال إنّ أعلمهم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يعنی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أنّ النَّبِیِّ صَلَّى اَللَّهُ عَلَيْهِ وَ آلِهِ وَ سَلَّمْ لم ينه عنها ولكن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يمنح أحدكم أخاه خير له من أن يأخذ عليها خراجاً معلوماً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أحاديث رافع منها ما يخالف الإجماع وهو النهی عن كراء المزارع علی الإطلاق، ومنها ما لايختلف في فساده كما قد بيّنا، وتارة يحدث عن بعض عمومته وتارة عن سماعة وتارة عن ظهير بن رافع، وإذا كانت أخبار رافع هكذا وجب إخراجها واستعمال الأخبار الواردة في شأن خيبر الجارية مجری التواتر الّتي لا اختلاف فيها وبها عمل الخلفاء الراشدون وغيرهم فلا معنی لتركها بمثل هذه الأحاديث الواهية</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فنأخذ بالمتضافرات والمتواترات المجوزة المشهورة ونترك الشاذ النادر الّذی ضُعّف هكذا، لما ورد في مقبولة عمر بن حنظلة </w:t>
      </w:r>
      <w:r>
        <w:rPr>
          <w:rStyle w:val="FootnoteAnchor"/>
          <w:rtl w:val="true"/>
        </w:rPr>
        <w:footnoteReference w:id="1288"/>
      </w:r>
      <w:r>
        <w:rPr>
          <w:rFonts w:ascii="Amiri" w:hAnsi="Amiri" w:eastAsia="Amiri" w:cs="Amiri"/>
          <w:color w:val="111111"/>
          <w:sz w:val="28"/>
          <w:sz w:val="28"/>
          <w:szCs w:val="28"/>
          <w:rtl w:val="true"/>
          <w:lang w:bidi="ar-SA"/>
        </w:rPr>
        <w:t xml:space="preserve">ومرفوعة زرارة بن أعين </w:t>
      </w:r>
      <w:r>
        <w:rPr>
          <w:rStyle w:val="FootnoteAnchor"/>
          <w:rtl w:val="true"/>
        </w:rPr>
        <w:footnoteReference w:id="1289"/>
      </w:r>
      <w:r>
        <w:rPr>
          <w:rFonts w:ascii="Amiri" w:hAnsi="Amiri" w:eastAsia="Amiri" w:cs="Amiri"/>
          <w:color w:val="111111"/>
          <w:sz w:val="28"/>
          <w:sz w:val="28"/>
          <w:szCs w:val="28"/>
          <w:rtl w:val="true"/>
          <w:lang w:bidi="ar-SA"/>
        </w:rPr>
        <w:t>وغيرهما من علاج الأخبار المتعارضات بها</w:t>
      </w:r>
      <w:r>
        <w:rPr>
          <w:rFonts w:eastAsia="Amiri" w:cs="Amiri" w:ascii="Amiri" w:hAnsi="Amiri"/>
          <w:color w:val="111111"/>
          <w:sz w:val="28"/>
          <w:szCs w:val="28"/>
          <w:rtl w:val="true"/>
          <w:lang w:bidi="ar-SA"/>
        </w:rPr>
        <w:t xml:space="preserve">. </w:t>
      </w:r>
      <w:bookmarkStart w:id="392" w:name="pg7917_85317"/>
    </w:p>
    <w:p>
      <w:pPr>
        <w:pStyle w:val="BookText"/>
        <w:rPr/>
      </w:pPr>
      <w:bookmarkEnd w:id="392"/>
      <w:r>
        <w:rPr>
          <w:rFonts w:ascii="IRNazanin" w:hAnsi="IRNazanin" w:eastAsia="IRNazanin"/>
          <w:color w:val="111111"/>
          <w:sz w:val="28"/>
          <w:sz w:val="28"/>
          <w:szCs w:val="28"/>
          <w:rtl w:val="true"/>
          <w:lang w:bidi="fa-IR"/>
        </w:rPr>
        <w:t>فبعد ما فرغنا من هذه المرحلة فلنبحث في فروعات المسألة وهی كما عرفت تسعة، الأولی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المزارعة وماهيّتها طرداً وعكساً، فنقول وعليه التكلان</w:t>
      </w:r>
      <w:r>
        <w:rPr>
          <w:rFonts w:eastAsia="IRNazanin" w:cs="IRNazanin"/>
          <w:color w:val="111111"/>
          <w:sz w:val="28"/>
          <w:szCs w:val="28"/>
          <w:rtl w:val="true"/>
          <w:lang w:bidi="fa-IR"/>
        </w:rPr>
        <w:t>:</w:t>
      </w:r>
    </w:p>
    <w:p>
      <w:pPr>
        <w:pStyle w:val="Heading2"/>
        <w:numPr>
          <w:ilvl w:val="1"/>
          <w:numId w:val="1"/>
        </w:numPr>
        <w:rPr/>
      </w:pPr>
      <w:bookmarkStart w:id="393" w:name="__RefHeading___Toc6355363_1051229030"/>
      <w:bookmarkStart w:id="394" w:name="_Toc130"/>
      <w:bookmarkEnd w:id="393"/>
      <w:r>
        <w:rPr>
          <w:rtl w:val="true"/>
        </w:rPr>
        <w:t>أمّا الفرع الأول</w:t>
      </w:r>
      <w:r>
        <w:rPr>
          <w:rtl w:val="true"/>
        </w:rPr>
        <w:t xml:space="preserve">: </w:t>
      </w:r>
      <w:r>
        <w:rPr>
          <w:rtl w:val="true"/>
        </w:rPr>
        <w:t>تعريف المزارعة وماهيّتها طرداً وعكساً</w:t>
      </w:r>
      <w:r>
        <w:rPr>
          <w:rtl w:val="true"/>
        </w:rPr>
        <w:t>:</w:t>
      </w:r>
      <w:bookmarkEnd w:id="394"/>
    </w:p>
    <w:p>
      <w:pPr>
        <w:pStyle w:val="BookText"/>
        <w:rPr/>
      </w:pPr>
      <w:r>
        <w:rPr>
          <w:rFonts w:ascii="Amiri" w:hAnsi="Amiri" w:eastAsia="Amiri" w:cs="Amiri"/>
          <w:color w:val="111111"/>
          <w:sz w:val="28"/>
          <w:sz w:val="28"/>
          <w:szCs w:val="28"/>
          <w:rtl w:val="true"/>
          <w:lang w:bidi="ar-SA"/>
        </w:rPr>
        <w:t>قال الإمام الراحل قدس سره في بيان تعريفها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على أن تزرع الأرض بحصة من حاصلها، وهی عقد يحتاج إلى إيجاب من صاحب الأرض، وهو كلّ لفظ أفاد إنشاء هذا المعنى، كقوله زارعتك أو سلمت إليك الأرض مدّة كذا على أن تزرعها على كذا وأمثال ذلك، وقبول من الزارع بلفظ أفاد ذلك كسائر العقود، والظاهر كفاية القبول الفعلی بعد الإيجاب القولی، بأن يتسلّم الأرض بهذا القصد، ولا يعتبر في عقدها العربية فيقع بكلّ لغة، ولا يبعد جريان المعاطاة فيها بعد تعيين ما يلزم تعيينه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المزراعة لغة مفاعلة من الزرع، وهی تقتضی وقوعه منهما معاً، وفی الشرع معاملة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بين مالك التصرف فيها سواء كونها ملكاً له أو كونه مالكاً لانتفاعها بالإجارة ونحوها، وبين العامل الزارع بحصّة مشاعة سيّالة معلومة ممّا يخرج من حاصلها علی النسبة الّتي تعيّنا وقت العقد من أحد الكسور كالنصف أو الثلث ونحوهما إلی مدّة معلومة، والزرع وإن كان فعل العامل إلا أنّه حيث كان بطلب أحدهما وقبول الآخر نسب الفعل إليهما، أو يكون من باب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كسافر بمعنی سفر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والأولی حيث إنّ المزارعة ليست من قبيل المعاملة علی الأرض بيعاً ولا من قبيل المعاملة علی منفعتها إجارة، بل يعامل كلّ من المتعاقدين منفعة ما يتعلّق به الآخرَ برفع يد صاحبه كذلك، أن نعبّر عنها بأنّ المزارعة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كلّ من المالك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والبذر والماء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ما يتعلّق به للزراعة في مقابل رفع يد الآخر كذلك مدّة معلومة بأن يكون حاصل الزرع مشاعاً سيّالاً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المعاملة في التعريف بمنزلة الجنس تعمّ البيع والإجارة والمساقاة والمزارعة، خرج بالمعاملة علی منفعة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لكونهما معاملة علی نفس الأرض أو أصولها بأن يسقيها مدّة معينة بحصة من ثمرها وكانت الأرض في الأخير حقيقتاً من توابعها، وبالحصة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إجارة الأرض للزراعة أو للأعمّ بحصة من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لزوم كون مال الإجارة معلومةً قدراً وجنساً ونوعاً وصفةً فلا تصحّ بشیء غير محقق الوقوع أو المجهول وزناً وإن كان معلوماً سهماً علی فرض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المدة لا دخل لها في التعريف إلا لبيان كون المزارعة الصحيحة هی الّتي مدّتها معلومة لدی المتعاقدين، لبطلان المعاملات إذا كانت غرريّةً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أن ننبّه عليه أنّ التعاريف الّتي تذكر للبيع أو لغيره من المعاملات غالباً إنّما هی من قبيل شرح الاسم، فيراد منها بيان المعرَّف على وجه الاجمال وليست تعاريف حقيقية حتّی يبتنی الأمر فيها على التدقيق ببيان الجنس والفصل الحقيقيين، وإلی ذلك أشار السيّد البروجردی رحمه الله في تعليقته علی العروة حيث قال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شرح الاسم وأمّا ماهيّتها فهل هی من سنخ المشاركات أو المعاوضات؟ وعلى الثانی فهل هی تمليك حصّة من منفعة الأرض من الزارع بحصّة من عمله مع اشتراط كون الحاصل بينهما بنسبة الحصّتين حتّى تكون من إجارة الأرض بالعمل مطلقاً، أو هی تمليك تمام منفعة </w:t>
      </w:r>
    </w:p>
    <w:p>
      <w:pPr>
        <w:pStyle w:val="BookText"/>
        <w:rPr/>
      </w:pPr>
      <w:r>
        <w:rPr>
          <w:rFonts w:ascii="Amiri" w:hAnsi="Amiri" w:eastAsia="Amiri" w:cs="Amiri"/>
          <w:color w:val="111111"/>
          <w:sz w:val="28"/>
          <w:sz w:val="28"/>
          <w:szCs w:val="28"/>
          <w:rtl w:val="true"/>
          <w:lang w:bidi="ar-SA"/>
        </w:rPr>
        <w:t>الأرض من الزارع بحصّة من الحاصل فيما إذا كان البذر من الزارع وتمليك الزارع تمام عمله من المالك بحصّة منه فيما كان البذر من المالك حتّى تكون تارة من إجارة الأرض وأخرى من إجارة النفس بعين معدومة فعلًا غير معلومة الوجود والكمّية فيما بعد؟ وجوه، أقربها الأوّل والتفصيل لا يسعه المقام</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حيث إنّها عقد من العقود تحتاج إلی الطرفين هما الموجب والقابل، يكفی في الإيجاب كلّ لفظ يفيد إنشاء هذا المعنی بالظهور العرفی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زراعتك أو سلّمت إليك الأرض مدّة كذا علی أن تزرعها علی كذا</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 ولا يعتبر في وقوع العقد كونه بالعربيّة فقط بل يكفی بكلّ لفظ يفيد هذا المعنی، وذلك لما سيأتی من فحوی وقوعه بالمعاطاة ولتقدّم وقوع العقود في كلّ نحلة وملّة قبل الإسلام بلغاتهم وإمضاء الشارع إيّاها</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كما تصحّ المزارعة بالايجاب والقبول اللفظيين، تصحّ بالمعاطاة والكتابة وذلك لأنّ الأصل في العقود هو وقوعها معاطاة كما هی كذلك قبل الإسلام ولم يردع عنها الشارع، وكما تصحّ إذا كان الايجاب من جانب المالك تصحّ إذا كان من جانب العامل في مثل ما إذا تقدم المقاولة بها من دون أن ينشیء العقد، ثمّ قال العامل إنّی زراعت في أرضك مدّة كذا ويكون الحاصل بيننا نصفاً وقال المالك قبلت، وكذا الكلام في كلّ عقد من العقود، فلا فرق في </w:t>
      </w:r>
    </w:p>
    <w:p>
      <w:pPr>
        <w:pStyle w:val="BookText"/>
        <w:rPr/>
      </w:pPr>
      <w:r>
        <w:rPr>
          <w:rFonts w:ascii="IRNazanin" w:hAnsi="IRNazanin" w:eastAsia="IRNazanin"/>
          <w:color w:val="111111"/>
          <w:sz w:val="28"/>
          <w:sz w:val="28"/>
          <w:szCs w:val="28"/>
          <w:rtl w:val="true"/>
          <w:lang w:bidi="fa-IR"/>
        </w:rPr>
        <w:t>البيع أن يكون الموجب هو البائع أو المشتری، وفی الإجارة أن يكون هو المؤجر أو المستأجر، وفی الجعالة أن يكون هو الجاعل أو العامل،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ذلك أشار المحقق السبزواری رحمه الله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اعتبار الإيجاب والقبول اللفظيّين والماضويّة وتقديم الإيجاب على القبول والعربيّة والمقارنة وسائر ما قيل في العقود اللازمة كما ادّعاه في المسالك فغير لازم، وصرّح الفاضلان بجوازها بصيغة الأمر، وصرّح في القواعد بالاكتفاء بالقبول الفعلی وهو جيّد</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وقريب منه ما قاله السيّد الطباطبائی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كذا لا يعتبر تقديم الإيجاب على القبول ويصحّ الإيجاب من كلّ من المالك والزارع بل يكفی القبول الفعلی بعد الإيجاب القولی على الأقوى وتجری فيها المعاطاة وإن كانت لا تلزم إلا بالشروع في العمل</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bookmarkStart w:id="395" w:name="pg7917_85326"/>
    </w:p>
    <w:p>
      <w:pPr>
        <w:pStyle w:val="Heading2"/>
        <w:numPr>
          <w:ilvl w:val="1"/>
          <w:numId w:val="1"/>
        </w:numPr>
        <w:rPr/>
      </w:pPr>
      <w:bookmarkStart w:id="396" w:name="__RefHeading___Toc6355365_1051229030"/>
      <w:bookmarkStart w:id="397" w:name="_Toc131"/>
      <w:bookmarkEnd w:id="395"/>
      <w:bookmarkEnd w:id="396"/>
      <w:r>
        <w:rPr>
          <w:rtl w:val="true"/>
        </w:rPr>
        <w:t>أمّا الفرع الثانی</w:t>
      </w:r>
      <w:r>
        <w:rPr>
          <w:rtl w:val="true"/>
        </w:rPr>
        <w:t xml:space="preserve">: </w:t>
      </w:r>
      <w:r>
        <w:rPr>
          <w:rtl w:val="true"/>
        </w:rPr>
        <w:t>شرائط المتعاقدين</w:t>
      </w:r>
      <w:r>
        <w:rPr>
          <w:rtl w:val="true"/>
        </w:rPr>
        <w:t>:</w:t>
      </w:r>
      <w:bookmarkEnd w:id="397"/>
    </w:p>
    <w:p>
      <w:pPr>
        <w:pStyle w:val="BookText"/>
        <w:rPr/>
      </w:pPr>
      <w:r>
        <w:rPr>
          <w:rFonts w:ascii="Amiri" w:hAnsi="Amiri" w:eastAsia="Amiri" w:cs="Amiri"/>
          <w:color w:val="111111"/>
          <w:sz w:val="28"/>
          <w:sz w:val="28"/>
          <w:szCs w:val="28"/>
          <w:rtl w:val="true"/>
          <w:lang w:bidi="ar-SA"/>
        </w:rPr>
        <w:t xml:space="preserve">قال الإمام الراحل قدس سره في بيان هذا الفرع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فيها ما اعتبر في المتعاقدين من البلوغ والعقل والقصد والاختيار والرشد وعدم الحجر لفلس إن كان تصرفه مالياً دون غيره كالزارع إذا كان منه العمل</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بحثنا مفصّلاً عن شرائط المتعاقدين ومستنداتها فيما يشترط من ناحية المتعاقدين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حكم الشرائط المشتركة بين المالك والعامل، وأمّا يختص المالك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كان مالكاً للأرض أو الماء أو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ما تقدّم بعدم المنع من التصرف في أمواله لفلس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إعداد الشرائط العامة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ومالكيّة التصرف في كلّ من المالك والزارع، نعم لا يقدح حينئذ فلس الزارع إذا لم يكن منه مالٌ، لأنّه ليس تصرّفاً ماليّاً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أنّه لا اختصاص بخصوص المفلس، بل يعمّ المملوك أيضاً بناءً علی عدم تملك العبد، وكيف كان إنّ المفلس إذا كان ديونه زائداً علی أمواله وحكم الحاكم عليه بكونه ممنوعاً من التصرف في أمواله، فلا يجوز له أن يتصرف فيها من دون فرق فيه بين المباشرة والمشاركة والمزارعة باتفاق الفرقين، بل يقسّم أمواله بين غرمائه لتعلّق حقّهم إليها، قال الشيخ محمّد حسن النجفی رحمه الله بعد نقل كلام المحقق رحمه الله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حجر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به منع التصرف لتعلّق حقّ الغرماء، </w:t>
      </w:r>
    </w:p>
    <w:p>
      <w:pPr>
        <w:pStyle w:val="BookText"/>
        <w:rPr/>
      </w:pPr>
      <w:r>
        <w:rPr>
          <w:rFonts w:ascii="Amiri" w:hAnsi="Amiri" w:eastAsia="Amiri" w:cs="Amiri"/>
          <w:color w:val="111111"/>
          <w:sz w:val="28"/>
          <w:sz w:val="28"/>
          <w:szCs w:val="28"/>
          <w:rtl w:val="true"/>
          <w:lang w:bidi="ar-SA"/>
        </w:rPr>
        <w:t>واختصاص كلّ غريم بعين ماله، و قسمة أمواله بين غرمائه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أنّه يمنع من التصرف</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عبدالرّحمن الجزيری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ويحجر علی المدين في تصرفاته الماليّة حتّی لا تضيع علی النّاس حقوقهم وأموالهم الّتي استدانها منهم، ثمّ ذكر اتفاق المذاهب علی ذلك</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استدلّ علی ذلك بخبر السَّكُونِیِّ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علیه السلام كَانَ يَحْبِسُ في الدَّيْنِ ثُمَّ يَنْظُرُ فَإِنْ كَانَ لَهُ مَالٌ أَعْطَى الْغُرَمَاءَ وَإِنْ لَمْ يَكُنْ لَهُ مَالٌ دَفَعَهُ إِلَى الْغُرَمَاءِ، فَيَقُولُ لَهُمُ اصْنَعُوا بِهِ مَا شِئْتُمْ إِنْ شِئْتُمْ آجِرُوهُ وَإِنْ شِئْتُمُ اسْتَعْمِلُوهُ</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ومرفوعة دَعَائِمُ الْإِسْلَامِ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الْمُفْلِسُ إِذَا قَامَ عَلَيْهِ الْغُرَمَاءُ فَإِنَّهُ يَبْدَأُ مِنْهُمْ بِقَبْضِ حَقِّهِ مِمَّا وَجَدَ في يَدَيْهِ كُلُّ عَامِلٍ عَمِلَ فِيهِ أَوْ أَجِيرٍ اسْتُؤْجِرَ عَلَيْهِ بِأُجْرَةٍ، أَوْ بِثَمَنِ دَابَّةٍ إِنْ كَانَ قَدْ عَمِلَتْ عَلَيْهِ، وَمَا أَشْبَهَ ذَلِكَ، وَيَكُونُ الْغُرَمَاءُ بَعْدَ ذَلِكَ أُسْوَةً</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 ينجبر ضعفهما بعمل الأصحاب</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يخفی أنّه إنّ هذا الشرط مختص بالمالك إذ العامل وإن كان مفلساً فإنّه ممنوع من التصرف في أمواله لتعلّق حقّ غرمائه إليها، لكنّه ليس ممنوعاً عن تحصيل مال جديد بالمزارعة والمضاربة وإجارة نفسه وأمثالها</w:t>
      </w:r>
      <w:r>
        <w:rPr>
          <w:rFonts w:eastAsia="IRNazanin" w:cs="IRNazanin"/>
          <w:color w:val="111111"/>
          <w:sz w:val="28"/>
          <w:szCs w:val="28"/>
          <w:rtl w:val="true"/>
          <w:lang w:bidi="fa-IR"/>
        </w:rPr>
        <w:t xml:space="preserve">. </w:t>
      </w:r>
      <w:bookmarkStart w:id="398" w:name="pg7917_85331"/>
    </w:p>
    <w:p>
      <w:pPr>
        <w:pStyle w:val="BookText"/>
        <w:rPr/>
      </w:pPr>
      <w:bookmarkEnd w:id="398"/>
      <w:r>
        <w:rPr>
          <w:rFonts w:ascii="IRNazanin" w:hAnsi="IRNazanin" w:eastAsia="IRNazanin"/>
          <w:color w:val="111111"/>
          <w:sz w:val="28"/>
          <w:sz w:val="28"/>
          <w:szCs w:val="28"/>
          <w:rtl w:val="true"/>
          <w:lang w:bidi="fa-IR"/>
        </w:rPr>
        <w:t>أمّا اعتبار القصد في المتعاقدين فهو من قبيل القضايا قياساتها معها، لبناء العقلاء كافّة على أنّ ما لا قصد فيه ساقط عن الاعتبار مطلقاً، والمراد به القصد الجدّی الإنشائی، فعليه لا عبرة بما صدر عن الغافل والنائم والساهی والناسی والمدهوش والسكران والمغمى عليه، هذا تمام الكلام في الفرع الثانی</w:t>
      </w:r>
      <w:r>
        <w:rPr>
          <w:rFonts w:eastAsia="IRNazanin" w:cs="IRNazanin"/>
          <w:color w:val="111111"/>
          <w:sz w:val="28"/>
          <w:szCs w:val="28"/>
          <w:rtl w:val="true"/>
          <w:lang w:bidi="fa-IR"/>
        </w:rPr>
        <w:t>.</w:t>
      </w:r>
    </w:p>
    <w:p>
      <w:pPr>
        <w:pStyle w:val="Heading2"/>
        <w:numPr>
          <w:ilvl w:val="1"/>
          <w:numId w:val="1"/>
        </w:numPr>
        <w:rPr/>
      </w:pPr>
      <w:bookmarkStart w:id="399" w:name="__RefHeading___Toc6355367_1051229030"/>
      <w:bookmarkStart w:id="400" w:name="_Toc132"/>
      <w:bookmarkEnd w:id="399"/>
      <w:r>
        <w:rPr>
          <w:rtl w:val="true"/>
        </w:rPr>
        <w:t>أمّا الفرع الثالث</w:t>
      </w:r>
      <w:r>
        <w:rPr>
          <w:rtl w:val="true"/>
        </w:rPr>
        <w:t xml:space="preserve">: </w:t>
      </w:r>
      <w:r>
        <w:rPr>
          <w:rtl w:val="true"/>
        </w:rPr>
        <w:t>أن يكون الحاصل فيها مشتركاً بينهما</w:t>
      </w:r>
      <w:r>
        <w:rPr>
          <w:rtl w:val="true"/>
        </w:rPr>
        <w:t>:</w:t>
      </w:r>
      <w:bookmarkEnd w:id="400"/>
    </w:p>
    <w:p>
      <w:pPr>
        <w:pStyle w:val="BookText"/>
        <w:rPr/>
      </w:pPr>
      <w:r>
        <w:rPr>
          <w:rFonts w:ascii="Amiri" w:hAnsi="Amiri" w:eastAsia="Amiri" w:cs="Amiri"/>
          <w:color w:val="111111"/>
          <w:sz w:val="28"/>
          <w:sz w:val="28"/>
          <w:szCs w:val="28"/>
          <w:rtl w:val="true"/>
          <w:lang w:bidi="ar-SA"/>
        </w:rPr>
        <w:t>قال الإمام الراحل قدس سره في بيان هذا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الحاصل مشاعاً بينهما، فلو جعل الكلّ لأحدهما أو بعضه الخاص كالّذی يحصل متقدماً أو الّذی يحصل من القطعة الفلانية لأحدهما والآخر للآخر لم يصحّ</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عبّر عن هذا الشرط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 الحاصل مشاعاً،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بكونه مشتركاً بينهما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النماء مشتركاً بينهما، فلوجعل الكلّ لأحدهما لم يصحّ مزارعة</w:t>
      </w:r>
      <w:r>
        <w:rPr>
          <w:rStyle w:val="FootnoteAnchor"/>
          <w:rtl w:val="true"/>
        </w:rPr>
        <w:footnoteReference w:id="1302"/>
      </w:r>
      <w:r>
        <w:rPr>
          <w:rFonts w:ascii="IRNazanin" w:hAnsi="IRNazanin" w:eastAsia="IRNazanin"/>
          <w:color w:val="111111"/>
          <w:sz w:val="28"/>
          <w:sz w:val="28"/>
          <w:szCs w:val="28"/>
          <w:rtl w:val="true"/>
          <w:lang w:bidi="fa-IR"/>
        </w:rPr>
        <w:t>، لكنّه حيث يبُحث في الفرع الآتی عن كيفيّة تقسيم النماء الحاصلة وأنّه بنحو الإشاعة السيّالة فالأولی أن نبحث هنا عن أصل كون النماء مشتركاً بينهما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 فلو جعل الكلّ لأحدهما أو بعضه الخاص كذلك لم يكن ذلك المزارعة المصطلحة بل إنّه جعالة أو إجارة، أو مزارعة باطلة يجب علی كلّ منهما أجرة مثل ما يملكه الآخر من العمل والأرض وكان الحاصل لمالك البذر، وحيث كان الدليل في هذا الفرع وفی الفرع الآتی واحداً فنبحث عن دليلهما هاهنا</w:t>
      </w:r>
      <w:r>
        <w:rPr>
          <w:rFonts w:eastAsia="IRNazanin" w:cs="IRNazanin"/>
          <w:color w:val="111111"/>
          <w:sz w:val="28"/>
          <w:szCs w:val="28"/>
          <w:rtl w:val="true"/>
          <w:lang w:bidi="fa-IR"/>
        </w:rPr>
        <w:t xml:space="preserve">. </w:t>
      </w:r>
      <w:bookmarkStart w:id="401" w:name="pg7917_85333"/>
    </w:p>
    <w:p>
      <w:pPr>
        <w:pStyle w:val="Heading2"/>
        <w:numPr>
          <w:ilvl w:val="1"/>
          <w:numId w:val="1"/>
        </w:numPr>
        <w:rPr/>
      </w:pPr>
      <w:bookmarkStart w:id="402" w:name="__RefHeading___Toc6355369_1051229030"/>
      <w:bookmarkStart w:id="403" w:name="_Toc133"/>
      <w:bookmarkEnd w:id="401"/>
      <w:bookmarkEnd w:id="402"/>
      <w:r>
        <w:rPr>
          <w:rtl w:val="true"/>
        </w:rPr>
        <w:t>أمّا الفرع الرابع</w:t>
      </w:r>
      <w:r>
        <w:rPr>
          <w:rtl w:val="true"/>
        </w:rPr>
        <w:t xml:space="preserve">: </w:t>
      </w:r>
      <w:r>
        <w:rPr>
          <w:rtl w:val="true"/>
        </w:rPr>
        <w:t>تعيين حصّة فيها من أحد الكسور، مثل النصف أو الثلث وأمثالهما</w:t>
      </w:r>
      <w:r>
        <w:rPr>
          <w:rtl w:val="true"/>
        </w:rPr>
        <w:t>:</w:t>
      </w:r>
      <w:bookmarkEnd w:id="403"/>
    </w:p>
    <w:p>
      <w:pPr>
        <w:pStyle w:val="BookText"/>
        <w:rPr/>
      </w:pPr>
      <w:r>
        <w:rPr>
          <w:rFonts w:ascii="Amiri" w:hAnsi="Amiri" w:eastAsia="Amiri" w:cs="Amiri"/>
          <w:color w:val="111111"/>
          <w:sz w:val="28"/>
          <w:sz w:val="28"/>
          <w:szCs w:val="28"/>
          <w:rtl w:val="true"/>
          <w:lang w:bidi="ar-SA"/>
        </w:rPr>
        <w:t>قال الإمام الراحل قدس سره في بيان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تعيين حصّة الزارع بمثل النصف أو الثلث أو الربع ونحو ذلك</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أشرنا في الفرع السابق أنّه يعتبر في المزارعة أن يكون حاصل الزرع مشتركاً مشاعاً، ونبحث هنا عن كيفيّة هذا التقسيم بكونه سيّالاً من أحد الكسور لتخرج الإجارة عن التعريف، أرسله بعض إرسال المسلمات</w:t>
      </w:r>
      <w:r>
        <w:rPr>
          <w:rStyle w:val="FootnoteAnchor"/>
          <w:rtl w:val="true"/>
        </w:rPr>
        <w:footnoteReference w:id="1304"/>
      </w:r>
      <w:r>
        <w:rPr>
          <w:rFonts w:ascii="IRNazanin" w:hAnsi="IRNazanin" w:eastAsia="IRNazanin"/>
          <w:color w:val="111111"/>
          <w:sz w:val="28"/>
          <w:sz w:val="28"/>
          <w:szCs w:val="28"/>
          <w:rtl w:val="true"/>
          <w:lang w:bidi="fa-IR"/>
        </w:rPr>
        <w:t>، وادّعی عدم الخلاف أو الإجماع والإتفاق عليه بعضٌ آخر</w:t>
      </w:r>
      <w:r>
        <w:rPr>
          <w:rStyle w:val="FootnoteAnchor"/>
          <w:rtl w:val="true"/>
        </w:rPr>
        <w:footnoteReference w:id="1305"/>
      </w:r>
      <w:r>
        <w:rPr>
          <w:rFonts w:ascii="IRNazanin" w:hAnsi="IRNazanin" w:eastAsia="IRNazanin"/>
          <w:color w:val="111111"/>
          <w:sz w:val="28"/>
          <w:sz w:val="28"/>
          <w:szCs w:val="28"/>
          <w:rtl w:val="true"/>
          <w:lang w:bidi="fa-IR"/>
        </w:rPr>
        <w:t xml:space="preserve">، قال المحقق الطاطبائی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وشروطها ثلاثة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النماء مشاعاً بينهما تساوياً فيه أو تفاضلاً بلا خلاف بل عليه الإجماع في الغنية وغيرها، وهو الحجة</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حكم المسألة بحسب الإجماع والإتفاق وأمّا دليلها بحسب النصّ والأدلّة النقليّة، فقد استدلّ عليها بأخبار،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يعقوب بن شعيب عن أبی عبد اللّه علیه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الْمُزَارَعَةِ؟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النَّفَقَةُ</w:t>
      </w:r>
    </w:p>
    <w:p>
      <w:pPr>
        <w:pStyle w:val="BookText"/>
        <w:rPr/>
      </w:pPr>
      <w:r>
        <w:rPr>
          <w:rFonts w:ascii="Amiri" w:hAnsi="Amiri" w:eastAsia="Amiri" w:cs="Amiri"/>
          <w:color w:val="111111"/>
          <w:sz w:val="28"/>
          <w:sz w:val="28"/>
          <w:szCs w:val="28"/>
          <w:rtl w:val="true"/>
          <w:lang w:bidi="ar-SA"/>
        </w:rPr>
        <w:t>مِنْكَ وَالْأَرْضُ لِصَاحِبِهَا فَمَا أَخْرَجَ اللَّهُ مِنْهَا مِنْ شَیْ‌ءٍ قُسِمَ عَلَى الشَّطْرِ، وَكَذَلِكَ أَعْطَى رَسُولُ اللَّه صَلَّى اَللَّهُ عَلَيْهِ وَ آلِهِ وَ سَلَّمْ أَهْلَ خَيْبَرَ حِينَ أَتَوْهُ فَأَعْطَاهُمْ إِيَّاهَا عَلَى أَنْ يَعْمُرُوهَا وَلَهُمُ النِّصْفُ مِمَّا أَخْرَجَتْ</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عبيد اللّه الحلبیّ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بِالْمُزَارَعَةِ بِالثُّلُثِ وَالرُّبُعِ وَالْخُمُسِ</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عبد اللّه بن سنان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يُزَارِعُ فَيَزْرَعُ أَرْضَ غَيْرِهِ فَيَقُولُ ثُلُثٌ لِلْبَقَرِ وَثُلُثٌ لِلْبَذْرِ وَثُلُثٌ لِلْأَرْضِ؟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يُسَمِّی شَيْئاً مِنَ الْحَبِّ وَالْبَقَرِ وَلَكِنْ يَقُولُ ازْرَعْ فِيهَا كَذَا وَكَذَا إِنْ شِئْتَ نِصْفاً وَإِنْ شِئْتَ ثُلُثاً</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أبی الرّبيع الشّامیّ عن أبی عبد اللّه علیه السلام أَنَّهُ سُئِلَ عَنِ الرَّجُلِ يَزْرَعُ أَرْضَ رَجُلٍ آخَرَ فَيَشْتَرِطُ عَلَيْهِ ثُلُثاً لِلْبَذْرِ وَثُلُثاً لِلْبَقَرِ؟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يَنْبَغِی أَنْ يُسَمِّیَ بَذْراً وَلَا بَقَراً، وَلَكِنْ يَقُولُ لِصَاحِبِ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 في أَرْضِكَ وَلَكَ مِنْهَا كَذَا وَكَذَا نِصْفٌ أَوْ ثُلُثٌ أَوْ مَا كَانَ مِنْ شَرْطٍ، وَلَا يُسَمِّی بَذْراً وَلَا بَقَراً فَإِنَّمَا يُحَرِّمُ الْكَلَامُ</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bookmarkStart w:id="404" w:name="pg7917_85337"/>
    </w:p>
    <w:p>
      <w:pPr>
        <w:pStyle w:val="BookText"/>
        <w:rPr/>
      </w:pPr>
      <w:bookmarkEnd w:id="40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الأخبار علی المطلوب واضحة، أكثرها صحاح، زائداً علی أنّها لا تنحصر بهذا المقدار</w:t>
      </w:r>
      <w:r>
        <w:rPr>
          <w:rStyle w:val="FootnoteAnchor"/>
          <w:rtl w:val="true"/>
        </w:rPr>
        <w:footnoteReference w:id="1311"/>
      </w:r>
      <w:r>
        <w:rPr>
          <w:rFonts w:ascii="IRNazanin" w:hAnsi="IRNazanin" w:eastAsia="IRNazanin"/>
          <w:color w:val="111111"/>
          <w:sz w:val="28"/>
          <w:sz w:val="28"/>
          <w:szCs w:val="28"/>
          <w:rtl w:val="true"/>
          <w:lang w:bidi="fa-IR"/>
        </w:rPr>
        <w:t>وقد أفتی علی وفقها الأصحاب، وهی كما تدلّ علی لزوم كون الحاصل مشتركاً بينهما تدلّ أيضاً علی كيفيّتها علی النحو الإشاعة السيّالة</w:t>
      </w:r>
      <w:r>
        <w:rPr>
          <w:rFonts w:eastAsia="IRNazanin" w:cs="IRNazanin"/>
          <w:color w:val="111111"/>
          <w:sz w:val="28"/>
          <w:szCs w:val="28"/>
          <w:rtl w:val="true"/>
          <w:lang w:bidi="fa-IR"/>
        </w:rPr>
        <w:t>.</w:t>
      </w:r>
    </w:p>
    <w:p>
      <w:pPr>
        <w:pStyle w:val="Heading2"/>
        <w:numPr>
          <w:ilvl w:val="1"/>
          <w:numId w:val="1"/>
        </w:numPr>
        <w:rPr/>
      </w:pPr>
      <w:bookmarkStart w:id="405" w:name="__RefHeading___Toc6355371_1051229030"/>
      <w:bookmarkStart w:id="406" w:name="_Toc134"/>
      <w:bookmarkEnd w:id="405"/>
      <w:r>
        <w:rPr>
          <w:rtl w:val="true"/>
        </w:rPr>
        <w:t>أمّا الفرع الخامس</w:t>
      </w:r>
      <w:r>
        <w:rPr>
          <w:rtl w:val="true"/>
        </w:rPr>
        <w:t xml:space="preserve">: </w:t>
      </w:r>
      <w:r>
        <w:rPr>
          <w:rtl w:val="true"/>
        </w:rPr>
        <w:t>تعيين مدّة العمل</w:t>
      </w:r>
      <w:r>
        <w:rPr>
          <w:rtl w:val="true"/>
        </w:rPr>
        <w:t>:</w:t>
      </w:r>
      <w:bookmarkEnd w:id="406"/>
    </w:p>
    <w:p>
      <w:pPr>
        <w:pStyle w:val="BookText"/>
        <w:rPr/>
      </w:pPr>
      <w:r>
        <w:rPr>
          <w:rFonts w:ascii="Amiri" w:hAnsi="Amiri" w:eastAsia="Amiri" w:cs="Amiri"/>
          <w:color w:val="111111"/>
          <w:sz w:val="28"/>
          <w:sz w:val="28"/>
          <w:szCs w:val="28"/>
          <w:rtl w:val="true"/>
          <w:lang w:bidi="ar-SA"/>
        </w:rPr>
        <w:t>قال الإمام الراحل قدس سره في بيان هذا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تعيين المدّة بالأشهر أو السنين، ولو اقتصر على ذكر المزروع في سنة واحدة ففی الاكتفاء به عن تعيين المدّة وجهان، أوجههما الأوّل لكن فيما إذا عيّن مبدأ الشروع في الزرع، وإذا عيّن المدّة بالزمان لا بدّ أن يكون مدّة يدرك فيها الزرع بحسب العادة، فلا تكفی المدّة القليلة الّتي تقصر عن إدراكه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أرسلوه بعض الأصحاب إرسال المسلمات، وقد ادعی كونه مشهوراً </w:t>
      </w:r>
      <w:r>
        <w:rPr>
          <w:rStyle w:val="FootnoteAnchor"/>
          <w:rtl w:val="true"/>
        </w:rPr>
        <w:footnoteReference w:id="1313"/>
      </w:r>
      <w:r>
        <w:rPr>
          <w:rFonts w:ascii="Amiri" w:hAnsi="Amiri" w:eastAsia="Amiri" w:cs="Amiri"/>
          <w:color w:val="111111"/>
          <w:sz w:val="28"/>
          <w:sz w:val="28"/>
          <w:szCs w:val="28"/>
          <w:rtl w:val="true"/>
          <w:lang w:bidi="ar-SA"/>
        </w:rPr>
        <w:t>، أو لا خلاف فيه معتداً به</w:t>
      </w:r>
      <w:r>
        <w:rPr>
          <w:rStyle w:val="FootnoteAnchor"/>
          <w:rtl w:val="true"/>
        </w:rPr>
        <w:footnoteReference w:id="1314"/>
      </w:r>
      <w:r>
        <w:rPr>
          <w:rFonts w:ascii="Amiri" w:hAnsi="Amiri" w:eastAsia="Amiri" w:cs="Amiri"/>
          <w:color w:val="111111"/>
          <w:sz w:val="28"/>
          <w:sz w:val="28"/>
          <w:szCs w:val="28"/>
          <w:rtl w:val="true"/>
          <w:lang w:bidi="ar-SA"/>
        </w:rPr>
        <w:t xml:space="preserve">، أو مجمعاً عليه الأصحاب،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فى المزارعة تقدير المدّة وتعيينها بالأيّام والشهور المضبوطه فلا تجوز مع جهالة المدّة اجماعاً لما فيه من الغرر وأدائه الى التنازع</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شرط مدّة معيّنة بالأيّام أو الأشهر صحّ، ولو اقتصر على تعيين المزروع من غير ذكر المدّة فوجهان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 لأنّ لكلّ زرع أمداً فيبنی على العادة كالقراض،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يبطل لأنّه عقد لازم فهو كالإجارة فيشترط فيه تعيين المدّة دفعاً للغرر لأنّ أمد الزرع غير مضبوط وهو أشبه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استدلّ علی ذلك بعد الإجماع المدعی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النهی عن الغرر المستفاد من المرسلة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النَّبِیّ صَلَّى اَللَّهُ عَلَيْهِ وَ آلِهِ وَ سَلَّمْ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الْغَرَرِ</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 الّتي ضعف سندها منجبر بعمل الأصحاب، وقد عُبّر عن حكمة بطلان العقود الغرريّة بكونها مظنّة للتنازع بين المتعاقدين، وأخری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بمشابهة المزارعة بالإجارة في المعنى،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يستفاد من ظاهر بعض أخبار يدّعی دلالتها علی المدعی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يعقوب بن شعيب عن أبی عبد اللّه علیه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يُعْطِی الْأَرْضَ وَيَقُولُ اعْمُرْهَا وَهِیَ لَكَ ثَلَاثَ سِنِينَ أَوْ خَمْسَ سِنِينَ أَوْ مَا شَاءَ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وصحيحة الحلبیّ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الْقَبَالَةَ أَنْ تَأْتِیَ الْأَرْضَ الْخَرِبَةَ فَتُقَبِّلَهَا مِنْ أَهْلِهَا عِشْرِينَ سَنَةً أَوْ أَقَلَّ مِنْ ذَلِكَ أَوْ أَكْثَرَ فَتَعْمُرَهَا وَتُؤَدِّیَ مَا خُرِّجَ عَلَيْهَا فَلَا بَأْسَ بِهِ</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ظاهراً فاقدة للنصّ إذ يحتمل أن يكون المراد من قبالة الأرض أو عمارتها المشار إليهما في الصحيحتين هو إجارتها واعطاء أجرتها من حاصلها لا المزارعة المعهودة، فالعمدة في المقام هو الإجماع المدعی ومتابعة العمومات والقواعد الدالّة علی نفی الغرر، وحيث إنّ المعاملات الّتي تكون مظنة لتنازع المتعاقدين لم يقدم عليه العقلاء بما هم عقلاء غير مرضی عند الشارع وغير ممضاة في نظره، فالمزارعة غير المبيّنة فيها المدّة باطلة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لا يخفی أنّ المراد بتعيين المدّة أعمّ من تعيينها بالصراحة، أو تعيينها بحسب العرف والعادة بحيث ينصرف إلی زمان خاص عندهم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بدّ في تعيين المدّة أن تكون وافيةً بالمزروع، وإلا فإن علما بعدم وفائها به، ومع ذلك أقداما علی العقد، فهو أيضاً باطل لإشعاره بعدم إرادتهما الجديّة لذلك</w:t>
      </w:r>
      <w:r>
        <w:rPr>
          <w:rFonts w:eastAsia="IRNazanin" w:cs="IRNazanin"/>
          <w:color w:val="111111"/>
          <w:sz w:val="28"/>
          <w:szCs w:val="28"/>
          <w:rtl w:val="true"/>
          <w:lang w:bidi="fa-IR"/>
        </w:rPr>
        <w:t xml:space="preserve">. </w:t>
      </w:r>
      <w:bookmarkStart w:id="407" w:name="pg7917_85343"/>
    </w:p>
    <w:p>
      <w:pPr>
        <w:pStyle w:val="Heading2"/>
        <w:numPr>
          <w:ilvl w:val="1"/>
          <w:numId w:val="1"/>
        </w:numPr>
        <w:rPr/>
      </w:pPr>
      <w:bookmarkStart w:id="408" w:name="__RefHeading___Toc6355373_1051229030"/>
      <w:bookmarkStart w:id="409" w:name="_Toc135"/>
      <w:bookmarkEnd w:id="407"/>
      <w:bookmarkEnd w:id="408"/>
      <w:r>
        <w:rPr>
          <w:rtl w:val="true"/>
        </w:rPr>
        <w:t>أمّا الفرع السادس</w:t>
      </w:r>
      <w:r>
        <w:rPr>
          <w:rtl w:val="true"/>
        </w:rPr>
        <w:t xml:space="preserve">: </w:t>
      </w:r>
      <w:r>
        <w:rPr>
          <w:rtl w:val="true"/>
        </w:rPr>
        <w:t>كون الأرض قابلة للزرع إمّا فعلاً أو بالعلاج والإصلاح</w:t>
      </w:r>
      <w:r>
        <w:rPr>
          <w:rtl w:val="true"/>
        </w:rPr>
        <w:t>:</w:t>
      </w:r>
      <w:bookmarkEnd w:id="409"/>
    </w:p>
    <w:p>
      <w:pPr>
        <w:pStyle w:val="BookText"/>
        <w:rPr/>
      </w:pPr>
      <w:r>
        <w:rPr>
          <w:rFonts w:ascii="Amiri" w:hAnsi="Amiri" w:eastAsia="Amiri" w:cs="Amiri"/>
          <w:color w:val="111111"/>
          <w:sz w:val="28"/>
          <w:sz w:val="28"/>
          <w:szCs w:val="28"/>
          <w:rtl w:val="true"/>
          <w:lang w:bidi="ar-SA"/>
        </w:rPr>
        <w:t>قال الإمام الراحل قدس سره في بيان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الأرض قابلة للزرع ولو بالعلاج والإصلاح وطم الحفر وحفر النهر ونحو ذلك، فلو كانت سبخة لا تقبل للزرع أو لم يكن لها ماء ولا يكفيه ماء السماء ولا يمكن تحصيل الماء له ولو بمثل حفر النهر أو البئر أو الشراء لم يصحّ</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من القضايا الّتي قياساتها معها حيث إنّ مفهوم المزارعة لا يتحقّق إلا بإمكان تحقّق الزرع وقابليّة الأرض له إمّا فعلاً أو بالعلاج والإصلاح، وإلا لغی العقد ويعدّ في نظر العقلاء من المعاملات السّفهی، وهو في الحقيقة سالبة بانتفاء الموضوع، قد أشار إلی ذلك الشيخ محمّد حسن النجفی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ضرورة استبعاد إرادته الصّحة مع العلم بعدم إمكان الانتفاع بها في ذلك</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كونه ممّا لا خلاف فيه إجمالاً، فإنّه بعد ما ذكر الشرط المذكور قال</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 خلاف في اشتراطه في الجملة، وإن اختلفوا في متعلّقه هل هو الصّحة مطلقاً، كما هو ظاهر العبارة فيبطل العقد مع عدمه مطلقاً، ولو مع العلم بفقده ابتداءً، وعدمه بعد وجوده، أو في صورة الجهل بعدمه حين العقد خاصّة، كما هو ظاهر الفاضل في الإرشاد حيث حكم </w:t>
      </w:r>
    </w:p>
    <w:p>
      <w:pPr>
        <w:pStyle w:val="BookText"/>
        <w:rPr/>
      </w:pPr>
      <w:r>
        <w:rPr>
          <w:rFonts w:ascii="Amiri" w:hAnsi="Amiri" w:eastAsia="Amiri" w:cs="Amiri"/>
          <w:color w:val="111111"/>
          <w:sz w:val="28"/>
          <w:sz w:val="28"/>
          <w:szCs w:val="28"/>
          <w:rtl w:val="true"/>
          <w:lang w:bidi="ar-SA"/>
        </w:rPr>
        <w:t>بالبطلان بعدمه إلّا مع العلم به، أو اللزوم في صورة الجهل خاصّة؟ فللعامل الخيار فيها بعد العلم</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حكم عدم الإنتفاع بها من بدو الأمر وعدم إمكان قابليّتها لذلك ولو بالعلاج والإصلاح من حفر النهر أو البئر أو شراء الماء مع عدم كفاية ماء السّماء لذلك، أمّا لو خرجت الأرض عن قابليّة الإنتفاع بها للزرع أثناء المدّة علی وجه لا يمكن الإنتفاع بها طليلة المدّة فالأقوی فيه أيضاً هو بطلان العقد من حينه لاتّحاد المسألتين، إذ لا وجه لاستصحاب صحة العقد بعد ما تغيّر الموضوع، فللمالك حينئذ ما حصل من الزرع بنسبة الّتي تعيّنا وقت العقد لو كان، وإلا ليس له شیء لوضوح كون أجرة المالك من نماء الزرع المفروض كونه مفقوداً في المقام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شرط قابليّة الأرض للزرع من الشرائط المقومة لموضوع عقد المزارعة، فإذا فقد الشرط فقد المشروط ضرورة من دون فرق بين الإبتداء والأثناء</w:t>
      </w:r>
      <w:r>
        <w:rPr>
          <w:rFonts w:eastAsia="IRNazanin" w:cs="IRNazanin"/>
          <w:color w:val="111111"/>
          <w:sz w:val="28"/>
          <w:szCs w:val="28"/>
          <w:rtl w:val="true"/>
          <w:lang w:bidi="fa-IR"/>
        </w:rPr>
        <w:t xml:space="preserve">. </w:t>
      </w:r>
      <w:bookmarkStart w:id="410" w:name="pg7917_85347"/>
    </w:p>
    <w:p>
      <w:pPr>
        <w:pStyle w:val="Heading2"/>
        <w:numPr>
          <w:ilvl w:val="1"/>
          <w:numId w:val="1"/>
        </w:numPr>
        <w:rPr/>
      </w:pPr>
      <w:bookmarkStart w:id="411" w:name="__RefHeading___Toc6355375_1051229030"/>
      <w:bookmarkStart w:id="412" w:name="_Toc136"/>
      <w:bookmarkEnd w:id="410"/>
      <w:bookmarkEnd w:id="411"/>
      <w:r>
        <w:rPr>
          <w:rtl w:val="true"/>
        </w:rPr>
        <w:t>أمّا الفرع السابع</w:t>
      </w:r>
      <w:r>
        <w:rPr>
          <w:rtl w:val="true"/>
        </w:rPr>
        <w:t xml:space="preserve">: </w:t>
      </w:r>
      <w:r>
        <w:rPr>
          <w:rtl w:val="true"/>
        </w:rPr>
        <w:t>تعيين المزروع إذا كان الأغراض مختلفاً فيه</w:t>
      </w:r>
      <w:r>
        <w:rPr>
          <w:rtl w:val="true"/>
        </w:rPr>
        <w:t>:</w:t>
      </w:r>
      <w:bookmarkEnd w:id="412"/>
    </w:p>
    <w:p>
      <w:pPr>
        <w:pStyle w:val="BookText"/>
        <w:rPr/>
      </w:pPr>
      <w:r>
        <w:rPr>
          <w:rFonts w:ascii="Amiri" w:hAnsi="Amiri" w:eastAsia="Amiri" w:cs="Amiri"/>
          <w:color w:val="111111"/>
          <w:sz w:val="28"/>
          <w:sz w:val="28"/>
          <w:szCs w:val="28"/>
          <w:rtl w:val="true"/>
          <w:lang w:bidi="ar-SA"/>
        </w:rPr>
        <w:t>قال الإمام الراحل قدس سره في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تعيين المزروع من أنّه حنطة أو شعير أو غيرهما مع اختلاف الأغراض فيه، ويكفی فيه تعارف يوجب الانصراف، ولو صرّح بالتعميم صحّ فيتخير الزارع بين أنواعه</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لو اختلف الأغراض في مزروع من أنواع المزروعات من الحنطة أو الشعير أو الأرز ونحوها فلا يتحقّق معه مفهوم العقد، لا سيّما إذا كان اختلاف أغراضهما راجعاً إلی مقدار النفع الحاصل منها، أو استفادة كلّ منهما نوعاً خاصّاً منها في مصارفه الشخصيّة وأمثال ذلك، فعليهما أن يعيّنا المزروع وإلا بطل العقد لكونه مظنّة للغرر والتنازع بين المتعاقدين، ولأنّ ما لم يقدم عليه العقلاء بما هم عقلاء غير مرضی عند الشارع وهو غير ممضاة في نظره، نعم إذا كان هناك تعارف يوجب انصراف إطلاق الزرع إلی نوع خاص منها علی وجه كان العقد مبنيّاً عليه، فإنّه تعيين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أطلق المالك ولم يكن هناك تعارف ولا يختلف الأغراض فيها بما يوجب التنازع بينهما بوجه من الوجوه، أو صرّح بالتعميم صحّ العقد، وللزارع حينئذ لو كان هو المأمور بتحضير البذر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أنواع المزروعات، حيث قال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يتمّ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البذر من عنده، أمّا لو كان من عند صاحب الأرض فالتخيير إليه بطريق أولى، لا إلى المزارع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p>
    <w:p>
      <w:pPr>
        <w:pStyle w:val="BookText"/>
        <w:rPr/>
      </w:pPr>
      <w:r>
        <w:rPr>
          <w:rFonts w:ascii="IRNazanin" w:hAnsi="IRNazanin" w:eastAsia="IRNazanin"/>
          <w:color w:val="111111"/>
          <w:sz w:val="28"/>
          <w:sz w:val="28"/>
          <w:szCs w:val="28"/>
          <w:rtl w:val="true"/>
          <w:lang w:bidi="fa-IR"/>
        </w:rPr>
        <w:t>تخيّر مع الإطلاق لدلالة المطلق على الماهيّة من حيث هی، وكلّ فرد من أفراد الزرع يصلح أن يوجد المطلق في ضمنه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وكيف كان لو تعيّن الزرع لم يكن لواحد منهما التعدّی منه، وذلك لعموم الأمر بالوفاء بالعقود والشروط</w:t>
      </w:r>
      <w:r>
        <w:rPr>
          <w:rStyle w:val="FootnoteAnchor"/>
          <w:rtl w:val="true"/>
        </w:rPr>
        <w:footnoteReference w:id="1325"/>
      </w:r>
      <w:r>
        <w:rPr>
          <w:rFonts w:ascii="IRNazanin" w:hAnsi="IRNazanin" w:eastAsia="IRNazanin"/>
          <w:color w:val="111111"/>
          <w:sz w:val="28"/>
          <w:sz w:val="28"/>
          <w:szCs w:val="28"/>
          <w:rtl w:val="true"/>
          <w:lang w:bidi="fa-IR"/>
        </w:rPr>
        <w:t xml:space="preserve">، فلو تخلف كان للآخر فسخ العقد وأخذ أجرة مثل ما له من العمل أو الملك، أو إمضائه العقد بهذه الكيفيّة وأخذه أجرة المسمّی، إليه أشار المحقق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حيث قال</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عيّن الزرع لم يجز التعدّی ولو زرع ما هو أضر والحال هذه كان لمالكها أجرة المثل إن شاء أو المسمّى مع الأرش ولو كان أقلّ ضرراً جاز</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bookmarkStart w:id="413" w:name="pg7917_85351"/>
    </w:p>
    <w:p>
      <w:pPr>
        <w:pStyle w:val="Heading2"/>
        <w:numPr>
          <w:ilvl w:val="1"/>
          <w:numId w:val="1"/>
        </w:numPr>
        <w:rPr/>
      </w:pPr>
      <w:bookmarkStart w:id="414" w:name="__RefHeading___Toc6355377_1051229030"/>
      <w:bookmarkStart w:id="415" w:name="_Toc137"/>
      <w:bookmarkEnd w:id="413"/>
      <w:bookmarkEnd w:id="414"/>
      <w:r>
        <w:rPr>
          <w:rtl w:val="true"/>
        </w:rPr>
        <w:t>أمّا الفرع الثامن</w:t>
      </w:r>
      <w:r>
        <w:rPr>
          <w:rtl w:val="true"/>
        </w:rPr>
        <w:t xml:space="preserve">: </w:t>
      </w:r>
      <w:r>
        <w:rPr>
          <w:rtl w:val="true"/>
        </w:rPr>
        <w:t>تعيين الأرض ومقدارها</w:t>
      </w:r>
      <w:r>
        <w:rPr>
          <w:rtl w:val="true"/>
        </w:rPr>
        <w:t>:</w:t>
      </w:r>
      <w:bookmarkEnd w:id="415"/>
    </w:p>
    <w:p>
      <w:pPr>
        <w:pStyle w:val="BookText"/>
        <w:rPr/>
      </w:pPr>
      <w:r>
        <w:rPr>
          <w:rFonts w:ascii="Amiri" w:hAnsi="Amiri" w:eastAsia="Amiri" w:cs="Amiri"/>
          <w:color w:val="111111"/>
          <w:sz w:val="28"/>
          <w:sz w:val="28"/>
          <w:szCs w:val="28"/>
          <w:rtl w:val="true"/>
          <w:lang w:bidi="ar-SA"/>
        </w:rPr>
        <w:t>قال الإمام الراحل قدس سره في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تعيين الأرض، فلو زارعه على قطعة من هذه القطعات أو مزرعة من هذه المزارع بطل، نعم لو عيّن قطعة معيّنة من الأرض الّتي لم تختلف أجزاؤها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زارعتك على جريب من هذه القطعة على النّحو الكلّی في المعيّن فالظاهر الصّحة، ويكون التخيير في تعينه لصاحب الأرض</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السّادس من الشّروط الّتي ذكرها الإمام الراحل قدس سره وغيره في عقد</w:t>
      </w:r>
    </w:p>
    <w:p>
      <w:pPr>
        <w:pStyle w:val="BookText"/>
        <w:rPr/>
      </w:pPr>
      <w:r>
        <w:rPr>
          <w:rFonts w:ascii="IRNazanin" w:hAnsi="IRNazanin" w:eastAsia="IRNazanin"/>
          <w:color w:val="111111"/>
          <w:sz w:val="28"/>
          <w:sz w:val="28"/>
          <w:szCs w:val="28"/>
          <w:rtl w:val="true"/>
          <w:lang w:bidi="fa-IR"/>
        </w:rPr>
        <w:t xml:space="preserve">المزارعة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الأرض ومقدارها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لم يعيّنها المالك أو مقدارها بطل العقد لما تقدم غير مرّة من كونه مظنّة للغرر والتنازع بين المتعاقدين لاختلاف الأراضی قوة وضعفاً، علواً ودنواً الّذی يعرفه أهل الخبرة بالزراعة وغيرهم علی وجه يوجب تفاوت مقدار المحصول والمنافع، ولأنّ ما لم يقدم عليه العقلاء بما هم عقلاء غير مرضی عند الشارع وغير ممضاة في نظره، إلا إذا كان هناك تعارف يوجب انصراف إطلاق الأرض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 مقدار الأرض المعقودة عليها معيّناً وكانت أجزائها متقاربة من حيث المحصول والنماءات علی وجه ينعدم معه الغرر والتنازع عرفاً، فالأقوی الصّحة من باب الكلّی في المعيّن ويكون التخيير حينئذ من جانب المالك كمن باع صاعاً من صبرة، وإن كان للعامل الامتناع من قبولها ما دام بقيت من الأرض بمقدار القطعة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امتناع العامل من قبولها دليل علی اختلاف الأغراض فيبطل العقد حينئذ للغرر والتنازع</w:t>
      </w:r>
      <w:r>
        <w:rPr>
          <w:rFonts w:eastAsia="IRNazanin" w:cs="IRNazanin"/>
          <w:color w:val="111111"/>
          <w:sz w:val="28"/>
          <w:szCs w:val="28"/>
          <w:rtl w:val="true"/>
          <w:lang w:bidi="fa-IR"/>
        </w:rPr>
        <w:t xml:space="preserve">. </w:t>
      </w:r>
      <w:bookmarkStart w:id="416" w:name="pg7917_85353"/>
    </w:p>
    <w:p>
      <w:pPr>
        <w:pStyle w:val="Heading2"/>
        <w:numPr>
          <w:ilvl w:val="1"/>
          <w:numId w:val="1"/>
        </w:numPr>
        <w:rPr/>
      </w:pPr>
      <w:bookmarkStart w:id="417" w:name="__RefHeading___Toc6355379_1051229030"/>
      <w:bookmarkStart w:id="418" w:name="_Toc138"/>
      <w:bookmarkEnd w:id="416"/>
      <w:bookmarkEnd w:id="417"/>
      <w:r>
        <w:rPr>
          <w:rtl w:val="true"/>
        </w:rPr>
        <w:t>أمّا الفرع التاسع</w:t>
      </w:r>
      <w:r>
        <w:rPr>
          <w:rtl w:val="true"/>
        </w:rPr>
        <w:t xml:space="preserve">: </w:t>
      </w:r>
      <w:r>
        <w:rPr>
          <w:rtl w:val="true"/>
        </w:rPr>
        <w:t>تعيين كون البذر وسائر المصارف علی أيّهما إذا لم يكن هناك تعارف وانصراف</w:t>
      </w:r>
      <w:r>
        <w:rPr>
          <w:rtl w:val="true"/>
        </w:rPr>
        <w:t>:</w:t>
      </w:r>
      <w:bookmarkEnd w:id="418"/>
    </w:p>
    <w:p>
      <w:pPr>
        <w:pStyle w:val="BookText"/>
        <w:rPr/>
      </w:pPr>
      <w:r>
        <w:rPr>
          <w:rFonts w:ascii="Amiri" w:hAnsi="Amiri" w:eastAsia="Amiri" w:cs="Amiri"/>
          <w:color w:val="111111"/>
          <w:sz w:val="28"/>
          <w:sz w:val="28"/>
          <w:szCs w:val="28"/>
          <w:rtl w:val="true"/>
          <w:lang w:bidi="ar-SA"/>
        </w:rPr>
        <w:t>قال الإمام الراحل قدس سره في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يعيّنا كون البذر وسائر المصارف على أیّ منهما إن لم يكن تعارف</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باب المزارعة زائداً علی ما تقدّم من الشّرائط، تعيين كون البذر وكذا سائر المصارف والتكاليف علی أیّ منهما إذا لم يكن هناك انصراف مغنٍ عنه ولو بسبب التعارف، فبدونه بطل العقد لكونه مظنّة للغرر والتنازع بين المتعاقدين، ويكون الزرع حينئذ من باب تبعيّة المنافع للأعيان إلا ما خرجت بالدليل لصاحب البذر أیّ منهما، وللآخر أجرة مثل ما كان له من الماء والأرض وسائر المصارف، وبالمتعارف يحمل صحيحة يعقوب بن شعيب عن أبی عبد اللّه علیه السلام حيث جعل الإمام علیه السلام النفقات علی الزارع والمحصول لهما علی الشّرط،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تَكُونُ لَهُ الْأَرْضُ مِنْ أَرْضِ الْخَرَاجِ فَيَدْفَعُهَا إِلَى الرَّجُلِ عَلَى أَنْ يَعْمُرَهَا وَيُصْلِحَهَا وَيُؤَدِّیَ خَرَاجَهَا وَمَا كَانَ مِنْ فَضْلٍ فَهُوَ بَيْنَهُمَا؟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الْمُزَارَعَةِ؟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مِنْكَ وَالْأَرْضُ لِصَاحِبِهَا، فَمَا أَخْرَجَ اللَّهُ مِنْ شَیْ‌ءٍ قُسِمَ عَلَى الشَّطْرِ وَكَذَلِكَ أَعْطَى رَسُولُ اللَّه صَلَّى اَللَّهُ عَلَيْهِ وَ آلِهِ وَ سَلَّمْ خَيْبَرَ حِينَ أَتَوْهُ فَأَعْطَاهُمْ إِيَّاهَا عَلَى أَنْ يَعْمُرُوهَا وَلَهُمُ النِّصْفُ مِمَّا أَخْرَجَتْ</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ففی كلّ موضع فقد فيه شرط من شرائط المزارعة بما يحكم عليه ببطلان العقد، فعلی كلّ واحد من العامل والمالك أجرة مثل ما للآخر من العمل </w:t>
      </w:r>
    </w:p>
    <w:p>
      <w:pPr>
        <w:pStyle w:val="BookText"/>
        <w:rPr/>
      </w:pPr>
      <w:r>
        <w:rPr>
          <w:rFonts w:ascii="IRNazanin" w:hAnsi="IRNazanin" w:eastAsia="IRNazanin"/>
          <w:color w:val="111111"/>
          <w:sz w:val="28"/>
          <w:sz w:val="28"/>
          <w:szCs w:val="28"/>
          <w:rtl w:val="true"/>
          <w:lang w:bidi="fa-IR"/>
        </w:rPr>
        <w:t xml:space="preserve">والماء والأرض وسائر المصارف، ويكون الحاصل من باب تبعيّة المنافع للأعيان لصاحب البذر أيّهما كان، فإن كان البذر منهما فيقسم الحاصل بينهما علی النسبة الّتي بذلاه وعليهما ما للآخر من أجرة العمل أو النفقات، وقد أشار إلی ما ذكرناه إجمالاً المحقق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موضع يحكم فيه ببطلان المزارعة تجب لصاحب الأرض أجرة المثل</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هنا تمّ بحمد الله والمنة ما أردنا أن نبحث عنه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المزارعة وما يعتبر فيها وفی طرفيها من الشرائط والأحكام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7917_85359"/>
      <w:bookmarkStart w:id="420" w:name="pg7917_85359"/>
      <w:bookmarkEnd w:id="42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1" w:name="pg7917_85359"/>
      <w:bookmarkStart w:id="422" w:name="__RefHeading___Toc6355381_1051229030"/>
      <w:bookmarkStart w:id="423" w:name="_Toc139"/>
      <w:bookmarkEnd w:id="421"/>
      <w:bookmarkEnd w:id="422"/>
      <w:r>
        <w:rPr>
          <w:rtl w:val="true"/>
        </w:rPr>
        <w:t>المقالة العاشرة</w:t>
      </w:r>
      <w:r>
        <w:rPr>
          <w:rtl w:val="true"/>
        </w:rPr>
        <w:t>:</w:t>
      </w:r>
      <w:bookmarkEnd w:id="42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حيث إنّ الأعيان الشخصيّة الّتي وقع عليها العقد من دون فرق بين أنواع التجارات والمعاملات لم تكن حاضرة دائماً وقت العقد، فربما وقع العقد علی شیء باعتبار توصيفه أو رؤيته السابقة بناءً علی بقائه علی تلك الأوصاف والكيفيات، وحينئذ قد يوجد الشیء علی خلاف ما وصفه أو ما يرآه المتعاملان من الأوصاف والشرائط الّتي يتفاوت بها رغبات النّاس أو الأثمان والقيم، فقد ثبت للآخر بذلك خيار الفسخ، يُجبر به ما يفوت من حيث المعاوضة أو ما لم يُدفع إليه من العنوان الّذی وقع عليه العقد، يُسمّی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 النقيصة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لها وللشرط والعيب أيضاً تارة أخری، قال ابن أثير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الِاخْتِيَارِ، وهو طلب خير الأمرين إما إمضاء البيع، أو فسخه، وهو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وخِيَار الشّرط، وخِيَار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خِيَارُ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خِيَارُ النّقيصة فأن يظهر بالمبيع عيب يوجب الرّدّ أو يلتزم البائع فيه شرطاً لم يكن فيه، ونحو ذلك</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نبحث هنا إن شاء الله تبارك وتعالی عن حكم هذا الخيار بالتفصيل علی حسب مبانی الإستدلاليّة في الفقه الإماميّة، وحيث نقتفی في بحثنا رأی الإمام الراحل قدس سره نذكر كلامه أولاً، ثمّ نعقبه بذكر بعض أقوال فقهاء الفريقين الّتي وردت في المقام، فقال رحمه الله في القسم السادس من أقسام الخيارات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فيما إذا اشترى شيئاً موصوفاً غير مشاهد ثمّ وجده على خلاف ذلك الوصف بمعنى كونه ناقصاً عنه، وكذا إذا وجده </w:t>
      </w:r>
    </w:p>
    <w:p>
      <w:pPr>
        <w:pStyle w:val="BookText"/>
        <w:rPr/>
      </w:pPr>
      <w:r>
        <w:rPr>
          <w:rFonts w:ascii="IRNazanin" w:hAnsi="IRNazanin" w:eastAsia="IRNazanin"/>
          <w:color w:val="111111"/>
          <w:sz w:val="28"/>
          <w:sz w:val="28"/>
          <w:szCs w:val="28"/>
          <w:rtl w:val="true"/>
          <w:lang w:bidi="fa-IR"/>
        </w:rPr>
        <w:t>على خلاف ما رآه سابقاً، فيكون له خيار الفسخ، وفيما إذا باع شيئاً بوصف غيره ثمّ وجده زائداً على ما وصف أو وجده زائداً على ما يراه سابقاً أو وجد الثمن على خلاف ما وصف أی ناقصاً عنه فله خيار الفسخ في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الخيار هنا بين الرد والإمساك مجاناً، وليس لذی الخيار الإمساك بالأرش، كما لايسقط خياره ببذله ولا بإبدال العين بالأخرى، نعم لو كان للوصف المفقود دخل في الصّحة توجه أخذ الأرش للعيب لا لتخلف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هذا الخيار بيع العين الشخصية الغائبة حين المبايعة، ويشترط في صحته إمّا الرؤية السابقة مع حصول الاطمئنان ببقاء تلك الصفات وإلا ففيه إشكال، وإمّا توصيفه بما يرفع به الجهالة عرفاً بأن حصل له الوثوق من توصيفه الموجب لرفع الغرر بذكر جنسها ونوعها وصفاتها الّتي تختلف باختلافها الأثمان ورغبات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الخيار فوری عند الرؤية على المشهور، وفيه إشكال</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يسقط هذا الخيار باشتراط سقوطه في ضمن العقد إذا لم يرفع به الوثوق الرافع للجهالة، وإلا فيفسد ويفسد العقد، وبإسقاطه بعد الرؤية، وبالتصرف في العين بعدها تصرفاً كاشفاً عن الرضا بالبيع، وبعدم المبادرة إلى الفسخ بناء على فوريته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bookmarkStart w:id="424" w:name="pg7917_85367"/>
    </w:p>
    <w:p>
      <w:pPr>
        <w:pStyle w:val="Heading2"/>
        <w:numPr>
          <w:ilvl w:val="1"/>
          <w:numId w:val="1"/>
        </w:numPr>
        <w:rPr/>
      </w:pPr>
      <w:bookmarkStart w:id="425" w:name="__RefHeading___Toc6355383_1051229030"/>
      <w:bookmarkStart w:id="426" w:name="_Toc140"/>
      <w:bookmarkEnd w:id="424"/>
      <w:bookmarkEnd w:id="425"/>
      <w:r>
        <w:rPr>
          <w:rtl w:val="true"/>
        </w:rPr>
        <w:t>وقبل الخوض في المقصود لا بدّ من تقديم مقدمات، وهی أربعة</w:t>
      </w:r>
      <w:r>
        <w:rPr>
          <w:rtl w:val="true"/>
        </w:rPr>
        <w:t>:</w:t>
      </w:r>
      <w:bookmarkEnd w:id="42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الخيار في المعنی والمفهوم</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خيار الرؤية تختصّ بالبيع أو يعمّ سائر العقود والمعاملات؟</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من الحقوق أو من الأحكام؟</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أقسام الخيارات إجمالاً؟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ولايخفی ما في هذا الخيار وغيره من الأهميّة والآثار، إذ كما أنّ المعاملات متداولة بين أسواق النّاس ومعاملاتهم فبتبعها الخيارات الجارية فيها، لاسيّما في مثل الخيار الشرط والغبن والتأخير والرؤية والعيب الّتي دلّت عليها بناء العقلاء قبل ما دلّ عليها دليل الشرع، فهی أصول عقلائية قد أمضاها الشارع، فقد كثيراً ما يوجد تخلف أحد المتعاملين أو طرفي المعاملة علی ما شرطاه أو علی ما يبنی عليه العقد من الصّحة والحلول، فحينئذ فعلينا إمّا أن نلتزم بالعقد مجاناً، أو نختار البطلان بالفسخ، أو نتدارك تخلف الوصف أو الشرط بالأرش بالخيار الجارية فيها</w:t>
      </w:r>
      <w:r>
        <w:rPr>
          <w:rFonts w:eastAsia="IRNazanin" w:cs="IRNazanin"/>
          <w:color w:val="111111"/>
          <w:sz w:val="28"/>
          <w:szCs w:val="28"/>
          <w:rtl w:val="true"/>
          <w:lang w:bidi="fa-IR"/>
        </w:rPr>
        <w:t xml:space="preserve">. </w:t>
      </w:r>
      <w:bookmarkStart w:id="427" w:name="pg7917_85369"/>
    </w:p>
    <w:p>
      <w:pPr>
        <w:pStyle w:val="Heading2"/>
        <w:numPr>
          <w:ilvl w:val="1"/>
          <w:numId w:val="1"/>
        </w:numPr>
        <w:rPr/>
      </w:pPr>
      <w:bookmarkStart w:id="428" w:name="__RefHeading___Toc6355385_1051229030"/>
      <w:bookmarkStart w:id="429" w:name="_Toc141"/>
      <w:bookmarkEnd w:id="427"/>
      <w:bookmarkEnd w:id="428"/>
      <w:r>
        <w:rPr>
          <w:rtl w:val="true"/>
        </w:rPr>
        <w:t>أمّا المقدمة الأولی</w:t>
      </w:r>
      <w:r>
        <w:rPr>
          <w:rtl w:val="true"/>
        </w:rPr>
        <w:t xml:space="preserve">: </w:t>
      </w:r>
      <w:r>
        <w:rPr>
          <w:rtl w:val="true"/>
        </w:rPr>
        <w:t>الخيار في المعنی والمفهوم</w:t>
      </w:r>
      <w:r>
        <w:rPr>
          <w:rtl w:val="true"/>
        </w:rPr>
        <w:t>:</w:t>
      </w:r>
      <w:bookmarkEnd w:id="429"/>
    </w:p>
    <w:p>
      <w:pPr>
        <w:pStyle w:val="BookText"/>
        <w:rPr/>
      </w:pPr>
      <w:r>
        <w:rPr>
          <w:rFonts w:ascii="IRNazanin" w:hAnsi="IRNazanin" w:eastAsia="IRNazanin"/>
          <w:color w:val="111111"/>
          <w:sz w:val="28"/>
          <w:sz w:val="28"/>
          <w:szCs w:val="28"/>
          <w:rtl w:val="true"/>
          <w:lang w:bidi="fa-IR"/>
        </w:rPr>
        <w:t>الخيار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من الإختيار بمعنی انتخاب إحدی أطراف أو أحدي الطرفين الجائزين، وقد يُعبّر عنه في اصطلاح الفقهاء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إقرار العقد وإزالته بعد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خير الأمرين</w:t>
      </w:r>
    </w:p>
    <w:p>
      <w:pPr>
        <w:pStyle w:val="BookText"/>
        <w:rPr/>
      </w:pPr>
      <w:r>
        <w:rPr>
          <w:rFonts w:ascii="IRNazanin" w:hAnsi="IRNazanin" w:eastAsia="IRNazanin"/>
          <w:color w:val="111111"/>
          <w:sz w:val="28"/>
          <w:sz w:val="28"/>
          <w:szCs w:val="28"/>
          <w:rtl w:val="true"/>
          <w:lang w:bidi="fa-IR"/>
        </w:rPr>
        <w:t>من الفسخ والإمضاء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ابن أثير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الاختيار، وهو طلب خير الأمرين إمّا إمضاء البيع، أو فسخه، وهو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وخيار الشّرط، وخيار النّقيصة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الطباطبائی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الخيار هو والخيرة بمعنى المشيّة في ترجيح أحد الطرفين الجائزين، وشرعاً عبارة عن ملك إقرار العقد وإزالته بعد وقوع مدّة معلومة</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الأنصاری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الخيار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في كلمات جماعة من المتأخّرين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فسخ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فيدخل ملك الفسخ في العقود الجائزة وفی عقد الفضولی، وملك الوارث ردّ العقد على ما زاد على الثلث، وملك العمّة والخالة لفسخ العقد على بنت الأخ والأُخت، وملك الأمة المزوّجة من عبد فسخ العقد إذا أُعتقت، وملك كلّ من الزوجين للفسخ بالعيوب، ولعلّ التعبير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للتنبيه على أنّ الخيار من الحقوق لا من الأحكام، فيخرج ما كان من قبيل الإجازة </w:t>
      </w:r>
    </w:p>
    <w:p>
      <w:pPr>
        <w:pStyle w:val="BookText"/>
        <w:rPr/>
      </w:pPr>
      <w:r>
        <w:rPr>
          <w:rFonts w:ascii="IRNazanin" w:hAnsi="IRNazanin" w:eastAsia="IRNazanin"/>
          <w:color w:val="111111"/>
          <w:sz w:val="28"/>
          <w:sz w:val="28"/>
          <w:szCs w:val="28"/>
          <w:rtl w:val="true"/>
          <w:lang w:bidi="fa-IR"/>
        </w:rPr>
        <w:t>والردّ لعقد الفضولی والتسلّط على فسخ العقود الجائزة، فإنّ ذلك من الأحكام الشرعيّة لا من الحقوق؛ ولذا لا تورّث ولا تسقط بالإسقاط، وقد يعرّف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إقرار العقد وإزالته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الخدشة فيه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إبقاؤه على حاله بترك الفسخ، فذكره مستدرك؛ لأنّ القدرة على الفسخ عين القدرة على تركه؛ إذ القدرة لا تتعلّق بأحد الطرفين، وإن أُريد منه إلزام العقد وجعله غير قابلٍ لأن يفسخ،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مرجعه إلى إسقاط حقّ الخيار، فلا يؤخذ في تعريف نفس الخيار، مع أنّ ظاهر الإلزام في مقابل الفسخ جعله لازماً مطلقاً، فينتقض بالخيار المشترك، فإنّ لكلّ منهما إلزامه من طرفه لا مطلقاً، ثمّ إنّ ما ذكرناه من معنى الخيار هو المتبادر منه عند الإطلاق في كلمات المتأخّرين، وإلّا فإطلاقه في الأخبار وكلمات الأصحاب على سلطنة الإجازة والردّ لعقد الفضولی وسلطنة الرجوع في الهبة وغيرهما من أفراد السلطنة شائع</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الجزيری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الخيار في البيع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خير الأمرين منهما، والأمران في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الفسخ والإمضاء، فالعاقد مخيّر بين هذين الأمرين</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bookmarkStart w:id="430" w:name="pg7917_85373"/>
    </w:p>
    <w:p>
      <w:pPr>
        <w:pStyle w:val="Heading2"/>
        <w:numPr>
          <w:ilvl w:val="1"/>
          <w:numId w:val="1"/>
        </w:numPr>
        <w:rPr/>
      </w:pPr>
      <w:bookmarkStart w:id="431" w:name="__RefHeading___Toc6355387_1051229030"/>
      <w:bookmarkStart w:id="432" w:name="_Toc142"/>
      <w:bookmarkEnd w:id="430"/>
      <w:bookmarkEnd w:id="431"/>
      <w:r>
        <w:rPr>
          <w:rtl w:val="true"/>
        </w:rPr>
        <w:t>وأمّا المقدمة الثانية</w:t>
      </w:r>
      <w:r>
        <w:rPr>
          <w:rtl w:val="true"/>
        </w:rPr>
        <w:t xml:space="preserve">: </w:t>
      </w:r>
      <w:r>
        <w:rPr>
          <w:rtl w:val="true"/>
        </w:rPr>
        <w:t>هل خيار الرؤية تختصّ بالبيع أو تعمّ سائر العقود والمعاملات؟</w:t>
      </w:r>
      <w:bookmarkEnd w:id="432"/>
    </w:p>
    <w:p>
      <w:pPr>
        <w:pStyle w:val="BookText"/>
        <w:rPr/>
      </w:pPr>
      <w:r>
        <w:rPr>
          <w:rFonts w:ascii="Amiri" w:hAnsi="Amiri" w:eastAsia="Amiri" w:cs="Amiri"/>
          <w:color w:val="111111"/>
          <w:sz w:val="28"/>
          <w:sz w:val="28"/>
          <w:szCs w:val="28"/>
          <w:rtl w:val="true"/>
          <w:lang w:bidi="ar-SA"/>
        </w:rPr>
        <w:t xml:space="preserve">ذهب غير واحد من الفقهاء إلی تعميم هذا الخيار إلی جميع العقود والمعاملات الشخصيّة الموصوفة، وذلك لما استدلّ عليه بعومات قاعدة لا ضرر فيما إذا كان فقدان الوصف يعدّ ضرراً بالنسبة إليه، مثل مرسلة الصّدوق رحمه الله قال النبی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يَزِيدُ الْمُسْلِمَ خَيْراً وَلَا يَزِيدُهُ شَرّاً</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 ومثل صحيحة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اشْتَرَى ضَيْعَةً وَقَدْ كَانَ يَدْخُلُهَا وَيَخْرُجُ مِنْهَا، فَلَمَّا أَنْ نَقَدَ الْمَالَ صَارَ إِلَى الضَّيْعَةِ فَقَلَبَهَا ثُمَّ رَجَعَ فَاسْتَقَالَ صَاحِبَهُ فَلَمْ يُقِلْهُ؟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قَلَبَ مِنْهَا وَنَظَرَ إِلَى تِسْعَةٍ وَتِسْعِينَ قِطْعَةً ثُمَّ بَقِیَ مِنْهَا قِطْعَةٌ وَلَمْ يَرَهَا لَكَانَ لَهُ في ذَلِكَ خِيَارُ الرُّؤْيَةِ</w:t>
      </w:r>
      <w:r>
        <w:rPr>
          <w:rFonts w:eastAsia="Amiri" w:cs="Amiri" w:ascii="Amiri" w:hAnsi="Amiri"/>
          <w:color w:val="111111"/>
          <w:sz w:val="28"/>
          <w:szCs w:val="28"/>
          <w:rtl w:val="true"/>
          <w:lang w:bidi="ar-SA"/>
        </w:rPr>
        <w:t>»</w:t>
      </w:r>
      <w:r>
        <w:rPr>
          <w:rStyle w:val="FootnoteAnchor"/>
          <w:rtl w:val="true"/>
        </w:rPr>
        <w:footnoteReference w:id="1338"/>
      </w:r>
      <w:r>
        <w:rPr>
          <w:rFonts w:ascii="IRNazanin" w:hAnsi="IRNazanin" w:eastAsia="IRNazanin"/>
          <w:color w:val="111111"/>
          <w:sz w:val="28"/>
          <w:sz w:val="28"/>
          <w:szCs w:val="28"/>
          <w:rtl w:val="true"/>
          <w:lang w:bidi="fa-IR"/>
        </w:rPr>
        <w:t xml:space="preserve">، فالرواية وإن كانت واردة في البيع والشراء إلا أنّه يمكن دعوی القطع بعدم خصوصيّة المورد بل علّة الحكم فيها هی ثبوت الخيار لأجل تخلف الوصف، وهی بعينها جارية أيضاً في غير البيع من سائر العقود والمعاملات الشخصيّة ممّا يعتبر فيه المشاهدة أو الوصف كالصلح ولإجارة والهبة المشروطة والمعوضة ونحوها، إلی ذلك أشار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ثبوت خيار الرؤية في غير البيع ممّا يعتبر فيه المشاهدة أو الوصف كالإجارة ونحوها، لأنّ العمدة فيه حديث الضرار، بل يمكن القول بثبوته فيما لا يعتبر فيه ذلك كالصلح تنزيلاً للخيار في خلاف </w:t>
      </w:r>
    </w:p>
    <w:p>
      <w:pPr>
        <w:pStyle w:val="BookText"/>
        <w:rPr/>
      </w:pPr>
      <w:r>
        <w:rPr>
          <w:rFonts w:ascii="Amiri" w:hAnsi="Amiri" w:eastAsia="Amiri" w:cs="Amiri"/>
          <w:color w:val="111111"/>
          <w:sz w:val="28"/>
          <w:sz w:val="28"/>
          <w:szCs w:val="28"/>
          <w:rtl w:val="true"/>
          <w:lang w:bidi="ar-SA"/>
        </w:rPr>
        <w:t>الوصف في المعيّن منزلة الإبدال في الوصف المعيّن فتأمل جيداً والله اعلم</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المصرّحين بالتعميم الشيخ الأعظم رحمه الله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ثبوت خيار الرؤية في كلّ عقدٍ واقعٍ على عينٍ شخصيّةٍ موصوفةٍ كالصلح والإجارة؛ لأنّه لو لم يحكم بالخيار مع تبيّن المخالفة، فإمّا أن يحكم ببطلان العقد؛ لما تقدّم عن الأردبيلی في بطلان بيع العين الغائبة، وإمّا أن يحكم بلزومه من دون خيار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مخالفٌ لطريقة الفقهاء في تخلّف الأوصاف المشروطة في المعقود عليه، والثانی فاسدٌ من جهة أنّ دليل اللزوم هو وجوب الوفاء بالعقد وحرمة النقض، ومعلومٌ أنّ عدم الالتزام بترتّب آثار العقد على العين الفاقدة للصفات المشترطة فيها ليس نقضاً للعقد، بل قد تقدّم عن بعضٍ أنّ ترتيب آثار العقد عليها ليس وفاءً وعملًا بالعقد حتّى يجوز، بل هو تصرّفٌ لم يدلّ عليه العقد، فيبطل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في ذلك دائرٌ بين فساد العقد وثبوته مع الخيار، والأوّل منافٍ لطريقة الأصحاب في غير باب، فتعيّن الثانی</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رحمه الله في جريان هذا الخيار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تجوز إجارة الأعيان المشاهدة والموصوفة، ويثبت له خيار الرؤية</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وحكی الجزيری عن الحنفية أنّهم قالوا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ويثبت خيار الرؤية في أربعة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اللازم تعيينها بحيث لا تكون ديناً في الذمّة كما إذا اشترى مقداراً معيناً من الحنطة غائباً عنه على أن يستلمه، أمّا إذا اشتراه على أن يكون ديناً في ذمة البائع </w:t>
      </w:r>
    </w:p>
    <w:p>
      <w:pPr>
        <w:pStyle w:val="BookText"/>
        <w:rPr/>
      </w:pPr>
      <w:r>
        <w:rPr>
          <w:rFonts w:ascii="Amiri" w:hAnsi="Amiri" w:eastAsia="Amiri" w:cs="Amiri"/>
          <w:color w:val="111111"/>
          <w:sz w:val="28"/>
          <w:sz w:val="28"/>
          <w:szCs w:val="28"/>
          <w:rtl w:val="true"/>
          <w:lang w:bidi="ar-SA"/>
        </w:rPr>
        <w:t xml:space="preserve">فإنّه لا يثبت فيه خيار الرؤية لأنّه يكون مسلماً وليس في المسلم فيه خيار رؤية، نعم إذا كان رأس مال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فإنّه يثبت فيه خيار الرؤية للمسلم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الأثمان الخالصة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 والدنانير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يثبت فيها خيار الرؤية، وإذا كان المبيع إناء من أحد النقدين فإنّه يثبت فيه خيار الرؤية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استأجر أرضاً محدودة لم يرها كان له الخيار في ردّها عند رؤيتها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شريكاً لآخر في عين فاقتسمها معه ولم يرها كان له خيار الردّ عند رؤيتها، ولكن لايثبت خيار الرؤية في قسمة ذوات الأمثال كالمكيلات والموزونات، فلو اقتسما حنطة موصوفة بدون رؤية في ما عدا ذلك من الأجناس المختلفة والأشياء الّتي من نوع واحد غير مثلی كالثياب المتحد نوعها، والبقر فقط، والغنم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عن دعوى المال على شیء معيّن، فإذا ادعى شخص أنّ له عند آخر مالاً فاصطلح معه على أن يعطيه عيناً لم يرها كان له الخيار في ردّها عند رؤيتها</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bookmarkStart w:id="433" w:name="pg7917_85380"/>
    </w:p>
    <w:p>
      <w:pPr>
        <w:pStyle w:val="Heading2"/>
        <w:numPr>
          <w:ilvl w:val="1"/>
          <w:numId w:val="1"/>
        </w:numPr>
        <w:rPr/>
      </w:pPr>
      <w:bookmarkStart w:id="434" w:name="__RefHeading___Toc6355389_1051229030"/>
      <w:bookmarkStart w:id="435" w:name="_Toc143"/>
      <w:bookmarkEnd w:id="433"/>
      <w:bookmarkEnd w:id="434"/>
      <w:r>
        <w:rPr>
          <w:rtl w:val="true"/>
        </w:rPr>
        <w:t>وأمّا المقدمة الثالثة</w:t>
      </w:r>
      <w:r>
        <w:rPr>
          <w:rtl w:val="true"/>
        </w:rPr>
        <w:t xml:space="preserve">: </w:t>
      </w:r>
      <w:r>
        <w:rPr>
          <w:rtl w:val="true"/>
        </w:rPr>
        <w:t>الخيار من الحقوق أو من الأحكام؟</w:t>
      </w:r>
      <w:bookmarkEnd w:id="435"/>
    </w:p>
    <w:p>
      <w:pPr>
        <w:pStyle w:val="BookText"/>
        <w:rPr/>
      </w:pPr>
      <w:r>
        <w:rPr>
          <w:rFonts w:ascii="IRNazanin" w:hAnsi="IRNazanin" w:eastAsia="IRNazanin"/>
          <w:color w:val="111111"/>
          <w:sz w:val="28"/>
          <w:sz w:val="28"/>
          <w:szCs w:val="28"/>
          <w:rtl w:val="true"/>
          <w:lang w:bidi="fa-IR"/>
        </w:rPr>
        <w:t xml:space="preserve">إنّ في بيان الفرق بين الحقوق والأحكام كلاماً جامعاً مبسوطاً عن السيّد الطاطبائی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حاشيته علی مكاسب الشيخ رحمه الله نذكره بعينه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بين الحقوق والأحكام، أمّا بحسب المعنی والمفهوم، فالحقّ نوع من السّلطنة على شيء متعلّق بعين كحقّ التّحجير وحقّ الرّهانة وحقّ الغرماء في تركة الميّت، أو غيرها كحقّ الخيار المتعلّق بالعقد أو على شخص كحقّ القصاص وحقّ الحضانة وحقّ القسم ونحو ذلك، فهی مرتبة ضعيفة من الملك بل نوع منه وصاحبه مالك لشيء يكون أمره إليه كما أنّ في الملك مالك لشیء من عين أو منفعة، بخلاف الحكم فإنّه مجرّد جعل الرّخصة في فعل شيء أو تركه، أو الحكم بترتّب أثر على فعل أو ترك، مثلاً في حقّ الخيار في العقود اللازمة حيث ثبت أنّه من الحقوق نقول إنّ الشارع جعل للمتعاقدين أو أحدهما سلطنة على العقد أو على متعلّقه وحكم بأنّه مالك لأمره من حيث الإمضاء والفسخ والردّ والاسترداد، وأمّا الجواز في العقود الجائزة حيث إنّه من الحكم ليس إلّا مجرّد رخصة الشارع في الفسخ والإمضاء لا بحيث يكون هناك اعتبار سلطنة من الشارع لأحد الطّرفين أو كليهما، فهو نظير جواز شرب الماء وأكل اللّحم حيث إنّه ليس هناك اعتبار سلطنة من الشارع له على ذلك بحيث يقال إنّه ذو شیء في الماء واللّحم، بل ليس إلّا أنّه مورد الحكم ومتعلّقه، فالفرق بين الجواز في العقود اللّازمة والجواز في العقود الجائزة أنّ المجعول للشارع في الأوّل السّلطنة على العقد بخلاف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وبالجملة إن اعتبر الشارع مالكيّة شخص لأمر وسلطنة على شيء فهو من باب الحقّ، وإن لم يكن منه إلّا مجرّد عدم المنع من فعل شيء أو ترتيب الأثر على فعل أو ترك بحيث يكون الشّخص مورداً أو محلاً لذلك الحكم فهو من باب الحكم، نعم حكمه بكونه مالكاً لذلك الأمر من جملة الأحكام كما أنّ حكمه بكون </w:t>
      </w:r>
    </w:p>
    <w:p>
      <w:pPr>
        <w:pStyle w:val="BookText"/>
        <w:rPr/>
      </w:pPr>
      <w:r>
        <w:rPr>
          <w:rFonts w:ascii="IRNazanin" w:hAnsi="IRNazanin" w:eastAsia="IRNazanin"/>
          <w:color w:val="111111"/>
          <w:sz w:val="28"/>
          <w:sz w:val="28"/>
          <w:szCs w:val="28"/>
          <w:rtl w:val="true"/>
          <w:lang w:bidi="fa-IR"/>
        </w:rPr>
        <w:t>الشخص مالكاً لعين أو منفعة كذلك، فجعل الشارع الخيار من باب الحكم، لكن نفس الخيار الّذی هو المجعول حقّ لديه هذا، وأمّا بحسب المصاديق والصّغريات فالفرق بينهما في غاية الإشكال إذ في جميع الموارد يمكن تصوير كلا الوجهين ولا بدّ من مراجعة الدّليل والميزان في ذلك إمّا الإجماع أو لسان الدّليل كأن يطلق عليه لفظ الحقّ أو لفظ الحكم فيه أو ملاحظة الآثار واللّوازم، مثلاً إذا ثبت جواز إسقاطه أو نقله يعلم أنّه من باب الحقّ ولكن لا عكس إذ يمكن أن يكون حقّاً لازماً أو مختصّاً ومع عدم إمكان التّشخيص بهذه الموازين فالمرجع الأصل وهو مختلف بحسب الآثار، فلو شكّ في جواز الإسقاط أو النّقل فالأصل عدمهما، ولو كان للحكم أثر وجودی فالأصل عدمه أيضاً، ثمّ إنّ عدم كون الحكم ممّا يقبل الإسقاط والنّقل من القضايا الّتي قياساتها معها لأنّ أمر الحكم بيد الحاكم وليس للمحكوم عليه إسقاطه ولا نقله، لأنّ المفروض أنّه لم يجعل له السّلطنة على شيء حتّى يكون أمره بيده، نعم لو كان معلّقاً على موضوع وكان داخلاً في ذلك الموضوع فله الخروج عنه ليرتفع ذلك الحكم لكنّه ليس من باب الإسقاط، بل من باب تبديل الموضوع هذا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الحقوق فهی بحسب صحّة الإسقاط والنّقل بعوض أو بلا عوض والانتقال القهری بإرث ونحوه أقسام،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ينتقل بالموت ولا يصحّ إسقاطه ولا نقله وقد عدّ من ذلك حقّ الأبوّة وحقّ الولاية للحاكم وحقّ الاستمتاع بالزّوجة وحقّ السّبق في الرّماية قبل تمام النّضال وحقّ الوصاية ونحو ذلك، ويمكن أن يقال إنّها أو جملة منها من الأحكام لا من الحقوق،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يجوز إسقاطه ولا يصحّ نقله ولا ينتقل بالموت أيضاً كحقّ الغيبة أو الشتم أو الأذيّة بإهانة أو ضرب أو نحو ذلك بناء على وجوب إرضاء صاحبه وعدم كفاية التّوبة،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ينتقل بالموت ويجوز إسقاطه ولا يصحّ نقله كحقّ الشّفعة على وجه،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يصحّ </w:t>
      </w:r>
    </w:p>
    <w:p>
      <w:pPr>
        <w:pStyle w:val="BookText"/>
        <w:rPr/>
      </w:pPr>
      <w:r>
        <w:rPr>
          <w:rFonts w:ascii="Amiri" w:hAnsi="Amiri" w:eastAsia="Amiri" w:cs="Amiri"/>
          <w:color w:val="111111"/>
          <w:sz w:val="28"/>
          <w:sz w:val="28"/>
          <w:szCs w:val="28"/>
          <w:rtl w:val="true"/>
          <w:lang w:bidi="ar-SA"/>
        </w:rPr>
        <w:t>نقله وإسقاطه وينتقل بالموت أيضاً كحقّ الخيار وحقّ القصاص وحقّ الرّهانة وحقّ التحجير وحقّ الشّرط ونحو ذلك،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إسقاطه ونقله لا بعوض كحقّ القسم</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مرتبة نازلة من الملك ويكون أمره بيد مَن له الخيار، بخلاف الحكم الّذی هو مجرد جعل الرخصة من قِبل الشارع الآمر لفعل شیء أو تركه، أو حكمه بترتب أثر علی فعله أو تركه، فبناء علی ذلك يجوز في الحقوق إسقاطها إجمالاً من جانب أربابها أو انتقالها إلی الغير إختياراً أو قهراً كما في موارد الإرث في الحقوق القابلة للأمرين من الإسقاط أو الإنتقال ما لا يجوز في الأحكام، فإنّ جعل الشارع مثلاً لزوم معلوميّة العوضين في البيع وسائر المعاملات حكم لا يجوز لأحد من المتعاملين أو غيرهما اسقاطها</w:t>
      </w:r>
      <w:r>
        <w:rPr>
          <w:rFonts w:eastAsia="IRNazanin" w:cs="IRNazanin"/>
          <w:color w:val="111111"/>
          <w:sz w:val="28"/>
          <w:szCs w:val="28"/>
          <w:rtl w:val="true"/>
          <w:lang w:bidi="fa-IR"/>
        </w:rPr>
        <w:t xml:space="preserve">. </w:t>
      </w:r>
      <w:bookmarkStart w:id="436" w:name="pg7917_85386"/>
    </w:p>
    <w:p>
      <w:pPr>
        <w:pStyle w:val="Heading2"/>
        <w:numPr>
          <w:ilvl w:val="1"/>
          <w:numId w:val="1"/>
        </w:numPr>
        <w:rPr/>
      </w:pPr>
      <w:bookmarkStart w:id="437" w:name="__RefHeading___Toc6355391_1051229030"/>
      <w:bookmarkStart w:id="438" w:name="_Toc144"/>
      <w:bookmarkEnd w:id="436"/>
      <w:bookmarkEnd w:id="437"/>
      <w:r>
        <w:rPr>
          <w:rtl w:val="true"/>
        </w:rPr>
        <w:t>وأمّا المقدمة الرابعة</w:t>
      </w:r>
      <w:r>
        <w:rPr>
          <w:rtl w:val="true"/>
        </w:rPr>
        <w:t xml:space="preserve">: </w:t>
      </w:r>
      <w:r>
        <w:rPr>
          <w:rtl w:val="true"/>
        </w:rPr>
        <w:t>ما هی أقسام الخيارات إجمالاً؟</w:t>
      </w:r>
      <w:bookmarkEnd w:id="438"/>
    </w:p>
    <w:p>
      <w:pPr>
        <w:pStyle w:val="BookText"/>
        <w:rPr/>
      </w:pPr>
      <w:r>
        <w:rPr>
          <w:rFonts w:ascii="IRNazanin" w:hAnsi="IRNazanin" w:eastAsia="IRNazanin"/>
          <w:color w:val="111111"/>
          <w:sz w:val="28"/>
          <w:sz w:val="28"/>
          <w:szCs w:val="28"/>
          <w:rtl w:val="true"/>
          <w:lang w:bidi="fa-IR"/>
        </w:rPr>
        <w:t>أقسامه على ما عدّده الإمام الراحل قدس سره وأكثر فقهائنا سبعة هی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المجلس، والحيوان، والشرط، والغبن، والتأخير، والرؤية، والعيب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العامة،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يتعرّض لعدد خاص فقد سمّی عن خيار المجلس، والشرط، والعيب، والرؤية، ثمّ حكی عن المالكية أنّهم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لاخيار في المجلس أصلاً بل الخيار ينقسم إلی قسمين هما خيار الشرط الّذی يسمّی بخيار الشرطی، وخيار النقيصة الّذی يسمّی بخيار الحكمی</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إنّها في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Style w:val="FootnoteAnchor"/>
          <w:rtl w:val="true"/>
        </w:rPr>
        <w:footnoteReference w:id="1345"/>
      </w:r>
      <w:r>
        <w:rPr>
          <w:rFonts w:ascii="IRNazanin" w:hAnsi="IRNazanin" w:eastAsia="IRNazanin"/>
          <w:color w:val="111111"/>
          <w:sz w:val="28"/>
          <w:sz w:val="28"/>
          <w:szCs w:val="28"/>
          <w:rtl w:val="true"/>
          <w:lang w:bidi="fa-IR"/>
        </w:rPr>
        <w:t>، وفی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w:t>
      </w:r>
      <w:r>
        <w:rPr>
          <w:rStyle w:val="FootnoteAnchor"/>
          <w:rtl w:val="true"/>
        </w:rPr>
        <w:footnoteReference w:id="1346"/>
      </w:r>
      <w:r>
        <w:rPr>
          <w:rFonts w:ascii="IRNazanin" w:hAnsi="IRNazanin" w:eastAsia="IRNazanin"/>
          <w:color w:val="111111"/>
          <w:sz w:val="28"/>
          <w:sz w:val="28"/>
          <w:szCs w:val="28"/>
          <w:rtl w:val="true"/>
          <w:lang w:bidi="fa-IR"/>
        </w:rPr>
        <w:t>، وفی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w:t>
      </w:r>
      <w:r>
        <w:rPr>
          <w:rStyle w:val="FootnoteAnchor"/>
          <w:rtl w:val="true"/>
        </w:rPr>
        <w:footnoteReference w:id="1347"/>
      </w:r>
      <w:r>
        <w:rPr>
          <w:rFonts w:ascii="IRNazanin" w:hAnsi="IRNazanin" w:eastAsia="IRNazanin"/>
          <w:color w:val="111111"/>
          <w:sz w:val="28"/>
          <w:sz w:val="28"/>
          <w:szCs w:val="28"/>
          <w:rtl w:val="true"/>
          <w:lang w:bidi="fa-IR"/>
        </w:rPr>
        <w:t>، وفی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w:t>
      </w:r>
      <w:r>
        <w:rPr>
          <w:rStyle w:val="FootnoteAnchor"/>
          <w:rtl w:val="true"/>
        </w:rPr>
        <w:footnoteReference w:id="1348"/>
      </w:r>
      <w:r>
        <w:rPr>
          <w:rFonts w:ascii="IRNazanin" w:hAnsi="IRNazanin" w:eastAsia="IRNazanin"/>
          <w:color w:val="111111"/>
          <w:sz w:val="28"/>
          <w:sz w:val="28"/>
          <w:szCs w:val="28"/>
          <w:rtl w:val="true"/>
          <w:lang w:bidi="fa-IR"/>
        </w:rPr>
        <w:t>، وفی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عشر</w:t>
      </w:r>
      <w:r>
        <w:rPr>
          <w:rStyle w:val="FootnoteAnchor"/>
          <w:rtl w:val="true"/>
        </w:rPr>
        <w:footnoteReference w:id="1349"/>
      </w:r>
      <w:r>
        <w:rPr>
          <w:rFonts w:ascii="IRNazanin" w:hAnsi="IRNazanin" w:eastAsia="IRNazanin"/>
          <w:color w:val="111111"/>
          <w:sz w:val="28"/>
          <w:sz w:val="28"/>
          <w:szCs w:val="28"/>
          <w:rtl w:val="true"/>
          <w:lang w:bidi="fa-IR"/>
        </w:rPr>
        <w:t>، وفی 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عشر</w:t>
      </w:r>
      <w:r>
        <w:rPr>
          <w:rStyle w:val="FootnoteAnchor"/>
          <w:rtl w:val="true"/>
        </w:rPr>
        <w:footnoteReference w:id="1350"/>
      </w:r>
      <w:r>
        <w:rPr>
          <w:rFonts w:ascii="IRNazanin" w:hAnsi="IRNazanin" w:eastAsia="IRNazanin"/>
          <w:color w:val="111111"/>
          <w:sz w:val="28"/>
          <w:sz w:val="28"/>
          <w:szCs w:val="28"/>
          <w:rtl w:val="true"/>
          <w:lang w:bidi="fa-IR"/>
        </w:rPr>
        <w:t>، والّذی يسهل الأمر أنّه بعد ما يمكن إرجاع بعضها إلی بعض، لم يكن في المقام خلاف بل إنّها مجرد جمع وتحديد</w:t>
      </w:r>
      <w:r>
        <w:rPr>
          <w:rFonts w:eastAsia="IRNazanin" w:cs="IRNazanin"/>
          <w:color w:val="111111"/>
          <w:sz w:val="28"/>
          <w:szCs w:val="28"/>
          <w:rtl w:val="true"/>
          <w:lang w:bidi="fa-IR"/>
        </w:rPr>
        <w:t xml:space="preserve">. </w:t>
      </w:r>
      <w:bookmarkStart w:id="439" w:name="pg7917_85388"/>
    </w:p>
    <w:p>
      <w:pPr>
        <w:pStyle w:val="BookText"/>
        <w:rPr/>
      </w:pPr>
      <w:bookmarkEnd w:id="439"/>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كلام المحقق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وأقسامه خمسة،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ذكر المصنف هنا منها خمسة،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وليس ذلك خلافاً وإنّما هو مجرد جمع واستقصاء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الأعظم الأنصاری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كثيرة إلا أنّ أكثرها متفرقة، والمجتمع منها في كلّ كتاب سبعة، وقد أنهاها بعضهم إلی أزيد من ذلك، حتّی أنّ المذكور في اللمعة مجتمعاً أربعة عشر، مع عدم ذكره لبعضها، ونحن نقتفی أثر المقتصِر علی السبعة كالمحقق والعلامة لأنّ ما عداها لايستحق عنواناً مستقلاً، إذ ليس له أحكام مغايرة لسائر أنواع الخيار</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فبعد ما فرغنا من بيان المقدمات، نبحث عن أصل المسألة وفروعاتها، والمباحث المطروحة هنا يمكن إدراجها طی فروع خمسة آتية</w:t>
      </w:r>
      <w:r>
        <w:rPr>
          <w:rFonts w:eastAsia="IRNazanin" w:cs="IRNazanin"/>
          <w:color w:val="111111"/>
          <w:sz w:val="28"/>
          <w:szCs w:val="28"/>
          <w:rtl w:val="true"/>
          <w:lang w:bidi="fa-IR"/>
        </w:rPr>
        <w:t>:</w:t>
      </w:r>
    </w:p>
    <w:p>
      <w:pPr>
        <w:pStyle w:val="Heading2"/>
        <w:numPr>
          <w:ilvl w:val="1"/>
          <w:numId w:val="1"/>
        </w:numPr>
        <w:rPr/>
      </w:pPr>
      <w:bookmarkStart w:id="440" w:name="__RefHeading___Toc6355393_1051229030"/>
      <w:bookmarkStart w:id="441" w:name="_Toc145"/>
      <w:bookmarkEnd w:id="440"/>
      <w:r>
        <w:rPr>
          <w:rtl w:val="true"/>
        </w:rPr>
        <w:t>عناوين فروعات المسألة إجمالاً</w:t>
      </w:r>
      <w:r>
        <w:rPr>
          <w:rtl w:val="true"/>
        </w:rPr>
        <w:t>:</w:t>
      </w:r>
      <w:bookmarkEnd w:id="44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خيار الرؤية وماهيّتها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هنا بين الردّ والإمساك مجاناً من دون أرش</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هذا الخيار الأعيان الشخصيّة الغائبة</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هذا الخيار فوری</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مسقطات هذا الخيار </w:t>
      </w:r>
      <w:bookmarkStart w:id="442" w:name="pg7917_85390"/>
    </w:p>
    <w:p>
      <w:pPr>
        <w:pStyle w:val="BookText"/>
        <w:rPr/>
      </w:pPr>
      <w:bookmarkEnd w:id="442"/>
      <w:r>
        <w:rPr>
          <w:rFonts w:ascii="IRNazanin" w:hAnsi="IRNazanin" w:eastAsia="IRNazanin"/>
          <w:color w:val="111111"/>
          <w:sz w:val="28"/>
          <w:sz w:val="28"/>
          <w:szCs w:val="28"/>
          <w:rtl w:val="true"/>
          <w:lang w:bidi="fa-IR"/>
        </w:rPr>
        <w:t>وقبل بيان الفروعات ينبغی أن نبحث عن دليل خيار الرؤية وحكمها عند الشارع فنقول وبه نستعين</w:t>
      </w:r>
      <w:r>
        <w:rPr>
          <w:rFonts w:eastAsia="IRNazanin" w:cs="IRNazanin"/>
          <w:color w:val="111111"/>
          <w:sz w:val="28"/>
          <w:szCs w:val="28"/>
          <w:rtl w:val="true"/>
          <w:lang w:bidi="fa-IR"/>
        </w:rPr>
        <w:t>:</w:t>
      </w:r>
    </w:p>
    <w:p>
      <w:pPr>
        <w:pStyle w:val="Heading2"/>
        <w:numPr>
          <w:ilvl w:val="1"/>
          <w:numId w:val="1"/>
        </w:numPr>
        <w:rPr/>
      </w:pPr>
      <w:bookmarkStart w:id="443" w:name="__RefHeading___Toc6355395_1051229030"/>
      <w:bookmarkStart w:id="444" w:name="_Toc146"/>
      <w:bookmarkEnd w:id="443"/>
      <w:r>
        <w:rPr>
          <w:rtl w:val="true"/>
        </w:rPr>
        <w:t>أمّا دليل خيار الرؤية</w:t>
      </w:r>
      <w:r>
        <w:rPr>
          <w:rtl w:val="true"/>
        </w:rPr>
        <w:t>:</w:t>
      </w:r>
      <w:bookmarkEnd w:id="444"/>
    </w:p>
    <w:p>
      <w:pPr>
        <w:pStyle w:val="BookText"/>
        <w:rPr/>
      </w:pPr>
      <w:r>
        <w:rPr>
          <w:rFonts w:ascii="IRNazanin" w:hAnsi="IRNazanin" w:eastAsia="IRNazanin"/>
          <w:color w:val="111111"/>
          <w:sz w:val="28"/>
          <w:sz w:val="28"/>
          <w:szCs w:val="28"/>
          <w:rtl w:val="true"/>
          <w:lang w:bidi="fa-IR"/>
        </w:rPr>
        <w:t>إنّ الأصل الأولی العام في كلّ عقد ومعاملة إذا استكملت شرائطه أن يكون لازماً منجزاً بحيث ليس لأحد من المتعاملين التخلف عن مقتضاه بل للحاكم إلزام المتخلف إليه</w:t>
      </w:r>
      <w:r>
        <w:rPr>
          <w:rStyle w:val="FootnoteAnchor"/>
          <w:rtl w:val="true"/>
        </w:rPr>
        <w:footnoteReference w:id="1353"/>
      </w:r>
      <w:r>
        <w:rPr>
          <w:rFonts w:ascii="IRNazanin" w:hAnsi="IRNazanin" w:eastAsia="IRNazanin"/>
          <w:color w:val="111111"/>
          <w:sz w:val="28"/>
          <w:sz w:val="28"/>
          <w:szCs w:val="28"/>
          <w:rtl w:val="true"/>
          <w:lang w:bidi="fa-IR"/>
        </w:rPr>
        <w:t>، ولا مقتضی للجواز إلا بدليل حاكم كما في موارد 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كخيار المجلس، والشرط، والعيب، والحيوان، والرؤية وما أشبه ذلك، ولو لا ذلك لاختلّ نظام النّاس في معاملاتهم ومعاشهم ولا تقم لهم سوق وتجارة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أرسله أكثر الأصحاب إرسال المسلمات والدّعی العلامة وغيره عدم الخلاف أو الإجماع والإتفاق عليه، ونسبه ابن قدامة الّذی كان شيخ الحنابلة في عصره إلی ظاهر المذهب وأنّه قول أكثر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الحلي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يشترط في بيع خيار الرؤية وصف المبيع وصفاً يكفی في السّلم عندنا، وإذا فعل ذلك صحّ البيع في قول أكثر العلماء، لانتفاء الجهالة بذكر الأوصاف فصحّ كالسّلم، وعن أحمد والشافعی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يصحّ حتّى يراه لأنّ الصفة لا تحصل بها معرفة المبيع فلم يصحّ البيع بها، ويمنع عدم المعرفة مع ذكر الأوصاف، أمّا ما لا يصحّ السّلم فيه فلا يصحّ بيعه بالصفة، لعدم ضبطه</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بيع العين الشخصيّة الموصوفة جائز‌عندنا، ويثبت الخيار لو لم توجد على الوصف علىٰ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الخيار علىٰ كلّ حال</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إشارة إلی أدلّتها وأنّه ممّا لاخلاف فيه، أو ممّا اتفقوا أو اجمعوا عليه،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خيار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إنّما يثبت في بيع الأعيان الموجودة في الخارج من غير مشاهدة حال البيع إذا كان بالوصف وظهر عدم المطابقة، أو برؤية قديمة إذا ظهر بخلافها، فإن ظهرت النقيصة كان الخيار للمشتری إن كان هو الموصوف له، وإن ظهرت الزيادة كان للبائع إن كان هوكذلك، وكأنّه لاخلاف فيه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بلاخلاف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للأردبيلی وغيره، بل بالاتّفاق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بالإجماع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بالإجماع المحقّق له، ولصحيحة جميل</w:t>
      </w:r>
      <w:r>
        <w:rPr>
          <w:rStyle w:val="FootnoteAnchor"/>
          <w:rtl w:val="true"/>
        </w:rPr>
        <w:footnoteReference w:id="1356"/>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المطلوب أيضاً النّبوی صَلَّى اَللَّهُ عَلَيْهِ وَ آلِهِ وَ سَلَّمْ المنجبر بما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اشترى شيئاً لم يره فهو بالخيار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سألوا عن بيع الجرب الهرويّة،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إذا كان لها بارنامج، فإن وجدها كما ذكرت وإلّا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يجوز له ردّها، مع أنّ الردّ ليس على الوجوب إجماعاً، بل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وهو معنى الخيار، وقد يستدلّ على المطلوب في جميع الصور بنفی الضرار والضرر</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 الأصل في البيع اللزوم، أی بنائه عليه لا علی الجواز وإن ثبت في بعض أفراده</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الجزيری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في عقد البيع أن يكون لازماً متى استكمل شرائطه، ولكن قد عدل عن ذلك في مسائل الخيار لحكمة جليلة وهی مصلحة العاقدين، فقد أباح الشارع الخيار استيفاء للمودة بين النّاس، ودفعاً للضغائن والأحقاد من أنفسهم، إذ قد يشتری الواحد السلعة أو يبيعها لظرف خاص يحيط به بحيث لو ذهب ذلك الظرف لندم على بيعها أو شرائها، ويعقب ذلك الندم غيظ فضغينة وحقد وتخاصم وتنازع إلى غير ذلك من الشرور والمفاسد الّتي يحذر منها الدّين ويمقتها كلّ المقت، فمن أجل ذلك جعل الشارع للعاقد فرصة يحتاط فيها لنفسه، ويزن فيها سلعته في جو هادئ كی لا يكون له عذر في الندم ذلك، على أنّه قيد ذلك بشروط تحفظ للعقد قيمته، فلا يكون عرضة للنقض والإبطال بدون سبب صحيح</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قدامة الحنبلی</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وصف المبيع للمشتری فذكر له من صفاته ما يكفی في صحة السلم صحّ بيعه في ظاهر المذهب، وهو قول أكثر أهل العلم، وعن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حتّی يراه، لأنّ الصفة لا تحصل بها معرفة المبيع، فلم يصحّ البيع بها كالّذی لا يصحّ السلم فيه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نستدلّ علی دليل خيار الرؤية مضافاً إلی الإرسال المسلم في كلمات الأصحاب وعدم الخلاف أو الإتفاق أو الإجماع المدّعی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w:t>
      </w:r>
      <w:r>
        <w:rPr>
          <w:rFonts w:eastAsia="IRNazanin" w:cs="IRNazanin"/>
          <w:color w:val="111111"/>
          <w:sz w:val="28"/>
          <w:szCs w:val="28"/>
          <w:rtl w:val="true"/>
          <w:lang w:bidi="fa-IR"/>
        </w:rPr>
        <w:t>»</w:t>
      </w:r>
      <w:r>
        <w:rPr>
          <w:rStyle w:val="FootnoteAnchor"/>
          <w:rtl w:val="true"/>
        </w:rPr>
        <w:footnoteReference w:id="136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36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وغيرها، بما تقدّم في المقدمة الثانية من الإستدلال علی تعميم خيار الرؤية إلی جميع العقود والمعاملات اللازمة بعمومات نفی الضرر عن المتعاملين فيما إذا كان فقدان الوصف يعدّ ضرراً بالنسبة إليهما، وأيضاً بصحيحة جميل بن دراج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اشْتَرَى ضَيْعَةً وَقَدْ كَانَ يَدْخُلُهَا وَيَخْرُجُ مِنْهَا، فَلَمَّا أَنْ نَقَدَ الْمَالَ صَارَ إِلَى الضَّيْعَةِ فَقَلَبَهَا ثُمَّ رَجَعَ فَاسْتَقَالَ صَاحِبَهُ فَلَمْ يُقِلْهُ؟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قَلَبَ مِنْهَا وَنَظَرَ إِلَى تِسْعَةٍ وَتِسْعِينَ قِطْعَةً ثُمَّ بَقِیَ مِنْهَا قِطْعَةٌ وَلَمْ يَرَهَا لَكَانَ لَهُ في ذَلِكَ خِيَارُ الرُّؤْيَةِ</w:t>
      </w:r>
      <w:r>
        <w:rPr>
          <w:rStyle w:val="FootnoteAnchor"/>
          <w:rtl w:val="true"/>
        </w:rPr>
        <w:footnoteReference w:id="1364"/>
      </w:r>
      <w:r>
        <w:rPr>
          <w:rFonts w:ascii="IRNazanin" w:hAnsi="IRNazanin" w:eastAsia="IRNazanin"/>
          <w:color w:val="111111"/>
          <w:sz w:val="28"/>
          <w:sz w:val="28"/>
          <w:szCs w:val="28"/>
          <w:rtl w:val="true"/>
          <w:lang w:bidi="fa-IR"/>
        </w:rPr>
        <w:t xml:space="preserve">، وبمرسلة الشيخ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سئلوا عن بيع الجرب الهروية؟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إذا كان لها بارنامج، فان وجدها كما ذكرت وإلا ردّها</w:t>
      </w:r>
      <w:r>
        <w:rPr>
          <w:rFonts w:eastAsia="IRNazanin" w:cs="IRNazanin"/>
          <w:color w:val="111111"/>
          <w:sz w:val="28"/>
          <w:szCs w:val="28"/>
          <w:rtl w:val="true"/>
          <w:lang w:bidi="fa-IR"/>
        </w:rPr>
        <w:t>»</w:t>
      </w:r>
      <w:r>
        <w:rPr>
          <w:rStyle w:val="FootnoteAnchor"/>
          <w:rtl w:val="true"/>
        </w:rPr>
        <w:footnoteReference w:id="1365"/>
      </w:r>
      <w:r>
        <w:rPr>
          <w:rFonts w:ascii="Amiri" w:hAnsi="Amiri" w:eastAsia="Amiri" w:cs="Amiri"/>
          <w:color w:val="111111"/>
          <w:sz w:val="28"/>
          <w:sz w:val="28"/>
          <w:szCs w:val="28"/>
          <w:rtl w:val="true"/>
          <w:lang w:bidi="ar-SA"/>
        </w:rPr>
        <w:t>، المنجبر ضعفها بالإجماعات المنقولة وعمل الأصحاب، قال العلامة رحمه الله في بيان تقريب الإستدلال بها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وأراد بالبارنامج كتاب يذكر فيه صفات السلعة علىٰ الاستقصاء، ولو وُجد علىٰ الوصف فلا خيار لأصالة اللزوم وعدم المقتضی لثبوته</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وبما رواه البيهقی في سننه عن أبی هريرة عن النَّبِیِّ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شَيْئاً لَمْ يَرَهُ فَهُوَ بِالْخِيَارِ إذَا رَآهُ</w:t>
      </w:r>
      <w:r>
        <w:rPr>
          <w:rFonts w:eastAsia="Amiri" w:cs="Amiri" w:ascii="Amiri" w:hAnsi="Amiri"/>
          <w:color w:val="111111"/>
          <w:sz w:val="28"/>
          <w:szCs w:val="28"/>
          <w:rtl w:val="true"/>
          <w:lang w:bidi="ar-SA"/>
        </w:rPr>
        <w:t>»</w:t>
      </w:r>
      <w:r>
        <w:rPr>
          <w:rStyle w:val="FootnoteAnchor"/>
          <w:rtl w:val="true"/>
        </w:rPr>
        <w:footnoteReference w:id="1367"/>
      </w:r>
      <w:r>
        <w:rPr>
          <w:rFonts w:ascii="IRNazanin" w:hAnsi="IRNazanin" w:eastAsia="IRNazanin"/>
          <w:color w:val="111111"/>
          <w:sz w:val="28"/>
          <w:sz w:val="28"/>
          <w:szCs w:val="28"/>
          <w:rtl w:val="true"/>
          <w:lang w:bidi="fa-IR"/>
        </w:rPr>
        <w:t>، مع فحوی ما دلّت علی صحة السّلم</w:t>
      </w:r>
      <w:r>
        <w:rPr>
          <w:rStyle w:val="FootnoteAnchor"/>
          <w:rtl w:val="true"/>
        </w:rPr>
        <w:footnoteReference w:id="1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كان الثمن نقداً والمثمن نسيئة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توصيف غيرالموجود في السّلم قد ينجر إلی عزّة الوجود بخلاف توصيف العين الموجود الغائبة، وإلی ذلك أشار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ما نحن فيه أولی بالصّحة من السّلم</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bookmarkStart w:id="445" w:name="pg7917_85400"/>
    </w:p>
    <w:p>
      <w:pPr>
        <w:pStyle w:val="Heading2"/>
        <w:numPr>
          <w:ilvl w:val="1"/>
          <w:numId w:val="1"/>
        </w:numPr>
        <w:rPr/>
      </w:pPr>
      <w:bookmarkStart w:id="446" w:name="__RefHeading___Toc6355397_1051229030"/>
      <w:bookmarkStart w:id="447" w:name="_Toc147"/>
      <w:bookmarkEnd w:id="445"/>
      <w:bookmarkEnd w:id="446"/>
      <w:r>
        <w:rPr>
          <w:rtl w:val="true"/>
        </w:rPr>
        <w:t>أمّا الفرع الأوّل</w:t>
      </w:r>
      <w:r>
        <w:rPr>
          <w:rtl w:val="true"/>
        </w:rPr>
        <w:t xml:space="preserve">: </w:t>
      </w:r>
      <w:r>
        <w:rPr>
          <w:rtl w:val="true"/>
        </w:rPr>
        <w:t>تعريف خيار الرؤية وماهيّتها</w:t>
      </w:r>
      <w:r>
        <w:rPr>
          <w:rtl w:val="true"/>
        </w:rPr>
        <w:t>:</w:t>
      </w:r>
      <w:bookmarkEnd w:id="447"/>
    </w:p>
    <w:p>
      <w:pPr>
        <w:pStyle w:val="BookText"/>
        <w:rPr/>
      </w:pPr>
      <w:r>
        <w:rPr>
          <w:rFonts w:ascii="Amiri" w:hAnsi="Amiri" w:eastAsia="Amiri" w:cs="Amiri"/>
          <w:color w:val="111111"/>
          <w:sz w:val="28"/>
          <w:sz w:val="28"/>
          <w:szCs w:val="28"/>
          <w:rtl w:val="true"/>
          <w:lang w:bidi="ar-SA"/>
        </w:rPr>
        <w:t>قال الإمام الراحل قدس سره في بيان المراد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خيار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فيما إذا اشترى شيئاً موصوفاً غير مشاهد ثمّ وجده على خلاف ذلك الوصف بمعنى كونه ناقصاً عنه، وكذا إذا وجده على خلاف ما رآه سابقاً، فيكون له خيار الفسخ، وفيما إذا باع شيئاً بوصف غيره ثمّ وجده زائداً على ما وصف أو وجده زائداً على ما يراه سابقاً أو وجد الثمن على خلاف ما وصف أی ناقصاً عنه فله خيار الفسخ في هذه الموارد</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وعرّفه العلامة رحمه الله في ضمن كلام موجز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خيار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اشترى موصوفاً غير مشاهد كان للمشتری خيار الفسخ إذا وجده دون الوصف، ولو لم يشاهده البائع وباعه بالوصف فظهر أجود كان الخيار للبائع</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المحدث البحرانی رحمه الله في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ثابت لمن لم ير إذا باع أو اشترى بالوصف ثمّ ظهر مخالفاً، فإن كانت المخالفة بظهور الزيادة على الوصف تخيّر البائع، وإن كانت بالنقص عنه تخيّر المشترى</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قدامة في تعريفه علی وجه الإجمال</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ويعتبر لصحة العقد الرؤية من البائع والمشتری جميعاً، وإن قلنا بصحة البيع مع عدم الرؤية فباع ما لم يره، فله الخيار عند الرؤية، وإن لم يره </w:t>
      </w:r>
    </w:p>
    <w:p>
      <w:pPr>
        <w:pStyle w:val="BookText"/>
        <w:rPr/>
      </w:pPr>
      <w:r>
        <w:rPr>
          <w:rFonts w:ascii="IRNazanin" w:hAnsi="IRNazanin" w:eastAsia="IRNazanin"/>
          <w:color w:val="111111"/>
          <w:sz w:val="28"/>
          <w:sz w:val="28"/>
          <w:szCs w:val="28"/>
          <w:rtl w:val="true"/>
          <w:lang w:bidi="fa-IR"/>
        </w:rPr>
        <w:t>المشتری أيضاً فلكلّ واحد منهما الخيار وبهذا قال الشافعی، وقال أبوحنيفة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الخيار لحديث عثمان وطلحة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الرؤية في المقام كما دلّت عليه أقوال الفقهاء هو وجدان العين الموصوفة الغير المشهودة حين المعاملة، فإن كانت العين كما وُصفت لزم العقد عندنا بلا ريب، وبه قال محمّد بن سيرين وأيّوب ومالك والعنبری وإسحاق وأبوثور وابن منذر من العامة، لأنّه سلّم له المعقود عليه بتمامه وكماله، فلم يكن له خيار، كالمسلم فيه، ولكن قال الثوری وأبوحنيفة وأصحابه علی ما حكی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الخيار بكلّ حال، لأنّه يسمّى ببيع خيار الرؤية، وللشافعيّة وجهان من الثبوت وعدمه حينئذ</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 كانت ناقصة عمّا وصفها البائع أو عمّا يراها المشتری كان الخيار للمشتری، وإن كانت زائدة علی ذلك فالخيار للبائع، وإن ظهر الزيادة والنقصان من جهتين تخيّرا معاً،كأن يقول بعتك الأرض الفلانی علی كونها واقعة في الناحية الشرقية من الشارع فبان وقوعها في الناحية الغربية منها الّتي قيمتها أو استفادة منها متفاوتاً لما وقعت في تلك الناحية، أو أنّ الشیء الفلانی مصنوع سنة كذا أو بلد أو مملكة كذا، أو أنّ مقداره كذا فظهر خلافه بأن كان من غير السنة أو البلد، أو زائداً أو ناقصاً عن ذلك المقدار بما يتفاوت معها القيم و رغبات النّاس، وكذا الكلام في ناحية الثمن في كلا الحالتين، إذ كما يجوز التوصيف في المثمن يجوز ذلك في الثمن أيضاً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خلافاً لما ذهب إليه المقدس الأردبيلی رحمه الله من بطلان البيع إذا وجده علی خلاف الوصف من دون الخيار،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في أمثال هذا الخيار تأمل، لأنّ العقد إنّما وقع على الموصوف بوصف خاص، والفرض عدم وجوده في هذا المتاع، فما وقع العقد عليه فكيف يصحّ البيع ويثبت الخيار فيه، فمقتضى القاعدة بطلان هذا البيع لا ثبوت الخيار</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والتحقيق أنّ تخلّف الأوصاف تارة يوجب مغايرة الموصوف للموجود عرفاً، ففی هذه الأوصاف الّتي لها دخل في ماهية الموصوف لاخلاف في بطلان المعاملة حينئذ لأنّه يكون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يقع وما وقع لم يقصد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تبعيّة العقود للقصود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وأخری ما لايوجب ذلك بل يقال أنّه فاقد للوصف أو الأوصاف المأخوذة فيه، ففی مثل هذه الموارد لا دليل علی بطلان المعاملة، بل للمنقول إليه الخيار، ومحل كلامنا في المقام هو هذا الأخير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المقدس الأردبيلی قدس سره حيث أختار هنا بطلان البيع إذا وجد العين علی خلاف الوصف، مع أنّه قد حكی في موضع آخر من كتابه عدم خلاف الأصحاب علی صحة مقروناً بالخيار، ثمّ استظهر صحّة مذهبهم إذ قال</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خيار الرؤية وهو سادس الأقسام، لعلّ في ثبوت أصل هذا الخيار أيضاً عندنا لا خلاف فيه، وإن لم يوافق الوصف ما وصف وتغير الغائب بعد الرؤية تغيراً موجباً لزيادة الثمن أو نقصانه عادة وعرفاً، ففی الزيادة الخيار للبائع وفی النقصان للمشتری، وهو ظاهر</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 xml:space="preserve">. </w:t>
      </w:r>
      <w:bookmarkStart w:id="448" w:name="pg7917_85406"/>
    </w:p>
    <w:p>
      <w:pPr>
        <w:pStyle w:val="BookText"/>
        <w:rPr/>
      </w:pPr>
      <w:bookmarkEnd w:id="448"/>
      <w:r>
        <w:rPr>
          <w:rFonts w:ascii="IRNazanin" w:hAnsi="IRNazanin" w:eastAsia="IRNazanin"/>
          <w:color w:val="111111"/>
          <w:sz w:val="28"/>
          <w:sz w:val="28"/>
          <w:szCs w:val="28"/>
          <w:rtl w:val="true"/>
          <w:lang w:bidi="fa-IR"/>
        </w:rPr>
        <w:t>وكيف كان هذا إذا لم يكن تخلّف الوصف موجباً لكون الشیء معيوباً، وإلا خرج من هذا العنوان وجری عليه عنوان خيار العيب</w:t>
      </w:r>
      <w:r>
        <w:rPr>
          <w:rFonts w:eastAsia="IRNazanin" w:cs="IRNazanin"/>
          <w:color w:val="111111"/>
          <w:sz w:val="28"/>
          <w:szCs w:val="28"/>
          <w:rtl w:val="true"/>
          <w:lang w:bidi="fa-IR"/>
        </w:rPr>
        <w:t>.</w:t>
      </w:r>
    </w:p>
    <w:p>
      <w:pPr>
        <w:pStyle w:val="Heading2"/>
        <w:numPr>
          <w:ilvl w:val="1"/>
          <w:numId w:val="1"/>
        </w:numPr>
        <w:rPr/>
      </w:pPr>
      <w:bookmarkStart w:id="449" w:name="__RefHeading___Toc6355399_1051229030"/>
      <w:bookmarkStart w:id="450" w:name="_Toc148"/>
      <w:bookmarkEnd w:id="449"/>
      <w:r>
        <w:rPr>
          <w:rtl w:val="true"/>
        </w:rPr>
        <w:t>أمّا الفرع الثانی</w:t>
      </w:r>
      <w:r>
        <w:rPr>
          <w:rtl w:val="true"/>
        </w:rPr>
        <w:t xml:space="preserve">: </w:t>
      </w:r>
      <w:r>
        <w:rPr>
          <w:rtl w:val="true"/>
        </w:rPr>
        <w:t>الخيار هنا بين الردّ والإمساك مجاناً من دون أرش</w:t>
      </w:r>
      <w:r>
        <w:rPr>
          <w:rtl w:val="true"/>
        </w:rPr>
        <w:t>:</w:t>
      </w:r>
      <w:bookmarkEnd w:id="450"/>
    </w:p>
    <w:p>
      <w:pPr>
        <w:pStyle w:val="BookText"/>
        <w:rPr/>
      </w:pPr>
      <w:r>
        <w:rPr>
          <w:rFonts w:ascii="IRNazanin" w:hAnsi="IRNazanin" w:eastAsia="IRNazanin"/>
          <w:color w:val="111111"/>
          <w:sz w:val="28"/>
          <w:sz w:val="28"/>
          <w:szCs w:val="28"/>
          <w:rtl w:val="true"/>
          <w:lang w:bidi="fa-IR"/>
        </w:rPr>
        <w:t xml:space="preserve">قال الإمام الراحل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الخيار هنا بين الردّ والإمساك مجاناً، وليس لذی الخيار الإمساك بالأرش، كما لايسقط خياره ببذله ولا بإبدال العين بالأخرى، نعم لو كان للوصف المفقود دخل في الصحة توجه أخذ الأرش للعيب لا لتخلف الوصف</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الأعظم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يسقط هذا الخيار ببذل التفاوت ولا بإبدال العين، لأنّ العقد إنّما وقع علی الشخصی، فتملك غيره يحتاج إلی معاوضة جديدة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في معنی الخيار ومفهومه أنّه لغة انتخاب إحدی أطراف أو أحدي الطرفين الجائزين، وإصطلاحاً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إقرار العقد وإزالته بعد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خير الأمرين من الفسخ والإمضاء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ولازم ذلك عدم سقوط الخيار بإبدال العين بعين أخری واجدة للوصف، وأنّه ليس للمشتری أيضاً إمساك العين بالأرش أو ببذل البائع التفاوت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زائداً علی أنّ البيع هنا شخصی وليس كالسّلم كليّاً حتّی يجوز لذی الخيار الإمتناع عن قبول الناقص كمّاً أو كيفاً والمطالبة بالبدل، فدار الأمر هنا بين الفسخ ورجوع كلّ مال إلی مالكه، أو الإمضاء مجاناً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ما كان العقد في المقام شخصيّاً فالإبدال أو الإمسلك ببذل التفاوت معاملة جديدة يحتاج إلی عقد جديد مفقود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يمكن لذی الخيار المصالحة مع صاحبه بإسقاط حقّه عن الفسخ بأخذ الأرش وبذل التفاوت من جانب مَن عليه الخيار، فكان صاحب الخيار هنا في الحقيقة مخيراً بين الأمور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الفسخ، أو الإمضاء مجاناً، أو الإمساك بالأرش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كما بيّن في محلّه</w:t>
      </w:r>
      <w:r>
        <w:rPr>
          <w:rStyle w:val="FootnoteAnchor"/>
          <w:rtl w:val="true"/>
        </w:rPr>
        <w:footnoteReference w:id="1379"/>
      </w:r>
      <w:r>
        <w:rPr>
          <w:rFonts w:ascii="IRNazanin" w:hAnsi="IRNazanin" w:eastAsia="IRNazanin"/>
          <w:color w:val="111111"/>
          <w:sz w:val="28"/>
          <w:sz w:val="28"/>
          <w:szCs w:val="28"/>
          <w:rtl w:val="true"/>
          <w:lang w:bidi="fa-IR"/>
        </w:rPr>
        <w:t>عقد جديد بنفسه، يحتاج إلی الإيجاب والقبول المستقلّين وليس من أطراف الخيار، والتخيير هنا كتخيير أولياء الدم في العمد حيث إنّهم مخيّرون بين القصاص أو العفو مجّاناً، وليس لهم من الدية سبيل لا عيناً ولا تخييراً، فعليه لو بذل الجانی نفسه للقود ليس للولی مطالبة الدية حينئذ، نعم يجوز لهم التصالح مع الجانی عوضاً عن قصاصه علی مال معادل للدية أو الأكثر أو الأنقص منه، إلا أنّه يحتاج إلی قبوله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لم يكن تخلّف الوصف موجباً لكونه معيوباً، أمّا لوكان فقده عيباً اتّجه القول بجواز أخذ الأرش حينئذ مع الإمساك لدخوله حينئذ تحت عنوان خيار العيب الّذی كان التخيير فيه بين الفسخ والإمساك بالأرش، أو بلا أرش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النّاس علی أموالهم</w:t>
      </w:r>
      <w:r>
        <w:rPr>
          <w:rFonts w:eastAsia="IRNazanin" w:cs="IRNazanin"/>
          <w:color w:val="111111"/>
          <w:sz w:val="28"/>
          <w:szCs w:val="28"/>
          <w:rtl w:val="true"/>
          <w:lang w:bidi="fa-IR"/>
        </w:rPr>
        <w:t>»</w:t>
      </w:r>
      <w:r>
        <w:rPr>
          <w:rStyle w:val="FootnoteAnchor"/>
          <w:rtl w:val="true"/>
        </w:rPr>
        <w:footnoteReference w:id="1380"/>
      </w:r>
      <w:r>
        <w:rPr>
          <w:rFonts w:ascii="IRNazanin" w:hAnsi="IRNazanin" w:eastAsia="IRNazanin"/>
          <w:color w:val="111111"/>
          <w:sz w:val="28"/>
          <w:sz w:val="28"/>
          <w:szCs w:val="28"/>
          <w:rtl w:val="true"/>
          <w:lang w:bidi="fa-IR"/>
        </w:rPr>
        <w:t>، ما لم يصل إلی حدّ السفة والإضرار، لحكومة أدلّته عليهما</w:t>
      </w:r>
      <w:r>
        <w:rPr>
          <w:rFonts w:eastAsia="IRNazanin" w:cs="IRNazanin"/>
          <w:color w:val="111111"/>
          <w:sz w:val="28"/>
          <w:szCs w:val="28"/>
          <w:rtl w:val="true"/>
          <w:lang w:bidi="fa-IR"/>
        </w:rPr>
        <w:t xml:space="preserve">. </w:t>
      </w:r>
      <w:bookmarkStart w:id="451" w:name="pg7917_85410"/>
    </w:p>
    <w:p>
      <w:pPr>
        <w:pStyle w:val="Heading2"/>
        <w:numPr>
          <w:ilvl w:val="1"/>
          <w:numId w:val="1"/>
        </w:numPr>
        <w:rPr/>
      </w:pPr>
      <w:bookmarkStart w:id="452" w:name="__RefHeading___Toc6355401_1051229030"/>
      <w:bookmarkStart w:id="453" w:name="_Toc149"/>
      <w:bookmarkEnd w:id="451"/>
      <w:bookmarkEnd w:id="452"/>
      <w:r>
        <w:rPr>
          <w:rtl w:val="true"/>
        </w:rPr>
        <w:t>أمّا الفرع الثالث</w:t>
      </w:r>
      <w:r>
        <w:rPr>
          <w:rtl w:val="true"/>
        </w:rPr>
        <w:t xml:space="preserve">: </w:t>
      </w:r>
      <w:r>
        <w:rPr>
          <w:rtl w:val="true"/>
        </w:rPr>
        <w:t>محلّ هذا الخيار الأعيان الشخصيّة الغائبة</w:t>
      </w:r>
      <w:r>
        <w:rPr>
          <w:rtl w:val="true"/>
        </w:rPr>
        <w:t>:</w:t>
      </w:r>
      <w:bookmarkEnd w:id="453"/>
    </w:p>
    <w:p>
      <w:pPr>
        <w:pStyle w:val="BookText"/>
        <w:rPr/>
      </w:pPr>
      <w:r>
        <w:rPr>
          <w:rFonts w:ascii="IRNazanin" w:hAnsi="IRNazanin" w:eastAsia="IRNazanin"/>
          <w:color w:val="111111"/>
          <w:sz w:val="28"/>
          <w:sz w:val="28"/>
          <w:szCs w:val="28"/>
          <w:rtl w:val="true"/>
          <w:lang w:bidi="fa-IR"/>
        </w:rPr>
        <w:t xml:space="preserve">قال الإمام الراحل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هذا الخيار بيع العين الشخصية الغائبة حين المبايعة، ويشترط في صحته إمّا الرؤية السابقة مع حصول الاطمئنان ببقاء تلك الصفات وإلا ففيه إشكال، وإمّا توصيفه بما يرفع به الجهالة عرفاً بأن حصل له الوثوق من توصيفه الموجب لرفع الغرر بذكر جنسها ونوعها وصفاتها الّتي تختلف باختلافها الأثمان و رغبات النّاس</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الأعظم الأنصاری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هذا الخيار بيع العين الشخصيّة الغائبة، والمعروف أنّه يشترط في صحّته ذكر أوصاف المبيع الّتي يرتفع بها الجهالة الموجبة للغرر، إذ لولاها لكان غرراً، وعبّر بعضهم عن هذه الأوصاف بما يختلف الثمن باختلافه</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قدامة الحنبلی</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والبيع بالصفة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عين معينة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بعتك عبدی التركی ويذكر سائر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موصوف غير معيّن، مثل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بعتك عبداً تركيّاً، ثمّ يستقصی صفات السلم فهذا في معنی السلم، فمتی سلم إليه عبداً علی غير ما وصف فردّه، أو علی ما وصف فأبدله لم يفسد العقد، لأنّ العقد يقع علی غير هذا فلم ينفسخ العقد بردّه كما لو سلم إليه في السلم غير ما وصف له فردّه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صحة العقود والمعاملات علم المتعاملين بطرفي المعاوضة، فلا يصحّ البيع مثلاً إذا كان المبيع أو الثمن مجهولاً سواء كان من حيث الجنس، أو النوع، أو القدر، أو الكيف، أو الوصف وغيرها، للزومه الغرر وقد نهی النب صَلَّى اَللَّهُ عَلَيْهِ وَ آلِهِ وَ سَلَّمْ عن بيع الغرر</w:t>
      </w:r>
      <w:r>
        <w:rPr>
          <w:rStyle w:val="FootnoteAnchor"/>
          <w:rtl w:val="true"/>
        </w:rPr>
        <w:footnoteReference w:id="1384"/>
      </w:r>
      <w:r>
        <w:rPr>
          <w:rFonts w:ascii="IRNazanin" w:hAnsi="IRNazanin" w:eastAsia="IRNazanin"/>
          <w:color w:val="111111"/>
          <w:sz w:val="28"/>
          <w:sz w:val="28"/>
          <w:szCs w:val="28"/>
          <w:rtl w:val="true"/>
          <w:lang w:bidi="fa-IR"/>
        </w:rPr>
        <w:t xml:space="preserve">، ففی غير النقد من الثمن أو المثمن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النسيئة والسلف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العيون الموجودة الغير المشهودة حين المعاملة الّتي تكون من أنواع البيع النقد حيث يكون أحد طرفي المعاوضة غير موجود أو غير مشهود حين العقد يشترط في صحته من أحد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توصيفه بذكر جميع أوصافه الّتي لها دخل في القيم والأثمان وفی رغبات النّاس بما يرتفع معه الجهالة الموجبة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رؤيته المبيع قبل العقد مع حصول الاطمئنان ببقاء صفاته إلی زمان المعاملة، فإن وجد العين كما رأی أو كما وُصفت لزمه العقد بلا شك، وإلا فإن كانت ناقصة عنه كان الخيار للمشتری، وإن كانت زائدة علی ذلك فالخيار للبائع</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لما كان الخيار علی خلاف مقتضى أصالة اللّزوم الّذی ثبت في محلّه بناء العقود عليها، للزم في الخروج عنها أن نقتصر على مورد النصّ، وقد تقدّم أنّ النصّ الّذی يستدلّ به في المقام بعد عمومات نفی الضرر، هو صحيحة جميل بن درّاج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اشْتَرَى ضَيْعَةً وَقَدْ كَانَ </w:t>
      </w:r>
    </w:p>
    <w:p>
      <w:pPr>
        <w:pStyle w:val="BookText"/>
        <w:rPr/>
      </w:pPr>
      <w:r>
        <w:rPr>
          <w:rFonts w:ascii="Amiri" w:hAnsi="Amiri" w:eastAsia="Amiri" w:cs="Amiri"/>
          <w:color w:val="111111"/>
          <w:sz w:val="28"/>
          <w:sz w:val="28"/>
          <w:szCs w:val="28"/>
          <w:rtl w:val="true"/>
          <w:lang w:bidi="ar-SA"/>
        </w:rPr>
        <w:t>يَدْخُلُهَا وَيَخْرُجُ مِنْهَا، فَلَمَّا أَنْ نَقَدَ الْمَالَ صَارَ إِلَى الضَّيْعَةِ فَقَلَبَهَا ثُمَّ رَجَعَ فَاسْتَقَالَ صَاحِبَهُ فَلَمْ يُقِلْهُ؟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قَلَبَ مِنْهَا وَنَظَرَ إِلَى تِسْعَةٍ وَتِسْعِينَ قِطْعَةً ثُمَّ بَقِیَ مِنْهَا قِطْعَةٌ وَلَمْ يَرَهَا لَكَانَ لَهُ في ذَلِكَ خِيَارُ الرُّؤْيَةِ</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 الّتي موردها العين الشخصيّة الغائبة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ذلك أنّه لايتصور خيار الرؤية في غير العين الشخصيّة الغائبة أصلاً، وذلك لأنّ في البيع العين الكلية سواء كان نسيئة أو سلفاً إذا كان المبيع أو الثمن فاقداً للوصف أو الأصاف الّتي اتفق عليها المتعاملان، ليس الفاقد مصداقاً للمبيع أو الثمن، بل هو أجنبی عنهما ولا معنی لثبوت الخيار في الشیء الأجنبی عن مقتضی العقد، بخلاف البيع الشخصی الفاقد حيث إنّه قد وقع العقد علی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وحيث انحصر النص في المقام تقريباً في الصحيحة فينبغی لنا أن نطمئن بوثاقة رجال السند، وهی متشكل من محمّد بن الحسن الشيخ الطوسی رحمه الله بإسناده إلی محمّد بن علی بن محبوب الأشعری القمّی، ومنه عن أيّوب بن نوح، عن ابن أبی عمير، عن جميل بن 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ولها أيضاً طريق آخر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محمّد بن أبی عمير ومنه عن جميل بن دراج، وهو علی ما بيّنه في مشيخته هكذا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كان فيه عن محمّد بن أبی عمير فقد رويته عن أبی، ومحمّد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والحميریّ جميعاً </w:t>
      </w:r>
    </w:p>
    <w:p>
      <w:pPr>
        <w:pStyle w:val="BookText"/>
        <w:rPr/>
      </w:pPr>
      <w:r>
        <w:rPr>
          <w:rFonts w:ascii="IRNazanin" w:hAnsi="IRNazanin" w:eastAsia="IRNazanin"/>
          <w:color w:val="111111"/>
          <w:sz w:val="28"/>
          <w:sz w:val="28"/>
          <w:szCs w:val="28"/>
          <w:rtl w:val="true"/>
          <w:lang w:bidi="fa-IR"/>
        </w:rPr>
        <w:t>عن أيّوب بن نوح، وإبراهيم هاشم، ويعقوب بن يزيد، ومحمّد بن عبد الجبّار جميعاً عن محمّد بن أبی عمير</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طريق الشيخ إلی محمّد بن علیّ بن محبوب، فقال في مشيخة التهذيب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ذكرته في هذا الكتاب عن محمّد بن علیّ بن محبوب فقد أخبرنى به الحسين بن عبيد اللّه عن أحمد بن محمّد بن يحيى العطار عن أبيه محمّد بن يحيى عن محمّد بن علیّ بن محبوب</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كلام في وثاقة رجال الّذين وقعوا في طريقه وكذا الّذين وقعوا في سند الحديث إلی جميل بن دراج فإنّهم من الثقات الإماميين الأجلاء زائداً علی أنّ محمّد بن أبی عمير كان من الّذين أجمعوا الأصحاب علی تصحيح ما يصحّ عنهم وأقرّوا لهم بالفقه وكونهم ممّن لا يروون ولا يرسلون إلا عن الثقات</w:t>
      </w:r>
      <w:r>
        <w:rPr>
          <w:rStyle w:val="FootnoteAnchor"/>
          <w:rtl w:val="true"/>
        </w:rPr>
        <w:footnoteReference w:id="1388"/>
      </w:r>
      <w:r>
        <w:rPr>
          <w:rFonts w:ascii="IRNazanin" w:hAnsi="IRNazanin" w:eastAsia="IRNazanin"/>
          <w:color w:val="111111"/>
          <w:sz w:val="28"/>
          <w:sz w:val="28"/>
          <w:szCs w:val="28"/>
          <w:rtl w:val="true"/>
          <w:lang w:bidi="fa-IR"/>
        </w:rPr>
        <w:t>، غير أنّ الحسين بن عبيدالله السعدی، الّذی يظهر من العلامة رحمه الله ومن تصريح المحقق الشوشتری في قاموسه اتحاده مع الحسين بن عبيدالله المحرر والقمّی</w:t>
      </w:r>
      <w:r>
        <w:rPr>
          <w:rStyle w:val="FootnoteAnchor"/>
          <w:rtl w:val="true"/>
        </w:rPr>
        <w:footnoteReference w:id="1389"/>
      </w:r>
      <w:r>
        <w:rPr>
          <w:rFonts w:ascii="IRNazanin" w:hAnsi="IRNazanin" w:eastAsia="IRNazanin"/>
          <w:color w:val="111111"/>
          <w:sz w:val="28"/>
          <w:sz w:val="28"/>
          <w:szCs w:val="28"/>
          <w:rtl w:val="true"/>
          <w:lang w:bidi="fa-IR"/>
        </w:rPr>
        <w:t xml:space="preserve">، وكذا أحمد بن محمّد بن يحيی العطار القمّی كانا محلاً للكلام عند </w:t>
      </w:r>
    </w:p>
    <w:p>
      <w:pPr>
        <w:pStyle w:val="BookText"/>
        <w:rPr/>
      </w:pPr>
      <w:r>
        <w:rPr>
          <w:rFonts w:ascii="IRNazanin" w:hAnsi="IRNazanin" w:eastAsia="IRNazanin"/>
          <w:color w:val="111111"/>
          <w:sz w:val="28"/>
          <w:sz w:val="28"/>
          <w:szCs w:val="28"/>
          <w:rtl w:val="true"/>
          <w:lang w:bidi="fa-IR"/>
        </w:rPr>
        <w:t>علماء الرجال، فالنجاشی عند ترجمة الحسين في رجاله أشار إلی أنّه ممّن طعن عليه و رُمی بالغلو،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الحسين بن عبيد الله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بن عبيد الله بن سهل ممّن طعن عليه و رمی بالغلو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صحيحة الحديث</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لكنّك كما تری أنّه وثّق الرجل من حيث الرواية والحديث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كتب صحيحة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رميه بالغلو لو سلّم كونه قدحاً فيه عنده فهو لايمنع عن كونه ثقةً من جهة الرواية، وذلك لأنّ مراد القدماء ولا سيّما القمّيين منهم للرواة بالغلوّ، هو كون الراوی ممّن يروی ما هو من الأخبار المشتملة علی المعانی الدقيقة في فضائل أهل بيت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 فيها من المعاجز المشتملة علی الإخبار بالمغيبات زعماً بأنّه لا يعلم الغيب إلا هو، فربما كان رميهم بذلك فضيلة</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أحمد بن محمّد بن يحيی العطار القمّی، قال ابن داود في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مهمل</w:t>
      </w:r>
      <w:r>
        <w:rPr>
          <w:rStyle w:val="FootnoteAnchor"/>
          <w:rtl w:val="true"/>
        </w:rPr>
        <w:footnoteReference w:id="1391"/>
      </w:r>
      <w:r>
        <w:rPr>
          <w:rFonts w:ascii="IRNazanin" w:hAnsi="IRNazanin" w:eastAsia="IRNazanin"/>
          <w:color w:val="111111"/>
          <w:sz w:val="28"/>
          <w:sz w:val="28"/>
          <w:szCs w:val="28"/>
          <w:rtl w:val="true"/>
          <w:lang w:bidi="fa-IR"/>
        </w:rPr>
        <w:t>، وعدّه ابن الغضائری في قسمة الضعفاء من رجاله</w:t>
      </w:r>
      <w:r>
        <w:rPr>
          <w:rStyle w:val="FootnoteAnchor"/>
          <w:rtl w:val="true"/>
        </w:rPr>
        <w:footnoteReference w:id="1392"/>
      </w:r>
      <w:r>
        <w:rPr>
          <w:rFonts w:ascii="IRNazanin" w:hAnsi="IRNazanin" w:eastAsia="IRNazanin"/>
          <w:color w:val="111111"/>
          <w:sz w:val="28"/>
          <w:sz w:val="28"/>
          <w:szCs w:val="28"/>
          <w:rtl w:val="true"/>
          <w:lang w:bidi="fa-IR"/>
        </w:rPr>
        <w:t xml:space="preserve">، وصرّح المحقق العاملی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مجهول</w:t>
      </w:r>
      <w:r>
        <w:rPr>
          <w:rStyle w:val="FootnoteAnchor"/>
          <w:rtl w:val="true"/>
        </w:rPr>
        <w:footnoteReference w:id="1393"/>
      </w:r>
      <w:r>
        <w:rPr>
          <w:rFonts w:ascii="IRNazanin" w:hAnsi="IRNazanin" w:eastAsia="IRNazanin"/>
          <w:color w:val="111111"/>
          <w:sz w:val="28"/>
          <w:sz w:val="28"/>
          <w:szCs w:val="28"/>
          <w:rtl w:val="true"/>
          <w:lang w:bidi="fa-IR"/>
        </w:rPr>
        <w:t xml:space="preserve">، إلا أنّه كان كثير الرّواية ومن مشايخ الصّدوق رحمه الله ، قد ذكره كثيراً ما في مشيخة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مقروناً بالرضوان، منها ما قاله في بيان طريقه إلی عبدالله بن أبی يعفور حيث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كان فيه عن عبد اللّه بن أبی يعفور فقد رويته عن أحمد بن محمّد بن يحيى العطّار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أبی عبد اللّه البرقیّ، عن أبيه، عن محمّد بن أبی عمير، عن حمّاد بن عثمان، عن عبد اللّه بن أبی يعفور</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الخوئی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يحيى العطار، روى عنه أبو جعفر ابن بابويه، رجال الشيخ في من لم يرو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هو أحمد بن محمّد بن يحيى العطار الآتی، فإنّه من مشايخ الصّدوق، روى عنه كثيراً في كتبه، ذكره مترضياً عليه، في طريقه إلى أمية بن عمرو،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يحيى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بهذا العنوان في أسناد كثير من الروايات تبلغ خمسة وستين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عن أبيه في سبعة وخمسين مورداً، و روى عنه أبو الحسين بن أبی جيد، والحسين بن عبيد الله في جميع ذلك، وهو أحمد بن محمّد بن يحيى العطار الآتی</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العلامة الحلي رحمه الله في الفائدة الثامنة من خلاصته عند ذكر طرق الشيخ، صحّح طريقه إلی محمّد بن علیّ بن محبوب الأشعری القمّی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وإلى الحسين بن سعيد صحيح، وكذا عن محمّد بن أحمد بن يحيى الأشعری، وكذا عن محمّد بن علیّ بن محبوب</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وحكی السيّد بحر العلوم رحمه الله في رجاله عن الشيخ البهائی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يدخل في أسانيد بعض الأحاديث من ليس له ذكر في كتب الجرح والتعديل بمدح ولا قدح غير أنّ أعاظم علمائنا المتقدّمين قد اعتنوا بشأنه واكثروا الرواية عنه، وأعيان مشايخنا المتأخّرين قد حكموا بصحة روايات هو في سندها، والظاهر أنّ هذا القدر كاف في حصول الظن بعدالته، ثمّ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الحسن بن الوليد، وأحمد بن محمّد بن يحيى العطار، والحسين بن الحسن بن أبان، وأبا الحسين علیّ بن أبی جيد، فهؤلاء وأمثالهم من مشايخ الأصحاب، لنا ظنّ بحسن حالهم وعدالتهم، وقد عددت حديثهم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الكتاب في الصحيح، جرياً على منوال مشايخنا المتأخرين، و نرجو من اللّه سبحانه أن يكون اعتقادنا فيهم مطابقاً للواقع</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إنّ الّذی يسهّل الأمر أنّ الرواية كانت معمولة بها عند الأصحاب، زائداً علی أنّ لها كما مرّ طريق آخر صحيح رواه الصدوق رحمه الله بإسناده عن محمّد بن أبی عمير، وشهادته في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يقصد فيه ما قصد المصنّفون من حكايتهم جميع ما رووه، بل قصد إلی إيراد ما أفتی به وحكم بصحّته، واعتقد أنّه حجّة بينه وبين ربّه، ومستخرجة من الكتب المشهورة</w:t>
      </w:r>
      <w:r>
        <w:rPr>
          <w:rStyle w:val="FootnoteAnchor"/>
          <w:rtl w:val="true"/>
        </w:rPr>
        <w:footnoteReference w:id="1398"/>
      </w:r>
      <w:r>
        <w:rPr>
          <w:rFonts w:ascii="Amiri" w:hAnsi="Amiri" w:eastAsia="Amiri" w:cs="Amiri"/>
          <w:color w:val="111111"/>
          <w:sz w:val="28"/>
          <w:sz w:val="28"/>
          <w:szCs w:val="28"/>
          <w:rtl w:val="true"/>
          <w:lang w:bidi="ar-SA"/>
        </w:rPr>
        <w:t>، فلا كلام لنا في صحة الحديث ودلالته</w:t>
      </w:r>
      <w:r>
        <w:rPr>
          <w:rFonts w:eastAsia="Amiri" w:cs="Amiri" w:ascii="Amiri" w:hAnsi="Amiri"/>
          <w:color w:val="111111"/>
          <w:sz w:val="28"/>
          <w:szCs w:val="28"/>
          <w:rtl w:val="true"/>
          <w:lang w:bidi="ar-SA"/>
        </w:rPr>
        <w:t xml:space="preserve">. </w:t>
      </w:r>
      <w:bookmarkStart w:id="454" w:name="pg7917_85424"/>
    </w:p>
    <w:p>
      <w:pPr>
        <w:pStyle w:val="Heading2"/>
        <w:numPr>
          <w:ilvl w:val="1"/>
          <w:numId w:val="1"/>
        </w:numPr>
        <w:rPr/>
      </w:pPr>
      <w:bookmarkStart w:id="455" w:name="__RefHeading___Toc6355403_1051229030"/>
      <w:bookmarkStart w:id="456" w:name="_Toc150"/>
      <w:bookmarkEnd w:id="454"/>
      <w:bookmarkEnd w:id="455"/>
      <w:r>
        <w:rPr>
          <w:rtl w:val="true"/>
        </w:rPr>
        <w:t>أمّا الفرع الرابع</w:t>
      </w:r>
      <w:r>
        <w:rPr>
          <w:rtl w:val="true"/>
        </w:rPr>
        <w:t xml:space="preserve">: </w:t>
      </w:r>
      <w:r>
        <w:rPr>
          <w:rtl w:val="true"/>
        </w:rPr>
        <w:t>إعمال هذا الخيار فوری</w:t>
      </w:r>
      <w:r>
        <w:rPr>
          <w:rtl w:val="true"/>
        </w:rPr>
        <w:t>:</w:t>
      </w:r>
      <w:bookmarkEnd w:id="456"/>
    </w:p>
    <w:p>
      <w:pPr>
        <w:pStyle w:val="BookText"/>
        <w:rPr/>
      </w:pPr>
      <w:r>
        <w:rPr>
          <w:rFonts w:ascii="IRNazanin" w:hAnsi="IRNazanin" w:eastAsia="IRNazanin"/>
          <w:color w:val="111111"/>
          <w:sz w:val="28"/>
          <w:sz w:val="28"/>
          <w:szCs w:val="28"/>
          <w:rtl w:val="true"/>
          <w:lang w:bidi="fa-IR"/>
        </w:rPr>
        <w:t xml:space="preserve">قال الإمام الراحل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الخيار فوری عند الرؤية على المشهور، وفيه إشكال</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موضع يثبت الخيار إمّا مع الوصف عندنا أو مطلقاً عند المجوّزين فإنّما يثبت عند رؤية المبيع على الفور، لأنّه خيار الرؤية، فيثبت عندها، وبه قال أحمد وله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يتقيّد بالمجلس الّذی وجدت الرؤية فيه، لأنّه خيار ثبت بمقتضى العقد من غير شرط، فيقيّد بالمجلس، كخيار المجلس، والوجهان للشافعيّة، وأصحّهما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الأوّل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خيار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ثابت في بيع الأعيان الشخصيّة مع عدم المطابقة، فيتخيّر من وصف له، ولو وصف لهما وزاد ونقص تخيّر، أو تقدّم الفاسخ منهما، وهو فوری على الأصحّ، وكذا خيار الغبن</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المحدث البحرانی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كلام أكثر الأصحاب اشتراط الفوريّة في هذا الخيار</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النراقی رحمه الله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هذا الخيار على الفور، أو التراخی؟ فيه وجهان،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اقتصاراً فيما خالف أدلّة لزوم العقد على أقلّ ما يندفع به الضرر، 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كان حسناً لو كان المستند مجرّد أدلّة نفی </w:t>
      </w:r>
    </w:p>
    <w:p>
      <w:pPr>
        <w:pStyle w:val="BookText"/>
        <w:rPr/>
      </w:pPr>
      <w:r>
        <w:rPr>
          <w:rFonts w:ascii="IRNazanin" w:hAnsi="IRNazanin" w:eastAsia="IRNazanin"/>
          <w:color w:val="111111"/>
          <w:sz w:val="28"/>
          <w:sz w:val="28"/>
          <w:szCs w:val="28"/>
          <w:rtl w:val="true"/>
          <w:lang w:bidi="fa-IR"/>
        </w:rPr>
        <w:t>الضرر، ولكنّك عرفت النصّ المطلق أيضاً، فإطلاقه يثبت الثانی،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وإذن الأجود ما عليه الأكثر</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الأعظم الأنصاری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الأكثر على أنّ الخيار عند الرؤية فوریٌّ، بل نسب إلى ظاهر الأصحاب، بل ظاهر التذكرة عدم الخلاف بين المسلمين إلّا من أحمد، حيث جعله ممتدّاً بامتداد المجلس الّذی وقعت فيه الرؤية، واحتمله في نهاية الإحكام، ولم أجد لهم دليلاً صالحاً على ذلك إلّا وجوب الاقتصار في مخالفة لزوم العقد على المتيقّن، ويبقى على القائلين بالتراخی في مثل خيار الغبن والعيب سؤال الفرق بين المقامين، مع أنّ صحيحة جميل المتقدّمة في صدر المسألة مطلقةٌ يمكن التمسّك بعدم بيان مدّة الخيار فيها على عدم الفوريّة وإن كان خلاف التحقيق، كما نبّهنا عليه في بعض الخيارات المستندة إلى النصّ، وقد بيّنا سابقاً ضعف التمسّك بالاستصحاب في إثبات التراخی وإن استندوا إليه في بعض الخيارات السابقة</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وحكی الجزيری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الحنفيّة أنّهم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يتأقت</w:t>
      </w:r>
      <w:r>
        <w:rPr>
          <w:rStyle w:val="FootnoteAnchor"/>
          <w:rtl w:val="true"/>
        </w:rPr>
        <w:footnoteReference w:id="1405"/>
      </w:r>
      <w:r>
        <w:rPr>
          <w:rFonts w:ascii="Amiri" w:hAnsi="Amiri" w:eastAsia="Amiri" w:cs="Amiri"/>
          <w:color w:val="111111"/>
          <w:sz w:val="28"/>
          <w:sz w:val="28"/>
          <w:szCs w:val="28"/>
          <w:rtl w:val="true"/>
          <w:lang w:bidi="ar-SA"/>
        </w:rPr>
        <w:t>خيار الرؤية بوقت، فإذا رآه ثمّ مضت مدّة بعد رؤيته</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يتمكّن فيها من فسخ العقد ولم يفسخه فإنّ خياره لا يسقط على الأصحّ، ثمّ حكی عن المالكيّة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الخيار عند الرؤية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قدامة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للمشتری الخيار عند رؤية المبيع في الفسخ والإمضاء، ويكون علی الفور، فإن اختار الفسخ فله ذلك، وإن لم يفسخ لزم العقد، لأنّ الخيار خيار الرؤية فوجب أن يكون عندها،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يتقيد بالمجلس الّذی وجدت الرؤية فيه لأنّه خيار ثبت بمقتضی العقد من غير شرط فتقيّد بالمجلس كخيار المجلس</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أنّ المشهور عند الأصحاب كما صرّح به الإمام الراحل قدس سره علی أنّ إعمال هذا الخيار فوری، وقد نسبه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الأكثر،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الأصحّ، والّذی نظنّه بعد تتبع أقوالهم وعدم وجدان قائل بجواز التراخی في المقام، أنّ إصطلاحات المشهور أو الأكثر أو الأصحّ هنا لم يستعملن فيما لها من المعنی والمفهوم حتّی يكون مقابل الأكثر الكثير، ومقابل الأصحّ الصحيح، ومقابل الشهرة الشاذ، بل المراد منها ومن أمثالها أنّ القول بالفور في خيار الرؤية هو القول الشائع الرائج عند فقهائنا، فلا تنافی بينها وبين القول بعدم الخلاف أو الإتفاق والإجماع المستفاد من كلام العلامة رحمه الله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كان تحقيق المطلب يقتضی أن نبحث في المقام تارة حسب القواعد، وأخری حسب الرّوايات والنصوص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حسب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فالقائدة يقتضی أن نختار القول بالفور، اقتصاراً في فسخ العقد اللازم على الموضع القطع واليقين</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بحسب الروايات والنصوص، فإن كان الدليل علی ذلك هو عمومات نفی الضرر كمرسلة النّبو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يَزِيدُ </w:t>
      </w:r>
    </w:p>
    <w:p>
      <w:pPr>
        <w:pStyle w:val="BookText"/>
        <w:rPr/>
      </w:pPr>
      <w:r>
        <w:rPr>
          <w:rFonts w:ascii="Amiri" w:hAnsi="Amiri" w:eastAsia="Amiri" w:cs="Amiri"/>
          <w:color w:val="111111"/>
          <w:sz w:val="28"/>
          <w:sz w:val="28"/>
          <w:szCs w:val="28"/>
          <w:rtl w:val="true"/>
          <w:lang w:bidi="ar-SA"/>
        </w:rPr>
        <w:t>الْمُسْلِمَ خَيْراً وَلَا يَزِيدُهُ شَرّاً</w:t>
      </w:r>
      <w:r>
        <w:rPr>
          <w:rFonts w:eastAsia="Amiri" w:cs="Amiri" w:ascii="Amiri" w:hAnsi="Amiri"/>
          <w:color w:val="111111"/>
          <w:sz w:val="28"/>
          <w:szCs w:val="28"/>
          <w:rtl w:val="true"/>
          <w:lang w:bidi="ar-SA"/>
        </w:rPr>
        <w:t>»</w:t>
      </w:r>
      <w:r>
        <w:rPr>
          <w:rStyle w:val="FootnoteAnchor"/>
          <w:rtl w:val="true"/>
        </w:rPr>
        <w:footnoteReference w:id="1408"/>
      </w:r>
      <w:r>
        <w:rPr>
          <w:rFonts w:ascii="IRNazanin" w:hAnsi="IRNazanin" w:eastAsia="IRNazanin"/>
          <w:color w:val="111111"/>
          <w:sz w:val="28"/>
          <w:sz w:val="28"/>
          <w:szCs w:val="28"/>
          <w:rtl w:val="true"/>
          <w:lang w:bidi="fa-IR"/>
        </w:rPr>
        <w:t>، فالحكم دائر مدار وجود الضرر وعدمه، وهو أيضاً يقتضی القول بالفورية حيث إنّ نفی الضرر يحصل بإمكان إعمال الخيار في أوّل زمان يتمكن مَن له الخيار مِن اختيار الفسخ، ولا دليل علی الأزيد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الدليل علی ذلك هو قوله علیه السلام في صحيحة الجميل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قَلَبَ مِنْهَا وَنَظَرَ إِلَى تِسْعَةٍ وَتِسْعِينَ قِطْعَةً ثُمَّ بَقِیَ مِنْهَا قِطْعَةٌ وَلَمْ يَرَهَا لَكَانَ لَهُ في ذَلِكَ خِيَارُ الرُّؤْيَةِ</w:t>
      </w:r>
      <w:r>
        <w:rPr>
          <w:rFonts w:eastAsia="Amiri" w:cs="Amiri" w:ascii="Amiri" w:hAnsi="Amiri"/>
          <w:color w:val="111111"/>
          <w:sz w:val="28"/>
          <w:szCs w:val="28"/>
          <w:rtl w:val="true"/>
          <w:lang w:bidi="ar-SA"/>
        </w:rPr>
        <w:t>»</w:t>
      </w:r>
      <w:r>
        <w:rPr>
          <w:rStyle w:val="FootnoteAnchor"/>
          <w:rtl w:val="true"/>
        </w:rPr>
        <w:footnoteReference w:id="1409"/>
      </w:r>
      <w:r>
        <w:rPr>
          <w:rFonts w:ascii="IRNazanin" w:hAnsi="IRNazanin" w:eastAsia="IRNazanin"/>
          <w:color w:val="111111"/>
          <w:sz w:val="28"/>
          <w:sz w:val="28"/>
          <w:szCs w:val="28"/>
          <w:rtl w:val="true"/>
          <w:lang w:bidi="fa-IR"/>
        </w:rPr>
        <w:t xml:space="preserve">، فهی وإن كانت دالة بالإطلاق علی التعميم والشمول الأزمانی، إلا أنّه حيث كان ذلك بمدد مقدمات الحكمة الّتي من جملتها عدم وجود القدر المتيقن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الإكتفاء بالفور من باب عدم صدق الضرر فيما زاد عنها، أو الإقتصار في فسخ العقد اللازم علی الموضع القطع واليقين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التخاطب</w:t>
      </w:r>
      <w:r>
        <w:rPr>
          <w:rStyle w:val="FootnoteAnchor"/>
          <w:rtl w:val="true"/>
        </w:rPr>
        <w:footnoteReference w:id="1410"/>
      </w:r>
      <w:r>
        <w:rPr>
          <w:rFonts w:ascii="IRNazanin" w:hAnsi="IRNazanin" w:eastAsia="IRNazanin"/>
          <w:color w:val="111111"/>
          <w:sz w:val="28"/>
          <w:sz w:val="28"/>
          <w:szCs w:val="28"/>
          <w:rtl w:val="true"/>
          <w:lang w:bidi="fa-IR"/>
        </w:rPr>
        <w:t>، فيجب أن نقتصر علی موضع الوفاق، ولا أقلّ من الشك وبطلان الإستدلال بها للتعميم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وبذلك يظهر أنّه لا وجه لاستشكال الإمام قدس سره علی القول بالفورية، ولا</w:t>
      </w:r>
    </w:p>
    <w:p>
      <w:pPr>
        <w:pStyle w:val="BookText"/>
        <w:rPr/>
      </w:pPr>
      <w:r>
        <w:rPr>
          <w:rFonts w:ascii="IRNazanin" w:hAnsi="IRNazanin" w:eastAsia="IRNazanin"/>
          <w:color w:val="111111"/>
          <w:sz w:val="28"/>
          <w:sz w:val="28"/>
          <w:szCs w:val="28"/>
          <w:rtl w:val="true"/>
          <w:lang w:bidi="fa-IR"/>
        </w:rPr>
        <w:t>سيّما بعد ضعف التمسك بالإستصحاب في الشبهات الحكمية الزمانی، المردد زمان الخارج بين الأقلّ والأكثر</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فتخلّص ممّا تقدم إلی هنا أنّه لادليل بلا معارض للقول بالتراخی في المقام</w:t>
      </w:r>
      <w:r>
        <w:rPr>
          <w:rFonts w:eastAsia="IRNazanin" w:cs="IRNazanin"/>
          <w:color w:val="111111"/>
          <w:sz w:val="28"/>
          <w:szCs w:val="28"/>
          <w:rtl w:val="true"/>
          <w:lang w:bidi="fa-IR"/>
        </w:rPr>
        <w:t xml:space="preserve">. </w:t>
      </w:r>
      <w:bookmarkStart w:id="457" w:name="pg7917_85432"/>
    </w:p>
    <w:p>
      <w:pPr>
        <w:pStyle w:val="BookText"/>
        <w:rPr/>
      </w:pPr>
      <w:bookmarkEnd w:id="457"/>
      <w:r>
        <w:rPr>
          <w:rFonts w:ascii="IRNazanin" w:hAnsi="IRNazanin" w:eastAsia="IRNazanin"/>
          <w:color w:val="111111"/>
          <w:sz w:val="28"/>
          <w:sz w:val="28"/>
          <w:szCs w:val="28"/>
          <w:rtl w:val="true"/>
          <w:lang w:bidi="fa-IR"/>
        </w:rPr>
        <w:t>ثمّ إنّه ليس المراد من الفوريّة هنا الفوريّة الحقيقيّة العقليّة لأنّه خلاف المتفاهم العرفی، بل الفوريّة العرفيّة المتداولة بعد ما كان فوريّة كلّ شیء بحسبه</w:t>
      </w:r>
      <w:r>
        <w:rPr>
          <w:rFonts w:eastAsia="IRNazanin" w:cs="IRNazanin"/>
          <w:color w:val="111111"/>
          <w:sz w:val="28"/>
          <w:szCs w:val="28"/>
          <w:rtl w:val="true"/>
          <w:lang w:bidi="fa-IR"/>
        </w:rPr>
        <w:t>.</w:t>
      </w:r>
    </w:p>
    <w:p>
      <w:pPr>
        <w:pStyle w:val="Heading2"/>
        <w:numPr>
          <w:ilvl w:val="1"/>
          <w:numId w:val="1"/>
        </w:numPr>
        <w:rPr/>
      </w:pPr>
      <w:bookmarkStart w:id="458" w:name="__RefHeading___Toc6355405_1051229030"/>
      <w:bookmarkStart w:id="459" w:name="_Toc151"/>
      <w:bookmarkEnd w:id="458"/>
      <w:r>
        <w:rPr>
          <w:rtl w:val="true"/>
        </w:rPr>
        <w:t>أمّا الفرع الخامس</w:t>
      </w:r>
      <w:r>
        <w:rPr>
          <w:rtl w:val="true"/>
        </w:rPr>
        <w:t xml:space="preserve">: </w:t>
      </w:r>
      <w:r>
        <w:rPr>
          <w:rtl w:val="true"/>
        </w:rPr>
        <w:t>في مسقطات هذا الخيار</w:t>
      </w:r>
      <w:r>
        <w:rPr>
          <w:rtl w:val="true"/>
        </w:rPr>
        <w:t>:</w:t>
      </w:r>
      <w:bookmarkEnd w:id="459"/>
    </w:p>
    <w:p>
      <w:pPr>
        <w:pStyle w:val="BookText"/>
        <w:rPr/>
      </w:pPr>
      <w:r>
        <w:rPr>
          <w:rFonts w:ascii="IRNazanin" w:hAnsi="IRNazanin" w:eastAsia="IRNazanin"/>
          <w:color w:val="111111"/>
          <w:sz w:val="28"/>
          <w:sz w:val="28"/>
          <w:szCs w:val="28"/>
          <w:rtl w:val="true"/>
          <w:lang w:bidi="fa-IR"/>
        </w:rPr>
        <w:t xml:space="preserve">قال الإمام الراحل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يسقط هذا الخيار باشتراط سقوطه في ضمن العقد إذا لم يرفع به الوثوق الرافع للجهالة، وإلا فيفسد ويفسد العقد، وبإسقاطه بعد الرؤية، وبالتصرف في العين بعدها تصرفاً كاشفاً عن الرضا بالبيع، وبعدم المبادرة إلى الفسخ بناء على فوريّته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الأعظم الأنصاری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يسقط هذا الخيار بترك المبادرة عرفاً على الوجه المتقدّم في خيار الغبن، وبإسقاطه بعد الرؤية، وبالتصرّف بعدها، ولو تصرّف قبلها ففی سقوط الخيار وجوهٌ،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ذلك على جواز إسقاط الخيار قولاً قبل الرؤية، بناءً على أنّ التصرّف إسقاطٌ فعلی، وفی جواز إسقاطه قبل الرؤية وجهان مبنيّان على أنّ الرؤية سبب أو كاشف</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وحكی الجزيری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الحنفيّة أنّهم قالوا</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ويسقط خيار الرؤية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يحدث في المبيع وهو في يد المشتری فإنّه لا يكون له حينئذ الحقّ في ردّه بخيار الرؤية،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يتعذّر ردّه بإحداث تغيير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إذا مزق ثوباً ليخيطه،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يتصرّف فيه تصرّفاً غير قابل للفسخ كالإعتاق،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يتصرّف فيه تصرّفاً يوجب حقّاً للغير كأن يرهنه، فإذا اشترى شيئاً لم يره ثمّ رهنه </w:t>
      </w:r>
    </w:p>
    <w:p>
      <w:pPr>
        <w:pStyle w:val="BookText"/>
        <w:rPr/>
      </w:pPr>
      <w:r>
        <w:rPr>
          <w:rFonts w:ascii="IRNazanin" w:hAnsi="IRNazanin" w:eastAsia="IRNazanin"/>
          <w:color w:val="111111"/>
          <w:sz w:val="28"/>
          <w:sz w:val="28"/>
          <w:szCs w:val="28"/>
          <w:rtl w:val="true"/>
          <w:lang w:bidi="fa-IR"/>
        </w:rPr>
        <w:t xml:space="preserve">سقط حقّه في الخيار، سواء كان ذلك التصرف قبل رؤية المبيع أو بعده، وكذلك إذا باعه بيعاً باتاً بدون أن يشترط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الخيار أو أجره كذلك، فإنّ ذلك يسقط حقّه في الردّ قبل رؤية المبيع أو بعدها،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يتصرّف فيه تصرّفاً لا يوجب حقّاً للغير، ولكن بشرط أن يكون ذلك التصرّف بعد رؤية المبيع لا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يقبض المبيع بعد رؤيته، 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يدفع الثمن بعد رؤيته أيضاً، 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يرسل رسوله ليحمله إلى داره فإن خياره يبطل ما دام في داره، فإذا أعاده إلى دار المشتری عاد حقّه في الخيار، 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أرضاً لم يرها ثمّ أعارها لآخر فزرعها المستعير، أو اشترى أثواباً فلبس واحداً منها فإنّ خياره يبطل في الجميع، وبالجملة فكلّ ما يبطل خيار الشرط، يبطل خيار الرؤية إلا الأشياء الّتي لا تبطل خيار الرؤية قبل رؤية المبيع بالخيار، وعرض المبيع على البيع، والهبة بلا تسليم، فإنّهاتبطل شرط الخيار ولا تبطل خيار الرؤية</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كلامنا في الفرع السابق في أنّ إعمال الخيار في الرؤية فوری أم لا؟ فمن اختار هناك الفورية فلا محالة يقول هنا بإسقاط خياره بترك المبادرة بالفسخ فوراً، ولكن في هذا الفرع نبحث عن مطلق مسقطاته الّتي منها ترك</w:t>
      </w:r>
    </w:p>
    <w:p>
      <w:pPr>
        <w:pStyle w:val="BookText"/>
        <w:rPr/>
      </w:pPr>
      <w:r>
        <w:rPr>
          <w:rFonts w:ascii="IRNazanin" w:hAnsi="IRNazanin" w:eastAsia="IRNazanin"/>
          <w:color w:val="111111"/>
          <w:sz w:val="28"/>
          <w:sz w:val="28"/>
          <w:szCs w:val="28"/>
          <w:rtl w:val="true"/>
          <w:lang w:bidi="fa-IR"/>
        </w:rPr>
        <w:t>المبادرة به علی القول بها، وكيف كان يسقط هذا الخيار بأمور</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سقوطه في ضمن العقد أو قبله فيما إذا تقدّم المقاولة به وبنيا العقد عليها،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ممّا يمكن أن نستدلّ به علی جواز إسقاط الخيار حين العقد، ما وردت في باب الجارية المكاتبة الّتي قد أدّت بعض ثمنها فيشترط عليها ابن زوجها المملوك بأن يعينها علی أداء ما بقی من الثمن بشرط أن تسقط خيارها علی استدامة نكاح أبيه بعد ما صارت حرّة فصحّه الصادق علیه السلام ذلك</w:t>
      </w:r>
      <w:r>
        <w:rPr>
          <w:rStyle w:val="FootnoteAnchor"/>
          <w:rtl w:val="true"/>
        </w:rPr>
        <w:footnoteReference w:id="1416"/>
      </w:r>
      <w:r>
        <w:rPr>
          <w:rFonts w:ascii="Amiri" w:hAnsi="Amiri" w:eastAsia="Amiri" w:cs="Amiri"/>
          <w:color w:val="111111"/>
          <w:sz w:val="28"/>
          <w:sz w:val="28"/>
          <w:szCs w:val="28"/>
          <w:rtl w:val="true"/>
          <w:lang w:bidi="ar-SA"/>
        </w:rPr>
        <w:t>، فإذا جاز إسقاط الخيار ضمن العقد أو قبله في الكتابة يجوز في غيرها من موارد الخيار لعدم خصوصية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 في مقام بيان الفرق بين الحكم والحقّ، أنّ الحقّ مرتبة نازلة من الملك ويكون أمره بيد مَن له الخيار، بخلاف الحكم الّذی هو مجرد جعل الرخصة من قِبل الشارع الآمر لفعل شیء أو تركه، أو حكمه بترتب أثر علی فعله أو تركه، فبناء علی ذلك يجوز في الحقوق إسقاطها إجمالاً من جانب أربابها أو انتقالها إلی الغير إختياراً أو قهراً كما في موارد الإرث في الحقوق القابلة للأمرين من الإسقاط أو الإنتقال، ما لا يجوز في الأحكام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لم يصل الإشتراط المزبور إلی رفع الوثوق والجهالة بوجود أو بقاء تلك الأوصاف إلی زمان العقد، لما عرفت من أنّ العين الشخصيّة الّتي وقع العقد عليها إذا لم يكن حاضرة وقت العقد، قام الرؤية السابقة أو الوصف مقام رؤيتها حينه، فإذا وصف البائع مثلاً عينه بأنّها كذا وكذا وشرط معذلك علی المشتری سقوط خياره الناشیء من تخلف ذلك الوصف أو الأوصاف، فلازمه </w:t>
      </w:r>
    </w:p>
    <w:p>
      <w:pPr>
        <w:pStyle w:val="BookText"/>
        <w:rPr/>
      </w:pPr>
      <w:r>
        <w:rPr>
          <w:rFonts w:ascii="IRNazanin" w:hAnsi="IRNazanin" w:eastAsia="IRNazanin"/>
          <w:color w:val="111111"/>
          <w:sz w:val="28"/>
          <w:sz w:val="28"/>
          <w:szCs w:val="28"/>
          <w:rtl w:val="true"/>
          <w:lang w:bidi="fa-IR"/>
        </w:rPr>
        <w:t xml:space="preserve">ذهاب الوثوق الحاصل من توصيفه الّذی عبارة أخری عن جهالة المبيع، إذا باع علی الشرط بنحو شرط النتيجة، وبفساده يفسد العقد أيضاً، من المصرّحين بذلك المحقق الصيمری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w:t>
      </w:r>
      <w:r>
        <w:rPr>
          <w:rStyle w:val="FootnoteAnchor"/>
          <w:rtl w:val="true"/>
        </w:rPr>
        <w:footnoteReference w:id="1417"/>
      </w:r>
      <w:r>
        <w:rPr>
          <w:rFonts w:ascii="IRNazanin" w:hAnsi="IRNazanin" w:eastAsia="IRNazanin"/>
          <w:color w:val="111111"/>
          <w:sz w:val="28"/>
          <w:sz w:val="28"/>
          <w:szCs w:val="28"/>
          <w:rtl w:val="true"/>
          <w:lang w:bidi="fa-IR"/>
        </w:rPr>
        <w:t xml:space="preserve">والمحقق الكركی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418"/>
      </w:r>
      <w:r>
        <w:rPr>
          <w:rFonts w:ascii="IRNazanin" w:hAnsi="IRNazanin" w:eastAsia="IRNazanin"/>
          <w:color w:val="111111"/>
          <w:sz w:val="28"/>
          <w:sz w:val="28"/>
          <w:szCs w:val="28"/>
          <w:rtl w:val="true"/>
          <w:lang w:bidi="fa-IR"/>
        </w:rPr>
        <w:t>حيث ذهبا إلی بطلان كلا من الشرط والعقد حينئذ لجهالة المبيع وعدم رضاء البائع إلا بالشرط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نقول زائداً عليه بأنّ ذلك يوجب الدور الباطل حيث إنّ فساد الشرط في المقام سبب لفساد المشروط وهو العقد، وفساد المشروط يوجب لفساد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كلّه بناء علی القول بثبوت الخيار قبل الرؤية بالتخلف حين العقد كما هو المختار وأنّما هی كاشفة عنه، وأمّا علی القول بالسببيّة فلايثبت له الخيار إلا بعدها ولا يلزم الشرط لأنّه كان من قبيل إسقاط ما لم يجب</w:t>
      </w:r>
      <w:r>
        <w:rPr>
          <w:rStyle w:val="FootnoteAnchor"/>
          <w:rtl w:val="true"/>
        </w:rPr>
        <w:footnoteReference w:id="1419"/>
      </w:r>
      <w:r>
        <w:rPr>
          <w:rFonts w:ascii="IRNazanin" w:hAnsi="IRNazanin" w:eastAsia="IRNazanin"/>
          <w:color w:val="111111"/>
          <w:sz w:val="28"/>
          <w:sz w:val="28"/>
          <w:szCs w:val="28"/>
          <w:rtl w:val="true"/>
          <w:lang w:bidi="fa-IR"/>
        </w:rPr>
        <w:t xml:space="preserve">، وإلی ذلك أشار من الخاصة العلامة رحمه الله ومن العامة ابن قدامة الحنبلی، فقال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اختار إمضاء العقد قبل الرؤية لم يلزم، لتعلّق الخيار بالرؤية، وبه قال أحمد والشافعی في أظهر الوجهين</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اختار الفسخ قبل الرؤية انفسخ، لأنّ العقد غير لازم في حقّه فملك الفسخ كحالة الرؤية، وإن اختار إمضاء العقد لم يلزم لأنّ الخيار يتعلّق بالرؤية، ولأنّه يؤدّی إلی إلزام العقد علی المجهول فيقضی إلی الضرر، وكذلك لوتبايعا بشرط أن لايثبت الخيار للمشتری لم يصحّ الشرط لذلك، وهل يفسد البيع بهذا الشرط؟ علی وجهين بناء علی الشروط الفاسدة في البيع</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والتحقيق كما أشرنا إليه آنفاً هو القول بجواز العقد وعدم الإلتزام بالشرط علی هذا الفرض، وذلك لأنّ أصل جعل الشارع الخيار في مواضعها أنّه حكم كسائر الأحكام الوضعی أو التكليفی الإلهی الشرعی، لكن الإستفادة منه حقّ كسائر الحقوق الّتي أمره بيد صاحبه إن شاء أسقطه وإن شاء أبقاه، وقد ثبت في محلّه بل ادعی عليه إجماع الإماميّة علی أنّ أحكام الله تبارك وتعالی مشتركة بين العالم والجاهل بها في عالم الواقع والثبوت، ومختلفة في عالم الظاهر والإثبات</w:t>
      </w:r>
      <w:r>
        <w:rPr>
          <w:rStyle w:val="FootnoteAnchor"/>
          <w:rtl w:val="true"/>
        </w:rPr>
        <w:footnoteReference w:id="1422"/>
      </w:r>
      <w:r>
        <w:rPr>
          <w:rFonts w:ascii="IRNazanin" w:hAnsi="IRNazanin" w:eastAsia="IRNazanin"/>
          <w:color w:val="111111"/>
          <w:sz w:val="28"/>
          <w:sz w:val="28"/>
          <w:szCs w:val="28"/>
          <w:rtl w:val="true"/>
          <w:lang w:bidi="fa-IR"/>
        </w:rPr>
        <w:t>، ففی المقام قد جعل الله تعالی الخيار لصاحبه دفعاً لما تضرر من تخلف الوصف أو الأوصاف المتعهدة له حين العقد، والعلم الحاصل عن طريق الرؤية إنّما يكون كاشفاً وطريقاً إلی إثباته ظاهراً لا لثبوته واقعاً، فما دام لم يصل الإشتراط المزبور إلی رفع الوثوق والجهالة بوجود أو بقاء تلك الأوصاف إلی زمان العقد يصحّ إسقاطه حين العقد أو المقاولة به قبل العقد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إسقاطه بعد الرؤية، لا إشكال في نفوذه لأنّ لكلّ ذی حقّ إسقاط </w:t>
      </w:r>
    </w:p>
    <w:p>
      <w:pPr>
        <w:pStyle w:val="BookText"/>
        <w:rPr/>
      </w:pPr>
      <w:r>
        <w:rPr>
          <w:rFonts w:ascii="IRNazanin" w:hAnsi="IRNazanin" w:eastAsia="IRNazanin"/>
          <w:color w:val="111111"/>
          <w:sz w:val="28"/>
          <w:sz w:val="28"/>
          <w:szCs w:val="28"/>
          <w:rtl w:val="true"/>
          <w:lang w:bidi="fa-IR"/>
        </w:rPr>
        <w:t>حقّه وأنّه مسلط علی حقّه كما هو مسلط علی ماله، زائداً علی أنّه إسقاط في ظرف وجوده بعد ثبوته وإثباته، سواء قلنا بأنّ الرؤية كاشف أو سبب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محمّد حسن النجفی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ريب في صحة إسقاط هذا الخيار بعد تحقّقه كما في غيره من الحقوق، بل وبعد العقد قبل التحقق، خلافاً للمحكی عن التذكرة وغيرها للاكتفاء في صحة الإسقاط بوجود السبب، فإنّه حقّ أيضاً يسقط بالإسقاط، 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 صادف المخالفة في الواقع أثر، لعدم اعتبار العلم بذلك قطعاً، وإلا كان العقد لازماً بدونه، 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لا يثبت إلا بظهور المخالفة لا بوجودها في نفس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منعها، كما سمعت نحوه في خيار الغبن، وحينئذ فلا ريب في صحة اشتراط سقوطه بالعقد كخيار المجلس ونحوه، بل لا يبعد ذلك وإن قلنا بعدم ثبوته إلا بعد ظهور المخالفة، خلافاً لجماعة منهم الكركی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استظهر الصحة في غيره حتّى الغبن والتأخير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شرط رفعه بطل الشرط والعقد، للزوم الغرر، لأنّ الوصف قام مقام الرؤية، فإذا شرط عدم الاعتداد به كان غير مرئی ولا موصوف</w:t>
      </w:r>
      <w:r>
        <w:rPr>
          <w:rFonts w:eastAsia="IRNazanin" w:cs="IRNazanin"/>
          <w:color w:val="111111"/>
          <w:sz w:val="28"/>
          <w:szCs w:val="28"/>
          <w:rtl w:val="true"/>
          <w:lang w:bidi="fa-IR"/>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في العين بعد رؤيتها تصرفاً كاشفاً عن الرضا بالبيع، فهو في الحقيقة إسقاط فعلی في مقابل الإسقاط اللفظی، وإنّما نقول إذا كان كاشفاً عن الرضا لأنّ الفعل المطلق ليس كالقول صريحاً في تنجز إسقاط من له الخيار حقّه، بل هو أعم من الإلتزام بالبيع أو العقد مطلقاً حتّی علی تقدير الفسخ والردّ، ومن الإلتزام به فعلاً، لكنّه إذا أنضمّ إلی رؤية المبيع فاقداً لما وُصف فإنّه يدلّ بالإلتزام علی وفائه بالبيع كيف ما كان، يمكن أن نستدلّ زائداً عليه بما ورد من </w:t>
      </w:r>
    </w:p>
    <w:p>
      <w:pPr>
        <w:pStyle w:val="BookText"/>
        <w:rPr/>
      </w:pPr>
      <w:r>
        <w:rPr>
          <w:rFonts w:ascii="IRNazanin" w:hAnsi="IRNazanin" w:eastAsia="IRNazanin"/>
          <w:color w:val="111111"/>
          <w:sz w:val="28"/>
          <w:sz w:val="28"/>
          <w:szCs w:val="28"/>
          <w:rtl w:val="true"/>
          <w:lang w:bidi="fa-IR"/>
        </w:rPr>
        <w:t xml:space="preserve">الأخبار في إسقاط الخيار بالتصرف في خيار الحيوان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المناط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علیّ بن رئاب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في الْحَيَوَانِ ثَلَاثَةُ أَيَّامٍ لِلْمُشْتَرِی اشْتَرَطَ أَمْ لَمْ يَشْتَرِطْ، فَإِنْ أَحْدَثَ الْمُشْتَرِی فِيمَا اشْتَرَى حَدَثاً قَبْلَ الثَّلَاثَةِ الْأَيَّامِ فَذَلِكَ رِضًا مِنْهُ فَلَا شَرْطَ،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لَامَسَ أَوْ قَبَّلَ أَوْ نَظَرَ مِنْهَا إِلَى مَا كَانَ يَحْرُمُ عَلَيْهِ قَبْلَ 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وصحيحة محمّد بن الحسن الصّفّار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أَبِی مُحَمَّدٍ الْحَسَنِ بْنِ عَلِیٍ الْعَسْكَرِیِ علیه السلام في الرَّجُلِ اشْتَرَى مِنْ رَجُلٍ دَابَّةً فَأَحْدَثَ فِيهَا حَدَثاً مِنْ أَخْذِ الْحَافِرِ أَوْ أَنْعَلَهَا، أَوْ رَكِبَ ظَهْرَهَا فَرَاسِخَ أَ لَهُ أَنْ يَرُدَّهَا في الثَّلَاثَةِ الْأَيَّامِ الّتي لَهُ فِيهَا الْخِيَارُ بَعْدَ الْحَدَثِ الَّذِی يُحْدِثُ فِيهَا، أَوِ الرُّكُوبِ الَّذِی يَرْكَبُهَا فَرَاسِخَ؟ فَوَقَّعَ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أَحْدَثَ فِيهَا حَدَثاً فَقَدْ وَجَبَ الشِّرَاءُ إِنْ شَاءَ اللَّهُ</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علیّ بن رئاب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اشْتَرَى جَارِيَةً لِمَنِ الْخِيَارُ؟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 لِمَنِ اشْتَرَى،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قَبَّلَهَا الْمُشْتَرِی أَوْ لَامَسَ؟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أَوْ لَامَسَ أَوْ نَظَرَ مِنْهَا إِلَى مَا يَحْرُمُ عَلَى غَيْرِهِ فَقَدِ انْقَضَى الشَّرْطُ وَلَزِمَتْهُ</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حكم التصرف الكاشف عن الرضاء بعد الرؤية، أمّا إذا كان قبلها، فإن قلنا بأنّ الرؤية سبب للخيار فلا شك في عدم سقوطه بذلك لانتفاء المسبب بانتفاء السبب لوضوح عدم كون الإسقاط الفعلی أقوی من الإسقاط القولی اللفظی الصريح علی هذا المبنی حيث إنّه كان من قبيل إسقاط ما لم يجب، فإن اختار الفسخ فالحكم فيه كما لوكان العقد فاسداً في رجوع كلّ مال إلی مالكه </w:t>
      </w:r>
      <w:bookmarkStart w:id="460" w:name="pg7917_85446"/>
    </w:p>
    <w:p>
      <w:pPr>
        <w:pStyle w:val="BookText"/>
        <w:rPr/>
      </w:pPr>
      <w:bookmarkEnd w:id="460"/>
      <w:r>
        <w:rPr>
          <w:rFonts w:ascii="IRNazanin" w:hAnsi="IRNazanin" w:eastAsia="IRNazanin"/>
          <w:color w:val="111111"/>
          <w:sz w:val="28"/>
          <w:sz w:val="28"/>
          <w:szCs w:val="28"/>
          <w:rtl w:val="true"/>
          <w:lang w:bidi="fa-IR"/>
        </w:rPr>
        <w:t xml:space="preserve">الأول وعلی المتصرف ضمان تصرفه من باب القاعدة المعروفة،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كلّ ما يضمن بصحيحه يضمن بفاسده</w:t>
      </w:r>
      <w:r>
        <w:rPr>
          <w:rFonts w:eastAsia="IRNazanin" w:cs="IRNazanin"/>
          <w:color w:val="111111"/>
          <w:sz w:val="28"/>
          <w:szCs w:val="28"/>
          <w:rtl w:val="true"/>
          <w:lang w:bidi="fa-IR"/>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علی القول بالكشف كما هو الصحيح، فحيث إنّ الفعل ليس صريحاً في تنجز الإسقاط كالقول فليس مسقطاً إلا إذا كان بصورة الدال علی الرضاء ولو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المبادرة إلى الفسخ بناء على القول بفوريته، قد بحثنا في الفرع السابق بالتفصيل عن أنّ إعمال الخيار في الرؤية فوری أم لا؟ فمن اختار هناك الفورية فلا محالة يقول هنا بإسقاط خياره بترك المبادرة بالفسخ فوراً، وهذا من القبيل القضايا قياستها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تمّ بحمدالله والمنّة ما أردنا أن نبحث عنه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الرؤية وأحكامها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فرغنا عن تنظيم هذه المقالات العشر قم المقدسة في اليوم الثامن من شهر رجب المرجب سنة </w:t>
      </w:r>
      <w:r>
        <w:rPr>
          <w:rFonts w:eastAsia="IRNazanin" w:cs="IRNazanin"/>
          <w:color w:val="111111"/>
          <w:sz w:val="28"/>
          <w:szCs w:val="28"/>
          <w:lang w:bidi="fa-IR"/>
        </w:rPr>
        <w:t>1442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Heading2"/>
        <w:numPr>
          <w:ilvl w:val="1"/>
          <w:numId w:val="1"/>
        </w:numPr>
        <w:rPr/>
      </w:pPr>
      <w:bookmarkStart w:id="461" w:name="__RefHeading___Toc6355407_1051229030"/>
      <w:bookmarkStart w:id="462" w:name="_Toc152"/>
      <w:bookmarkEnd w:id="461"/>
      <w:r>
        <w:rPr>
          <w:rtl w:val="true"/>
        </w:rPr>
        <w:t>مصادر التحقيق</w:t>
      </w:r>
      <w:r>
        <w:rPr>
          <w:rtl w:val="true"/>
        </w:rPr>
        <w:t>:</w:t>
      </w:r>
      <w:bookmarkEnd w:id="462"/>
    </w:p>
    <w:p>
      <w:pPr>
        <w:pStyle w:val="BookText"/>
        <w:rPr/>
      </w:pPr>
      <w:r>
        <w:rPr>
          <w:rFonts w:ascii="IRNazanin" w:hAnsi="IRNazanin" w:eastAsia="IRNazanin"/>
          <w:color w:val="111111"/>
          <w:sz w:val="28"/>
          <w:sz w:val="28"/>
          <w:szCs w:val="28"/>
          <w:rtl w:val="true"/>
          <w:lang w:bidi="fa-IR"/>
        </w:rPr>
        <w:t>مصادر التحقیق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آلاء الرّحمن في تفسير القرآن، محمّد جواد البلاغي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بنياد البعثة، قم،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الآيات الأحكام في تفسير كلام الملك العلام، محمّد بن علیّ بن إبراهيم الأسترابادي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المعراجي، طهران، الطبعة الأولی،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أحكام القرآن لابن العربي، ابن العربي محمّد بن عبدالله بن أبوبكر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علیّ الجصّاص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الأذهان إلی أحكام الإيمان، الحسن بن يوسف بن المطهّر العلامة الحلّي</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قم،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في معرفة حجج الله علی العباد، الشّيخ المفيد أبو عبد الله محمّد بن محمّد نعمان العكبري البغدادي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فيما اختلف من الأخبار، أبو جعفر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الإسلاميّة، طهران، الطبعة الأولی،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إصباح الشيعة بمصباح الشريعة، قطب الدّين الكيدري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إلی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الصادق علیه السلام، قم،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الفقه، محمّد رضا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الطّباعة والنّشر التّابع لمكتب الإعلام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السّابعة،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بالأعمال الحسنة فيما يعمل مرّة في السّنة، سيّد بن طاووس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الطّباعة والنّشر التّابع لمكتب الإعلام الإسلامي،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الانتصار في انفرادات الإماميّة، السيّد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قم،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الجامعة لدرر أخبار الأئمة الأطهار علیهم السلام ، محمّد باقر المجلسي</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الثانية،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المحيط في التفسير، أبو حيّان محمّد بن يوسف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دارالفكر،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بدائع الصنائع، أبوبكر بن مسعود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الحبيبيّة، پاكستان،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المجتهد ونهاية المقتصد، ابن رشد الحفيد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المجمع العالمي للتقريب بين المذاهب الإسلاميّة، طهران، الطبعة الثانية،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البدر الزاهر في صلاة الجمعة والمسافر، السيّد حسين الطباطبائي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السيّد، قم، الطبعة الثالثة،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بغية الباحث عن زوائد مسند الحارث، نورالدّين بن أبي بكر الهيثمي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خدمة السنة والسيرة النّبويّة، المدينة المنورة،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السيّد مرتضی الحسيني الزّبيدي الواسطي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دارالفكر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تبصرة المتعلمين في أحكام الدّين، الحسن بن يوسف بن المطهّر العلامة الحلّي</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الطباعة والنشر التابع لوزارة الثقافة الإسلامي، طهران،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تبيان الصلاة، السيّد حسين الطباطبائي البروجردي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كنز العرفان للطباعة والنشر، قم، الطبعة الأولی،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التبيان في تفسير القرآن، أبو جعفر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تحرير الأحكام الشّرعيّة علی مذهب الإماميّة، الحسن بن يوسف بن المطهّر العلامة الحلّي</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الصّادق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الوسيلة، روح الله الموسوي الخميني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قم، الطبعة التاسعة،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ابن شعبة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قم المقدسة،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 في كلمات القرآن الكريم، حسن المصطفوي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الطبعة الثالثة،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الفقهاء، العلامة الحلّي الحسن بن يوسف بن المطهر</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البيت علیهم السلام لإحياء التّراث، قم،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العلامة الحلّي الحسن بن يوسف بن المطهر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المرتضويّة لإحياء الآثار الجعفريّة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العياشی، محمّد بن مسعود بن محمّد بن العيّاشی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النّشر العلمية، طهران، الطبعة الأولی،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القمّی، علیّ بن إبراهيم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قم،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الفخر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العربی،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الثالثة،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تكملة العروة الوثقی، السيّد أبو القاسم 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مدينة العلم، قم المقدسة، الطبعة الثمانية والعشرون،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التّنقيح الرائع لمختصر الشرائع، جمال الدّين مقداد بن عبدالله المعروف بالفاضل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آية الله المرعش النجفی، قم المقدسة،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أبو جعفر محمّد بن الحسن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الإسلاميّة، طهران، الطبعة الرابعة،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وعقاب الأعمال،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الشّريف الرّضی،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الشتات في أجوبة والسئوالات، الميرزا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كيهان، تهران،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لأحكام القرآن، محمّد بن أحمد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خسرو، تهران، الطبعة الأولی،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للشرائع، يحيی بن سعيد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سيّد الشهداء العلميّة، قم، 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المقاصد في شرح القواعد، علیّ بن حسين العاملی الكركی الملقب بالمحقّق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البيت علیهم السلام لإحياء التّراث، قم المقدّسة، الطبعة الثّانية،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 العلم والعمل، علیّ بن الحسين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الطبعة الأولی، النجف الأشرف،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الفقه، عبد العزيز أبوجعفر محمّد بن الحسن القاضی ابن البرّاج الطرابلسی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قم المقدسة،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الكلام في شرح شرائع الإسلام، محمّد حسن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العربی، بيروت، الطبعة السّابعة،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حاشية المكاسب، السيّد محمّد كاظم الطباطبائی اليزدی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اسماعيليان، قم، الطبعة الثانية،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في أحكام العترة الطاهرة، الشّيخ يوسف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التّابعة لجماعة المدرسين بقم المقدّسة، 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المنشورات الإسلاميّة التّابعة لجامعة المدرسين، قم المقدّسة، الطبعة الأولی، ذی القعدة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الأقوال في معرفة أحوال الرجال، الحسن بن يوسف بن المطهّر العلامة الحلي</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الذخائر، قم المقدسة،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 في التفسير المأثور، جلال الدّين عبدالرّحمن بن أبي بكر السيوطي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آية الله المرعشي النجفی، قم،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شمس الدّين محمّد بن مكي العاملي 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النشر الإسلامي، قم، الطبعة الثانية، صفر المظفّر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نعمان بن محمّد المغربي المعروف بابن حيّون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البيت علیهم السلام لإحياء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 الطبعة الثانية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الناسك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تعليقة وجيزة على مناسك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للنائينی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محسن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دار الحكمه، النجف الأشرف، الطبعة الثالثة،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ذخيرة المعاد في شرح الإرشاد، المحقّق السّبزواري محمّد باقر بن محمّد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البيت علیهم السلام لإحياء التّراث، قم ، الطبعة الأولی،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رؤية الهلال، رضا مختاري ومحسن صادقي، مركز الطباعة والنّشر التّابع لمكتب الإعلام الإسلامي، قم المقدسة، الطبعة الأولی،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الربا والبنك الإسلامي، آية الله مكارم الشيرازي، مدرسة الإمام عليّ أبي طالب علیه السلام، قم،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داود، الحسن بن عليّ بن داود الحلي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 إلی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الحيدريّة، النجف الأشرف، الطبعة الأولی،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الغضائری، أحمد بن الحسين بن عبيد الله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دارالحديث، قم،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البرقی، أبوجعفر أحمد بن محمّد بن خالد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دانشگاه تهران، تهران، الطبعة الأولی،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قم المقدسة، الطبعة الأولي،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بن يوسف بن المطهّر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المطبعة الحيدريّة، النجف الأشرف، الطبعة الثانية،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عمر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النّشر التابعة لجامعة مشهد، مشهد، الطبعة الأولی،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النّجاشي، أبو الحسن أحمد بن عليّ النّجاشي</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النّشر الإسلامي التابع لجماعة المدرّسين في الحوزة العلمية، قم،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العشر، الإمام الخميني</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تنظيم ونشر آثار امام خميني قدس سره،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الشّهيد الثانی، زين الدّين عليّ الجبل 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بصيرتي، قم المقدّسة،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المحقق الكركي، علیّ بن الحسين العاملي الكركي المعروف بالمحقق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النّشر الإسلامي التابع لجماعة المدرّسين في الحوزة العلمية، قم،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 في شرح إرشاد الأذهان، زين الدّين عليّ الجبل عاملي الملقب بالشّهيد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النشر الإسلامي التابع للمركز الإعلامي في الحوزة العلمية،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الطبعة الأولی،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 البهيّة في شرح اللمعة الدمشقيّة، زين الدّين عليّ الجبعي العاملي الشّهيد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دار التّفسير، قم، الطبعة الثالثة،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في شرح من لا يحضره الفقيه، محمّد تقي ابن مقصود علی الإصبهاني المشهور بالمجلسي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الثقافي الدينية كوشانبور،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الطبعة الثانية،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رياض المسائل في بيان أحكام الشّرع بالدّلائل، السيّد عليّ 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قم المقدسة، الطبعة الأولی، رمضان المبارك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حسين النجفي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كاشف الغطاء، الطبعة الأولی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محمّد بن منصور ابن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قم المقدّسة، الطبعة الثانية،</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سلسلة الينابيع الفقهيّة، عليّ أصغر مرواريد، مؤسّسه فقه الشّيعة،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 القزويني، محمّد بن يزيد القزويني</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الجيل، بيروت،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أبي داود، سليمان بن الأشعث السّجستاني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الحديث، القاهرة،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محمّد بن عيسی التّرمذی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الحديث، القاهرة،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الدار قطني، أبوالحسن علیّ بن عمر بن أحمد البغدادي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الكبری، أحمد بن الحسين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النسائي، أحمد بن شعيب النسائي</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الشافی في شرح الكافي، الملا خليل بن غازي القزويني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دارالحديث، قم، الطبعة الأولی،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الإسلام في مسائل الحلال والحرام، نجم الدّين جعفر بن الحسن المحقّق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إسماعيليان،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الأزهار، الإمام أحمد بن يحيی بن المرتضی الزيدي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غمضان،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اليمن، الطبعة الأولی،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البخاری، محمّد بن إسماعيل البخاري</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بيروت، 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مسلم، مسلم بن الحجّاج النيشابوري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المسافر للمحقق الإصفهاني، محمّد حسين الكمبانی الإصفهاني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قم، الطبعة الثانية،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العروة الوثقی، محمّد كاظم الطباطبائی اليزدي</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للمطبوعات، بيروت لبنان، الطبعة الثانية،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العروة الوثقی، محمّد كاظم الطباطبائي اليزدي</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تعليقات آية الله العظمی مكارم الشيرازي وعدة من الفقهاء العظام، دار نشر الإمام عليّ بن أبي طالب علیه السلام، قم، الطبعة الثانية،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الطباطبائي اليزدي</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قم المقدسة،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الداوري، قم، الطبعة الأولی،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عوائد الأيّام في بيان قواعد الأحكام، أحمد بن محمّد مهدي النَّراقي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مركز الطباعة والنّشر التّابع لمكتب الإعلام الإسلامي، قم المقدسة،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عوالي اللآلي العزيزيّة، ابن أبي جمهور الأحسائي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أوائل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سيّد الشهداء علیه السلام، قم،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جهان، تهران، الطبعة الأولی،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المرام في شرح شرائع الإسلام، مفلح بن الحسن الصيمري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دارالهادي،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غنية النزوع إلی علمي الأصول والفروع، ابن زهرة الحلبي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الصادق علیه السلام، قم،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الفروق الغويّة، أبی هلال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قم، الطبعة السادسة،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 السلام، المنسوب إلی علیّ بن موسی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علیهم السلام لإحياء التراث، مشهد،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علی المذاهب الأربعة، عبد الرّحمن الجزيري، 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السابعة،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القرآن للراوندي، قطب الدّين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مكتبة آية الله المرعشي النجفی، قم، الطبعة الثانية،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الأصول، محمّد حسين النائيني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قم، الطبعة الأولی،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الرجاليّة، السيّد محمّد مهدي بحر العلوم 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الصادق علیه السلام، طهران،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القواعد، زين الدّين عليّ الجبعی العاملي الملقب بالشّهيد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الطّباعة والنّشر التّابع لمكتب الإعلام الإسلامي،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 للشيخ الطوسي، أبوجعفر محمّد الحسن الطوسي</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المكتبة الرضويّة، النجف الأشرف، الطبعة الأولی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الرجال، محمّد تقي الشوشتري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قم،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عبد الله بن جعفر الحميري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البيت علیهم السلام لإحياء التّراث، قم المقدّسة،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قاعدة 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محمّد كاظم المصطفوي، مؤسسة النشر الإسلامي، قم، الطبعة الرابعة،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الأحكام في مسائل الحلال والحرام، الحسن بن يوسف بن المطهّر العلامة الحلي</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النّشر الإسلامي التابع لجماعة المدرّسين في الحوزة العلمية، قم،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الفقهيّة، آية الله مكارم الشيرازي، دارالنشر الإمام أميرالمؤمنين علیه السلام، قم، الطبعة الخامسة،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الكافی،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الإسلاميّة، طهران، الطبعة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الكافی في الفقه، تقيّ الدّين بن نجم الدّين أبو الصّلاح الحلبيّ</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الطّباعة والنّشر التّابع لمكتب الإعلام الإسلامي،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الطبعة الأولی،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التفسير، محمّد بن مسعود العياشي</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العلميّة، طهران، الطبعة الأولی،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للشاهرودي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محمود الشاهرودي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أنصاريان، قم، الطبعة الأولی،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الخلاف،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النشر الإسلامي، قم، الطبعة الرّابعة،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الصّلاة، الشّيخ الأعظم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المؤتمر العالمي لتراث الشّيخ الأعظم،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الطهارة، الشّيخ الأعظم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المؤتمر العالمي لتراث الشّيخ الأعظم،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العين، الخليل بن أحمد الفراهيدي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دار الهجرة،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 وعهد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دروگولين، لندن،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المكاسب، الشّيخ الأعظم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المؤتمر العالمي لتراث الشّيخ الأعظم،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المناهل، السيّد محمّد المجاهد الطباطبائي الحائري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البيت علیهم السلام لإحياء التراث، قم المقدسة،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الرّموز في شرح المختصر النّافع، الفاضل الآبي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إلی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النّشر الإسلامي، قم، الطبعة الثالثة،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الغطاء عن مبهمات الشّريعة الغراء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خضر الكاشف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دارالنشر الإسلامي التابع للمركز الإعلامي في الحوزة العلمية،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اللثام والإبهام عن قواعد الأحكام، محمّد بن الحسن الفاضل الهندي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النشر الإسلامي التابع لجماعة المدرّسين في الحوزة العلمية، قم،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في النصّ علی الأئمّة الإثنی عشر علیهم السلام ، علیّ بن محمّد الخزاز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تلاذمة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بيدار،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الأحكام، المحقّق السّبزواري محمّد باقر بن محمّد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النشر الإسلامي التابع لجماعة المدرّسين في الحوزة العلمية، قم، 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الأصول، الآخوند الخراسانی المولی محمّد كاظم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البيت علیهم السلام لإحياء التّراث، بيروت،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طهران، الطبعة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العمّال في سنن الأقوال والأفعال، علاء الدّين عليّ المتقی بن حسام الدّين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الخامسة،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 محمّد بن مكرم بن منظور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دارالفكر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الدمشقيّة في فقه الإماميّة، شمس الدّين محمّد بن مكي العاملي الملقب بالشهيد الأوّل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دارالتراث الإسلاميّة،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في فقه الإماميّة، أبو جعفر محمّد بن الحسن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الثّالثة،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البحرين، فخر الدّين الطّريحي</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 نشر فرهنگ إسلامي، طهران، الطبعة الثانية،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الفضل بن الحسن الطبرسي المعروف بأمين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ناصر خسرو، تهران، الطبعة الثالثة،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 ومنبع الفوائد، عليّ بن أبی بكر الهيثمي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دارالكتب العلميّة، بطروت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الفائدة والبرهان في شرح إرشاد الأذهان، أحمد بن محمّد المقدس الأردبيلي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النّشر الإسلامي التابع لجماعة المدرّسين في الحوزة العلمية، قم،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المجموع في شرح المهذّب، يحيی بن شرف النووي الشّافعي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الفكر، بيروت،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فتاوي ابن الجنيد، محمّد بن الجنيد الإسكافي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قم،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قم، الطبعة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المحيط في اللغة، صاحب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الكتاب،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النافع في فقه الإماميّة، نجم الدّين جعفر بن الحسن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المنشورات المصطفوي، الطبعة الأولی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 في أحكام الشّريعة، الحسن بن يوسف بن المطهّر 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النّشر الإسلامي، قم، الطبعة الثانية، رمضان المبارك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مدارك الأحكام في شرح شرائع الأحكام، السّيد محمّد بن عليّ الموسوي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البيت علیهم السلام لإحياء التّراث، مشهد المقدّسة، الطبعة الأولی، محرّم الحرام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في شرح أخبار آل الرسو صَلَّى اَللَّهُ عَلَيْهِ وَ آلِهِ وَ سَلَّمْ محمّد باقر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دارالكتب الإسلاميّة، ايران،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المراسم العلويّة في الأحكام النّبويّة في الفقه الإماميّة، سلاّر بن عبد العزيز الديلمي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الحرمين، قم،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مسالك الأفهام إلی تنقيح شرائع الإسلام، زين الدّين عليّ الجبعي العاملي الشّهيد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المعارف الإسلاميّة، قم،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ومستنبط المسائل، حسين النّوري الطبرسي</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علیهم السلام لإحياء التّراث، بيروت،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مستمسك العروة الوثقی، السيّد محسن الطباطبائي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 الأولی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المستند في شرح العروة الوثقی كتاب الإجارة، الشّيخ مرتضی البروجردي تقريرات مباحث السيّد أبوالقاسم الموسوي الخوئي</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العلمية، قم، الطبعة الأولی،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مستند الشّيعة في أحكام الشّريعة، أحمد بن محمّد مهدي النّراقي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علیهم السلام لإحياء التّراث،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أحمد بن محمّد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مصابيح الأحكام، السيّد مهدي البحر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ميثم التمار، قم، الطبعة الأولی،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الأصول، السيّد أبوالقاسم الموسوي الخوئی</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إحياء آثار الإمام الخوئي، قم،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الفقاهة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علي التوحيدي محاضرات السيّد أبو القاسم الخوئي</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الحيدريّة، النجف الأشرف، الطبعة الأولی،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الفقيه، آقا رضا بن محمّد هادي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الجعفريّة لإحياء التّراث ومؤسسة النّشر الإسلامي،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 أبو جعفر محمّد بن الحسن الطوسي</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فقه الشّيعة،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للرافعي، 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قم،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مصطلحات الفقه، الميرزا عليّ المشكيني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نشرالهادی، قم،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محمّد بن 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النّشر الإسلامي التابع لجماعة المدرّسين في الحوزة العلمية، قم،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 في شرح المختصر، المحقّق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سيّد الشّهداء علیه السلام، قم،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المعتمد في شرح المناسك، السيّد رضا الخلخالي محاضرات المحقق الخوئي</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العلميّة، قم،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الحديث وتفصيل طبقات الرجال، السيّد أبو القاسم الخوئي</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الزهراء، بيروت،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مقاييس اللغة، أحمد بن فارس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 الأعلام الإسلامي، قم، الطبعة الأولی، جمادي الآخرة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مفاتيح الشرائع،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مكتبة آية الله المرعشي النجفي، قم،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الكرامة في شرح قواعد العلامة، السيّد محمّد جواد الحسيني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حوالي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النّشر الإسلامي التابع لجماعة المدرّسين في الحوزة العلمية، قم،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ألفاظ القرآن، الرّاغب الأصفهاني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دمشق،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الشّيخ الصّدوق محمّد بن علیّ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الهادي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 محمّد بن محمّد بن النّعمان العكبريّ الملقب بالشّيخ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والنّشر التّابع لمكتب الإعلام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الرّابعة،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المكاسب المحرمة، الإمام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التنظيم والنشر لآثار الإمام الخميني، قم،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 في تحقيق المذهب، العلامة الحلي</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الإسلاميّة،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المقال في أحوال الرجال، محمّد بن اسماعيل الحائري المازندراني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البيت علیهم السلام لإحياء التّراث، قم المقدّسة،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النّشر الإسلامي، قم،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المحشي للحكيم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تعليقات الشهيد الصدر، السيّد محسن الطباطبايي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التعارف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الخوئي، السيّد أبوالقاسم الموسوي الخوئي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إحياء آثار الإمام الخوئي،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المهذّب، القاضي ابن البراج الطبرابلسي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النّشر الإسلامي، قم المقدسة، الطبعة الأولی، جمادی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مهذّب الأحكام في بيان الحلال والحرام، السيّد عبد الأعلی الموسوي السّبزواري، مؤسسة المنار، قم المقدسة،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المهذّب البارع في شرح مختصر النافع، الشيخ أحمد بن فهد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قم المقدسة،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الميزان في تفسير القرآن، محمّد حسين 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مژسسة الأعلمي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الثانية،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 النهاية، نجم الدّين جعفر بن الحسن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قم،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الإحكام في معرفة الأحكام، 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إسماعيليان، قم،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 والأثر، ابن أثير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اسماعيليان، قم، الطبعة الأولی،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والفتاوي،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ملا محسن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الإمام أميرالمؤمنين عليّ رحمه الله ، اصبهان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الطبعة الأولی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إلی تحصيل مسائل الشّريعة، الشّيخ محمّد بن الحسن الحرّ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البيت علیهم السلام لإحياء التّراث، قم المقدّسة،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الوسيلة إلى نيل الفضيلة، محمّد بن عليّ بن حمزة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إلی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مكتبة آية الله المرعشي النجفي، قم،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حكی المجلسی رحمه الله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 عَنْ عَلِیٍّ عَنْ أَبِيهِ عَنْ مُحَمَّدِ بْنِ سِنَانٍ 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قَوْلِ رَسُولِ اللَّه صَلَّى اَللَّهُ عَلَيْهِ وَ آلِهِ وَ سَلَّمْ في فَاطِمَةَ أَنَّهَا سَيِّدَةُ نِسَاءِ الْعَالَمِينَ أَهِیَ سَيِّدَةُ نِسَاءِ عَالَمِهَا؟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 لِمَرْيَمَ كَانَتْ سَيِّدَةَ نِسَاءِ عَالَمِهَا، وَفَاطِمَةُ سَيِّدَةُ نِسَاءِ الْعَالَمِينَ مِنَ الْأَوَّلِينَ وَالآخِرِينَ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حكی القندوزی الحنفی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يا رسول الله من قرابتك الّذين فرض الله علينا مودّتهم؟ قا صَلَّى اَللَّهُ عَلَيْهِ وَ آلِهِ وَ سَلَّمْ علیٌّ وفاطمة وابناهما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حكی المجلسی رحمه الله عن تفسير فرات بن إبراهيم بِإِسْنَادِهِ عَنْ حُذَيْفَةَ الْيَمَانِیِّ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عَائِشَةُ عَلَى النَّبِیِّ صَلَّى اَللَّهُ عَلَيْهِ وَ آلِهِ وَ سَلَّمْ وَهُوَ يُقَبِّلُ فَاطِمَة سَلَامُ اللهِ عَلَيْهَا،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أَتُقَبِّلُهَا وَ هِیَ ذَاتُ بَعْلٍ؟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حَدِيثَ الْمِعْرَاجِ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أَخَذَ جَبْرَئِيلُ علیه السلام بِيَدِي فَأَدْخَلَنِی الْجَنَّةَ وَأَنَا مَسْرُورٌ، فَإِذَا أَنَا بِشَجَرَةٍ مِنْ نُورٍ مُكَلَّلَةٍ بِالنُّورِ في أَصْلِهَا مَلَكَانِ يَطْوِيَانِ الْحُلِیَّ وَالْحُلَلَ ثُمَّ تَقَدَّمْتُ أَمَامِی فَإِذَا أَنَا بِتُفَّاحٍ لَمْ أَرَ تُفَّاحاً هُوَ أَعْظَمُ مِنْهُ فَأَخَذْتُ وَاحِدَةً فَفَلَقْتُهَا فَخَرَجَتْ عَلَيَّ مِنْهَا حَوْرَاءُ كَانَ أَشْفَارُهَا، مَقَادِيمُ أَجْنِحَةِ النُّسُورِ،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أَنْتِ؟ فَبَكَتْ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لِابْنِكَ الْمَقْتُولِ ظُلْماً الْحُسَيْنِ بْنِ عَلِیِّ بْنِ أَبِی طَالِبٍ علیه السلام، ثُمَّ تَقَدَّمْتُ أَمَامِی فَإِذَا أَنَا بِرُطَبٍ أَلْيَنَ مِنَ الزُّبْدِ وَأَحْلَى مِنَ الْعَسَلِ فَأَخَذْتُ رُطَبَةً فَأَكَلْتُهَا وَأَنَا أَشْتَهِيهَا فَتَحَوَّلَتِ الرُّطَبَةُ نُطْفَةً في صُلْبِی، فَلَمَّا هَبَطْتُ إِلَى الْأَرْضِ وَاقَعْتُ خَدِيجَةَ فَحَمَلَتْ بِفَاطِمَةَ، فَفَاطِمَةُ حَوْرَاءُ إِنْسِيَّةٌ، فَإِذَا اشْتَقْتُ إِلَى رَائِحَةِ الْجَنَّةِ شَمِمْتُ رَائِحَةَ ابْنَتِی فَاطِمَةَ سَلَامُ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حكی المجلسی رحمه الله عن ابْنِ شَاهِينَ في مَنَاقِبِ فَاطِمَةَ، وَأَحْمَدُ في مُسْنَدِ الْأَنْصَارِ بِإِسْنَادِهِمَا عَنْ أَبِی هُرَيْرَةَ وَثَوْبَانَ أَنَّهُمَا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النَّبِیّ صَلَّى اَللَّهُ عَلَيْهِ وَ آلِهِ وَ سَلَّمْ يَبْدَأُ في سَفَرِهِ بِفَاطِمَةَ وَيَخْتِمُ بِهَا، فَجَعَلَتْ وَقْتاً سِتْراً مِنْ كِسَاءٍ خَيْبَرِيَّةٍ لِقُدُومِ أَبِيهَا وَزَوْجِهَا، فَلَمَّا رَآهُ النَّبِیّ صَلَّى اَللَّهُ عَلَيْهِ وَ آلِهِ وَ سَلَّمْ تَجَاوَزَ عَنْهَا وَقَدْ عُرِفَ الْغَضَبُ في وَجْهِهِ حَتَّى جَلَسَ عِنْدَ الْمِنْبَرِ، فَنَزَعَتْ قِلَادَتَهَا وَقُرْطَيْهَا وَمَسَكَتَيْهَا وَنَزَعَتِ السِّتْرَ فَبَعَثَتْ بِهِ إِلَى أَبِيهَا وَقَالَتْ اجْعَلْ هَذَا في سَبِيلِ اللَّهِ، فَلَمَّا أَتَاهُ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فَعَلَتْ فِدَاهَا أَبُوهَا ثَلَاثَ مَرَّاتٍ، مَا لآلِ مُحَمَّدٍ وَلِلدُّنْيَا فَإِنَّهُمْ خُلِقُوا لِلآخِرَةِ وَخُلِقَتِ الدُّنْيَا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جَعْفَرِ بْنِ مُحَمَّدٍ علیه السلام كَيْفَ كَانَتْ وِلَادَةُ فَاطِمَةَ سَلَامُ اللهِ عَلَيْهَا؟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إِنَّ خَدِيجَةَ عَلَيْهَا رِضْوَانُ اللَّهِ لَمَّا تَزَوَّجَ بِهَا رَسُولُ اللَّه صَلَّى اَللَّهُ عَلَيْهِ وَ آلِهِ وَ سَلَّمْ هَجَرَتْهَا نِسْوَةُ مَكَّةَ فَكُنَّ لَا يَدْخُلْنَ عَلَيْهَا وَلَا يُسَلِّمْنَ عَلَيْهَا وَلَا يَتْرُكْنَ امْرَأَةً تَدْخُلُ عَلَيْهَا، فَاسْتَوْحَشَتْ خَدِيجَةُ مِنْ ذَلِكَ فَلَمَّا حَمَلَتْ بِفَاطِمَةَ سَلَامُ اللهِ عَلَيْهَا صَارَتْ تُحَدِّثُهَا في بَطْنِهَا وَتُصَبِّرُهَا وَكَانَتْ خَدِيجَةُ تَكْتُمُ ذَلِكَ عَنْ رَسُولِ اللَّه صَلَّى اَللَّهُ عَلَيْهِ وَ آلِهِ وَ سَلَّمْ فَدَخَلَ يَوْماً وَسَمِعَ خَدِيجَةَ تُحَدِّثُ فَاطِمَةَ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مَنْ يُحَدِّثُكِ؟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 الَّذِی في بَطْنِی يُحَدِّثُنِی وَيُؤْنِسُنِي،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جَبْرَئِيلُ يُبَشِّرُنِی أَنَّهَا أُنْثَى وَأَنَّهَا النَّسَمَةُ الطَّاهِرَةُ الْمَيْمُونَةُ وَأَنَّ اللَّهَ تَبَارَكَ وَتَعَالَى سَيَجْعَلُ نَسْلِی مِنْهَا وَسَيَجْعَلُ مِنْ نَسْلِهَا أَئِمَّةً في الْأُمَّةِ يَجْعَلُهُمْ خُلَفَاءَهُ في أَرْضِهِ بَعْدَ انْقِضَاء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16/80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علی ابْنِ رِئَابٍ الكوفی عَنْ أَبِی عُبَيْدَةَ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أَبَا عَبْدِ اللَّهِ علیه السلام بَعْضُ أَصْحَابِنَا عَنِ الْجَفْرِ؟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جِلْدُ ثَوْرٍ مَمْلُوءٌ عِلْماً،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فَالْجَامِعَةُ؟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صَحِيفَةٌ طُولُهَا سَبْعُونَ ذِرَاعاً في عَرْضِ الْأَدِيمِ مِثْلُ فَخِذِ الْفَالِجِ، فِيهَا كُلُّ مَا يَحْتَاجُ النَّاسُ إِلَيْهِ وَلَيْسَ مِنْ قَضِيَّةٍ إِلَّا وَهِی فِيهَا حَتَّى أَرْشُ الْخَدْشِ،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فَمُصْحَفُ فَاطِمَةَ علیها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طَوِيلًا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لَتَبْحَثُونَ عَمَّا تُرِيدُونَ وَعَمَّا لَا تُرِيدُونَ، إِنَّ فَاطِمَةَ مَكَثَتْ بَعْدَ رَسُولِ اللَّه صَلَّى اَللَّهُ عَلَيْهِ وَ آلِهِ وَ سَلَّمْ خَمْسَةً وَسَبْعِينَ يَوْماً وَكَانَ دَخَلَهَا حُزْنٌ شَدِيدٌ عَلَى أَبِيهَا وَكَانَ جَبْرَئِيلُ علیه السلام يَأْتِيهَا فَيُحْسِنُ عَزَاءَهَا عَلَى أَبِيهَا وَيُطَيِّبُ نَفْسَهَا وَيُخْبِرُهَا عَنْ أَبِيهَا وَمَكَانِهِ، وَيُخْبِرُهَا بِمَا يَكُونُ بَعْدَهَا في ذُرِّيَّتِهَا وَكَانَ عَلِیٌّ علیه السلام يَكْتُبُ ذَلِكَ فَهَذَا مُصْحَفُ فَاطِمَةَ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الكساء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ملائكتی ويا سكّان سمواتی، إنّی ما خلقت سماء مبنيّة ولا أرضا مدحيّة، ولا قمراً منيراً، ولا شمساً مضيئة، ولا فلكاً يدور، ولا بحراً يجری، ولا فلكاً تسری إلّا في محبّة هؤلاء الخمسة الّذين هم تحت الكساء، فقال الأمين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ومن تحت الكساء؟ فقال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بيت النبوّة ومعدن الرسالة، وهم فاطمة وأبوها وبعلها وبنوها، فقال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 تأذن لی أن أهبط إلى الأرض لأكون معهم سادساً؟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أذنت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والمعارف والأقوال من الآيات والأخبار والأقوال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البحرانی الإصفهانی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حكی المجلسی رحمه الله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مُحَمَّدُ بْنُ الْقَاسِمِ بْنِ عُبَيْدٍ روی مُعَنْعَناً عَنْ أَبِی عَبْدِ اللَّهِ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فَاطِمَةُ، وَالْقَدْرُ اللَّهُ، فَمَنْ عَرَفَ فَاطِمَةَ حَقَّ مَعْرِفَتِهَا فَقَدْ أَدْرَكَ لَيْلَةَ الْقَدْرِ، وَإِنَّمَا سُمِّيَتْ فَاطِمَةَ لِأَنَّ الْخَلْقَ فُطِمُوا عَنْ مَعْرِفَتِهَا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التوقيع الشريف عن مولانا صاحب الزمان عج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ابْنَةِ رَسُولِ اللَّهِ صَلَّى اَللَّهُ عَلَيْهِ وَ آلِهِ وَ سَلَّمْ لِی أُسْوَةٌ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 للحجة للشيخ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53/180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الْمُفَضَّلُ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أَنَّ اللَّهَ تَعَالَى خَلَقَ أَمِيرَ الْمُؤْمِنِينَ لَمْ يَكُنْ لِفَاطِمَةَ كُفْوٌ عَلَى وَجْهِ الْأَرْضِ آدَمُ فَمَنْ 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43/107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حكی القندوزی الحنفی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فاطمة إنّ الله يغضب لغضبك، ويرضی لرضاك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الفقهاء بأنّ غسل الجنابة مندوب نفسی، وواجب غيری، فالتعبير بأنّ الواجب منها سبعة مسامحی مبنی علی نوع من التجوز، بل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غير غسل الأموات لا يجب شیء منها بالوجوب النفسی، إليه أشار المحقّق الحلّی رحمه الله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تجب عند وجوب ما لا يتمّ إلا بها، كالصلاة والطواف، لكن لما كان الحدث سبب الوجوب أطلق الوجوب عند حصوله وإن كان وجود المسبّب موقوفاً على الشرط، كما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على الحائض القضاء وإن كان لا يتحقّق إلا مع الطهر، فاذا تحقّق هذا فنحن نريد بالوجوب هذا الوجوب الموقوف على وجوب ما لا صحّ الا بالغسل، وعلى وجوب غسل الحائض عند النقاء وإرادة الصلاة أو غيرها ممّا الطهارة شرط، فيه إجماع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وأصرح منه ما قاله السيّد البحر العلوم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شیء من الأغسال الخمسة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الجنابة، والحيض، والنّفاس، والإستحاضة، والمس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 حتّى غسل الجنابة على أظهر القولين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وقد صرّح بذلك إجمالاً صحيحة سعد بن أبی خلف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الْغُسْلُ في أَرْبَعَةَ عَشَرَ مَوْطِناً، وَاحِدٌ فَرِيضَةٌ وَالْبَاقِی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وصحيحة زرارة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دَخَلَ الْوَقْتُ وَجَبَ الطَّهُورُ وَالصَّلَاةُ، وَلَا صَلَاةَ إِلَّا بِطَهُورٍ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العامّة وهم الحنابلة والحنفيّة والشّافعيّة وإن كانوا قائلين بكفاية غسل الجنابة عن الوضوء، إلّا أنّهم افتوا بكونه مندوباً قبل الغسل،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الطهارة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المسئله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المسئلة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مستحبّات غسل الجنابة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نسب بعض من الفقهاء والمحدّثين كالعلامة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والمحدث البحرانی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78/28</w:t>
      </w:r>
      <w:r>
        <w:rPr>
          <w:rFonts w:ascii="IRNazanin" w:hAnsi="IRNazanin" w:eastAsia="IRNazanin"/>
          <w:b w:val="false"/>
          <w:b w:val="false"/>
          <w:bCs w:val="false"/>
          <w:i w:val="false"/>
          <w:i w:val="false"/>
          <w:iCs w:val="false"/>
          <w:color w:val="333333"/>
          <w:sz w:val="20"/>
          <w:sz w:val="20"/>
          <w:szCs w:val="20"/>
          <w:rtl w:val="true"/>
        </w:rPr>
        <w:t xml:space="preserve">، والسّيد الحكيم قدس الله أسرارهم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إلی السيّد المرتضی رحمه الله أنّه من القائلين بالقول الثّالث الآتی مع أنّ صريح كلامه هنا علی خلاف ذلك، الّلهم إلّا أن يكون ذلك رأياً آخراً منه قدس سره، وكيف كان لم نر فيما بأيدينا من كتبه ما يدلّ علی القول الثّالث الآتی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 في شرح من لايحضره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الشّيعة إلی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 في شرح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مع تعليقات آية الله العظمی مكارم الشّيرازی وعدّة من الفقهاء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كيفية الغسل وأحكامه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مستحبّات غسل الجنابة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في الأغسال الفعليّة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المسئله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يقدّم أحد الدليلين على الآخر تقديم سيطرة وقهر من ناحية أدائية لا من ناحية السّند أو الحجيّة بل هما على ما هما عليه من الحجيّة بعد التَقديم، بمعنی أنّهما بحسب لسانهما وأدائهما لا يتكاذبان في مدلولهما فلا يتعارضان كما في الخاصّ المنافی في مدلوله للعام، وإنّما التّقديم كما عرفت من ناحية أدائية بحسب لسانهما بمعنى أنّ الدليل الحاكم يكون لسانه لسان تحديد موضوع الدليل المحكوم أو محموله تنزيلاً وادّعاءً فلذلك يكون الحاكم متصرفاً في عقد الوضع أو عقد الحمل في الدّليل المحكوم، من أمثلتها في الشّرعيّات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شك لكثير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مثل نفی شك المأموم مع حفظ الإمام وبالعكس، فإنّ هذا ونحوه يكون حاكماً على أدلة حكم الشّك لأنّ لسانه إخراج شك كثير الشّك وشك المأموم أو الإمام عن حضيرة صفة الشّك تنزيلاً، فمن حقّه حينئذ ألا يُعطى له أحكام الشّك من نحو إبطال الصّلاة أو البناء على الأكثر أو الأقل أو غير ذلك، ولزيادة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 للمظفّر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الحكومة والورود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مباحث التعادل والتراجيح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الخراسانی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الأمر بين الأقلّ والأكثر الإرتباطيين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مبنا هذا القول هو مسئلة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التّحسين والتّقبيح أنّه هل كونهما عقليين كما ذهب إليه العدلية، أو شرعيين كما اختاره الأشاعرة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المستقلات العقليّة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الْكُوفَةِ يَرْوُونَ عَنْ عَلِیٍّ علیه السلام أَنَّهُ كَانَ يَأْمُرُ بِالْوُضُوءِ قَبْلَ الْغُسْلِ مِنَ الْجَنَابَةِ؟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كَذَبُوا عَلَى عَلِیٍّ علیه السلام مَا وَجَدُوا ذَلِكَ في كِتَابِ عَلِیٍّ علیه السلام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كُنْتُمْ جُنُباً فَاطَّهَّرُوا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وإرساله لا يقدح في العمل بها بعد انجبارها بالعمل، وكونه من أصحاب الإجماع الّذی يقال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لايرسل ولايروی إلّا عن ثقة،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صحيحتي ابْنِ أَبِی عُمَيْرٍ عَنْ رَجُلٍ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غُسْلٍ قَبْلَهُ وُضُوءٌ إِلَّا غُسْلَ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وحَمَّادِ بْنِ عُثْمَانَ أَوْ غَيْرِهِ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كُلِّ غُسْلٍ وُضُوءٌ إِلَّا الْجَنَابَةَ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الشّيعة إلی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مع تعليقات آية الله العظمی مكارم الشّيرازی وعدّة من الفقهاء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كيفيّة الغسل وأحكامه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مستحبّات غسل الجنابة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في الأغسال الفعليّة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المسئله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18372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صحيحتي ابْنِ أَبِی عُمَيْرٍ عَنْ رَجُلٍ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غُسْلٍ قَبْلَهُ وُضُوءٌ إِلَّا غُسْلَ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وحَمَّادِ بْنِ عُثْمَانَ أَوْ غَيْرِهِ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كُلِّ غُسْلٍ وُضُوءٌ إِلَّا الْجَنَابَةَ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المرجّحات،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التّرجيح بالشّهرة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الحكمة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لسقوط صحيحة أبي بكر الحضرمي في الطّائفة السّادسة عن الحجيّة، لما عرفت آنفاً تعارضها مع تلك الرّوايات المتظافرة بل المتواترة معنی في الطّوائف الخمسة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آللَّهُ أَذِنَ لَكُمْ أَمْ عَلَى اللَّهِ تَفْتَرُونَ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مدارك الأحكام في شرح عبادات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الأقوی، جمعاً بين ما دلّ علی صحّة مثل هذا الغسل من الاستصحاب والاطلاقات وغيرها، وبين ما دلّ علی إيجاب الأصغر الوضوء،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المسئلة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مستحبّات غسل الجنابة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المسئلة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النّراقی،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مدارك الأحكام في شرح عبادات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الجنابة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وقريب منه ما قاله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أحكام غسل الجنابة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ما رواها أبو بكر الحضرمیّ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أَصْنَعُ إِذَا أَجْنَبْتُ؟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اغْسِلْ كَفَّيْكَ وَفَرْجَكَ، وَتَوَضَّأْ وُضُوءَ الصَّلَاةِ ثُمَّ اغْتَسِلْ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19665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غسل الجنابة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مستحبّات غسل الجنابة، و</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الواردة في طائفتي الرابع والخامس كصحيحة يعقوب بن يقطين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الكاظم أو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غُسْلِ الْجَنَابَةِ فِيهِ وُضُوءٌ أَمْ لَا فِيمَا نَزَلَ بِهِ جَبْرَئِيلُ علیه 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الْجُنُبُ يَغْتَسِلُ، يَبْدَأُ فَيَغْسِلُ يَدَيْهِ إِلَى الْمِرْفَقَيْنِ قَبْلَ أَنْ يَغْمِسَهُمَا في الْمَاءِ، ثُمَّ يَغْسِلُ مَا أَصَابَهُ مِنْ أَذًى، ثُمَّ يَصُبُّ عَلَى رَأْسِهِ وَعَلَى وَجْهِهِ وَعَلَى جَسَدِهِ كُلِّهِ، ثُمَّ قَدْ قَضَى الْغُسْلَ وَلَا وُضُوءَ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في 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الطهارة، و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صلاة الجمعة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الأغسال المندوبة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 ونهاية المفتصد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و بهذا العبارة أيضاً حديث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78/129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21232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21234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21248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21267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23350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في شرح إرشاد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الطَّهارة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الأغسال المسنونة باب حصر أنواعها وأقسامها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حكی الشّيخ الحرّ العاملی رحمه الله عن بعض مشايخه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القاريجار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معرّبٌ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 والأجير، وقال العلامة المجلسی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القاريجار معرّب كارگر،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أحوال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و رواها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ذيل الرّواية السّابقة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3770</w:t>
      </w:r>
      <w:r>
        <w:rPr>
          <w:rFonts w:ascii="IRNazanin" w:hAnsi="IRNazanin" w:eastAsia="IRNazanin"/>
          <w:b w:val="false"/>
          <w:b w:val="false"/>
          <w:bCs w:val="false"/>
          <w:i w:val="false"/>
          <w:i w:val="false"/>
          <w:iCs w:val="false"/>
          <w:color w:val="333333"/>
          <w:sz w:val="20"/>
          <w:sz w:val="20"/>
          <w:szCs w:val="20"/>
          <w:rtl w:val="true"/>
        </w:rPr>
        <w:t xml:space="preserve">، وكذلك أحاديث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الصّدوق رحمه الله إلی عبد الرّحمن بن أبی عبدالله البصری في خاتمة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سياق أعمال اللّيلة الثّالثة ويومها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يستحبّ الغسل، على مقتضى الرواية الّتي تضمّنت أنّ في كلّ ليلة مفردة من جميع الشهر يستحبّ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لم نعثر علی روايته فيما بأيدينا من مصادر الحديث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مرفوعة موسی بن طاوس بإسناده عن محمّد بن أبی عمير من كتاب علیّ بن عبد الواحد النّهدی عن بعض أصحابه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وَ سَلَّمْ يَغْتَسِلُ في شَهْرِ رَمَضَانَ في الْعَشْرِ الْأَوَاخِرِ في كُلِّ 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3779</w:t>
      </w:r>
      <w:r>
        <w:rPr>
          <w:rFonts w:ascii="IRNazanin" w:hAnsi="IRNazanin" w:eastAsia="IRNazanin"/>
          <w:b w:val="false"/>
          <w:b w:val="false"/>
          <w:bCs w:val="false"/>
          <w:i w:val="false"/>
          <w:i w:val="false"/>
          <w:iCs w:val="false"/>
          <w:color w:val="333333"/>
          <w:sz w:val="20"/>
          <w:sz w:val="20"/>
          <w:szCs w:val="20"/>
          <w:rtl w:val="true"/>
        </w:rPr>
        <w:t xml:space="preserve">، وكذلك حديث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مرفوعة المفيد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يُسْتَحَبُّ الْغُسْلُ لَيْلَةَ النِّصْفِ مِنْ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مرفوعة السّكونی عن أبی عبد اللّه علیه السلام عن آبائه 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اغْتَسَلَ أَوَّلَ يَوْمٍ مِنَ السَّنَةِ في مَاءٍ جَارٍ وَصَبَّ عَلَى رَأْسِهِ ثَلَاثِينَ غُرْفَةً كَانَ دَوَاءَ السَّنَةِ، وَإِنَّ أَوَّلَ كُلِّ سَنَةٍ أَوَّلُ يَوْمٍ مِنْ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الأغسال المندوبة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وُجُوبِ الشَّمْسِ قُبَيْلَهُ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سقوطها، ويدلّ علی جواز ايقاع غُسل الليالی قبل غروب الشّمس قريباً منه، كما ذكره بعض الأصحاب،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15/375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3710</w:t>
      </w:r>
      <w:r>
        <w:rPr>
          <w:rFonts w:ascii="IRNazanin" w:hAnsi="IRNazanin" w:eastAsia="IRNazanin"/>
          <w:b w:val="false"/>
          <w:b w:val="false"/>
          <w:bCs w:val="false"/>
          <w:i w:val="false"/>
          <w:i w:val="false"/>
          <w:iCs w:val="false"/>
          <w:color w:val="333333"/>
          <w:sz w:val="20"/>
          <w:sz w:val="20"/>
          <w:szCs w:val="20"/>
          <w:rtl w:val="true"/>
        </w:rPr>
        <w:t>،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3770</w:t>
      </w:r>
      <w:r>
        <w:rPr>
          <w:rFonts w:ascii="IRNazanin" w:hAnsi="IRNazanin" w:eastAsia="IRNazanin"/>
          <w:b w:val="false"/>
          <w:b w:val="false"/>
          <w:bCs w:val="false"/>
          <w:i w:val="false"/>
          <w:i w:val="false"/>
          <w:iCs w:val="false"/>
          <w:color w:val="333333"/>
          <w:sz w:val="20"/>
          <w:sz w:val="20"/>
          <w:szCs w:val="20"/>
          <w:rtl w:val="true"/>
        </w:rPr>
        <w:t xml:space="preserve">، وكذلك أحاديث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3804</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3710</w:t>
      </w:r>
      <w:r>
        <w:rPr>
          <w:rFonts w:ascii="IRNazanin" w:hAnsi="IRNazanin" w:eastAsia="IRNazanin"/>
          <w:b w:val="false"/>
          <w:b w:val="false"/>
          <w:bCs w:val="false"/>
          <w:i w:val="false"/>
          <w:i w:val="false"/>
          <w:iCs w:val="false"/>
          <w:color w:val="333333"/>
          <w:sz w:val="20"/>
          <w:sz w:val="20"/>
          <w:szCs w:val="20"/>
          <w:rtl w:val="true"/>
        </w:rPr>
        <w:t xml:space="preserve">، وراجع أيضاً أحاديث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 وتفصيل طبقات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و ج</w:t>
      </w:r>
      <w:r>
        <w:rPr>
          <w:rFonts w:eastAsia="IRNazanin" w:cs="IRNazanin"/>
          <w:b w:val="false"/>
          <w:bCs w:val="false"/>
          <w:i w:val="false"/>
          <w:iCs w:val="false"/>
          <w:color w:val="333333"/>
          <w:sz w:val="20"/>
          <w:szCs w:val="20"/>
        </w:rPr>
        <w:t>12/326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علی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و راجع أيضاً أحاديث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19444</w:t>
      </w:r>
      <w:r>
        <w:rPr>
          <w:rFonts w:ascii="IRNazanin" w:hAnsi="IRNazanin" w:eastAsia="IRNazanin"/>
          <w:b w:val="false"/>
          <w:b w:val="false"/>
          <w:bCs w:val="false"/>
          <w:i w:val="false"/>
          <w:i w:val="false"/>
          <w:iCs w:val="false"/>
          <w:color w:val="333333"/>
          <w:sz w:val="20"/>
          <w:sz w:val="20"/>
          <w:szCs w:val="20"/>
          <w:rtl w:val="true"/>
        </w:rPr>
        <w:t xml:space="preserve">، و راجع أيضاً أحاديث </w:t>
      </w:r>
      <w:r>
        <w:rPr>
          <w:rFonts w:eastAsia="IRNazanin" w:cs="IRNazanin"/>
          <w:b w:val="false"/>
          <w:bCs w:val="false"/>
          <w:i w:val="false"/>
          <w:iCs w:val="false"/>
          <w:color w:val="333333"/>
          <w:sz w:val="20"/>
          <w:szCs w:val="20"/>
        </w:rPr>
        <w:t>19446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19653</w:t>
      </w:r>
      <w:r>
        <w:rPr>
          <w:rFonts w:ascii="IRNazanin" w:hAnsi="IRNazanin" w:eastAsia="IRNazanin"/>
          <w:b w:val="false"/>
          <w:b w:val="false"/>
          <w:bCs w:val="false"/>
          <w:i w:val="false"/>
          <w:i w:val="false"/>
          <w:iCs w:val="false"/>
          <w:color w:val="333333"/>
          <w:sz w:val="20"/>
          <w:sz w:val="20"/>
          <w:szCs w:val="20"/>
          <w:rtl w:val="true"/>
        </w:rPr>
        <w:t xml:space="preserve">، و راجع أيضاً أحاديث </w:t>
      </w:r>
      <w:r>
        <w:rPr>
          <w:rFonts w:eastAsia="IRNazanin" w:cs="IRNazanin"/>
          <w:b w:val="false"/>
          <w:bCs w:val="false"/>
          <w:i w:val="false"/>
          <w:iCs w:val="false"/>
          <w:color w:val="333333"/>
          <w:sz w:val="20"/>
          <w:szCs w:val="20"/>
        </w:rPr>
        <w:t>19654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w:t>
      </w:r>
      <w:r>
        <w:rPr>
          <w:rFonts w:eastAsia="IRNazanin" w:cs="IRNazanin"/>
          <w:b w:val="false"/>
          <w:bCs w:val="false"/>
          <w:i w:val="false"/>
          <w:iCs w:val="false"/>
          <w:color w:val="333333"/>
          <w:sz w:val="20"/>
          <w:szCs w:val="20"/>
        </w:rPr>
        <w:t>19839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w:t>
      </w:r>
      <w:r>
        <w:rPr>
          <w:rFonts w:eastAsia="IRNazanin" w:cs="IRNazanin"/>
          <w:b w:val="false"/>
          <w:bCs w:val="false"/>
          <w:i w:val="false"/>
          <w:iCs w:val="false"/>
          <w:color w:val="333333"/>
          <w:sz w:val="20"/>
          <w:szCs w:val="20"/>
        </w:rPr>
        <w:t>19857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19840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الصّلاة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و راجع أيضاً حديث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صلاة المسافر أحاديث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عشر من هذه الأبواب أحاديث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حسن النجفی رحمه الله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 فلا ريب عندنا في وجوب الإتمام علی المسافر بالوصول إلی نفس منزله المزبور سواء قصد مجرد الإجتياز به أو انشاء السفر منه، أو إلی البلاد الّتي فيها منزله وإن لم يصل إلی نفس منزله بل أو إلی محلّ الترخص من محل بلاده، كلّ ذلك لانسلاخه عن صدق المسافر واندارجه في الحاضر، بديهةً لوروده إلی موضع رحله ومقرّ أهله ومحلّ أنسه ومستراح بدنه ومأنس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14/246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 للنراقی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قدس سره ذكر ثمانية أقوال في تحقيق معنی الوطن عند فقهائنا، وكذا ما تقدّم آنفاً عن الجزيری من أقوال المذاهب العامة في هذا المجال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الشّیء يجِدّ بالكسر فهو جديد خلاف القديم،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من الّذين عبّر عنه بهذين التعبرين المحقق الإصبهانی رحمه الله المعروف بالكمبانی في كتابه المسمی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7/454</w:t>
      </w:r>
      <w:r>
        <w:rPr>
          <w:rFonts w:ascii="IRNazanin" w:hAnsi="IRNazanin" w:eastAsia="IRNazanin"/>
          <w:b w:val="false"/>
          <w:b w:val="false"/>
          <w:bCs w:val="false"/>
          <w:i w:val="false"/>
          <w:i w:val="false"/>
          <w:iCs w:val="false"/>
          <w:color w:val="333333"/>
          <w:sz w:val="20"/>
          <w:sz w:val="20"/>
          <w:szCs w:val="20"/>
          <w:rtl w:val="true"/>
        </w:rPr>
        <w:t xml:space="preserve">، وقريب منه صاحب بن العباد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مقائيس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فتاوی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وقد حكاه عنه أيضاً العلامة الحلی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لكنّه شرط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 إلی أحكام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لمفهوم الوطن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إقامة البلد ستة أشهر والملك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التقصير في الرباعيّة خاصّة بستة شروط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قطع السفر بنيّة الإقامة عشرة فما زاد في الأثناء، أو بوصوله بلداً له فيه ملك استوطنه ستة أشهر فصاعداً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 في شرح عبادات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 إلی أحكام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المتعلمين في أحكام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1/136</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11/359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حكی عنه جماعة منهم المحقق العاملی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 في شرح قواعد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10/490</w:t>
      </w:r>
      <w:r>
        <w:rPr>
          <w:rFonts w:ascii="IRNazanin" w:hAnsi="IRNazanin" w:eastAsia="IRNazanin"/>
          <w:b w:val="false"/>
          <w:b w:val="false"/>
          <w:bCs w:val="false"/>
          <w:i w:val="false"/>
          <w:i w:val="false"/>
          <w:iCs w:val="false"/>
          <w:color w:val="333333"/>
          <w:sz w:val="20"/>
          <w:sz w:val="20"/>
          <w:szCs w:val="20"/>
          <w:rtl w:val="true"/>
        </w:rPr>
        <w:t xml:space="preserve">، والمحقق السبزواری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 المعاد 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 الصلاة للسيّد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حاشيته ذيل هذه المسألة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قيد الدوام من ناحية المشهور غير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مع تعليقات آية الله العظمی مكارم الشيرازی وعدة من الفقهاء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قواطع السفر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تبيان الصلاة للسيّد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 الصلاة للسيّد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راجع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 مع تعليقات آية الله العظمی مكارم الشيرازی وعدة من الفقهاء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و راجع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لكنه شرط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 إلی أحكام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لمفهوم الوطن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إقامة البلد ستة أشهر والملك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التقصير في الرباعيّة خاصّة بستة شروط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قطع السفر بنيّة الإقامة عشرة فما زاد في الأثناء، أو بوصوله بلداً له فيه ملك استوطنه ستة أشهر فصاعداً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 الصلاة للسيّد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راجع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11270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11280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رقم </w:t>
      </w:r>
      <w:r>
        <w:rPr>
          <w:rFonts w:eastAsia="IRNazanin" w:cs="IRNazanin"/>
          <w:b w:val="false"/>
          <w:bCs w:val="false"/>
          <w:i w:val="false"/>
          <w:iCs w:val="false"/>
          <w:color w:val="333333"/>
          <w:sz w:val="20"/>
          <w:szCs w:val="20"/>
        </w:rPr>
        <w:t>11269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8065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الثالث عشر مبحث المراد بالمشتق عند الأصوليين، ومن المشتقات عندهم أسماء الأزمنة والأمكنة والآلات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الْفَضْلِ بْنِ شَاذَانَ عَنِ الرِّضَا علیه السلام في كِتَابِهِ إِلَى الْمَأْمُونِ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وَالصَّلَاةُ الْفَرِيضَةُ الظُّهْرُ أَرْبَعُ رَكَعَاتٍ، وَالْعَصْرُ أَرْبَعُ رَكَعَاتٍ، وَالْمَغْرِبُ ثَلَاثُ رَكَعَاتٍ، وَالْعِشَاءُ الْآخِرَةُ أَرْبَعُ رَكَعَاتٍ، وَالْغَدَاةُ رَكْعَتَانِ هَذِهِ سَبْعَ عَشْرَةَ رَكْعَةً، وَالسُّنَّةُ أَرْبَعٌ وَثَلَاثُونَ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رَكَعَاتٍ قَبْلَ فَرِيضَةِ الظُّهْرِ، وَثَمَانُ رَكَعَاتٍ قَبْلَ فَرِيضَةِ الْعَصْرِ، وَأَرْبَعُ رَكَعَاتٍ بَعْدَ الْمَغْرِبِ، وَرَكْعَتَانِ مِنْ جُلُوسٍ بَعْدَ الْعَتَمَةِ تُعَدَّانِ بِرَكْعَةٍ، وَثَمَانُ رَكَعَاتٍ في السَّحَرِ، وَالشَّفْعُ وَالْوَتْرُ ثَلَاثُ رَكَعَاتٍ تُسَلِّمُ بَعْدَ الرَّكْعَتَيْنِ، وَرَكْعَتَا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كُتِبَ عَلَيْكُمُ الصِّيامُ كَما كُتِبَ عَلَى الَّذينَ مِنْ قَبْلِكُمْ لَعَلَّكُمْ تَتَّقُونَ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ضَرَبْتُمْ في الْأَرْضِ فَلَيْسَ عَلَيْكُمْ جُناحٌ أَنْ تَقْصُرُوا مِنَ الصَّلاةِ إِنْ خِفْتُمْ أَنْ يَفْتِنَكُمُ الَّذينَ كَفَرُوا إِنَّ الْكافِرينَ كانُوا لَكُمْ عَدُوًّا مُبيناً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وصحيحة الْفَضْلِ بْنِ شَاذَانَ عَنِ الرِّضَا علیه السلام في كِتَابِهِ إِلَى الْمَأْمُونِ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وَالتَّقْصِيرُ في ثَمَانِيَةِ فَرَاسِخَ وَمَا زَادَ وَإِذَا قَصَّرْتَ أَفْطَرْتَ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تبارك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أَيَّاماً مَعْدُوداتٍ فَمَنْ كانَ مِنْكُمْ مَريضاً أَوْ عَلى سَفَرٍ فَعِدَّةٌ مِنْ أَيَّامٍ أُخَرَ وَعَلَى الَّذينَ يُطيقُونَهُ فِدْيَةٌ طَعامُ مِسْكينٍ فَمَنْ تَطَوَّعَ خَيْراً فَهُوَ خَيْرٌ لَهُ وَأَنْ تَصُومُوا خَيْرٌ لَكُمْ إِنْ كُنْتُمْ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حجيّة العام المخصص في الباقی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الصلوة من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أمارات الوضع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خلاف الحضر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والجمع أسفار، رجل 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سفر، والمسافر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السافر،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 للشيخ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المسافر للسيّد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الحكومة وتوسعة معنی الوطن إدّعاءً كما في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المتقی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 للعلامة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الحكومة والورود ذيل مباحث التعادل والتراجيح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القول في قواطع السفر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مع تعليقات آية الله العظمی مكارم الشيرازی وعدّة من الفقهاء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مسألة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فصل في قواطع السفر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سؤال وجواب لكاشف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 في الأحاديث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أحوال الخمسة لللفظ</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14/247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11205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البروجردی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حدث هذا الإصطلاح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الوطن الشرعی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ألسنة متأخّر المتأخّرين،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ولزيادة التوضيح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الأصول بحث الحجج والأمارات 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7/454</w:t>
      </w:r>
      <w:r>
        <w:rPr>
          <w:rFonts w:ascii="IRNazanin" w:hAnsi="IRNazanin" w:eastAsia="IRNazanin"/>
          <w:b w:val="false"/>
          <w:b w:val="false"/>
          <w:bCs w:val="false"/>
          <w:i w:val="false"/>
          <w:i w:val="false"/>
          <w:iCs w:val="false"/>
          <w:color w:val="333333"/>
          <w:sz w:val="20"/>
          <w:sz w:val="20"/>
          <w:szCs w:val="20"/>
          <w:rtl w:val="true"/>
        </w:rPr>
        <w:t xml:space="preserve">، وقريب منه صاحب بن العباد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قواطع السفر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خلاف الحضر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والجمع أسفار، رجل 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سفر، والمسافر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السافر،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قواطع السفر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14/247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مصنفی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11328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قواطع السفر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القول في قواطع السفر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11205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أمارات الوضع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القول في قواطع السفر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الطّواف،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الحجّ</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19/295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غنية النّزوع إلی علمي الاصول والفروع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 في شرح عبادات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المناسك المحشّی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مسئلة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الطّواف خلف المقام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المناسك المحشّی للإمام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مسائل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46/292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الكافی 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في شرح الكافی لمولی خليل القزوينی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3/153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المناسك المحشّی للإمام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662</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حَرِيزِ بْنِ عَبْدِ اللَّهِ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عَنْ أُمَّتِی تِسْعَةُ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وَالنِّسْيَانُ، وَمَا أُكْرِهُوا عَلَيْهِ، وَمَا لَا يَعْلَمُونَ، وَمَا لَا يُطِيقُونَ، وَمَا اضْطُرُّوا إِلَيْهِ، وَالْحَسَدُ، وَالطِّيَرَةُ، وَالتَّفَكُّرُ في الْوَسْوَسَةِ في الْخَلْوَةِ مَا لَمْ يَنْطِقُوا بِشَفَةٍ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ومرفوعة مُحَمَّدِ بْنِ أَحْمَدَ النَّهْدِیِّ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عَنْ أُمَّتِی تِسْعُ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وَالنِّسْيَانُ، وَمَا لَا يَعْلَمُونَ، وَمَا لَا يُطِيقُونَ، وَمَا اضْطُرُّوا إِلَيْهِ، وَمَا اسْتُكْرِهُوا عَلَيْهِ، وَالطِّيَرَةُ، وَالْوَسْوَسَةُ في التَّفَكُّرِ في الْخَلْقِ، وَالْحَسَدُ مَا لَمْ يَظْهَرْ بِلِسَانٍ أَوْ 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20771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مأة قاعدة فقهيّة معنی ومدركاً ومورداً للسيّد محمّد كاظم المصطفوی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إشارة إلی موثقة جَعْفَرِ بْنِ مُحَمَّدٍ الْأَشْعَرِیِّ عَنِ ابْنِ الْقَدَّاحِ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 امْرَأَةُ عُثْمَانَ بْنِ مَظْعُونٍ إِلَى النَّبِيّ صَلَّى اَللَّهُ عَلَيْهِ وَ آلِهِ وَ سَلَّمْ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عُثْمَانَ يَصُومُ النَّهَارَ وَيَقُومُ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رَسُولُ اللَّه صَلَّى اَللَّهُ عَلَيْهِ وَ آلِهِ وَ سَلَّمْ مُغْضَباً يَحْمِلُ نَعْلَيْهِ حَتَّى جَاءَ إِلَى عُثْمَانَ فَوَجَدَهُ يُصَلِّی فَانْصَرَفَ عُثْمَانُ حِينَ رَأَى رَسُولَ اللَّه صَلَّى اَللَّهُ عَلَيْهِ وَ آلِهِ وَ سَلَّمْ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عُثْمَانُ لَمْ يُرْسِلْنِی اللَّهُ تَعَالَى بِالرَّهْبَانِيَّةِ، وَلَكِنْ بَعَثَنِی بِالْحَنِيفِيَّةِ السَّهْلَةِ السَّمْحَةِ، أَصُومُ وَأُصَلِّی وَأَلْمِسُ أَهْلِی فَمَنْ أَحَبَّ فِطْرَتِی فَلْيَسْتَنَّ بِسُنَّتِی وَمِنْ سُنَّتِی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روی عن صَلَّى اَللَّهُ عَلَيْهِ وَ آلِهِ وَ سَلَّمْ من طريق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بالحنفيّة السمحة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للهيثمی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17921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شروط الطّواف،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تبارك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يُكَلِّفُ اللَّهُ نَفْساً إلّا وُسْعَها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صريحةٌ في مذهب المشهور ولكنّها ضعيفةٌ سنداً لأنّ في طريقها ياسين الضَّرير وهو غير موثّق وقد ذكرنا غير مرّة أنّ الإنجبار ممّالا أساس له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 وقال في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19/295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96/227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الأزرقی عن كثير بن أبی كثير بن عبد المطلّب بن أبی وداعة السّهمی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السّيول تدخل المسجد الحرام من باب بنی شيبة الكبير قبل أن يردم عمر الرّدم الأعلی، فكانت السّيول ربما رفعت المقام عن موضعه و ربما نحته إلی وجه الكعبة حتّی جاء سيل أم نهشل في خلافة عمر بن الخطّاب فاحتمل المقام من موضعه هذا فذهب به حتّی وجد بأسفل مكة فأتی به فربط إلی أستار الكعبة، وكتِبَت في ذلك إلی عمر، فأقبل فزعاً في شهر رمضان وقد عفی عن موضعه وعفاه السّيل، فدعا عمر بالنّاس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 الله عبداً عنده علم في هذا المقام، فقال المطلّب بن أبی وداعة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أميرالمؤمنين عندی ذلك قد كنت أخشی عليه هذا، فأخذت قدره من موضعه إلی الرّكن، ومن موضعه إلی باب الحجر، ومن موضعه إلی زمزم بمقاط، وهو عندی في البيت،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فاجلس عندی، وأرسل إليه، فجلس عنده وأرسل فأتی بها فمدّها فوجدها مستوية إلی موضعه هذا، فسأل النّاس وشاورهم،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هذا موضعه، فلمّا استثبت ذلك عمر وحق عنده، أمر به فاعلم ببناء ربضة تحت المقام ثمّ حوّله فهو في مكانه هذا إلی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19/298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المطلب في تحقيق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10/320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الشّرعيّة في الفقه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11164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في أحكام العترة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الافهام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 في شرح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19/298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مناسك المحشّی للإمام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مسئلة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المحشّی للإمام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مسئلة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مناسك 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اللثام والإبهام عن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17936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19/299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459</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1/395</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اللثام والإبهام عن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من شرائط الطّواف</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مناسك المحشّی للإمام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حواشيهما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مقائيس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الطاء والواو والفاء أصلٌ واحد صحيح يدلّ على دَوَران الشى‌ء على الشى‌ء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 بالبيت وأَطَافَ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حَوْله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19/298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اللثام عن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الصَّادِقِ علیه السلام أَنَّهُ سُئِلَ لِمَ سُمِّيَتِ الْكَعْبَةُ؟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مُرَبَّعَةٌ،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صَارَتْ مُرَبَّعَةً؟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بِحِذَاءِ الْبَيْتِ الْمَعْمُورِ وَهُوَ مُرَبَّعٌ،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صَارَ بَيْتُ الْمَعْمُورِ مُرَبَّعاً؟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بِحِذَاءِ الْعَرْشِ وَهُوَ مُرَبَّعٌ،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صَارَ الْعَرْشُ مُرَبَّعاً؟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الْكَلِمَاتِ الّتي بُنِیَ عَلَيْهَا الْإِسْلَامُ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وَالْحَمْدُ لِلَّهِ، وَلَا إِلَهَ إِلَّا اللَّهُ، وَاللَّهُ 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96/57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18447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رؤية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المظفر رحمه الله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المصلحة السلوكيّة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الأغراض علی ذلك أنّه لوكان يوم الأضحی طبيعتاً يوافق يوم الأحد يدّعون لبعض الأهداف المادّية تقديم إثبات الهلال حتّی ينطبق يوم عرفة مع الجمعة لتسمية الحجّ بزعمهم في تلك السّنة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الأكبر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رؤية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مثل ذلك، فإنّ فقهاء العامّة علی ما قاله الجزيری وإن لم يشترطوا في إثبات الهلال حكم الحاكم لكنّهم اتّفقوا علی أنّه لوحكم بإثبات الهلال علی أیّ طريق في مذهبه فبما أنّ حكم الحاكم يرفع الخلاف، ثبت في حقّ عموم المسلمين ولو خالف مذهب البعض منهم،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القول في الوقوف بعرفات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الحجّ</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يبحث نوعاً عن مسألة طرق ثبوت الهلال باعتبار وجوب الصّوم أو الإفطار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الكتب الفقهيّة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الصوم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أن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طرق إثبات هلال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 ثبوت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مقام الثبوت ناظر إلی الواقع ونفس الأمر عند الله تبارك وتعالی، ومقام الإثبات ناظر إلی الظاهر فقط، والنسبة بينهما عموم وخصوص من وجه حيث إنّه قد يكون الواقع والظاهر سواء، وقد ثبت في الظاهر دون الواقع، وقد يكون علی عكس ذلك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راجع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و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طريق ثبوت هلال شهر رمضان وشوال</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أشار بعض الفقهاء الإماميّة بل العامّة إلی حكم هذا القسم في بابي الحجّ والفطر منهم العلامة رحمه الله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شهد واحد أو اثنان برؤية هلال ذی الحجّة و ردّ الحاكم شهادتهما، وقفوا يوم التاسع على وفق رؤيتهم وإن وقف النّاس يوم العاشر عندهما وبه قال الشافعیّ، وقال محمّد بن الحسن في حكاية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يجزئه حتّى يقف مع النّاس يوم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يتيقّن أنّ هذا يوم عرفة، فلزمه الوقوف، كما لو قبلت شهادته، ولأنّه لو رأى الهلال و ردّ الحاكم شهادته لزم الصيام وإن وقع الخلاف في وجوب الكفّارة، فكذا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الوقوف لا يكون في يومين، وقد ثبت في حقّ الجماعة يوم العاشر،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وكذا الشّهيد رحمه الله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رأى الهلال وحده أو مع غيره و ردّت شهادتهم وقفوا بحسب رؤيتهم وإن خالفهم النّاس، ولا يجب عليهم الوقوف مع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في المنتهى ذكر مسألة الشهود الّذين ردّت شهادتهم، وذكر ما عن الشافعی من انّهم يقفون على حسب رؤيتهم وإن وقف النّاس في غير ذلك،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الحقّ كشهود العيد في شهر رمضان، خلافاً لبعض العامة فلا يجزيهم حتّى يقفوا مع النّاس، وهو واضح الفساد، وكيف كان فالغرض أنّ بعض الاحتمالات المزبورة في المسائل السّابقة ممّا لاينطبق على المعروف من أصول الإمامية،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الإنتصار في إنفرادات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انفردت به الإماميّة أنّ الصّيام لاتقبل فيه شهادة النّساء، وباقی الفقهاء يخالفون في ذلك</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13/258</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8/459</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ج</w:t>
      </w:r>
      <w:r>
        <w:rPr>
          <w:rFonts w:eastAsia="IRNazanin" w:cs="IRNazanin"/>
          <w:b w:val="false"/>
          <w:bCs w:val="false"/>
          <w:i w:val="false"/>
          <w:iCs w:val="false"/>
          <w:color w:val="333333"/>
          <w:sz w:val="20"/>
          <w:szCs w:val="20"/>
        </w:rPr>
        <w:t>2/81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73</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ذخيرة المعاد 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وقريب منه ما قاله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13/258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الغطاء عن مبهمات الشريعة الغراء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طريق ثبوت هلال شهر رمضان وشوال</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عوائد الأيام في بيان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العروة الوثقی 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10/420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علامة شهر رمضان وغيره رؤية الهلال فلا يجب الصّوم إلّا للرّؤية أو مضیّ ثلاثين ولا يجوز الإفطار في آخره إلّا للرّؤية أو مضیّ ثلاثين وأنّه يجب العمل في ذلك باليقين دون الظّنّ، الباب الثالث من أبواب أحكام شهر رمضان</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13340</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13349</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آداب القضاء</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غنية النزوع إلى علمي الأصول والفروع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واتمام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34204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13439</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16/360</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13034</w:t>
      </w:r>
      <w:r>
        <w:rPr>
          <w:rFonts w:ascii="IRNazanin" w:hAnsi="IRNazanin" w:eastAsia="IRNazanin"/>
          <w:b w:val="false"/>
          <w:b w:val="false"/>
          <w:bCs w:val="false"/>
          <w:i w:val="false"/>
          <w:i w:val="false"/>
          <w:iCs w:val="false"/>
          <w:color w:val="333333"/>
          <w:sz w:val="20"/>
          <w:sz w:val="20"/>
          <w:szCs w:val="20"/>
          <w:rtl w:val="true"/>
        </w:rPr>
        <w:t xml:space="preserve">، وقريب منه مرسلة رفاعة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13035</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لزيادة التّوضيح راجع كتب الاصول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حجيّة العلم ذاتيّةٌ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العروة الوثقی 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13367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514</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33424</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13349</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13355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13454</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13037</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البيهقی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87/357</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مشيخة الشّيخ الطوسی رحمه الله</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 في معرفة أحوال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21413</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القول في الوقوف بعرفات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المصدود هو من منعه العدوّ أو نحوه عن العمرة أو الحجّ، فإن كان ممّن يستقرّ عليه الحجّ، فيجب عليه الحجّ في القابل ولا يكفيه تحلّله عن حجّة الإسلام فعلاً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دليل الناسك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وجيزة على مناسك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للنائينی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القول في الوقوف بعرفات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21393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21362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21381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21358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21364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19/32</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371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الكتب الأصوليّة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الخراسانی رحمه الله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الإجزاء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يُكَلِّفُ اللَّهُ نَفْساً إِلَّا وُسْعَهَا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وجوب الإحتياط علی من كثر سهوه بل يمضی في صلاته ويبنی علی وقوع ما شك فيه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وجوب شیء بسهو الإمام مع حفظ المأموم وكذا العكس</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المواضع الّتي تجوز فيها الغيبة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لايثبت الربا بين الولد والوالد، ولا بين الزّوجين، ولا بين السيّد وعبده، ولا بين المسلم والحربی مع أخذ المسلم الزّيادة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يحرم من الرّضاع ما يحرم من النّسب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1173</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13034</w:t>
      </w:r>
      <w:r>
        <w:rPr>
          <w:rFonts w:ascii="IRNazanin" w:hAnsi="IRNazanin" w:eastAsia="IRNazanin"/>
          <w:b w:val="false"/>
          <w:b w:val="false"/>
          <w:bCs w:val="false"/>
          <w:i w:val="false"/>
          <w:i w:val="false"/>
          <w:iCs w:val="false"/>
          <w:color w:val="333333"/>
          <w:sz w:val="20"/>
          <w:sz w:val="20"/>
          <w:szCs w:val="20"/>
          <w:rtl w:val="true"/>
        </w:rPr>
        <w:t xml:space="preserve">، وقريب منه مرسلة رفاعة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13035</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13037</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13349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رحمه الله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الراحل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الخوئی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لحلی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والمحدث البحرانی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القدامة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الحلی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النراقی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محمد حسن النجفی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العربی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7/200</w:t>
      </w:r>
      <w:r>
        <w:rPr>
          <w:rFonts w:ascii="IRNazanin" w:hAnsi="IRNazanin" w:eastAsia="IRNazanin"/>
          <w:b w:val="false"/>
          <w:b w:val="false"/>
          <w:bCs w:val="false"/>
          <w:i w:val="false"/>
          <w:i w:val="false"/>
          <w:iCs w:val="false"/>
          <w:color w:val="333333"/>
          <w:sz w:val="20"/>
          <w:sz w:val="20"/>
          <w:szCs w:val="20"/>
          <w:rtl w:val="true"/>
        </w:rPr>
        <w:t xml:space="preserve">، وقريب منه ما قاله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1/370</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1/237</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19/185</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6/187</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17/117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الاولی من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 عن الهدی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واجبات منی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القرآن لابن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وقال تعالی في سورة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قُمْتُمْ إِلَى الصَّلاةِ فَاغْسِلُوا وُجُوهَكُمْ وَأَيْدِيَكُمْ إِلَى الْمَرافِقِ وَامْسَحُوا بِرُؤُسِكُمْ وَأَرْجُلَكُمْ إِلَى الْكَعْبَيْنِ وَإِنْ كُنْتُمْ جُنُباً فَاطَّهَّرُوا وَإِنْ كُنْتُمْ مَرْضى أَوْ عَلى سَفَرٍ أَوْ جاءَ أَحَدٌ مِنْكُمْ مِنَ الْغائِطِ أَوْ لامَسْتُمُ النِّساءَ فَلَمْ تَجِدُوا ماءً فَتَيَمَّمُوا صَعيداً 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المطلب في تحقيق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أبواب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أبواب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راحع نفس المصدر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وكذا البحرانی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والنراقی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والشيخ محمد حسن النجفی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4/272</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18983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7034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مسألتا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كتاب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 الشرعيّة علی مذهب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اللثام والإفهام عن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17/124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واجبات منی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18919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18932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11632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18975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18977</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11633</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11634</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الإِهْلالُ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بالتّلْبية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متكلم رفع صوته أَو خفضه فقد أَهَلَّ واسْتَهَلَّ،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11/701</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والعمرة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17/137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 في شرح عبادات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 في أحكام الشرع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6/439</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19/179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واجبات منی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القرآن لابن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18920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18926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يجب الصوم حتّی يرمی جمرة العقبة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 في شرح عبادات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واجبات منی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المطلب في تحقيق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الحجّ</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الحج</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1/593</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1/237</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606</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المطلب في تحقيق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11/206</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 في شرح عبادات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واجبات منی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لزيادة التوضيح راجع كتب الأصول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مجاری الأصول العمليّة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حكی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يجب الصوم حتّی يرمی جمرة العقبة،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18976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18919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18922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18932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18961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18928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التفسير للعياشی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18933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18930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التفسير للعياشی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18936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التفسير للعياشی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18938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18920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18926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ضعّفه ابن الغضائری في رجاله بكونه فاسد المذهب ونهی الأشعری النّاس عن السماع منه والرّواية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الغضائری ج</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والشيخ في فهرسته بكونه ضعيفاً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والنجاشی بكونه ضعيفاً في الحديث غير معتمد فيه وأنّ أحمد بن محمّد بن عيسی الأشعری يشهد عليه بالغلو والكذب وأخرجه لأجل ذلك من بلدة قم إلی الرّی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 وتفصيل طبقات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الكافی 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في شرح الكافی لمولی خليل القزوينی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18976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الحجّ</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18976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شَرَقَت الشمسُ تَشْرُق شُروقاً وشَرْقاً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طلعت، واسم الموضع المَشْرِق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في ناحية المشرق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وتَشْريق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تَقْطِيعُه وتقدِيدُه وبَسْطُه، ومنه سمّيت أيّام التشريق، وأيّام التشريق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أيّام بعد يوم النحر لأنّ لحم الأضاحي يُشَرَّق فيها للشمس أی يُشَرَّر،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كتاب الصوم،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المطلب في تحقيق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والمكروه</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الحجّ</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17/134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 في شرح عبادات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 المعاد 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فتاوی ابن 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وقد حكاه عنه العلامة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الحجّ</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فتاوی ابن 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واجبات منی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18958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18959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18965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18919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18922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18932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18961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18930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18936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18938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11648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11651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18963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18962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البيهقی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دار 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18919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المطلب في تحقيق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واجبات منی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18979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18972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18969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18970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 في شرح عبادات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19/169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4/275</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19/169</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واجبات منی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18967</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18968</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18971</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18919</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18969</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18970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18967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14/1192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18922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اللثام والإبهام عن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19/171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12/347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18968</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18967</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12858</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12851</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الحكمة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تبارك وتعالی حكاية عن اليهود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فَبِظُلْمٍ مِنَ الَّذينَ هادُوا حَرَّمْنا عَلَيْهِمْ طَيِّباتٍ أُحِلَّتْ لَهُمْ وَبِصَدِّهِمْ عَنْ سَبيلِ اللَّهِ كَثيراً وَأَخْذِهِمُ الرِّبَوا وَقَدْ نُهُوا عَنْهُ وَأَكْلِهِمْ أَمْوالَ النَّاسِ بِالْباطِلِ وَأَعْتَدْنا لِلْكافِرينَ مِنْهُمْ عَذاباً أَليماً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وفی فقه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يَرْحَمُكَ اللَّهُ أَنَّ الرِّبَا حَرَامٌ سُحْتٌ مِنَ الْكَبَائِرِ وَمِمَّا قَدْ وَعَدَ اللَّهُ عَلَيْهِ النَّارَ، فَنَعُوذُ بِاللَّهِ مِنْهَا، وَهُوَ مَحْرَّمٌ عَلَى لِسَانِ كُلِّ نَبِیٍّ وَفِی كُلِّ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15502</w:t>
      </w:r>
      <w:r>
        <w:rPr>
          <w:rFonts w:ascii="IRNazanin" w:hAnsi="IRNazanin" w:eastAsia="IRNazanin"/>
          <w:b w:val="false"/>
          <w:b w:val="false"/>
          <w:bCs w:val="false"/>
          <w:i w:val="false"/>
          <w:i w:val="false"/>
          <w:iCs w:val="false"/>
          <w:color w:val="333333"/>
          <w:sz w:val="20"/>
          <w:sz w:val="20"/>
          <w:szCs w:val="20"/>
          <w:rtl w:val="true"/>
        </w:rPr>
        <w:t>، وقد ورد حكم تحريم الرّبا في موضعين من التوراة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لاويان فصل 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فصل رقم </w:t>
      </w:r>
      <w:r>
        <w:rPr>
          <w:rFonts w:eastAsia="IRNazanin" w:cs="IRNazanin"/>
          <w:b w:val="false"/>
          <w:bCs w:val="false"/>
          <w:i w:val="false"/>
          <w:iCs w:val="false"/>
          <w:color w:val="333333"/>
          <w:sz w:val="20"/>
          <w:szCs w:val="20"/>
        </w:rPr>
        <w:t>22</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يَأكلُونَ الرِّبا لايَقُومُونَ إلّا كما يَقُومُ الَّذِی يَتَخَبَّطُهُ الشَّيطانُ مِنَ المَسِّ ذلِك بِأَنَّهُم قالُوا إنَّمَا البَيعُ مِثلُ الرِّبا وَأَحَلَّ اللهُ البَيعَ وَحَرَّمَ الرِّبا فَمَن جائَهُ مَوعِظَةٌ مِن رَبِّهِ فَانتَهی فَلَهُ ما سَلَفَ وَأَمرُهُ إلَی اللهِ وَمَن عادَ فَاُولئِك أَصحُابُ النّارِ هُم فِيها خالِدُونَ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وَذَرُوا ما بَقِیَ مِنَ الرِّبا إن كنتُم مُؤمِنِينَ فَإن لَم تَفعَلوا فَأذَنوا بِحَربٍ مِنَ اللهِ وَ رَسُولِهِ وَإن تُبتُم فَلَكم رُءُوسُ أموالِكم لاتَظلِمُونَ وَلاتُظلَمُونَ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مقائيس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14/304</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2/217</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1/362</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10/134</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أخذ منه هذا التعريف</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19/214</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23/334</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مصطلحات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وقد نری مثل هذا التعبير في بعض أخری من كتبهم كالسرخسی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12/109</w:t>
      </w:r>
      <w:r>
        <w:rPr>
          <w:rFonts w:ascii="IRNazanin" w:hAnsi="IRNazanin" w:eastAsia="IRNazanin"/>
          <w:b w:val="false"/>
          <w:b w:val="false"/>
          <w:bCs w:val="false"/>
          <w:i w:val="false"/>
          <w:i w:val="false"/>
          <w:iCs w:val="false"/>
          <w:color w:val="333333"/>
          <w:sz w:val="20"/>
          <w:sz w:val="20"/>
          <w:szCs w:val="20"/>
          <w:rtl w:val="true"/>
        </w:rPr>
        <w:t xml:space="preserve">، امام احمد المرتضی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ومثله ما قاله ابن إدريس الحلّی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2/250</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على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2/301</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19/214</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23/322</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الرّبا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 والبنك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المداهب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15502</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19/272</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22041</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إبن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2278</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15515</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23286</w:t>
      </w:r>
      <w:r>
        <w:rPr>
          <w:rFonts w:ascii="IRNazanin" w:hAnsi="IRNazanin" w:eastAsia="IRNazanin"/>
          <w:b w:val="false"/>
          <w:b w:val="false"/>
          <w:bCs w:val="false"/>
          <w:i w:val="false"/>
          <w:i w:val="false"/>
          <w:iCs w:val="false"/>
          <w:color w:val="333333"/>
          <w:sz w:val="20"/>
          <w:sz w:val="20"/>
          <w:szCs w:val="20"/>
          <w:rtl w:val="true"/>
        </w:rPr>
        <w:t>، وقد رواه العامّة عن النبّ صَلَّى اَللَّهُ عَلَيْهِ وَ آلِهِ وَ سَلَّمْ مع تفاوت يسير عن طريق أبی هريرة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9751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15506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للهيثمی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 في 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منها أحاديث </w:t>
      </w:r>
      <w:r>
        <w:rPr>
          <w:rFonts w:eastAsia="IRNazanin" w:cs="IRNazanin"/>
          <w:b w:val="false"/>
          <w:bCs w:val="false"/>
          <w:i w:val="false"/>
          <w:iCs w:val="false"/>
          <w:color w:val="333333"/>
          <w:sz w:val="20"/>
          <w:szCs w:val="20"/>
        </w:rPr>
        <w:t>23282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أحاديث </w:t>
      </w:r>
      <w:r>
        <w:rPr>
          <w:rFonts w:eastAsia="IRNazanin" w:cs="IRNazanin"/>
          <w:b w:val="false"/>
          <w:bCs w:val="false"/>
          <w:i w:val="false"/>
          <w:iCs w:val="false"/>
          <w:color w:val="333333"/>
          <w:sz w:val="20"/>
          <w:szCs w:val="20"/>
        </w:rPr>
        <w:t>15496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23282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23289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23285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15500</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9766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للهيثمی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23280</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20661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15502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البحرالمحيط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23298</w:t>
      </w:r>
      <w:r>
        <w:rPr>
          <w:rFonts w:ascii="IRNazanin" w:hAnsi="IRNazanin" w:eastAsia="IRNazanin"/>
          <w:b w:val="false"/>
          <w:b w:val="false"/>
          <w:bCs w:val="false"/>
          <w:i w:val="false"/>
          <w:i w:val="false"/>
          <w:iCs w:val="false"/>
          <w:color w:val="333333"/>
          <w:sz w:val="20"/>
          <w:sz w:val="20"/>
          <w:szCs w:val="20"/>
          <w:rtl w:val="true"/>
        </w:rPr>
        <w:t xml:space="preserve">، وراجع أيضاً أحاديث </w:t>
      </w:r>
      <w:r>
        <w:rPr>
          <w:rFonts w:eastAsia="IRNazanin" w:cs="IRNazanin"/>
          <w:b w:val="false"/>
          <w:bCs w:val="false"/>
          <w:i w:val="false"/>
          <w:iCs w:val="false"/>
          <w:color w:val="333333"/>
          <w:sz w:val="20"/>
          <w:szCs w:val="20"/>
        </w:rPr>
        <w:t>23299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وأحاديث </w:t>
      </w:r>
      <w:r>
        <w:rPr>
          <w:rFonts w:eastAsia="IRNazanin" w:cs="IRNazanin"/>
          <w:b w:val="false"/>
          <w:bCs w:val="false"/>
          <w:i w:val="false"/>
          <w:iCs w:val="false"/>
          <w:color w:val="333333"/>
          <w:sz w:val="20"/>
          <w:szCs w:val="20"/>
        </w:rPr>
        <w:t>15507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الباحث عن زوائد مسند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وقريب منه ما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w:t>
      </w:r>
      <w:r>
        <w:rPr>
          <w:rFonts w:eastAsia="IRNazanin" w:cs="IRNazanin"/>
          <w:b w:val="false"/>
          <w:bCs w:val="false"/>
          <w:i w:val="false"/>
          <w:iCs w:val="false"/>
          <w:color w:val="333333"/>
          <w:sz w:val="20"/>
          <w:szCs w:val="20"/>
        </w:rPr>
        <w:t>15507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9765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9767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إبن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الكبری للبيهقی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15512</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4636</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الباحث عن زوائد مسند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وقريب منه ما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w:t>
      </w:r>
      <w:r>
        <w:rPr>
          <w:rFonts w:eastAsia="IRNazanin" w:cs="IRNazanin"/>
          <w:b w:val="false"/>
          <w:bCs w:val="false"/>
          <w:i w:val="false"/>
          <w:iCs w:val="false"/>
          <w:color w:val="333333"/>
          <w:sz w:val="20"/>
          <w:szCs w:val="20"/>
        </w:rPr>
        <w:t>15507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15512</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23276</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15516</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23270</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23274</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23275</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23288</w:t>
      </w:r>
      <w:r>
        <w:rPr>
          <w:rFonts w:ascii="IRNazanin" w:hAnsi="IRNazanin" w:eastAsia="IRNazanin"/>
          <w:b w:val="false"/>
          <w:b w:val="false"/>
          <w:bCs w:val="false"/>
          <w:i w:val="false"/>
          <w:i w:val="false"/>
          <w:iCs w:val="false"/>
          <w:color w:val="333333"/>
          <w:sz w:val="20"/>
          <w:sz w:val="20"/>
          <w:szCs w:val="20"/>
          <w:rtl w:val="true"/>
        </w:rPr>
        <w:t xml:space="preserve">، وبهذا المضمون أحاديث </w:t>
      </w:r>
      <w:r>
        <w:rPr>
          <w:rFonts w:eastAsia="IRNazanin" w:cs="IRNazanin"/>
          <w:b w:val="false"/>
          <w:bCs w:val="false"/>
          <w:i w:val="false"/>
          <w:iCs w:val="false"/>
          <w:color w:val="333333"/>
          <w:sz w:val="20"/>
          <w:szCs w:val="20"/>
        </w:rPr>
        <w:t>23281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روايات </w:t>
      </w:r>
      <w:r>
        <w:rPr>
          <w:rFonts w:eastAsia="IRNazanin" w:cs="IRNazanin"/>
          <w:b w:val="false"/>
          <w:bCs w:val="false"/>
          <w:i w:val="false"/>
          <w:iCs w:val="false"/>
          <w:color w:val="333333"/>
          <w:sz w:val="20"/>
          <w:szCs w:val="20"/>
        </w:rPr>
        <w:t>15503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9755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إبن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والحوب بالضمّ الإثم،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مهموز وزان 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اللبن عند الولادة،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15505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الباحث عن زوائد مسند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وقريب منه ما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w:t>
      </w:r>
      <w:r>
        <w:rPr>
          <w:rFonts w:eastAsia="IRNazanin" w:cs="IRNazanin"/>
          <w:b w:val="false"/>
          <w:bCs w:val="false"/>
          <w:i w:val="false"/>
          <w:iCs w:val="false"/>
          <w:color w:val="333333"/>
          <w:sz w:val="20"/>
          <w:szCs w:val="20"/>
        </w:rPr>
        <w:t>15507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9768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للهيثمی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 ذَرُوا ما بَقِیَ مِنَ الرِّبا إن كنتُم مُؤمِنِينَ فَإن لَم تَفعَلوا فَأذَنوا بِحَربٍ مِنَ اللهِ وَرَسُولِهِ وَإن تُبتُم فَلَكم رُءُوسُ أموالِكم لاتَظلِمُونَ وَلاتُظلَمُونَ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فَبِظُلْمٍ مِنَ الَّذينَ هادُوا حَرَّمْنا عَلَيْهِمْ طَيِّباتٍ أُحِلَّتْ لَهُمْ وَبِصَدِّهِمْ عَنْ سَبيلِ اللَّهِ كَثيراً وَأَخْذِهِمُ الرِّبَوا وَقَدْ نُهُوا عَنْهُ وَأَكْلِهِمْ أَمْوالَ النَّاسِ بِالْباطِلِ وَأَعْتَدْنا لِلْكافِرينَ مِنْهُمْ عَذاباً أَليماً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 والبنك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قول الصادق علیه السلام في صحيحة الحلبیّ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افْتَتَحْتَ الصَّلَاةَ فَارْفَعْ كَفَّيْكَ، ثُمَّ ابْسُطْهُمَا بَسْطاً، ثُمَّ كَبِّرْ ثَلَاثَ تَكْبِيرَاتٍ، 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أَنْتَ الْمَلِكُ الْحَقُّ لَا إِلَهَ إِلَّا أَنْتَ، سُبْحَانَكَ إِنِّی ظَلَمْتُ نَفْسِی، فَاغْفِرْ لِی ذَنْبِی إِنَّهُ لَا يَغْفِرُ الذُّنُوبَ إِلَّا أَنْت،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7247</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3/316</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الرّبا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باب تضييق معنی الرّبا إدّعاءً كما في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الفاسق ليس بعالم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 للعلامة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الحكومة والورود ذيل مباحث التعادل والتراجيح</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الرّبا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القرض</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وقريب منها ما قاله الشهيد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23321</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أسماءمصنفي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11977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أسماءمصنفي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الكافی 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في شرح الكافی لمولی خليل القزوينی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23319</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15536</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فتاوی ابن 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10/207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23/379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23321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 للحكيم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تعليقات الشهيد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9/521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عَلَيْكُمْ أُمَّهٰاتُكُمْ وَبَنٰاتُكُمْ وَأَخَوٰاتُكُمْ وَعَمّٰاتُكُمْ وَخٰالٰاتُكُمْ وَبَنٰاتُ الْأَخِ وَبَنٰاتُ الْأُخْتِ وَأُمَّهٰاتُكُمُ اللّٰاتِی أَرْضَعْنَكُمْ وَأَخَوٰاتُكُمْ مِنَ الرَّضٰاعَةِ وَأُمَّهٰاتُ نِسٰائِكُمْ وَرَبٰائِبُكُمُ اللّٰاتِی في حُجُورِكُمْ مِنْ نِسٰائِكُمُ اللّٰاتِی دَخَلْتُمْ بِهِنَّ فَإِنْ لَمْ تَكُونُوا دَخَلْتُمْ بِهِنَّ فَلٰا جُنٰاحَ عَلَيْكُمْ وَحَلٰائِلُ أَبْنٰائِكُمُ الَّذِينَ مِنْ أَصْلٰابِكُمْ وَأَنْ تَجْمَعُوا بَيْنَ الْأُخْتَيْنِ إِلّٰا مٰا قَدْ سَلَفَ إِنَّ اللّٰهَ كٰانَ غَفُوراً رَحِيماً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23/380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تشرب الخمر لأنّه 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فكلّما جاءت هذه العلّة في موضوع آخر غير الخمر كالنّبيذ والفقاع ترتّب عليه حكم حرمة الشرب، لاستحالة انفكاك الأحكام عن ملاكاتها الواقعيّة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كاستفادة أولويّة حرمة إيذاء الوالدين وضربهما من 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تَقُلْ لَهُما أُفٍّ وَلا تَنْهَرْهُما وَقُلْ لَهُما قَوْلاً كَريماً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23/380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23/378</w:t>
      </w:r>
      <w:r>
        <w:rPr>
          <w:rFonts w:ascii="IRNazanin" w:hAnsi="IRNazanin" w:eastAsia="IRNazanin"/>
          <w:b w:val="false"/>
          <w:b w:val="false"/>
          <w:bCs w:val="false"/>
          <w:i w:val="false"/>
          <w:i w:val="false"/>
          <w:iCs w:val="false"/>
          <w:color w:val="333333"/>
          <w:sz w:val="20"/>
          <w:sz w:val="20"/>
          <w:szCs w:val="20"/>
          <w:rtl w:val="true"/>
        </w:rPr>
        <w:t xml:space="preserve">، وقريب منها ما قاله الشهيد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23321</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23323</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15536</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10/207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الرّبا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23/378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الكافی 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في شرح الكافی لمولی خليل القزوينی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وما قاله الصدوق رحمه الله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أقصد فيه قصد المصنفين في إيراد جميع ما رووه، بل قصدت إلی إيراد ما أفتی به وأحكم بصحته واعتقد فيه أنّه حجّة فيما بينی وبين ربّی تقدّس ذكره وتعالت قدرته، وجميع ما فيه مستخرج من كتب مشهورة عليها المعوّل وإليها 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وبالغت في ذلك جهدی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عبارة عن إلزام المخافين بما التزموا به أنفسهم، ولزيادة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الفقهيّة لشيخنا الأستاذ مكارم الشيرازی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33077</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33078</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قطب الدّين الرّواندی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وشرائط الذمة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الجزية، وأن لا يتظاهروا بأكل لحم الخنزير، وشرب الخمر، ونكاح الزناء، ونكاح المحرمات، فإن خالفوا شيئاً من ذلك خرجوا من الذمّة،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نَكَثُوا أَيْمٰانَهُمْ مِنْ بَعْدِ عَهْدِهِمْ وَطَعَنُوا في دِينِكُمْ فَقٰاتِلُوا أَئِمَّةَ 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أی فقاتلوهم، فوضع المظهر موضع المضمر إشعاراً بأنّهم إذا نكثوا فهم ذوو الرئاسة في الكفر، وفی الآية دلالة على أنّ الذمّی إذا أظهر الطعن في الإسلام فإنّه يجب قتله لأنّ عهده معقود على أن لا يطعن في الإسلام، فإذا طعن فقد نقض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للراومندی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وقال ابن إدريس الحلّی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وشرائط الذّمة، الامتناع من مجاهرة المسلمين بأكل لحم الخنزير، وشرب الخمور، وأكل الرّبا، ونكاح المحرمات في شريعة الإسلام، وإن لا يأووا عيناً على المسلمين، ولا يعاونوا عليهم كافراً، وان لا يستقروا على مسلم، فمتى فعلوا شيئاً من ذلك، فقد خرجوا من الذمّة، وجرى عليهم أحكام الكفار الحربيين الّذين لا كتاب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وقريب منه ما قاله الشيخ الطوسی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23/383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23323</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للراومندی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19939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23323</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23/380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الشتات في أجوبة السئولات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23321</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23319</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15536</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البيوع</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23/358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23344</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23350</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23344</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23351</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23317</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23353</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القرض</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تعرّض لها الشيخ الحرّ العاملی في كتاب 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وبابي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23837</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23834</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البيهقی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23849</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23832</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23463</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23464</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23465</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23389</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23838</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23831</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23844</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23830</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ينقسم البيع عند الفريقين بالنسبة إلی تعجيل الثمن والمثمن وتأخيرهما والتفريق إلی أربعة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يسمّی بالنقد، والثانی بالكالی بالكالی، ومع حلول المثمن وتأخير الثمن بالنسيئة، وبعكسه بالسلف أو السلم، كلّها صحيحة عدا الثانی وذلك لورود النهی عنه وانعقاد الإجماع علی فساده، ولزيادة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لمحيی الدّين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10/207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على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وقريب منه ما قاله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2/43</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11/252</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البيوع</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مسألتي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القرض</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23125</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23130</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23129</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23127</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23131</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23838</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18/659</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22/260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27/219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25/282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الإجارة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24769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المنير للرافعی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 علیه السلام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تُؤْتُوا السُّفَهاءَ أَمْوالَكُمُ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تَثِقُ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العيّاشی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24781</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علیّ بن أبی حمزة البطائنی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تُؤْتُوا السُّفَهاءَ أَمْوالَكُمُ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الْيَتَامَى لَا تُعْطُوهُمْ أَمْوَالَهُمْ حَتَّى تَعْرِفُوا مِنْهُمُ الرُّشْدَ،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يَكُونُ أَمْوَالُهُمْ أَمْوَالَنَا؟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كُنْتَ أَنْتَ الْوَارِثَ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العيّاشی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24782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22752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22753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22751</w:t>
      </w:r>
      <w:r>
        <w:rPr>
          <w:rFonts w:ascii="IRNazanin" w:hAnsi="IRNazanin" w:eastAsia="IRNazanin"/>
          <w:b w:val="false"/>
          <w:b w:val="false"/>
          <w:bCs w:val="false"/>
          <w:i w:val="false"/>
          <w:i w:val="false"/>
          <w:iCs w:val="false"/>
          <w:color w:val="333333"/>
          <w:sz w:val="20"/>
          <w:sz w:val="20"/>
          <w:szCs w:val="20"/>
          <w:rtl w:val="true"/>
        </w:rPr>
        <w:t>، وذكر تمام الحديث في ج</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 في ترجمة عبد العزيز 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يرويه جماعة، أخبرنا أبو العباس أحمد بن 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بطة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الصفار، عن أحمد بن محمّد بن عيسى، عن الحسن بن محبوب، عن عبد العزيز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الكافی 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في شرح الكافی لمولی خليل القزوينی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عبّر عنها المجلسی الأوّل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بالقوی كالصحيح،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11/114</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بالمعتبرة،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9/241</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15241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ألفاظ الرواية ومعناها واحدة،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37/113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 القطنی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28091</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23958</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23962</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15818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كتاب الإجارة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الفصل الثانی في الصيغة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الأتون كتنور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وقود النّار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تحريرالأحكام الشرعيّة علی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المكاسب للشيخ الأنصاری إعداد المؤتمر العالمی لذكری المئويّة الثانية لميلاده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حكی الجزيری اتفاق المذاهب علی اشتراط القدرة علی تسليم الشیء المستأجر،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 ومثله قطب الدّين الكيدری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غنية النزوع إلی علمي الأصول والفروع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البيوع</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مقائيس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 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وقد صرّح بذلك أيضاً بعض آخر منهم المحقق الكركی رحمه الله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27/311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11/304</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100/47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كتاب الإجارة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عبارة القرطبی الآتية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كتاب الإجارة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غنية النزوع إلی علمي الأصول والفروع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بذلك غير واحد من الفقهاء منهم المقدس الأردبيلی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،والشيخ الأنصاری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تَأْكُلُوا أَمْوالَكُمْ بَيْنَكُمْ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وَتَعاوَنُوا عَلَى الْبِرِّ وَالتَّقْوى وَلا تَعاوَنُوا عَلَى الْإِثْمِ وَالْعُدْوانِ وَاتَّقُوا اللَّهَ إِنَّ اللَّهَ شَديدُ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100/47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22282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كتسب به، و</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والنهی 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22283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كتسب به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وقريب منها ما قاله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19/434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21/555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27/260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المكاسب للشيخ الأنصاری إعداد المؤتمر العالمی لذكری المئويّة الثانية لميلاده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الإجارة</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 لابن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البارع في شرح 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26/336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9/332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والكيدری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والفاضل الآبی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الرموز في شرح 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والشهيد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4/209</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الإفهام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 والمحقق السبزواری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والبحرانی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21/199</w:t>
      </w:r>
      <w:r>
        <w:rPr>
          <w:rFonts w:ascii="IRNazanin" w:hAnsi="IRNazanin" w:eastAsia="IRNazanin"/>
          <w:b w:val="false"/>
          <w:b w:val="false"/>
          <w:bCs w:val="false"/>
          <w:i w:val="false"/>
          <w:i w:val="false"/>
          <w:iCs w:val="false"/>
          <w:color w:val="333333"/>
          <w:sz w:val="20"/>
          <w:sz w:val="20"/>
          <w:szCs w:val="20"/>
          <w:rtl w:val="true"/>
        </w:rPr>
        <w:t xml:space="preserve">، والسيّد الطباطبائی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9/332</w:t>
      </w:r>
      <w:r>
        <w:rPr>
          <w:rFonts w:ascii="IRNazanin" w:hAnsi="IRNazanin" w:eastAsia="IRNazanin"/>
          <w:b w:val="false"/>
          <w:b w:val="false"/>
          <w:bCs w:val="false"/>
          <w:i w:val="false"/>
          <w:i w:val="false"/>
          <w:iCs w:val="false"/>
          <w:color w:val="333333"/>
          <w:sz w:val="20"/>
          <w:sz w:val="20"/>
          <w:szCs w:val="20"/>
          <w:rtl w:val="true"/>
        </w:rPr>
        <w:t xml:space="preserve">، والمحقق النجفی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26/336</w:t>
      </w:r>
      <w:r>
        <w:rPr>
          <w:rFonts w:ascii="IRNazanin" w:hAnsi="IRNazanin" w:eastAsia="IRNazanin"/>
          <w:b w:val="false"/>
          <w:b w:val="false"/>
          <w:bCs w:val="false"/>
          <w:i w:val="false"/>
          <w:i w:val="false"/>
          <w:iCs w:val="false"/>
          <w:color w:val="333333"/>
          <w:sz w:val="20"/>
          <w:sz w:val="20"/>
          <w:szCs w:val="20"/>
          <w:rtl w:val="true"/>
        </w:rPr>
        <w:t xml:space="preserve">، والإمام الراحل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رضوان الله تعالی عليهم، و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القراض،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القراض</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والسيد محمّد المجاهد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 للسبزواری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القراض والمضاربة اسمان بمعنى واحد، وهو أن يدفع الإنسان إلى غيره مالاً يتّجر به على أنّ ما رزق الله من ربح كان بينهما على ما يشترطانه،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مع تعليقات آية الله العظمی مكارم الشيرازی وعدة من الفقهاء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والمعترض هو شيخی الأستاذ مكارم الشيرازی دام ظله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المضاربة المسألة الأولی</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إلا أنّه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 عدم مشروعيّتها وأنّه ليس للعامل إلا أجرة المثل، وإن وقع من المالك اشتراط الحصّة من الربح فهو في الحقيقة من الوعد الّذی لا يجب الوفاء به بل المالك حينئذ مخير بين اعطائه ما وافقه عليه وبين اعطائه أجرة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 الشرعية علی المذهب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الهمذب البارع في شرح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26/364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التجارة، و ج</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كتاب المضاربة،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و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24048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24074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علیه السلام ذيل ترجمة أحمد بن محمّد بن خالد البرقی،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سهل بن زياد الآدمی،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يخفی علی من له أدنی ممارسة بكتاب رجال ابن داود إنّه قد صنّف كتابه في ضمن الجزئين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الممدوحين ومن لم يضعفهم الأصحاب فيما علمته، وهو من صفحة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والجزء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المجروحين والمجهولين من الرّواة، وهو من صفحة 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جائزة من الطرفين يجوز لكل منهما فسخها قبل الشروع في العمل وبعده، قبل حصول الربح وبعده، صار المال كلّه نقداً أو كان فيه أجناس لم تنض بعد، بل لو اشترطا فيها الأجل جاز لكلّ منهما فسخها قبل انقضائه، ولو اشترطا فيها عدم الفسخ فإن كان المقصود لزومها بحيث لا تنفسخ بفسخ أحدهما بأن جعل ذلك كناية عن لزومها مع ذكر قرينة دالة عليه بطل الشرط دون أصل المضاربة على الأقوى، وإن كان المقصود التزامهما بأن لا يفسخاها فلا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وكذا العلامة الحلّی رحمه الله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 الشرعيّة علی المذهب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والمحقق الكركی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8/148</w:t>
      </w:r>
      <w:r>
        <w:rPr>
          <w:rFonts w:ascii="IRNazanin" w:hAnsi="IRNazanin" w:eastAsia="IRNazanin"/>
          <w:b w:val="false"/>
          <w:b w:val="false"/>
          <w:bCs w:val="false"/>
          <w:i w:val="false"/>
          <w:i w:val="false"/>
          <w:iCs w:val="false"/>
          <w:color w:val="333333"/>
          <w:sz w:val="20"/>
          <w:sz w:val="20"/>
          <w:szCs w:val="20"/>
          <w:rtl w:val="true"/>
        </w:rPr>
        <w:t xml:space="preserve">، والمحقق الحلی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وابن قدامة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26/340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آنفاً صريح كلام الشهيد والمحقق الكركی رضوان الله تعالی عليهما الدالّة علی ذلك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يقدّم أحد الدليلين على الآخر تقديم سيطرة وقهر من ناحية أدائية لا من ناحية السّند أو الحجيّة بل هما على ما هما عليه من الحجيّة بعد التّقديم، بمعنی أنّهما بحسب لسانهما وأدائهما لا يتكاذبان في مدلولهما فلا يتعارضان كما في الخاصّ المنافی في مدلوله للعام، وإنّما التّقديم كما عرفت من ناحية أدائية بحسب لسانهما بمعنى أنّ الدليل الحاكم يكون لسانه لسان تحديد موضوع الدليل المحكوم أو محموله تنزيلاً وادّعاءً فلذلك يكون الحاكم متصرفاً في عقد الوضع أو عقد الحمل في الدليل المحكوم، من امثلتها في الشّرعيّات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شك لكثير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مثل نفی شك المأموم مع حفظ الإمام وبالعكس، فإنّ هذا ونحوه يكون حاكماً على أدلة حكم الشّك لأنّ لسانه إخراج شك كثير الشك وشك المأموم أو الإمام عن حضيرة صفة الشّك تنزيلاً فمن حقّه حينئذ ألا يُعطى له أحكام الشّك من نحو إبطال الصّلاة أو البناء على الأكثر أو الأقل أو غير ذلك، ولزيادة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الاولی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المضاربة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25/282</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23962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15818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26/360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المضاربة المسألة الأولی</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اشتراك الأحكام بين العالم والجاهل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البحث عن مباحث الحجّة</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المضاربة المسألة الأولی</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26/356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 في تحقيق الأحكام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9/348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24072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في طريقه الحسين بن يزيد النوفلی الّذی يروی عن السكونی لم يرد له توثيق بل قد رُمِی بالغلو لكن النجاشی قال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رأينا له رواية تدلّ علی هذا،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وإسماعيل بن أبی زياد السكونی الّذی كان عامياً و يروی عن العوام،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الكافی 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في شرح الكافی لمولی خليل القزوينی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وما قاله الصدوق رحمه الله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أقصد فيه قصد المصنفين في إيراد جميع ما رووه، بل قصدت إلی إيراد ما أفتی به وأحكم بصحته واعتقد فيه أنّه حجّة فيما بينی وبين ربّی تقدّس ذكره وتعالت قدرته، وجميع ما فيه مستخرج من كتب مشهورة عليها المعوّل وإليها 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وبالغت في ذلك جهدی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له دين علی شخص يجوز أن يوكل أحداً في استيفائه ثمّ إيقاع المضاربة عليه موجباً وقابلاً من الطرفين، وكذا لو كان المديون هو العامل يجوز توكيله في تعيين ما في ذمّته في نقد معيّن للدائن ثمّ إيقاعهاعليه موجباً وقابلاً،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المضاربة المسألة الرابعة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 إلی نيل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الحاوی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شرط صحّة ذلك أن يكون رأس المال دراهم أو دنانير معلومة مسلمة إلی العامل، ولا يجوز القراض بغير الدنانير والدراهم من سائر العروض، فعلی هذا لا يجوز القراض بالفلوس ولا بالورق المغشوش</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غنية النزوع إلی علمي الأصول والفروع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الأولی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القراض</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9/348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26/356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صحيحة الحلبی عن أبی عبدالله علیه السلام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 الَّذِی يَعْمَلُ بِهِ مُضَارَبَةً لَهُ مِنَ الرِّبْحِ وَلَيْسَ عَلَيْهِ مِنَ الْوَضِيعَةِ شَیْ‌ءٌ إِلَّا أَنْ يُخَالِفَ أَمْرَ صَاحِبِ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24051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المقنعة للشيخ المفيد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المراسم العلوية والأحكام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مع تعليقات آية الله العظمی مكارم الشيرازی وعدة من الفقهاء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القراض</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26/359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12/246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المضاربة المسألة الاولی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21/230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26/365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w:t>
      </w:r>
      <w:r>
        <w:rPr>
          <w:rFonts w:eastAsia="IRNazanin" w:cs="IRNazanin"/>
          <w:b w:val="false"/>
          <w:bCs w:val="false"/>
          <w:i w:val="false"/>
          <w:iCs w:val="false"/>
          <w:color w:val="333333"/>
          <w:sz w:val="20"/>
          <w:szCs w:val="20"/>
        </w:rPr>
        <w:t>24048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24074</w:t>
      </w:r>
      <w:r>
        <w:rPr>
          <w:rFonts w:ascii="IRNazanin" w:hAnsi="IRNazanin" w:eastAsia="IRNazanin"/>
          <w:b w:val="false"/>
          <w:b w:val="false"/>
          <w:bCs w:val="false"/>
          <w:i w:val="false"/>
          <w:i w:val="false"/>
          <w:iCs w:val="false"/>
          <w:color w:val="333333"/>
          <w:sz w:val="20"/>
          <w:sz w:val="20"/>
          <w:szCs w:val="20"/>
          <w:rtl w:val="true"/>
        </w:rPr>
        <w:t>، و راجع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w:t>
      </w:r>
      <w:r>
        <w:rPr>
          <w:rFonts w:eastAsia="IRNazanin" w:cs="IRNazanin"/>
          <w:b w:val="false"/>
          <w:bCs w:val="false"/>
          <w:i w:val="false"/>
          <w:iCs w:val="false"/>
          <w:color w:val="333333"/>
          <w:sz w:val="20"/>
          <w:szCs w:val="20"/>
        </w:rPr>
        <w:t>15880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15883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24048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24052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24053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24056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24068</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15880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المضاربة المسألة الاولی</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20/503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روی عن النَّبِیِّ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 مُسَلَّطُونَ عَلَى أَمْوَالِهِمْ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 القطنی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وقد أورده الشيخ الطوسی رحمه الله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مسألة 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البيوع</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 الرائع لمختصر الشرائع للفاضل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البارع في شرح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بعض الفقهاء رضوان الله تعالی عليهم بأنّه لا يشترط في المزارعة كون الأرض ملكاً للمزارع، بل يكفی كونه مسلّطاً عليها بوجه من الوجوه من البيع أو الإجارة أو الوصيّة أو الوقف ونحوها،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الأحكام للمحقق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والمحقق الحلی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والفاضل المقداد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وجمال الدّين الحلی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xml:space="preserve">، والشهيدين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 والسبزواری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 والبحرانی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21/277</w:t>
      </w:r>
      <w:r>
        <w:rPr>
          <w:rFonts w:ascii="IRNazanin" w:hAnsi="IRNazanin" w:eastAsia="IRNazanin"/>
          <w:b w:val="false"/>
          <w:b w:val="false"/>
          <w:bCs w:val="false"/>
          <w:i w:val="false"/>
          <w:i w:val="false"/>
          <w:iCs w:val="false"/>
          <w:color w:val="333333"/>
          <w:sz w:val="20"/>
          <w:sz w:val="20"/>
          <w:szCs w:val="20"/>
          <w:rtl w:val="true"/>
        </w:rPr>
        <w:t xml:space="preserve">، والطباطبائی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9/364</w:t>
      </w:r>
      <w:r>
        <w:rPr>
          <w:rFonts w:ascii="IRNazanin" w:hAnsi="IRNazanin" w:eastAsia="IRNazanin"/>
          <w:b w:val="false"/>
          <w:b w:val="false"/>
          <w:bCs w:val="false"/>
          <w:i w:val="false"/>
          <w:i w:val="false"/>
          <w:iCs w:val="false"/>
          <w:color w:val="333333"/>
          <w:sz w:val="20"/>
          <w:sz w:val="20"/>
          <w:szCs w:val="20"/>
          <w:rtl w:val="true"/>
        </w:rPr>
        <w:t xml:space="preserve">، والسيد اليزدی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xml:space="preserve">، والإمام الراحل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المزارعة</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3/254</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الشيخ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الرواية الثانية من الباب التاسع من أبواب كتاب المزارعة والمساقاة، والثانية من الباب العاشر منها، والأولی من الباب الحادية عشر،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24119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24121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24122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597</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963</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1216</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المزارعة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24113</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العلامی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موثقة منصور بزرج 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غنية النزوع إلى علمي الأصول و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المزارعة والمساقاة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إِلَى مَا كَانَ مِنْ رِوَايَاتِهِمَا عَنَّا في ذَلِكَ الَّذِی حَكَمَا بِهِ الْمُجْمَعُ عَلَيْهِ عِنْدَ أَصْحَابِكَ فَيُؤْخَذُ بِهِ مِنْ حُكْمِنَا وَيُتْرَكُ الشَّاذُّ الَّذِی لَيْسَ بِمَشْهُورٍ عِنْدَ أَصْحَابِكَ فَإِنَّ الْمُجْمَعَ عَلَيْهِ لَا رَيْبَ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33334</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حكی المحدث النوری رحمه الله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العلّامة مرفوعا إلى زرارة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الْبَاقِرَ علیه السلام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 يَأْتِی عَنْكُمُ الْخَبَرَانِ أَوِ الْحَدِيثَانِ الْمُتَعَارِضَانِ فَبِأَيِّهِمَا آخُذُ؟ فَقَالَ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زُرَارَةُ خُذْ بِمَا اشْتَهَرَ بَيْنَ أَصْحَابِكَ وَدَعِ الشَّاذَّ النَّادِر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21413</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المزارعة</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5/290</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25/282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23962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15818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1/635</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رحمه الله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والشهيدين رضوان الله تعالی عليهما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وثانيهما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والمحقق السبزواری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رحمه الله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 والمحدث البحرانی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21/284</w:t>
      </w:r>
      <w:r>
        <w:rPr>
          <w:rFonts w:ascii="IRNazanin" w:hAnsi="IRNazanin" w:eastAsia="IRNazanin"/>
          <w:b w:val="false"/>
          <w:b w:val="false"/>
          <w:bCs w:val="false"/>
          <w:i w:val="false"/>
          <w:i w:val="false"/>
          <w:iCs w:val="false"/>
          <w:color w:val="333333"/>
          <w:sz w:val="20"/>
          <w:sz w:val="20"/>
          <w:szCs w:val="20"/>
          <w:rtl w:val="true"/>
        </w:rPr>
        <w:t xml:space="preserve">، والمحقق الطباطبائی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9/367</w:t>
      </w:r>
      <w:r>
        <w:rPr>
          <w:rFonts w:ascii="IRNazanin" w:hAnsi="IRNazanin" w:eastAsia="IRNazanin"/>
          <w:b w:val="false"/>
          <w:b w:val="false"/>
          <w:bCs w:val="false"/>
          <w:i w:val="false"/>
          <w:i w:val="false"/>
          <w:iCs w:val="false"/>
          <w:color w:val="333333"/>
          <w:sz w:val="20"/>
          <w:sz w:val="20"/>
          <w:szCs w:val="20"/>
          <w:rtl w:val="true"/>
        </w:rPr>
        <w:t xml:space="preserve">، و الشيخ محمّد حسن النجفی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9/367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24116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المزارعة والمساقاة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21/301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24122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24123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9/371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1/636</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المستفادة من مثل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أَوْفُوا بِالْعُقُود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وصحيحة عبد اللّه بن سنان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الْمُسْلِمُونَ عِنْدَ شُرُوطِهِمْ إِلَّا كُلَّ شَرْطٍ خَالَفَ كِتَابَ اللَّهِ عَزَّ وَجَلَّ فَلَا يَجُوزُ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23041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1/636</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24121</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ومثله ابن منظور المصری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مثله ابن منظور المصری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8/289</w:t>
      </w:r>
      <w:r>
        <w:rPr>
          <w:rFonts w:ascii="IRNazanin" w:hAnsi="IRNazanin" w:eastAsia="IRNazanin"/>
          <w:b w:val="false"/>
          <w:b w:val="false"/>
          <w:bCs w:val="false"/>
          <w:i w:val="false"/>
          <w:i w:val="false"/>
          <w:iCs w:val="false"/>
          <w:color w:val="333333"/>
          <w:sz w:val="20"/>
          <w:sz w:val="20"/>
          <w:szCs w:val="20"/>
          <w:rtl w:val="true"/>
        </w:rPr>
        <w:t>، وقريب منه ما قاله الشيخ محمد حسن النجفی رحمه الله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المكاسب للشيخ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32382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23065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المكاسب للشيخ الأنصاری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علی مذهب الإماميّة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 النافع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توضيح المسائل لآية الله العظمی مكارم الشيرازی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اللمعة الدمشقيّة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المكاسب للشيخ الأنصاری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عبّر عن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بقاعدة اللزوم، 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الفقهية لآية العظمی مكارم الشيرازی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262</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23065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23065</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رواه أيضاً العلامة رحمه الله مرسلاً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مسألة 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10206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 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البيع بالنسبة إلی تعجيل الثمن والمثمن، وتأخيرهما، والتفريق أربعة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يسمّی بالنقد، والثانی ببيع الكالیء بالكالیء، وما كان المثمن حالاً والثمن مؤجلاً نسيئة، وعكسه سلم أو سلف، والأقسام كلّها صحيحة إلا البيع الثانی لما ورد النهی عنه وانعقد الإجماع علی فساده،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 إلی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المتعلمين في أحكام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الفقهاء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الأحكام في معرفة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1/528</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المكاسب للشيخ الأنصاری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الكتب الفقهية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 صَلَّى اَللَّهُ عَلَيْهِ وَ آلِهِ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 مُسَلَّطُونَ عَلَى أَمْوَالِهِمْ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1/528</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المكاسب للشيخ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5/248</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الفريقان روی الصّدوق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بأسانيد الّتي ذكرها في إسباغ الوضوء عن الرّضا عن آبائه 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نَهَى رَسُولُ اللَّهِ عَنْ بَيْعِ الْمُضْطَرِّ وَعَنْ بَيْعِ الْغَرَرِ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23065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مشيخة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30/135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رحمه الله في ترجمة الحسين بن عبيد الله السعدی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بن عبيد الله بن سهل ممن أطعن عليه و رمی بالغلو، وقال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المحرر، ذكره أبو علیّ أحمد بن علیّ السكونی شفران قرابة الحسن بن خرزاذ وختنه على أخته، إن الحسين بن عبد الله القمّی أخرج من قم في وقت كانوا يخرجون من اتهموه بالغلو،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ترجمة الحسين بن عبيد الله السعدی تحت رقم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 في شرح عبادات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وتفصيل طبقات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الشرعية في الفقه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14/407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المكاسب للشيخ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الأَقْتُ، بالقاف لغةٌ في الوقْت، كذا صَحَّحَه جماعة، أَو إِبدالٌ، أَو لحْن، والتَّأْقِيت كالتَّوْقِيتِ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الأوْقَاتِ، وهو مُؤَقَّت من ذلك،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3/581</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32382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23065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المطلق والمقيد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التنبيه الثالث عشر من تنبيهات الإستصحاب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المكاسب للشيخ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سليمان بن خالد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رَجُلٍ كَانَ لَهُ أَبٌ مَمْلُوكٌ وَكَانَتْ لِأَبِيهِ امْرَأَةٌ مُكَاتَبَةٌ قَدْ أَدَّتْ بَعْضَ مَا عَلَيْهَا، فَقَالَ لَهَا ابْنُ الْعَبْدِ هَلْ لَكِ أَنْ أُعِينَكِ في مُكَاتَبَتِكِ حَتَّى تُؤَدِّی مَا عَلَيْكِ بِشَرْطِ أَنْ لَا يَكُونَ لَكِ الْخِيَارُ عَلَى أَبِی إِذَا أَنْتِ مَلَكْتِ نَفْسَكِ؟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فَأَعْطَاهَا في مُكَاتَبَتِهَا عَلَى أَنْ لَا يَكُونَ لَهَا الْخِيَارُ عَلَيْهِ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 لَهَا الْخِيَارُ، الْمُسْلِمُونَ عِنْدَ شُرُوطِهِمْ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أجاب عنه السيّد الخوئی رحمه الله بأنّه لا مانع منه إذا أراد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ينشئ من الآن إسقاط حقّه في ظرفه على تقدير تحقّقه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لكن الإنصاف أنّه ليس له معنی صالحاً للجواب عن الإشكال، لأنّ ما يحصل في المستقبل علی الفرض غير موجود الآن كيف يصحّ إسقاطه فعلاً علی تقدير حصوله في ظرفه؟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بصورة مجرد العهد والوعد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بقول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وعده ی خوبان يكی وفا نكند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كند به رقيبان كند به ما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تری غير لازم الوفاء به، نعم يصح الإلتزم به إذا التزم به في ضمن عقد خارج لازم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المظفر رحمه الله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اشتراك الأحكام بين العالم والجاهل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23033</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23034</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ولزيادة التوضيح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الفقهيّة آية العظمی مكارم الشيرازی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2/185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footnotes" Target="footnotes.xml"/><Relationship Id="rId594" Type="http://schemas.openxmlformats.org/officeDocument/2006/relationships/numbering" Target="numbering.xml"/><Relationship Id="rId595" Type="http://schemas.openxmlformats.org/officeDocument/2006/relationships/fontTable" Target="fontTable.xml"/><Relationship Id="rId596" Type="http://schemas.openxmlformats.org/officeDocument/2006/relationships/settings" Target="settings.xml"/><Relationship Id="rId5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591</Pages>
  <Words>77278</Words>
  <Characters>338597</Characters>
  <CharactersWithSpaces>414202</CharactersWithSpaces>
  <Paragraphs>2075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2026-08-27T13:23:04Z</dcterms:created>
  <dc:creator>ghaemiyeh.com</dc:creator>
  <dc:description/>
  <dc:language>en-US</dc:language>
  <cp:lastModifiedBy/>
  <dcterms:modified xsi:type="dcterms:W3CDTF">2026-08-27T16:53:24Z</dcterms:modified>
  <cp:revision>1</cp:revision>
  <dc:subject/>
  <dc:title>بحوث فی الفقه المقالات العشر</dc:title>
</cp:coreProperties>
</file>

<file path=docProps/custom.xml><?xml version="1.0" encoding="utf-8"?>
<Properties xmlns="http://schemas.openxmlformats.org/officeDocument/2006/custom-properties" xmlns:vt="http://schemas.openxmlformats.org/officeDocument/2006/docPropsVTypes"/>
</file>