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المنطلقات الإنسانیة و الأخلاقیة فی رسالة الإمام علی علیه السلام الى مالک الأشتر رضی 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833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53833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38334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5538336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5538338_1051229030">
            <w:r>
              <w:rPr>
                <w:webHidden/>
                <w:rStyle w:val="IndexLink"/>
                <w:rtl w:val="true"/>
              </w:rPr>
              <w:t>المبحث الأول</w:t>
            </w:r>
            <w:r>
              <w:rPr>
                <w:rStyle w:val="IndexLink"/>
                <w:rtl w:val="true"/>
              </w:rPr>
              <w:tab/>
            </w:r>
            <w:r>
              <w:rPr>
                <w:rStyle w:val="IndexLink"/>
              </w:rPr>
              <w:t>24</w:t>
            </w:r>
          </w:hyperlink>
        </w:p>
        <w:p>
          <w:pPr>
            <w:pStyle w:val="Contents2"/>
            <w:tabs>
              <w:tab w:val="clear" w:pos="8743"/>
              <w:tab w:val="right" w:pos="9026" w:leader="dot"/>
            </w:tabs>
            <w:rPr/>
          </w:pPr>
          <w:hyperlink w:anchor="__RefHeading___Toc5538340_1051229030">
            <w:r>
              <w:rPr>
                <w:webHidden/>
                <w:rStyle w:val="IndexLink"/>
                <w:rtl w:val="true"/>
              </w:rPr>
              <w:t>المبحث الثاني</w:t>
            </w:r>
            <w:r>
              <w:rPr>
                <w:rStyle w:val="IndexLink"/>
                <w:rtl w:val="true"/>
              </w:rPr>
              <w:t xml:space="preserve">: </w:t>
            </w:r>
            <w:r>
              <w:rPr>
                <w:rStyle w:val="IndexLink"/>
                <w:rtl w:val="true"/>
              </w:rPr>
              <w:t>الجوانب الإنسانية</w:t>
            </w:r>
            <w:r>
              <w:rPr>
                <w:rStyle w:val="IndexLink"/>
                <w:rtl w:val="true"/>
              </w:rPr>
              <w:tab/>
            </w:r>
            <w:r>
              <w:rPr>
                <w:rStyle w:val="IndexLink"/>
              </w:rPr>
              <w:t>31</w:t>
            </w:r>
          </w:hyperlink>
        </w:p>
        <w:p>
          <w:pPr>
            <w:pStyle w:val="Contents2"/>
            <w:tabs>
              <w:tab w:val="clear" w:pos="8743"/>
              <w:tab w:val="right" w:pos="9026" w:leader="dot"/>
            </w:tabs>
            <w:rPr/>
          </w:pPr>
          <w:hyperlink w:anchor="__RefHeading___Toc5538342_1051229030">
            <w:r>
              <w:rPr>
                <w:webHidden/>
                <w:rStyle w:val="IndexLink"/>
                <w:rtl w:val="true"/>
              </w:rPr>
              <w:t>المبحث الثالث</w:t>
            </w:r>
            <w:r>
              <w:rPr>
                <w:rStyle w:val="IndexLink"/>
                <w:rtl w:val="true"/>
              </w:rPr>
              <w:t xml:space="preserve">: </w:t>
            </w:r>
            <w:r>
              <w:rPr>
                <w:rStyle w:val="IndexLink"/>
                <w:rtl w:val="true"/>
              </w:rPr>
              <w:t>الجوانب الأخلاقية</w:t>
            </w:r>
            <w:r>
              <w:rPr>
                <w:rStyle w:val="IndexLink"/>
                <w:rtl w:val="true"/>
              </w:rPr>
              <w:tab/>
            </w:r>
            <w:r>
              <w:rPr>
                <w:rStyle w:val="IndexLink"/>
              </w:rPr>
              <w:t>39</w:t>
            </w:r>
          </w:hyperlink>
        </w:p>
        <w:p>
          <w:pPr>
            <w:pStyle w:val="Contents2"/>
            <w:tabs>
              <w:tab w:val="clear" w:pos="8743"/>
              <w:tab w:val="right" w:pos="9026" w:leader="dot"/>
            </w:tabs>
            <w:rPr/>
          </w:pPr>
          <w:hyperlink w:anchor="__RefHeading___Toc5538344_1051229030">
            <w:r>
              <w:rPr>
                <w:webHidden/>
                <w:rStyle w:val="IndexLink"/>
                <w:rtl w:val="true"/>
              </w:rPr>
              <w:t>الخاتمة والاستنتاجات</w:t>
            </w:r>
            <w:r>
              <w:rPr>
                <w:rStyle w:val="IndexLink"/>
                <w:rtl w:val="true"/>
              </w:rPr>
              <w:tab/>
            </w:r>
            <w:r>
              <w:rPr>
                <w:rStyle w:val="IndexLink"/>
              </w:rPr>
              <w:t>48</w:t>
            </w:r>
          </w:hyperlink>
        </w:p>
        <w:p>
          <w:pPr>
            <w:pStyle w:val="Contents2"/>
            <w:tabs>
              <w:tab w:val="clear" w:pos="8743"/>
              <w:tab w:val="right" w:pos="9026" w:leader="dot"/>
            </w:tabs>
            <w:rPr/>
          </w:pPr>
          <w:hyperlink w:anchor="__RefHeading___Toc5538346_1051229030">
            <w:r>
              <w:rPr>
                <w:webHidden/>
                <w:rStyle w:val="IndexLink"/>
                <w:rtl w:val="true"/>
              </w:rPr>
              <w:t>ثبت المصادر والمراج</w:t>
            </w:r>
            <w:r>
              <w:rPr>
                <w:rStyle w:val="IndexLink"/>
                <w:rtl w:val="true"/>
              </w:rPr>
              <w:t>:</w:t>
              <w:tab/>
            </w:r>
            <w:r>
              <w:rPr>
                <w:rStyle w:val="IndexLink"/>
              </w:rPr>
              <w:t>53</w:t>
            </w:r>
          </w:hyperlink>
        </w:p>
        <w:p>
          <w:pPr>
            <w:pStyle w:val="Contents2"/>
            <w:tabs>
              <w:tab w:val="clear" w:pos="8743"/>
              <w:tab w:val="right" w:pos="9026" w:leader="dot"/>
            </w:tabs>
            <w:rPr/>
          </w:pPr>
          <w:hyperlink w:anchor="__RefHeading___Toc5538348_1051229030">
            <w:r>
              <w:rPr>
                <w:webHidden/>
                <w:rStyle w:val="IndexLink"/>
                <w:rtl w:val="true"/>
              </w:rPr>
              <w:t xml:space="preserve">أولا </w:t>
            </w:r>
            <w:r>
              <w:rPr>
                <w:rStyle w:val="IndexLink"/>
                <w:rtl w:val="true"/>
              </w:rPr>
              <w:t xml:space="preserve">:- </w:t>
            </w:r>
            <w:r>
              <w:rPr>
                <w:rStyle w:val="IndexLink"/>
                <w:rtl w:val="true"/>
              </w:rPr>
              <w:t>المصادر الأولية</w:t>
            </w:r>
            <w:r>
              <w:rPr>
                <w:rStyle w:val="IndexLink"/>
                <w:rtl w:val="true"/>
              </w:rPr>
              <w:t>.</w:t>
              <w:tab/>
            </w:r>
            <w:r>
              <w:rPr>
                <w:rStyle w:val="IndexLink"/>
              </w:rPr>
              <w:t>53</w:t>
            </w:r>
          </w:hyperlink>
        </w:p>
        <w:p>
          <w:pPr>
            <w:pStyle w:val="Contents2"/>
            <w:tabs>
              <w:tab w:val="clear" w:pos="8743"/>
              <w:tab w:val="right" w:pos="9026" w:leader="dot"/>
            </w:tabs>
            <w:rPr/>
          </w:pPr>
          <w:hyperlink w:anchor="__RefHeading___Toc5538350_1051229030">
            <w:r>
              <w:rPr>
                <w:webHidden/>
                <w:rStyle w:val="IndexLink"/>
                <w:rtl w:val="true"/>
              </w:rPr>
              <w:t xml:space="preserve">ثانيا </w:t>
            </w:r>
            <w:r>
              <w:rPr>
                <w:rStyle w:val="IndexLink"/>
                <w:rtl w:val="true"/>
              </w:rPr>
              <w:t xml:space="preserve">:- </w:t>
            </w:r>
            <w:r>
              <w:rPr>
                <w:rStyle w:val="IndexLink"/>
                <w:rtl w:val="true"/>
              </w:rPr>
              <w:t xml:space="preserve">المراجع </w:t>
            </w:r>
            <w:r>
              <w:rPr>
                <w:rStyle w:val="IndexLink"/>
                <w:rtl w:val="true"/>
              </w:rPr>
              <w:t>.</w:t>
              <w:tab/>
            </w:r>
            <w:r>
              <w:rPr>
                <w:rStyle w:val="IndexLink"/>
              </w:rPr>
              <w:t>54</w:t>
            </w:r>
          </w:hyperlink>
        </w:p>
        <w:p>
          <w:pPr>
            <w:pStyle w:val="Contents2"/>
            <w:tabs>
              <w:tab w:val="clear" w:pos="8743"/>
              <w:tab w:val="right" w:pos="9026" w:leader="dot"/>
            </w:tabs>
            <w:rPr/>
          </w:pPr>
          <w:hyperlink w:anchor="__RefHeading___Toc5538352_1051229030">
            <w:r>
              <w:rPr>
                <w:webHidden/>
                <w:rStyle w:val="IndexLink"/>
                <w:rtl w:val="true"/>
              </w:rPr>
              <w:t xml:space="preserve">ثالثاً </w:t>
            </w:r>
            <w:r>
              <w:rPr>
                <w:rStyle w:val="IndexLink"/>
                <w:rtl w:val="true"/>
              </w:rPr>
              <w:t xml:space="preserve">: </w:t>
            </w:r>
            <w:r>
              <w:rPr>
                <w:rStyle w:val="IndexLink"/>
                <w:rtl w:val="true"/>
              </w:rPr>
              <w:t>الرسائل والاطاريح الجامعية</w:t>
            </w:r>
            <w:r>
              <w:rPr>
                <w:rStyle w:val="IndexLink"/>
                <w:rtl w:val="true"/>
              </w:rPr>
              <w:t>.</w:t>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8_99595"/>
      <w:bookmarkStart w:id="1" w:name="pg10728_99595"/>
      <w:bookmarkEnd w:id="1"/>
    </w:p>
    <w:p>
      <w:pPr>
        <w:pStyle w:val="Heading2"/>
        <w:numPr>
          <w:ilvl w:val="1"/>
          <w:numId w:val="1"/>
        </w:numPr>
        <w:rPr/>
      </w:pPr>
      <w:bookmarkStart w:id="2" w:name="pg10728_99595"/>
      <w:bookmarkStart w:id="3" w:name="__RefHeading___Toc553833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المنطلقات الإنسانية والأخلاقية</w:t>
      </w:r>
    </w:p>
    <w:p>
      <w:pPr>
        <w:pStyle w:val="BookText"/>
        <w:rPr/>
      </w:pPr>
      <w:r>
        <w:rPr>
          <w:rFonts w:ascii="IRNazanin" w:hAnsi="IRNazanin" w:eastAsia="IRNazanin"/>
          <w:color w:val="111111"/>
          <w:sz w:val="28"/>
          <w:sz w:val="28"/>
          <w:szCs w:val="28"/>
          <w:rtl w:val="true"/>
          <w:lang w:bidi="fa-IR"/>
        </w:rPr>
        <w:t xml:space="preserve">في رسالة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عنه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المنطلقات الإنسانية والأخلاقية</w:t>
      </w:r>
    </w:p>
    <w:p>
      <w:pPr>
        <w:pStyle w:val="BookText"/>
        <w:rPr/>
      </w:pPr>
      <w:r>
        <w:rPr>
          <w:rFonts w:ascii="IRNazanin" w:hAnsi="IRNazanin" w:eastAsia="IRNazanin"/>
          <w:color w:val="111111"/>
          <w:sz w:val="28"/>
          <w:sz w:val="28"/>
          <w:szCs w:val="28"/>
          <w:rtl w:val="true"/>
          <w:lang w:bidi="fa-IR"/>
        </w:rPr>
        <w:t xml:space="preserve">في رسالة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خميس غربي حسين</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موسسة علوم نهج البلاغة</w:t>
      </w:r>
    </w:p>
    <w:p>
      <w:pPr>
        <w:pStyle w:val="BookText"/>
        <w:rPr/>
      </w:pPr>
      <w:r>
        <w:rPr>
          <w:rFonts w:ascii="IRNazanin" w:hAnsi="IRNazanin" w:eastAsia="IRNazanin"/>
          <w:color w:val="111111"/>
          <w:sz w:val="28"/>
          <w:sz w:val="28"/>
          <w:szCs w:val="28"/>
          <w:rtl w:val="true"/>
          <w:lang w:bidi="fa-IR"/>
        </w:rPr>
        <w:t>فی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833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عنه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المنطلقات الإنسانية والأخلاقية</w:t>
      </w:r>
    </w:p>
    <w:p>
      <w:pPr>
        <w:pStyle w:val="BookText"/>
        <w:rPr/>
      </w:pPr>
      <w:r>
        <w:rPr>
          <w:rFonts w:ascii="IRNazanin" w:hAnsi="IRNazanin" w:eastAsia="IRNazanin"/>
          <w:color w:val="111111"/>
          <w:sz w:val="28"/>
          <w:sz w:val="28"/>
          <w:szCs w:val="28"/>
          <w:rtl w:val="true"/>
          <w:lang w:bidi="fa-IR"/>
        </w:rPr>
        <w:t xml:space="preserve">في رسالة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خميس غربي حسين</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موسسة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رمانة العام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 Inahj.org</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الاْفکار والاراء المذکورة فی هذا الکتاب تعبر عن وجهة نظر کاتبها، و لا تعبر بالضرورة عن وجهة نظر العتبة الحسینیة المقدسة </w:t>
      </w:r>
      <w:bookmarkStart w:id="7" w:name="pg10728_9959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5538334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لَحدیث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w:t>
      </w:r>
    </w:p>
    <w:p>
      <w:pPr>
        <w:pStyle w:val="BookText"/>
        <w:rPr/>
      </w:pPr>
      <w:r>
        <w:rPr>
          <w:rFonts w:ascii="IRNazanin" w:hAnsi="IRNazanin" w:eastAsia="IRNazanin"/>
          <w:color w:val="111111"/>
          <w:sz w:val="28"/>
          <w:sz w:val="28"/>
          <w:szCs w:val="28"/>
          <w:rtl w:val="true"/>
          <w:lang w:bidi="fa-IR"/>
        </w:rPr>
        <w:t xml:space="preserve">وإصلاح متعلقاته الحياتية وذلك ضمن سلسلة بحثية علمية والموسومة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البحث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المنطلقات الإنسانية والأخلاقية في رسالة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الدراسات الاجتماعية حيث تناول البحث متبنيات أخلاق الإسلام وإنسانيته بما يحمله العهد من طروحات ناضجة </w:t>
      </w:r>
    </w:p>
    <w:p>
      <w:pPr>
        <w:pStyle w:val="BookText"/>
        <w:rPr/>
      </w:pPr>
      <w:r>
        <w:rPr>
          <w:rFonts w:ascii="Amiri" w:hAnsi="Amiri" w:eastAsia="Amiri" w:cs="Amiri"/>
          <w:color w:val="111111"/>
          <w:sz w:val="28"/>
          <w:sz w:val="28"/>
          <w:szCs w:val="28"/>
          <w:rtl w:val="true"/>
          <w:lang w:bidi="ar-SA"/>
        </w:rPr>
        <w:t>في هذا المضمار التي تؤدي إلى تماسك المجتمع وتقوية أواصره وتجعله يتمتع بسمو الروح الإنسانية والأخلاق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10728_9960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5538336_1051229030"/>
      <w:bookmarkStart w:id="12" w:name="_Toc4"/>
      <w:bookmarkEnd w:id="11"/>
      <w:r>
        <w:rPr>
          <w:rtl w:val="true"/>
        </w:rPr>
        <w:t>مقدمة</w:t>
      </w:r>
      <w:bookmarkEnd w:id="12"/>
    </w:p>
    <w:p>
      <w:pPr>
        <w:pStyle w:val="BookText"/>
        <w:rPr/>
      </w:pPr>
      <w:r>
        <w:rPr>
          <w:rFonts w:ascii="IRNazanin" w:hAnsi="IRNazanin" w:eastAsia="IRNazanin"/>
          <w:color w:val="111111"/>
          <w:sz w:val="28"/>
          <w:sz w:val="28"/>
          <w:szCs w:val="28"/>
          <w:rtl w:val="true"/>
          <w:lang w:bidi="fa-IR"/>
        </w:rPr>
        <w:t>من المسلم به أن الإسلام نظام ايجابي يدعو إلى إقامة دولة تكون في غاية العدالة تقوم سیاستها على الأمر بالمعروف والنهي عن المنكر ويبتعد نظامها عن كل ما يؤدي إلى استغلال الإنسان أو استعباده ويبيح الإسلام للإنسان حرية القول والفعل في تغيير كل منكر يراه والروح الإنسانية والأخلاق القويمة هي الأساس التي يقام عليها المجتمع وهي كذلك المعيار الحسن لصلة الإنسان بربه وحسن تعامله مع أخيه الإنسان وتمام انسجامه مع نفسه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هذه المعايير فإن الإسلام دين الإنسانية والمثل الأخلاقية السامية جاء برسالة تفيض بالمحبة والإخاء والدعوة الصارخة لتحقيق </w:t>
      </w:r>
    </w:p>
    <w:p>
      <w:pPr>
        <w:pStyle w:val="BookText"/>
        <w:rPr/>
      </w:pPr>
      <w:r>
        <w:rPr>
          <w:rFonts w:ascii="IRNazanin" w:hAnsi="IRNazanin" w:eastAsia="IRNazanin"/>
          <w:color w:val="111111"/>
          <w:sz w:val="28"/>
          <w:sz w:val="28"/>
          <w:szCs w:val="28"/>
          <w:rtl w:val="true"/>
          <w:lang w:bidi="fa-IR"/>
        </w:rPr>
        <w:t xml:space="preserve">إنسانية الإنسان وقد ظهر أدب الوصايا في فترة مبكرة من تاريخ الإسلام فكان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بدأ تحرير الرسائل والكتب إلى عدد من ولاة أمر المسلمين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من تسند إليه وظيفة أو ولاية عامة على ضرورة التعامل بالحسني والأخلاق الفاضلة مع من هم في إمرته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هذا الأمر في عهد حكام الخلافة فكانوا يشددون على حكام الولايات الإسلامية وأمراء الجيش أن يكون المعيار الأخلاقي والإنساني هو السبيل الوحيد لسياسة الرعية وقيادة الدولة ولم يكن هذا المنهج ليطبق مع الرعية من المسلمين فحسب بل امتد ليشمل جميع أفراد المجتمع على اختلاف مذاهبهم وأديانهم وألوانهم وأعراقهم مما يبين حالة إنسانية وأخلاقية في منهج الإسلام وسلوك أفراده ممن يؤتمن عليهم مسؤولية القيادة </w:t>
      </w:r>
    </w:p>
    <w:p>
      <w:pPr>
        <w:pStyle w:val="BookText"/>
        <w:rPr/>
      </w:pPr>
      <w:r>
        <w:rPr>
          <w:rFonts w:ascii="Amiri" w:hAnsi="Amiri" w:eastAsia="Amiri" w:cs="Amiri"/>
          <w:color w:val="111111"/>
          <w:sz w:val="28"/>
          <w:sz w:val="28"/>
          <w:szCs w:val="28"/>
          <w:rtl w:val="true"/>
          <w:lang w:bidi="ar-SA"/>
        </w:rPr>
        <w:t xml:space="preserve">في الدولة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أهمية الموضوع من كون رسالة الإمام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دستوراً عظيماً بحد ذاته تضمنت الكثير من الأطروحات الناضجة في مجال السياسة والإدارة والقضاء فضلاً على ما حوته من منطلقات إنسانية وأخلاقية تمثل الأفكار الأساسية في المنهج الإسلامي القائم على سمو الروح الإنسانية والأخلاق الفاضلة وهذه كانت صفة ملازمة لشخصية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بأي حال من الأحوال تجاهلها عند الحديث عن أخلاق المسلمين ومنطلقاتهم الإنسانية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وصلت الخلافة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الدوحة المحمدية وهو الذي اشتهر ومنذ وقت مبكر من حياته بعدالته وصدق إيمانه كانت المعايير الإنسانية والأخلاقية هي التي </w:t>
      </w:r>
    </w:p>
    <w:p>
      <w:pPr>
        <w:pStyle w:val="BookText"/>
        <w:rPr/>
      </w:pPr>
      <w:r>
        <w:rPr>
          <w:rFonts w:ascii="Amiri" w:hAnsi="Amiri" w:eastAsia="Amiri" w:cs="Amiri"/>
          <w:color w:val="111111"/>
          <w:sz w:val="28"/>
          <w:sz w:val="28"/>
          <w:szCs w:val="28"/>
          <w:rtl w:val="true"/>
          <w:lang w:bidi="ar-SA"/>
        </w:rPr>
        <w:t xml:space="preserve">ترسم سلوكه في الحياة العامة وسياسته مع الرعية يتضح ذلك من عديد الوصايا والرسائل التي كان يوجه بها العمال والولاة على الأمصار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سياسة الدولة في مفهوم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إطارها أضيق الذي يبغي تحقيق غاية ما مهما كانت الوسيلة إلى ذلك بل أن مفهوم القيادة والإدارة في منطلقات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من حيث الحفاظ على القيم السامية التي دعا إليها الإسلام والمساهمة في مواجهة الانحرافات التي بدأت تظهر في المجتمع الإسلامي ومن ثم تقويمها واستبدالها بقيم تتوافق مع روح الدين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أن نصائح أمير المؤمنين علي بن أبي طالب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نابعة من إيمانه بمبادئ الإسلام الإنسانية والأخلاقية والتي كانت في معانيها </w:t>
      </w:r>
    </w:p>
    <w:p>
      <w:pPr>
        <w:pStyle w:val="BookText"/>
        <w:rPr/>
      </w:pPr>
      <w:r>
        <w:rPr>
          <w:rFonts w:ascii="IRNazanin" w:hAnsi="IRNazanin" w:eastAsia="IRNazanin"/>
          <w:color w:val="111111"/>
          <w:sz w:val="28"/>
          <w:sz w:val="28"/>
          <w:szCs w:val="28"/>
          <w:rtl w:val="true"/>
          <w:lang w:bidi="fa-IR"/>
        </w:rPr>
        <w:t>تهدف إلى إقامة نظام اجتماعي يتصف بالعدل کا تجعل الإنسان غاية سامية بعيداً عن الأطر الضيقة التي كانت تعيشها البشرية ولأن هذا الدين دین التناصح والأخوة والمحبة وهو أي الإسلام يعمل على توجيه الإنسان والأخذ بيده إلى طريق السعادة وتحقيق إنسانيته وحيث أن كل إنسان لا يستطيع أن يعرف أخطاءه أو قد يتغافل عنها لطبيعة في تركيب نفسيته ؛ فإن الله تعالى ورحمة بعباده جعل من حق الأخ على أخيه أن يبصره بعيوبه وأن يكون له مرآة يرى من خلالها ما به من نقص کا جعل مبدأ النصيحة شعار المجتمع الإسلامي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وانسجاماً مع ما سبق ذكره فإن المؤسسات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الإدارية والسياسية والقضائية والاقتصادية في منظور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توضع فيها الأفكار والقضايا السياسية والقانونية والإدارية والخطط والبرامج والتوجيهات التي تحدد سياسة الدولة وترسم ملامحها وبأدق التفاصيل وهي تنحوا إلى هدف مهم وجوهري ألا وهو خدمة الرعية وتحقيق سعادتهم وهي كذلك لا تخرج عن كونها قوانين وقرارات ومواقف واتجاهات تأخذ طريقها نحو التطبيق في الواقع السياسي والاقتصادي والاجتماعي من قبل الجهات المختصة بالتنفيذ والتطبيق في المجتمع وعلى ذلك يوصي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 من جنودك </w:t>
      </w:r>
    </w:p>
    <w:p>
      <w:pPr>
        <w:pStyle w:val="BookText"/>
        <w:rPr/>
      </w:pPr>
      <w:r>
        <w:rPr>
          <w:rFonts w:ascii="Amiri" w:hAnsi="Amiri" w:eastAsia="Amiri" w:cs="Amiri"/>
          <w:color w:val="111111"/>
          <w:sz w:val="28"/>
          <w:sz w:val="28"/>
          <w:szCs w:val="28"/>
          <w:rtl w:val="true"/>
          <w:lang w:bidi="ar-SA"/>
        </w:rPr>
        <w:t>أنصحهم في نفسك لله ولرسوله ولإمامك وأطهرهم جيباً وأفضلهم حلماً ممن يبطئ عن الغضب ويستريح إلى العذر ويرأف بالضعفاء وينبوا عن الأقوياء وممن لا يثيره العنف ولا يقعد به الضعف</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 ص</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هو معلوم أن غاية الدولة في الفكر السياسي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خدمة الرعية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والسهر على راحتهم وليس في أن يتسلط الوالي أو الأمير على رقاب الناس أو كبحهم بالخوف ولكن الغاية الأخيرة منها هو تحرر كل إنسان من الخوف طالما كان غير مقترف لذنب أو معصية أو اعتدى على الآخرين كما يتضح من وصية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على مصر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اشعر قلبك الرحمة للرعية، و المحبة لهم ، و اللطف بهم، ولا تکونن عليهم سبعا ضاريا تغتنم أكلهم فأنهم صنفان إما أخ لك في الدين و إما نظير لك في الخلق يفرط منهم الزلل و تعرض لهم العلل و يؤتى على أيديهم في العمد و الخطأ</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وعند ذاك يعمل الفرد في دولة الإسلام بجو من الطمأنينة والأمن ويعيش في وئام مع نفسه وممن يحيط به من الناس وهذه الفكرة التي كانت في سلم </w:t>
      </w:r>
    </w:p>
    <w:p>
      <w:pPr>
        <w:pStyle w:val="BookText"/>
        <w:rPr/>
      </w:pPr>
      <w:r>
        <w:rPr>
          <w:rFonts w:ascii="IRNazanin" w:hAnsi="IRNazanin" w:eastAsia="IRNazanin"/>
          <w:color w:val="111111"/>
          <w:sz w:val="28"/>
          <w:sz w:val="28"/>
          <w:szCs w:val="28"/>
          <w:rtl w:val="true"/>
          <w:lang w:bidi="fa-IR"/>
        </w:rPr>
        <w:t xml:space="preserve">أولويات القيادة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صداها عند الكثير من المفكرين الغربيين کا ذهب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ديورانت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الغاية الدولة ليست تحویل الناس إلى وحوش آلات صياء ولكن الغاية تمكين أجسامهم وعقولهم من العمل في أمن واطمئنان وان ترشدهم إلى حياة تسودها حرية الفكر والعقل كي لا يبددوا قواهم في الكراهية والغضب والغدر ولا يظلم بعضهم بعضاً وهكذا فإن غاية الدولة هي الحرية في المجتمع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القارئ المدقق والمتأمل للرسالة التي بعثها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 مصر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سيجد أن الجوانب الإنسانية والأخلاقية تكاد تطغى على </w:t>
      </w:r>
    </w:p>
    <w:p>
      <w:pPr>
        <w:pStyle w:val="BookText"/>
        <w:rPr/>
      </w:pPr>
      <w:r>
        <w:rPr>
          <w:rFonts w:ascii="IRNazanin" w:hAnsi="IRNazanin" w:eastAsia="IRNazanin"/>
          <w:color w:val="111111"/>
          <w:sz w:val="28"/>
          <w:sz w:val="28"/>
          <w:szCs w:val="28"/>
          <w:rtl w:val="true"/>
          <w:lang w:bidi="fa-IR"/>
        </w:rPr>
        <w:t xml:space="preserve">ماسواها ولأن الجوانب الإنسانية والأخلاقية من هواجس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يحاول أن يزرع في نفوس الولاة مبادئ وقيم الدين الإسلامي التي تتضمن حب الخير والتطلع للأفضل فيما يرتبط بالعلاقات بين الولاة والرعية من المسلمين وغير المسلمين والتي يجب أن تتحلى بالسلوك الحسن الذي يضمن السعادة الأبناء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صاغ الحياة الإسلامية والفكر الإسلامي وهو الذي قامت عليه حضارة الإسلام يوم قدر لها أن تسود العالم وأن ترف راية الإسلام في الشرق والغرب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وبطبيعة الحال فإن هذه الوثيقة ذات أبعاد عمومية لأن هذه الرسالة وأن كانت موجهة إلى والي أحد الأمصار بعينه إلا أنها تشمل كل من تسنم منصب أو تولى أمر المسلمين في دولة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تتضح أهمية هذه الدراسة على </w:t>
      </w:r>
    </w:p>
    <w:p>
      <w:pPr>
        <w:pStyle w:val="BookText"/>
        <w:rPr/>
      </w:pPr>
      <w:r>
        <w:rPr>
          <w:rFonts w:ascii="IRNazanin" w:hAnsi="IRNazanin" w:eastAsia="IRNazanin"/>
          <w:color w:val="111111"/>
          <w:sz w:val="28"/>
          <w:sz w:val="28"/>
          <w:szCs w:val="28"/>
          <w:rtl w:val="true"/>
          <w:lang w:bidi="fa-IR"/>
        </w:rPr>
        <w:t xml:space="preserve">المستوى الأكاديمي والعلمي والفكري كون أن هذه الوثيقة تشکل دستورة لبناء دولة الإنسانية ومن هنا أيضا توجب على الدارسين والباحثين وقادة المسلمين المعاصرين أن يستفيدوا من دراسة هذا السفر السياسي الاجتماعي والقضائي والاقتصادي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جعلناها أحد مفردات عنوان هذا البحث نعني بها كيف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يؤسس لبناء منظومة قيمية ذات منهج يرتكز في أساسه على الجانب الإنساني والأخلاقي ويتجه قادة المسلمين وأولي الأمر لتكون الأخلاق الفاضلة عنوان فاصل بين دولة الإسلام ذات التعاليم الربانية وبين دول التعاليم الوضعية وهذا يعني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ينطلق في تفكيره وأقواله وأفعاله ودعواته إلى منهج الإسلام بمصدريه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والسنة </w:t>
      </w:r>
    </w:p>
    <w:p>
      <w:pPr>
        <w:pStyle w:val="BookText"/>
        <w:rPr/>
      </w:pPr>
      <w:r>
        <w:rPr>
          <w:rFonts w:ascii="IRNazanin" w:hAnsi="IRNazanin" w:eastAsia="IRNazanin"/>
          <w:color w:val="111111"/>
          <w:sz w:val="28"/>
          <w:sz w:val="28"/>
          <w:szCs w:val="28"/>
          <w:rtl w:val="true"/>
          <w:lang w:bidi="fa-IR"/>
        </w:rPr>
        <w:t xml:space="preserve">النبوية وقد اتضح ذلك في مفردات الرسالة التي خص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على مصر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اقتضت طبيعة هذه الدراسة تقسيمها على ثلاث مباحث سبقتها مقدمة وانتهت بخاتمة تضمنت المقدمة بيان أهمية الموضوع والإشارة إلى المنهج السياسي الإسلامي كذلك تكلمنا عن الأسلوب التي اتخذه الإمام علي في قيادة الدولة الإسلامية من خلال الوصايا والرسائل والتوجيهات التي كان يسديها إلى الولاة وعامة الناس أما المبحث الأول فقد تضمن بناء شخصية الإنسان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وتطرق المبحث الثاني إلى الجوانب الأخلاقية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وتكلمنا في المبحث الثالث إلى الجوانب الأخلاقية في العهد وانتهت الخاتمة إلى بيان أهم النتائج التي توصلنا إليها في البحث</w:t>
      </w:r>
      <w:r>
        <w:rPr>
          <w:rFonts w:eastAsia="IRNazanin" w:cs="IRNazanin"/>
          <w:color w:val="111111"/>
          <w:sz w:val="28"/>
          <w:szCs w:val="28"/>
          <w:rtl w:val="true"/>
          <w:lang w:bidi="fa-IR"/>
        </w:rPr>
        <w:t xml:space="preserve">. </w:t>
      </w:r>
      <w:bookmarkStart w:id="13" w:name="pg10728_99615"/>
    </w:p>
    <w:p>
      <w:pPr>
        <w:pStyle w:val="Heading2"/>
        <w:numPr>
          <w:ilvl w:val="1"/>
          <w:numId w:val="1"/>
        </w:numPr>
        <w:rPr/>
      </w:pPr>
      <w:bookmarkStart w:id="14" w:name="__RefHeading___Toc5538338_1051229030"/>
      <w:bookmarkStart w:id="15" w:name="_Toc5"/>
      <w:bookmarkEnd w:id="13"/>
      <w:bookmarkEnd w:id="14"/>
      <w:r>
        <w:rPr>
          <w:rtl w:val="true"/>
        </w:rPr>
        <w:t>المبحث الأول</w:t>
      </w:r>
      <w:bookmarkEnd w:id="15"/>
    </w:p>
    <w:p>
      <w:pPr>
        <w:pStyle w:val="BookText"/>
        <w:rPr/>
      </w:pPr>
      <w:r>
        <w:rPr>
          <w:rFonts w:ascii="IRNazanin" w:hAnsi="IRNazanin" w:eastAsia="IRNazanin"/>
          <w:color w:val="111111"/>
          <w:sz w:val="28"/>
          <w:sz w:val="28"/>
          <w:szCs w:val="28"/>
          <w:rtl w:val="true"/>
          <w:lang w:bidi="fa-IR"/>
        </w:rPr>
        <w:t xml:space="preserve">بناء شخصية الإنسان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أن الدراسات التي تختص بفکر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في الجانب السياسي تكتسب أهميتها ونوعيتها لأن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الشخصيات التي تركت أثر كبيرة وعميقة في تاريخ الفكر السياسي الإسلامي </w:t>
      </w:r>
      <w:r>
        <w:rPr>
          <w:rStyle w:val="FootnoteAnchor"/>
          <w:rtl w:val="true"/>
        </w:rPr>
        <w:footnoteReference w:id="7"/>
      </w:r>
      <w:r>
        <w:rPr>
          <w:rFonts w:ascii="IRNazanin" w:hAnsi="IRNazanin" w:eastAsia="IRNazanin"/>
          <w:color w:val="111111"/>
          <w:sz w:val="28"/>
          <w:sz w:val="28"/>
          <w:szCs w:val="28"/>
          <w:rtl w:val="true"/>
          <w:lang w:bidi="fa-IR"/>
        </w:rPr>
        <w:t xml:space="preserve">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مناسبة أن قيامه بالأمر لم يكن ليحصل لولا أنه يريد إقامة العدل ولم ينظر إلى منصب الخلافة على أنه منصب تشریف</w:t>
      </w:r>
      <w:r>
        <w:rPr>
          <w:rStyle w:val="FootnoteAnchor"/>
          <w:rtl w:val="true"/>
        </w:rPr>
        <w:footnoteReference w:id="8"/>
      </w:r>
      <w:r>
        <w:rPr>
          <w:rFonts w:ascii="Amiri" w:hAnsi="Amiri" w:eastAsia="Amiri" w:cs="Amiri"/>
          <w:color w:val="111111"/>
          <w:sz w:val="28"/>
          <w:sz w:val="28"/>
          <w:szCs w:val="28"/>
          <w:rtl w:val="true"/>
          <w:lang w:bidi="ar-SA"/>
        </w:rPr>
        <w:t xml:space="preserve">بل منصب تكليف لتحقيق الجوانب الإنسانية </w:t>
      </w:r>
    </w:p>
    <w:p>
      <w:pPr>
        <w:pStyle w:val="BookText"/>
        <w:rPr/>
      </w:pPr>
      <w:r>
        <w:rPr>
          <w:rFonts w:ascii="Amiri" w:hAnsi="Amiri" w:eastAsia="Amiri" w:cs="Amiri"/>
          <w:color w:val="111111"/>
          <w:sz w:val="28"/>
          <w:sz w:val="28"/>
          <w:szCs w:val="28"/>
          <w:rtl w:val="true"/>
          <w:lang w:bidi="ar-SA"/>
        </w:rPr>
        <w:t xml:space="preserve">والأخلاقية التي دعا إليها الإسلام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الدارس لسيرة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سيجد انه قضى شطراً كبيراً من حياته محاولأً بناء دولة الإنسان التي جل اهتمامها ينصب في الحفاظ على کرامته محدداً ذلك بضوابط منها العدل والقدوة الحسنة فضلا عن المساواة بين أفراد المجتمع من المسلمين وغير المسلمين ضمن الدولة الإسلامية تبين ذلك من خلال الأقوال والأفعال التي صدرت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سياسته حتى مع المعارضين له قائمة على الحوار والنقاش الهادئ البناء يقول المفكر العربي طه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يستبيح لنفسه مكراً ولا کیداً ولا دهاء كان يؤثر الدین الخالص على هذا كله وكان يتحمل الحق مهما ثقلت مئونته لا يعطي في غير موضع للعطاء ولا يشتري الطاعة بالمال ولا يحب أن يستقيم أمر المسلمين على الرشوة </w:t>
      </w:r>
    </w:p>
    <w:p>
      <w:pPr>
        <w:pStyle w:val="BookText"/>
        <w:rPr/>
      </w:pPr>
      <w:r>
        <w:rPr>
          <w:rFonts w:ascii="IRNazanin" w:hAnsi="IRNazanin" w:eastAsia="IRNazanin"/>
          <w:color w:val="111111"/>
          <w:sz w:val="28"/>
          <w:sz w:val="28"/>
          <w:szCs w:val="28"/>
          <w:rtl w:val="true"/>
          <w:lang w:bidi="fa-IR"/>
        </w:rPr>
        <w:t xml:space="preserve">ولو شاء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 لكاد ولكنه آثر دينه وأبى إلا أن يمضي في طريقه إلى المثل العليا من الصراحة والحق والإخلاص والنصر الله وللمسلمين عن رضي واستقامة لاعن کید والتواء</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مسألة بناء شخصية الإنسان في المجتمع الإسلامي وفق المنظور العلوي عندما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للرعية كي یکون كلامه يوافق فعله وتصرفه رأى أبن عباس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يخصف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قيمة هذا النعل ؟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قيمة لها 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لهي أحب إليَّ من أمرتكم إلا أن أقيم حقاً أو ادفع باطلاً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يرتكز في أساسه على تعاليم القرآن والسنة النبوية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يقرر هذا المنهج قولاً وفعلاً ويمكن تلمس ذلك من خلال حرصه على تطبيق الأحكام الشرعية بشكل فعلي في إطار التنظيم المالي والإداري إبان خلافته والتي تظهر بشكل واضح في خطبه ووصاياه إلى عماله </w:t>
      </w:r>
      <w:r>
        <w:rPr>
          <w:rStyle w:val="FootnoteAnchor"/>
          <w:rtl w:val="true"/>
        </w:rPr>
        <w:footnoteReference w:id="11"/>
      </w:r>
      <w:r>
        <w:rPr>
          <w:rFonts w:ascii="IRNazanin" w:hAnsi="IRNazanin" w:eastAsia="IRNazanin"/>
          <w:color w:val="111111"/>
          <w:sz w:val="28"/>
          <w:sz w:val="28"/>
          <w:szCs w:val="28"/>
          <w:rtl w:val="true"/>
          <w:lang w:bidi="fa-IR"/>
        </w:rPr>
        <w:t xml:space="preserve">ففي رسالة إلى محمد بن أبي بكر عندما وليَّ مصر أوصاه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والإحسان إلى الرعية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واني أوصيكم بتقوى الله فيما انتم عنه مسئولون وعما أنتم إليه صائرون فإن الله قال في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فوربك لنسألنهم أجمعين عما كانوا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فعليك بتقوى الله فإنها تجمع من الخير ما لا يجمع غيرها ويدرك بهاما الخير ما لا يدرك بغيرها من خير الدنيا وخير الآخرة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علي في دعوته للإصلاح يؤكد على أهمية الوعي بأخبار السالفين والإفادة من تجارب السابقين والأخذ منها فيصبح الإنسان كأنه عاش معهم ففي وصية لولده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إني وإن لم أكن قد عمَّرت عمر من كان قبلي؛ فقد نظرت في أعمارهم وفكرت في أخبارهم وسرت في آثارهم، حتی عدت كأحدهم، بل كأني بما انتهى إلىّ من أمورهم قد عمرت مع أولهم إلى آخرهم؛ </w:t>
      </w:r>
    </w:p>
    <w:p>
      <w:pPr>
        <w:pStyle w:val="BookText"/>
        <w:rPr/>
      </w:pPr>
      <w:r>
        <w:rPr>
          <w:rFonts w:ascii="IRNazanin" w:hAnsi="IRNazanin" w:eastAsia="IRNazanin"/>
          <w:color w:val="111111"/>
          <w:sz w:val="28"/>
          <w:sz w:val="28"/>
          <w:szCs w:val="28"/>
          <w:rtl w:val="true"/>
          <w:lang w:bidi="fa-IR"/>
        </w:rPr>
        <w:t>فعرفت صفو ذلك من کدره ونفعه من ضرره واستخلصت لك من كل أمر نخيله وتوخيت لك جميله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جدا في تحقيق المبادئ الإنسانية في ظل الخلافة الإسلامية واتبع أساليب متعددة في سبيل تحقيق هذا الهدف منها سياسة إرسال العيون إلى الأمصار لمتابعة عاله فيشجع المحسن ويعاقب المسيء يقول الإمام في وصيته لمالك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المحسن والمسيء عندك بمنزلة سواء فإن في ذلك تزهيداً لأهل الإحسان في الإحسان وتدريباً لأهل الإساءة على الإساءة وألزم كل منهم ما ألزم نفسه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بناء شخصية الوالي من خلال العلاقة الطيبة مع الرعية والقائمة على التفاهم والانسجام بين الطرفين وهذا يتحقق من خلال حسن ظن الوالي برعيته كي تزداد الثقة بين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ذلك في عهده إلى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واعلم أنه ليس شيء أدعى إلى حسن ظن والي برعيته من إحسانه إليهم وتخفيفهِ المؤونات عليهم وترك استكراهه إياهم على ما ليس له قبلهم فليكن منك في ذلك أمرٌ يجتمع ل كبه حسن الظن برعيتك فإن حسن الظن يقطع عنك نصباً طويلاً وإن أحق من حسن ظنك به لمن حسن بلاؤك عنده وإن أحق من ساء ظنك به لمن ساء بلاؤك عنده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6" w:name="pg10728_99622"/>
    </w:p>
    <w:p>
      <w:pPr>
        <w:pStyle w:val="Heading2"/>
        <w:numPr>
          <w:ilvl w:val="1"/>
          <w:numId w:val="1"/>
        </w:numPr>
        <w:rPr/>
      </w:pPr>
      <w:bookmarkStart w:id="17" w:name="__RefHeading___Toc5538340_1051229030"/>
      <w:bookmarkStart w:id="18" w:name="_Toc6"/>
      <w:bookmarkEnd w:id="16"/>
      <w:bookmarkEnd w:id="17"/>
      <w:r>
        <w:rPr>
          <w:rtl w:val="true"/>
        </w:rPr>
        <w:t>المبحث الثاني</w:t>
      </w:r>
      <w:r>
        <w:rPr>
          <w:rtl w:val="true"/>
        </w:rPr>
        <w:t xml:space="preserve">: </w:t>
      </w:r>
      <w:r>
        <w:rPr>
          <w:rtl w:val="true"/>
        </w:rPr>
        <w:t>الجوانب الإنسانية</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يقودنا الحديث عن الجوانب الإنسانية في وصایا ورسائل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تأكيد أمر في غاية الأهمية وهو أن الإسلام جاء ليرسي القيم الإنسانية في الأرض ويخرج الناس من قهر العبودية والتسلط إلى فضاء الحرية والعدل والتعامل على أساس الأخوة الإنسانية ونجد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يجسد هذا المعاني في أقواله وأفعاله لا سيما في رسائله ووصاياه إلى الولاة وقد تجسدت القيم الإنسانية في هذه الوصايا وفق مفاهیم تربوية وأخلاقية وإنسانية منها مساعدة الضعفاء والفقراء والتأكيد على حسن معاملة الرعية حتى من غير المسلمين وفق منهج الإسلام الذي بني على الروح الإنسانية والتي تتمثل في حق الرعية على الوالي وحق الوالي </w:t>
      </w:r>
    </w:p>
    <w:p>
      <w:pPr>
        <w:pStyle w:val="BookText"/>
        <w:rPr/>
      </w:pPr>
      <w:r>
        <w:rPr>
          <w:rFonts w:ascii="Amiri" w:hAnsi="Amiri" w:eastAsia="Amiri" w:cs="Amiri"/>
          <w:color w:val="111111"/>
          <w:sz w:val="28"/>
          <w:sz w:val="28"/>
          <w:szCs w:val="28"/>
          <w:rtl w:val="true"/>
          <w:lang w:bidi="ar-SA"/>
        </w:rPr>
        <w:t>على الرعية ولعل ذلك من أهم المبادئ التربوية والأخلاقية والإنسانية التي جاء بها الإسلام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أدل على الجوانب الإنسانية في 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إلغاءه للتميز في توزيع العطاء والذي كان جزءاً من سياسة إصلاحية بعيدة المدى تنسجم مع مبادئ الإسلام</w:t>
      </w:r>
      <w:r>
        <w:rPr>
          <w:rStyle w:val="FootnoteAnchor"/>
          <w:rtl w:val="true"/>
        </w:rPr>
        <w:footnoteReference w:id="17"/>
      </w:r>
      <w:r>
        <w:rPr>
          <w:rFonts w:ascii="IRNazanin" w:hAnsi="IRNazanin" w:eastAsia="IRNazanin"/>
          <w:color w:val="111111"/>
          <w:sz w:val="28"/>
          <w:sz w:val="28"/>
          <w:szCs w:val="28"/>
          <w:rtl w:val="true"/>
          <w:lang w:bidi="fa-IR"/>
        </w:rPr>
        <w:t xml:space="preserve">إذ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التقوى والسابقة في الإسلام والجهاد والصحبة للرسول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لا تمنح أصحابها مراتب أو مميزات في الدنيا وإنما لتلك المزايا ثوابها عند الله في الآخرة ومن كان له قدم فإن الله تعالى يتولى جزاءه أما في هذه الدنيا فإن الناس سواسية في الحقوق المالية في القضاء </w:t>
      </w:r>
    </w:p>
    <w:p>
      <w:pPr>
        <w:pStyle w:val="BookText"/>
        <w:rPr/>
      </w:pPr>
      <w:r>
        <w:rPr>
          <w:rFonts w:ascii="Amiri" w:hAnsi="Amiri" w:eastAsia="Amiri" w:cs="Amiri"/>
          <w:color w:val="111111"/>
          <w:sz w:val="28"/>
          <w:sz w:val="28"/>
          <w:szCs w:val="28"/>
          <w:rtl w:val="true"/>
          <w:lang w:bidi="ar-SA"/>
        </w:rPr>
        <w:t>الإسلامي وفي الواجبات والتكاليف</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ذكرناه آنفاً قد تجسد في عهود الإمام إلى ولاته ففي وصيته إلى محمد بن أبي بكر والي مصر دعوة إلى ضرورة التعامل مع الرعية بالحسنی سواء كانوا مسلمين أو من أهل الذمة كما يأمره بالعفو عن الناس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آمرك بتقوى الله والطاعة في السر والعلانية وخوف الله في الغيب وباللين على المسلم وبالغلظة على الفاجر وبالعدل على أهل الذمة وبإنصاف المظلوم و بالشدة على الظالم و بالعفو عن الناس وبالإحسان ما استطعت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وصاياه إلى عاله في ضرورة التعامل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بروح الإنسانية التي جاء الإسلام لتحقيقها في المجتمع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عدد من عماله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دهاقين أهل بلدك شكوا منك غلظةً وقسوةً واحتقاراً، وجفوة، ونظرت فلم أرهم أهلن يدنوا لشركهم ولا أن يقصوا ويجفوا لعهدهم فلبس هم جلباباً من اللين تشوبه بطرف من الشدة وداول لهم بين القسوة والرأفة وامزج لهم بين التقريب والإدناء والإبعاد والإقصاء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يتحرى في تطبيق أحكام الشريعة ومحاسبة عاله وتظهر شدته أن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أحس الخطر المحدق به آثر الهروب من مواجهة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خطأٍ اقترفه هذا العامل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والجوانب الإنسانية في وصايا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عماله تظهر واضحة لكل دارس السيرته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رسالة إلى والي البصرة زياد بن أبيه تحذير من الاستئثار بأموال الرعية وخيانة الأمانة التي كلف بها على اعتبار أن الذي يقوم بخدمة عامة في دولة المسلمين يجب أن يتبنی الروح الإنسانية في كل ما هو مؤتمن عليه</w:t>
      </w:r>
      <w:r>
        <w:rPr>
          <w:rStyle w:val="FootnoteAnchor"/>
          <w:rtl w:val="true"/>
        </w:rPr>
        <w:footnoteReference w:id="22"/>
      </w:r>
      <w:r>
        <w:rPr>
          <w:rFonts w:ascii="IRNazanin" w:hAnsi="IRNazanin" w:eastAsia="IRNazanin"/>
          <w:color w:val="111111"/>
          <w:sz w:val="28"/>
          <w:sz w:val="28"/>
          <w:szCs w:val="28"/>
          <w:rtl w:val="true"/>
          <w:lang w:bidi="fa-IR"/>
        </w:rPr>
        <w:t xml:space="preserve">ومن الجوانب الإنسانية في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شدته في الحق كتب إلى ابن عمه عبدالله بن عباس عندما ولاه البصرة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أتاك من الدنيا فلا تكثر به فرحاً وما فاتك فلا تكثر عليه جزعاً واجعل همك لما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p>
    <w:p>
      <w:pPr>
        <w:pStyle w:val="BookText"/>
        <w:rPr/>
      </w:pPr>
      <w:r>
        <w:rPr>
          <w:rFonts w:ascii="Amiri" w:hAnsi="Amiri" w:eastAsia="Amiri" w:cs="Amiri"/>
          <w:color w:val="111111"/>
          <w:sz w:val="28"/>
          <w:sz w:val="28"/>
          <w:szCs w:val="28"/>
          <w:rtl w:val="true"/>
          <w:lang w:bidi="ar-SA"/>
        </w:rPr>
        <w:t xml:space="preserve">أبن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اتعاظي بكلام أمير المؤمنين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المنطلقات الإنسانية التي نجدها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السلم والحرب على حد سواء فهو يوصي أتباعه قبل لقاء العدو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تقاتلوهم حتى يبدءوكم فإنكم بحمد الله على حجة وترككم إياهم حتى يبدءو کم حجةً أخرى لكم عليهم؛ فإن كانت الهزيمة بإذن الله فلا تقتلوا مدير؛ ولا تصيبوا عورة ولا تجهزوا على جريح ولا تهيجوا النساء بأذى وإن شتمن أعراضكم وسبين أمراءكم فإنهن ضعيفات القوى والنفس والعقول ؛ إن كنا لنؤمر بالكف عنهن وإنهن لمشركات وإن كان الرجل ليتناول المرأة في الجاهلية بالفهر أو الهراوة فيعير بها </w:t>
      </w:r>
    </w:p>
    <w:p>
      <w:pPr>
        <w:pStyle w:val="BookText"/>
        <w:rPr/>
      </w:pPr>
      <w:r>
        <w:rPr>
          <w:rFonts w:ascii="IRNazanin" w:hAnsi="IRNazanin" w:eastAsia="IRNazanin"/>
          <w:color w:val="111111"/>
          <w:sz w:val="28"/>
          <w:sz w:val="28"/>
          <w:szCs w:val="28"/>
          <w:rtl w:val="true"/>
          <w:lang w:bidi="fa-IR"/>
        </w:rPr>
        <w:t>وعقبه من بعده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وهذا يظهر الأبعاد الإنسانية والأخلاقية في منهج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تربية أعوانه على محاسبة أنفسهم والخوف من الله في كل صغيرة وكبيرة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العدالة الاجتماعية والمعايير الإنسانية في تأكيد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ولاته في أن يجعلوا في حساباتهم أن لا يكون هم العمال جلب الخراج فقط بل الإنفاق على عمارة البلاد كي لا يلحقها التدهور والخراب يتضح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ولیکن نظرك في عمارة الأرض أبلغ من نظرك في استجلاب الخراج لأن ذلك لا يدرك إلا بالعمارة ومن طلب الخراج بغير عبارةً أخرب البلاد وأهلك العباد ولم يستقم أمره إلا قليلاً فإن شکواثق أو علةً أو انقطاع شرب أو بالة أو </w:t>
      </w:r>
    </w:p>
    <w:p>
      <w:pPr>
        <w:pStyle w:val="BookText"/>
        <w:rPr/>
      </w:pPr>
      <w:r>
        <w:rPr>
          <w:rFonts w:ascii="IRNazanin" w:hAnsi="IRNazanin" w:eastAsia="IRNazanin"/>
          <w:color w:val="111111"/>
          <w:sz w:val="28"/>
          <w:sz w:val="28"/>
          <w:szCs w:val="28"/>
          <w:rtl w:val="true"/>
          <w:lang w:bidi="fa-IR"/>
        </w:rPr>
        <w:t xml:space="preserve">إحالة أرض أغتمرهاغرقٌ أو أجحف بها عطش خففت منهم بما ترجو أن تصلح به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يؤتى خراب الأرض من إعواز أهلها وإنما یعوز أهلها لإشراف أنفس الولاة على الجمع وسوء ظنهم بالبقاء وقلة انتفاعهم بالعبر</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وصيته في التخفيف عن الفلاحين من أجل إصلاح أمرهم لما يصيب الأراضي الزراعية من آفات وهي في الوقت نفسه تظهر الفكر الراجح لدى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مجتمع وفق منظومة إنسانية قائمة على الأخلاق وليس استغلال أصحاب الأراضي بالخراج لأن ذلك سوف يعوض في الازدهار المرتقب مستقبلا وسيشعر الناس أن الدولة مهتمة بهم وتساعدهم في حل مشاكلهم وبذلك تكون معهم في الضراء والسراء</w:t>
      </w:r>
      <w:r>
        <w:rPr>
          <w:rFonts w:eastAsia="IRNazanin" w:cs="IRNazanin"/>
          <w:color w:val="111111"/>
          <w:sz w:val="28"/>
          <w:szCs w:val="28"/>
          <w:rtl w:val="true"/>
          <w:lang w:bidi="fa-IR"/>
        </w:rPr>
        <w:t xml:space="preserve">. </w:t>
      </w:r>
      <w:bookmarkStart w:id="19" w:name="pg10728_99630"/>
    </w:p>
    <w:p>
      <w:pPr>
        <w:pStyle w:val="Heading2"/>
        <w:numPr>
          <w:ilvl w:val="1"/>
          <w:numId w:val="1"/>
        </w:numPr>
        <w:rPr/>
      </w:pPr>
      <w:bookmarkStart w:id="20" w:name="__RefHeading___Toc5538342_1051229030"/>
      <w:bookmarkStart w:id="21" w:name="_Toc7"/>
      <w:bookmarkEnd w:id="19"/>
      <w:bookmarkEnd w:id="20"/>
      <w:r>
        <w:rPr>
          <w:rtl w:val="true"/>
        </w:rPr>
        <w:t>المبحث الثالث</w:t>
      </w:r>
      <w:r>
        <w:rPr>
          <w:rtl w:val="true"/>
        </w:rPr>
        <w:t xml:space="preserve">: </w:t>
      </w:r>
      <w:r>
        <w:rPr>
          <w:rtl w:val="true"/>
        </w:rPr>
        <w:t>الجوانب الأخلاقية</w:t>
      </w:r>
      <w:bookmarkEnd w:id="21"/>
    </w:p>
    <w:p>
      <w:pPr>
        <w:pStyle w:val="BookText"/>
        <w:rPr/>
      </w:pPr>
      <w:r>
        <w:rPr>
          <w:rFonts w:ascii="IRNazanin" w:hAnsi="IRNazanin" w:eastAsia="IRNazanin"/>
          <w:color w:val="111111"/>
          <w:sz w:val="28"/>
          <w:sz w:val="28"/>
          <w:szCs w:val="28"/>
          <w:rtl w:val="true"/>
          <w:lang w:bidi="fa-IR"/>
        </w:rPr>
        <w:t xml:space="preserve">تظهر الأخلاق الفاضلة عند الإمام علي من خلال وصاياه وفي أحلك الظروف فعندما طعنه أبن ملجم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والمقربين بكلام كله مثل وأخلاق توضح عظمة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ورسوخ مبادئ الإسلام في نفسه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وصيتي لكم أن لا تشركوا بالله شيئاً ومحمد صلى الله عليه وآله فلا تضيعوا سنة أقيموا هذين العمودين وأوقدوا هذين المصباحين وخلا کم ذم أنا بالأمس صاحبكم واليوم عبرة لكم وغدا مفارقكم إن أبق فأنا ولي دمي وإن أفنى فالفناء میعادي وإن أعف فالعفولي قربة وهو لكم حسنة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الأخلاق الفاضلة عند الإمام علي تتجلى في </w:t>
      </w:r>
    </w:p>
    <w:p>
      <w:pPr>
        <w:pStyle w:val="BookText"/>
        <w:rPr/>
      </w:pPr>
      <w:r>
        <w:rPr>
          <w:rFonts w:ascii="IRNazanin" w:hAnsi="IRNazanin" w:eastAsia="IRNazanin"/>
          <w:color w:val="111111"/>
          <w:sz w:val="28"/>
          <w:sz w:val="28"/>
          <w:szCs w:val="28"/>
          <w:rtl w:val="true"/>
          <w:lang w:bidi="fa-IR"/>
        </w:rPr>
        <w:t xml:space="preserve">وصاياه لعمالة وولاة أمر المسلمين ليتمسكوا بالقيم الإسلامية التي تدعو إلى سموا الأخلاق ومراعاة حقوق الناس وعدم البذخ والإسراف من بيت مال المسلمين ففي إحدى وصاياه إلى عياله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فدع الإسراف مقتصداً واذكر في اليوم غدا وامسك من المال بقدر ضرورتك وقدم الفضل اليوم حاجتك أترجوا أن يعطيك الله أجر المتواضعين وأنت عنده من المتكبرين وتطمع في نعيم الآخرة وأنت متمرغ في النعيم تمنعه الضعيف والأرملة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نافلة القول أن نشير هنا إلى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اتبع سياسة حازمة تتسم بالإنسانية والأخلاق الفاضلة نابعة من فهمه للإسلام ومبادئه فكان يختار أعونه ومساعديه في إدارة الدولة من تتوافر فيهم صفات العدل والصدق والأمانة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ويكتب لمن يعينه في منصب عام عهدا يقرأه على الناس في بداية ولايته فإن انحرف عنه وجبت عليه العقوبة وكان يراقب العال مراقبة دقيقة من خلال العيون التي كانت تنقل له الأخبار عن الوالي في كل مصر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رسالة بعثها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بن أبيه وهو خليفة عامله عبدالله بن عباس على البصرة يتضح فيها حزم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وشدته في ضرورة أن يكون الوالي حريصا على العدل والحفاظ على المال العام وعدم الجور على الرعية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وإني أقسم بالله قس صادقا لئن بلغني أنك خنت من في المسلمين شيئة صغيرة أو كبيرة لأشدن عليك شدة تدعك قليل الوفر ثقيل</w:t>
      </w:r>
    </w:p>
    <w:p>
      <w:pPr>
        <w:pStyle w:val="BookText"/>
        <w:rPr/>
      </w:pPr>
      <w:r>
        <w:rPr>
          <w:rFonts w:ascii="Amiri" w:hAnsi="Amiri" w:eastAsia="Amiri" w:cs="Amiri"/>
          <w:color w:val="111111"/>
          <w:sz w:val="28"/>
          <w:sz w:val="28"/>
          <w:szCs w:val="28"/>
          <w:rtl w:val="true"/>
          <w:lang w:bidi="ar-SA"/>
        </w:rPr>
        <w:t xml:space="preserve">الراشدين المؤسسة الجامعية للدراسات والنشر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صمد محمد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عهد الخلفاء الراشدين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الظهر؛ ضئيل الأمر والسلام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أخلاق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عدله في القضاء وهذه سمة لازمت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تولي الخلافة وبعدها يروي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بعثه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قاضيا على اليمن وهو لا يزال شاباً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شاباً اقضي بينهم ولا ادري ما القضاء قال فضرب صدري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قلبه وثبت لسانه فو الذي فلق الحبة ما شكلت بعد ذلك في القضاء بين اثنين</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الإمام علي منهجه في القضاء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الذليل عندي عزيز حتى أخذ الحق له والقوي عندي ضعيف حتى أخذ الحق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وعدل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المثال الإنساني الخالد في التعبير عن كلية العدل ووحدة فروعه في الأفكار وفي الممارسة وفي العلاقة على الصعيدين الفردي والجماعي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مصر هناك جوانب أخلاقية منها الدعوة إلى إقامة سلطان الإسلام المبني على العدل وعدم المساومة في إحقاق حق أو إزهاق باطل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أنصفِ الله وأنصفِ الناسَ من نفسك ومن خاصة أهلك ومن لك هوى فيه من رعیتك فإنك إلا تفعل تظلم ومن ظلم عباد اللهِ كان الله خصمه دون عباده ومن خاصمه الله ادحض حجته وكان الله حرباً حتى ينزِع أو </w:t>
      </w:r>
    </w:p>
    <w:p>
      <w:pPr>
        <w:pStyle w:val="BookText"/>
        <w:rPr/>
      </w:pPr>
      <w:r>
        <w:rPr>
          <w:rFonts w:ascii="Amiri" w:hAnsi="Amiri" w:eastAsia="Amiri" w:cs="Amiri"/>
          <w:color w:val="111111"/>
          <w:sz w:val="28"/>
          <w:sz w:val="28"/>
          <w:szCs w:val="28"/>
          <w:rtl w:val="true"/>
          <w:lang w:bidi="ar-SA"/>
        </w:rPr>
        <w:t>يتوب وليس شيء أدعى إلى تغيير نعمة الله وتعجيل نقمته من إقامة على ظلم فإن الله يسمع دعوة المضطهدين وهو للظالمين بالمرصاد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والجانب الأخلاقي في الرسالة يظهر بوضوح عندما ينطلق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توجيه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منهج إسلامي أخلاقي أصيل وروح إنسانية وثابة في الدعوة إلى ضرورة توخي الحذر في تعامله وسلوكه وإدارته للبلاد والابتعاد عن الأبهة والكبر لأن الله سائله يوم القيامة عن جميع أعماله وأفعاله يظهر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فأعطهم من عفوك وَصَفحِك مثل الذي تحب وترضى أن يعطيك الله من عفوه و صفحه فإنك فوقهم ووالي الأمر عليك فوقك والله فوق من ولاك وقد استكفاك أمرهم وابتلاك بهم ولا </w:t>
      </w:r>
    </w:p>
    <w:p>
      <w:pPr>
        <w:pStyle w:val="BookText"/>
        <w:rPr/>
      </w:pPr>
      <w:r>
        <w:rPr>
          <w:rFonts w:ascii="Amiri" w:hAnsi="Amiri" w:eastAsia="Amiri" w:cs="Amiri"/>
          <w:color w:val="111111"/>
          <w:sz w:val="28"/>
          <w:sz w:val="28"/>
          <w:szCs w:val="28"/>
          <w:rtl w:val="true"/>
          <w:lang w:bidi="ar-SA"/>
        </w:rPr>
        <w:t>تنصبن نفسك لحرب اللهِ فإن هلايدي لك بنقمته ولا غنى بك عن عفوه ورحمته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يؤكد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أهمية رضا الرعية عن الوالي وهذه بطبيعة الحال لا تأتي من دون العمل والسهر من قبل الوالي على مصالح الرعية وفي هذا يوصي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بالتوسط في جميع الأمور بغية الوصول إلى الحق الذي هو جزء من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أَحبَّ الأمور إليك أوسطها في الحق وأعمها في العدل وأجمعها لرضا الرعيةِ فإن سخطَ العامةِ يجحف برضا الخاصة وإن سخطَ الخاصةِ يغتفرُ مع رضا العامة</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وعلق مؤلف كتاب شرح نهج البلاغة على هذه الخاصية في الوالي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عرفه أن قانون الإمارة الاجتهاد في رضا العامة فإنه لا مبالاة </w:t>
      </w:r>
    </w:p>
    <w:p>
      <w:pPr>
        <w:pStyle w:val="BookText"/>
        <w:rPr/>
      </w:pPr>
      <w:r>
        <w:rPr>
          <w:rFonts w:ascii="IRNazanin" w:hAnsi="IRNazanin" w:eastAsia="IRNazanin"/>
          <w:color w:val="111111"/>
          <w:sz w:val="28"/>
          <w:sz w:val="28"/>
          <w:szCs w:val="28"/>
          <w:rtl w:val="true"/>
          <w:lang w:bidi="fa-IR"/>
        </w:rPr>
        <w:t>بسخط خاصة الأمير مع رضا العامة فأمّا إذا سخط العامة لم ينفعه رضا الخاصة وذلك مثل أن يكون في البلد عشرة أو عشرون من أغنيائه وذوي الثروة من أهله يلازمون الوالي ويخدمونه ويسامرونه وقد صار كالصديق لهم فإن هؤلاء ومن ضارعهم من حواشي الوالي وأرباب الشفاعات والقربات عنده لايغنون عنه شيئاً عند تنكر العامة له وكذلك لا يضر سخط هؤلاء إذا رضيت العامة وذلك لأن هؤلاء عنهم غنی ولهم بدل والعامة لا غنى عنهم ولا بدل منهم ولأنهم إذا سغبوا عليه كانوا كالبحر إذا هاج واضطرب فلا يقاومه احد وليس الخاصة كذلك</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ينحصر المفهوم الأخلاقي الإنساني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علاقة الوالي الايجابية بالرعية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يتعدى ذلك إلى إقامة علاقة مبنية على المحبة لهم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أطلق عن الناس عقدهً كل حقدٍ واقطع عنك سبب كل وترٍ وتغابَ عن كل ما لا يضح لك ولا تعجلن إلى تصدیق ساعٍ فإن الساعيَ غاشٌ وإن تشبه بالناصحين</w:t>
      </w:r>
      <w:r>
        <w:rPr>
          <w:rFonts w:eastAsia="IRNazanin" w:cs="IRNazanin"/>
          <w:color w:val="111111"/>
          <w:sz w:val="28"/>
          <w:szCs w:val="28"/>
          <w:rtl w:val="true"/>
          <w:lang w:bidi="fa-IR"/>
        </w:rPr>
        <w:t>))</w:t>
      </w:r>
      <w:r>
        <w:rPr>
          <w:rStyle w:val="FootnoteAnchor"/>
          <w:rtl w:val="true"/>
        </w:rPr>
        <w:footnoteReference w:id="37"/>
      </w:r>
      <w:bookmarkStart w:id="22" w:name="pg10728_99639"/>
    </w:p>
    <w:p>
      <w:pPr>
        <w:pStyle w:val="Heading2"/>
        <w:numPr>
          <w:ilvl w:val="1"/>
          <w:numId w:val="1"/>
        </w:numPr>
        <w:rPr/>
      </w:pPr>
      <w:bookmarkStart w:id="23" w:name="__RefHeading___Toc5538344_1051229030"/>
      <w:bookmarkStart w:id="24" w:name="_Toc8"/>
      <w:bookmarkEnd w:id="22"/>
      <w:bookmarkEnd w:id="23"/>
      <w:r>
        <w:rPr>
          <w:rtl w:val="true"/>
        </w:rPr>
        <w:t>الخاتمة والاستنتاجات</w:t>
      </w:r>
      <w:bookmarkEnd w:id="24"/>
    </w:p>
    <w:p>
      <w:pPr>
        <w:pStyle w:val="BookText"/>
        <w:rPr/>
      </w:pPr>
      <w:r>
        <w:rPr>
          <w:rFonts w:ascii="Amiri" w:hAnsi="Amiri" w:eastAsia="Amiri" w:cs="Amiri"/>
          <w:color w:val="111111"/>
          <w:sz w:val="28"/>
          <w:sz w:val="28"/>
          <w:szCs w:val="28"/>
          <w:rtl w:val="true"/>
          <w:lang w:bidi="ar-SA"/>
        </w:rPr>
        <w:t xml:space="preserve">بعد أن أكملنا هذا البحث لابد أن نضع خاتمة نبين فيها أهم النتائج التي توصلنا إليها وهي الآتي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أدب الرسائل والوصايا في الحقبة المبكرة من تاريخ الإسلام إذ أن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يوصي ولاة أمر المسلمين بضرورة مراعاة حقوق الرعية والخشية من الله ومحاسبة أنفسهم في كل صغيرة وكبيرة فضلا عن ذلك فقد بعث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من الرسائل إلى ملوك الدول المجاورة يطلب منهم الدخول في الإسلام واستمر هذا الأمر في عهد حکام الخلافة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لورعه وتقواه وخشيته من الله معروفاً بكثرة رسائله إلى ولاته ومعارضيه يحذرهم فيه على مراعاة أوامر </w:t>
      </w:r>
    </w:p>
    <w:p>
      <w:pPr>
        <w:pStyle w:val="BookText"/>
        <w:rPr/>
      </w:pPr>
      <w:r>
        <w:rPr>
          <w:rFonts w:ascii="Amiri" w:hAnsi="Amiri" w:eastAsia="Amiri" w:cs="Amiri"/>
          <w:color w:val="111111"/>
          <w:sz w:val="28"/>
          <w:sz w:val="28"/>
          <w:szCs w:val="28"/>
          <w:rtl w:val="true"/>
          <w:lang w:bidi="ar-SA"/>
        </w:rPr>
        <w:t>الله ونواهيه ويحث على التعامل مع الرعية من منطلق الإنسانية والأخلاق التي دعا الإسلام إلى التمسك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رسالة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وعبر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من خلالها جملة من المفاهيم والقيم الإنسانية والأخلاقية النابعة من فهم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للدين الإسلامي الحنيف وهذا ما يتضح في معظم فقرات الرسالة التي تفيض عدلاً ومحبةً وإنسانية والدعوة إلى التمسك بتعاليم الإسلام في الإدارة وسياسة الرعية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الجوانب الإنسانية والأخلاقية من هواجس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يحاول أن يربي ويزرع في نفوس الولاة مبادئ وقيم الدين الإسلامي التي تتضمن حب </w:t>
      </w:r>
    </w:p>
    <w:p>
      <w:pPr>
        <w:pStyle w:val="BookText"/>
        <w:rPr/>
      </w:pPr>
      <w:r>
        <w:rPr>
          <w:rFonts w:ascii="Amiri" w:hAnsi="Amiri" w:eastAsia="Amiri" w:cs="Amiri"/>
          <w:color w:val="111111"/>
          <w:sz w:val="28"/>
          <w:sz w:val="28"/>
          <w:szCs w:val="28"/>
          <w:rtl w:val="true"/>
          <w:lang w:bidi="ar-SA"/>
        </w:rPr>
        <w:t xml:space="preserve">الخير والتطلع للأفضل فيما يرتبط بالعلاقات بين الولاة والرعية من المسلمين وغير المسلمين والتي يجب أن تتحلى بالسلوك الحسن والمبادئ الإنسانية والأخلاقية التي تحقق السعادة لأبناء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صاغ الحياة الإسلامية والفكر الإسلامي وهو الذي قامت عليه حضارة الإسلام يوم قدر لها أن تسود العالم وأن ترف راية الإسلام في الشرق والغرب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الوالي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عمل يصلح لإدارة دولة الإسلام في الوقت الحاضر ذلك لما تضمنته من مقاصد منها سعة العدل التي تجعل المجتمع خالياً من الظلم وذلك بإرجاع الحق إلى المظلوم بانتزاعه من الظالم وكذا الإحسان الذي يعني في منهاج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يطبق القانون على الجميع دون تمييز ولو كان من خاصة 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على أموال المسلمين وتوزيعها بالعدل دون النظر لقرابة أو عرق أو مذهب أو اتجاه فكري کي لا تكون الأموال دولة بين طبقة محددة وطبقة من أبناء المجتمع وهذا ما يحصل في الوقت الحاضر في العديد من الدول التي تدعي أنها تدين بالإسلام دين الأخلاق الفاضلة والمبادئ الإنسانية وهذا المنهج طبقه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وأهل بيته وقرابته أولاً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عمل وخطط تنموية لبناء شخصية الفرد المسلم تصلح لسياسة وإدارة الدول الإسلامية في الوقت الحاضر وعلى ولاة الأمر في هذه الدول الانتباه لما حوته هذه الرسالة واستنطاقها لأنها منطلق الإصلاح ودستور حياة وإقامة ورش عمل وندوات تثقيفية لا سيما في بلدِ مثل العراق تتقاذفه الأمواج ولا يعرف ولاة الأمر فيه كيف </w:t>
      </w:r>
    </w:p>
    <w:p>
      <w:pPr>
        <w:pStyle w:val="BookText"/>
        <w:rPr/>
      </w:pPr>
      <w:r>
        <w:rPr>
          <w:rFonts w:ascii="IRNazanin" w:hAnsi="IRNazanin" w:eastAsia="IRNazanin"/>
          <w:color w:val="111111"/>
          <w:sz w:val="28"/>
          <w:sz w:val="28"/>
          <w:szCs w:val="28"/>
          <w:rtl w:val="true"/>
          <w:lang w:bidi="fa-IR"/>
        </w:rPr>
        <w:t>السبيل للخلاص من هذه المحنة التي يعيشها أبناءه ونحن هنا نرى أن يوزع کراس من عهده على جميع المسئولين وأعضاء البرلمان في العراق ليطلعوا على هذه الوثيقة المهمة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في العهد أدلة تبين حرص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المحافظة على أموال المسلمين وإقامة العدل بينهم فضلا عن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والمساواة بين الناس على اختلافهم ولا غرابة في ذلك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يخضع لعاطفة أو مساومة لأن منهجه مستمد من القرآن الكريم والسنة النبوية المطهرة</w:t>
      </w:r>
      <w:r>
        <w:rPr>
          <w:rFonts w:eastAsia="IRNazanin" w:cs="IRNazanin"/>
          <w:color w:val="111111"/>
          <w:sz w:val="28"/>
          <w:szCs w:val="28"/>
          <w:rtl w:val="true"/>
          <w:lang w:bidi="fa-IR"/>
        </w:rPr>
        <w:t xml:space="preserve">. </w:t>
      </w:r>
      <w:bookmarkStart w:id="25" w:name="pg10728_99644"/>
    </w:p>
    <w:p>
      <w:pPr>
        <w:pStyle w:val="Heading2"/>
        <w:numPr>
          <w:ilvl w:val="1"/>
          <w:numId w:val="1"/>
        </w:numPr>
        <w:rPr/>
      </w:pPr>
      <w:bookmarkStart w:id="26" w:name="__RefHeading___Toc5538346_1051229030"/>
      <w:bookmarkStart w:id="27" w:name="_Toc9"/>
      <w:bookmarkEnd w:id="25"/>
      <w:bookmarkEnd w:id="26"/>
      <w:r>
        <w:rPr>
          <w:rtl w:val="true"/>
        </w:rPr>
        <w:t>ثبت المصادر والمراج</w:t>
      </w:r>
      <w:r>
        <w:rPr>
          <w:rtl w:val="true"/>
        </w:rPr>
        <w:t>:</w:t>
      </w:r>
      <w:bookmarkEnd w:id="27"/>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5538348_1051229030"/>
      <w:bookmarkStart w:id="29" w:name="_Toc10"/>
      <w:bookmarkEnd w:id="28"/>
      <w:r>
        <w:rPr>
          <w:rtl w:val="true"/>
        </w:rPr>
        <w:t xml:space="preserve">أولا </w:t>
      </w:r>
      <w:r>
        <w:rPr>
          <w:rtl w:val="true"/>
        </w:rPr>
        <w:t xml:space="preserve">:- </w:t>
      </w:r>
      <w:r>
        <w:rPr>
          <w:rtl w:val="true"/>
        </w:rPr>
        <w:t>المصادر الأولية</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دار إحياء الكتب العربية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مراجعة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إحياء التراث منشورات دار مكتبة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أبو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والملوك المطبعة الحسينية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أبو جعفر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ألآمالي قدم له السيد محمد باقر بحر </w:t>
      </w:r>
      <w:bookmarkStart w:id="30" w:name="pg10728_99645"/>
    </w:p>
    <w:p>
      <w:pPr>
        <w:pStyle w:val="BookText"/>
        <w:rPr/>
      </w:pPr>
      <w:bookmarkEnd w:id="30"/>
      <w:r>
        <w:rPr>
          <w:rFonts w:ascii="Amiri" w:hAnsi="Amiri" w:eastAsia="Amiri" w:cs="Amiri"/>
          <w:color w:val="111111"/>
          <w:sz w:val="28"/>
          <w:sz w:val="28"/>
          <w:szCs w:val="28"/>
          <w:rtl w:val="true"/>
          <w:lang w:bidi="ar-SA"/>
        </w:rPr>
        <w:t xml:space="preserve">العلوم مطبعة النعان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أبو العباس أحمد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الأنافة في معالم الخلافة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فراج وزارة الإرشاد 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أحمد بن أبي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اليعقوبي مطبعة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Heading2"/>
        <w:numPr>
          <w:ilvl w:val="1"/>
          <w:numId w:val="1"/>
        </w:numPr>
        <w:rPr/>
      </w:pPr>
      <w:bookmarkStart w:id="31" w:name="__RefHeading___Toc5538350_1051229030"/>
      <w:bookmarkStart w:id="32" w:name="_Toc11"/>
      <w:bookmarkEnd w:id="31"/>
      <w:r>
        <w:rPr>
          <w:rtl w:val="true"/>
        </w:rPr>
        <w:t xml:space="preserve">ثانيا </w:t>
      </w:r>
      <w:r>
        <w:rPr>
          <w:rtl w:val="true"/>
        </w:rPr>
        <w:t xml:space="preserve">:- </w:t>
      </w:r>
      <w:r>
        <w:rPr>
          <w:rtl w:val="true"/>
        </w:rPr>
        <w:t xml:space="preserve">المراجع </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 محمد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عهد الخلفاء الراشدين المؤسسة الجامعية للدراسات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وبنوه دار المعارف</w:t>
      </w:r>
    </w:p>
    <w:p>
      <w:pPr>
        <w:pStyle w:val="BookText"/>
        <w:rPr/>
      </w:pPr>
      <w:r>
        <w:rPr>
          <w:rFonts w:ascii="Amiri" w:hAnsi="Amiri" w:eastAsia="Amiri" w:cs="Amiri"/>
          <w:color w:val="111111"/>
          <w:sz w:val="28"/>
          <w:sz w:val="28"/>
          <w:szCs w:val="28"/>
          <w:rtl w:val="true"/>
          <w:lang w:bidi="ar-SA"/>
        </w:rPr>
        <w:t xml:space="preserve">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الاجتماعي </w:t>
      </w:r>
    </w:p>
    <w:p>
      <w:pPr>
        <w:pStyle w:val="BookText"/>
        <w:rPr/>
      </w:pPr>
      <w:r>
        <w:rPr>
          <w:rFonts w:ascii="Amiri" w:hAnsi="Amiri" w:eastAsia="Amiri" w:cs="Amiri"/>
          <w:color w:val="111111"/>
          <w:sz w:val="28"/>
          <w:sz w:val="28"/>
          <w:szCs w:val="28"/>
          <w:rtl w:val="true"/>
          <w:lang w:bidi="ar-SA"/>
        </w:rPr>
        <w:t xml:space="preserve">عند الإمام علي 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الزهرة عثان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الاجتماعية عند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 ومصادیق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المركز الوطني للدراسات الاجتماعية والتاريخية</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التازي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المكي الناصري المنظمة الإسلامية للتربية والعلوم والثقافة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السيد جاسم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سلطة الحق</w:t>
      </w:r>
    </w:p>
    <w:p>
      <w:pPr>
        <w:pStyle w:val="BookText"/>
        <w:rPr/>
      </w:pPr>
      <w:r>
        <w:rPr>
          <w:rFonts w:ascii="IRNazanin" w:hAnsi="IRNazanin" w:eastAsia="IRNazanin"/>
          <w:color w:val="111111"/>
          <w:sz w:val="28"/>
          <w:sz w:val="28"/>
          <w:szCs w:val="28"/>
          <w:rtl w:val="true"/>
          <w:lang w:bidi="fa-IR"/>
        </w:rPr>
        <w:t xml:space="preserve">منشورات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دار المعارف للمطبوعات 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ومشكلة نظام </w:t>
      </w:r>
      <w:bookmarkStart w:id="33" w:name="pg10728_99647"/>
    </w:p>
    <w:p>
      <w:pPr>
        <w:pStyle w:val="BookText"/>
        <w:rPr/>
      </w:pPr>
      <w:bookmarkEnd w:id="33"/>
      <w:r>
        <w:rPr>
          <w:rFonts w:ascii="Amiri" w:hAnsi="Amiri" w:eastAsia="Amiri" w:cs="Amiri"/>
          <w:color w:val="111111"/>
          <w:sz w:val="28"/>
          <w:sz w:val="28"/>
          <w:szCs w:val="28"/>
          <w:rtl w:val="true"/>
          <w:lang w:bidi="ar-SA"/>
        </w:rPr>
        <w:t>الحكم مركز الغدير للدراسات الإسلامية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مؤسسة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ديورانت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الفلسفة من أفلاطون إلى جون ديوي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محمد المشعشع مكتبة المعارف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5538352_1051229030"/>
      <w:bookmarkStart w:id="35" w:name="_Toc12"/>
      <w:bookmarkEnd w:id="34"/>
      <w:r>
        <w:rPr>
          <w:rtl w:val="true"/>
        </w:rPr>
        <w:t xml:space="preserve">ثالثاً </w:t>
      </w:r>
      <w:r>
        <w:rPr>
          <w:rtl w:val="true"/>
        </w:rPr>
        <w:t xml:space="preserve">: </w:t>
      </w:r>
      <w:r>
        <w:rPr>
          <w:rtl w:val="true"/>
        </w:rPr>
        <w:t>الرسائل والاطاريح الجامعية</w:t>
      </w:r>
      <w:r>
        <w:rPr>
          <w:rtl w:val="true"/>
        </w:rPr>
        <w:t>.</w:t>
      </w:r>
      <w:bookmarkEnd w:id="3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كامل صالح العيساوي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المالية والإدارية في عهد الإمام علي أطروحة دكتوراه غير منشورة جامعة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شخصية الإنسان في فكر الإمام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الخاتمة والاستنتاجات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والأطاريح الجامعية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التازي 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الإسلامية 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المكي الناصري المنظمة الإسلامية للتربية والعلوم والثقافة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الحارث بن عبد يغوث بن مسلمة بن ربيعة بن خزيمة بن سعد بن مالك ابن النخع بن عمرو بن علة بن خالد بن مالك بن أدد وقد وصفه الإمام علي عند توليته الإمارة على الجيش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أمرت علیکا وعلى من في حیز کا مالك بن الحارث الأشتر فاسمعا له وأطيعا واجعلاه درعاً ومجنا فإنه ممن لا يخاف وهنه ولا سقطته ولا بطؤه عا الإسراع إليه أحزم ولا إسراعه إلى ما البطء عنه أمثل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إبراهیم دار إحياء الكتب العربية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مراجعة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إحياء التراث منشورات دار مكتبة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الفلسفة من أفلاطون إلى جون ديوي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محمد المشعشع مكتبة المعارف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الرضا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الفكر الاجتماعي عند الإمام علي 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ومشكلة نظام الحكم مرکز الغدير للدراسات الإسلامية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دار المعارف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کامل صالح العيساوي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المالية والإدارية في عهد الإمام علي أطروحة دكتوراه غير منشورة جامعة البصرة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أبو جعفر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ألآمالي قدم له السيد محمد باقر بحر العلوم مطبعة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دار المعارف للمطبوعات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مجه ص</w:t>
      </w:r>
      <w:r>
        <w:rPr>
          <w:rFonts w:eastAsia="IRNazanin" w:cs="IRNazanin"/>
          <w:b w:val="false"/>
          <w:bCs w:val="false"/>
          <w:i w:val="false"/>
          <w:iCs w:val="false"/>
          <w:color w:val="333333"/>
          <w:sz w:val="20"/>
          <w:szCs w:val="20"/>
        </w:rPr>
        <w:t>39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عند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صور ومصاديق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الوطني للدراسات الاجتماعية والتاريخية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عند الإمام علي ص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أبو جعفر محمد 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والملوك المطبعة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القلقشندي أبو العباس أحمد بن علي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لأنافة في معالم الخلافة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الستار فراج وزارة الإرشاد 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لأنافة في معالم الخلافة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الستار فراج وزارة الإرشاد 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 محمد 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في عهد الخلفاء</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والأسرار المرتضوية المطبعة الحيدرية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مؤسسة الأعلمي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السيد جاسم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سلطة الحق منشورات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مجه ص</w:t>
      </w:r>
      <w:r>
        <w:rPr>
          <w:rFonts w:eastAsia="IRNazanin" w:cs="IRNazanin"/>
          <w:b w:val="false"/>
          <w:bCs w:val="false"/>
          <w:i w:val="false"/>
          <w:iCs w:val="false"/>
          <w:color w:val="333333"/>
          <w:sz w:val="20"/>
          <w:szCs w:val="20"/>
        </w:rPr>
        <w:t>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مجه ص</w:t>
      </w:r>
      <w:r>
        <w:rPr>
          <w:rFonts w:eastAsia="IRNazanin" w:cs="IRNazanin"/>
          <w:b w:val="false"/>
          <w:bCs w:val="false"/>
          <w:i w:val="false"/>
          <w:iCs w:val="false"/>
          <w:color w:val="333333"/>
          <w:sz w:val="20"/>
          <w:szCs w:val="20"/>
        </w:rPr>
        <w:t>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مجه ص</w:t>
      </w:r>
      <w:r>
        <w:rPr>
          <w:rFonts w:eastAsia="IRNazanin" w:cs="IRNazanin"/>
          <w:b w:val="false"/>
          <w:bCs w:val="false"/>
          <w:i w:val="false"/>
          <w:iCs w:val="false"/>
          <w:color w:val="333333"/>
          <w:sz w:val="20"/>
          <w:szCs w:val="20"/>
        </w:rPr>
        <w:t>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5778</Words>
  <Characters>26172</Characters>
  <CharactersWithSpaces>31761</CharactersWithSpaces>
  <Paragraphs>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2026-08-27T12:54:30Z</dcterms:created>
  <dc:creator>ghaemiyeh.com</dc:creator>
  <dc:description/>
  <dc:language>en-US</dc:language>
  <cp:lastModifiedBy/>
  <dcterms:modified xsi:type="dcterms:W3CDTF">2026-08-27T16:24:39Z</dcterms:modified>
  <cp:revision>1</cp:revision>
  <dc:subject/>
  <dc:title>المنطلقات الإنسانیة و الأخلاقیة فی رسالة الإمام علی علیه السلام الى مالک الأشتر رضی لله عنه</dc:title>
</cp:coreProperties>
</file>

<file path=docProps/custom.xml><?xml version="1.0" encoding="utf-8"?>
<Properties xmlns="http://schemas.openxmlformats.org/officeDocument/2006/custom-properties" xmlns:vt="http://schemas.openxmlformats.org/officeDocument/2006/docPropsVTypes"/>
</file>