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شعاع من نور الزهراء علیها السلام مقدمه من فقه الزهرا علیهاالسلام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لمحة عن عظمة الزهراء(علیها 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الولاية التكوينية والتشريعية و...</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 الكتابة على ساق العرش والجنة.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 والخلقة قبل آدم(علیه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 قصة سفينة نوح(علیه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 تعليم أسمائهم(علیهم السلام)للأنبياء(علیهم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ه: ما ورد في يوم القيامة ومقامها(علیها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 وما أشبه ذلك.</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الولايات التكوينية للأنبياء والصالحين(علیهم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العلة للحدوث والبقاء</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الولاية التشريعية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الأمر بين الأمرين في التشريع</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من الأدلة على ولايتهم(علیهم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ماذا تعني الأولوية؟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سلطة الهدم والبناء</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من معاني التفويض</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عود على بدء</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بين التصرُّف والصلاحية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التوقيع الشريف</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لا فرق بين حياتهم ومماتهم(علیهم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رفعة منزلتهم(علیهم السلام) ذاتية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مجالات ستة للرسول(صلی الله علیه و آله)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شمولية علمهم وقدراتهم(علیهم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بين العلم الغيبي والسلوك العملي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الأحكام المستفادة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دروسٌ من سيرتها(علیها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وفي الختام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27_123019"/>
    <w:bookmarkEnd w:id="0"/>
    <w:p>
      <w:pPr>
        <w:pStyle w:val="Heading2"/>
      </w:pPr>
      <w:bookmarkStart w:id="25" w:name="_Toc1"/>
      <w:r>
        <w:t>هوية الكتاب</w:t>
      </w:r>
      <w:bookmarkEnd w:id="25"/>
    </w:p>
    <w:p>
      <w:pPr>
        <w:pStyle w:val="BookText"/>
      </w:pPr>
      <w:r>
        <w:rPr>
          <w:rFonts w:ascii="IRNazanin" w:hAnsi="IRNazanin" w:eastAsia="IRNazanin" w:cs="IRNazanin"/>
          <w:lang w:bidi="fa-IR"/>
          <w:color w:val="111111"/>
          <w:sz w:val="28"/>
          <w:szCs w:val="28"/>
          <w:rtl/>
        </w:rPr>
        <w:t xml:space="preserve">بطاقة تعريف: الحسیني الشیرازي، السیدمحمد، 1307 - 1380.</w:t>
      </w:r>
    </w:p>
    <w:p>
      <w:pPr>
        <w:pStyle w:val="BookText"/>
      </w:pPr>
      <w:r>
        <w:rPr>
          <w:rFonts w:ascii="IRNazanin" w:hAnsi="IRNazanin" w:eastAsia="IRNazanin" w:cs="IRNazanin"/>
          <w:lang w:bidi="fa-IR"/>
          <w:color w:val="111111"/>
          <w:sz w:val="28"/>
          <w:szCs w:val="28"/>
          <w:rtl/>
        </w:rPr>
        <w:t xml:space="preserve">عنوان واسم المؤلف: شعاع من نورالزهرا علیهاالسلام: مقدمه من فقه الزهرا علیهاالسلام/ السیدمحمد الحسیني الشیرازي.</w:t>
      </w:r>
    </w:p>
    <w:p>
      <w:pPr>
        <w:pStyle w:val="BookText"/>
      </w:pPr>
      <w:r>
        <w:rPr>
          <w:rFonts w:ascii="Amiri" w:hAnsi="Amiri" w:eastAsia="Amiri" w:cs="Amiri"/>
          <w:lang w:bidi="ar-SA"/>
          <w:color w:val="111111"/>
          <w:sz w:val="28"/>
          <w:szCs w:val="28"/>
          <w:rtl/>
        </w:rPr>
        <w:t xml:space="preserve">تفاصيل المنشور: قم : دارالعلم، 1400.</w:t>
      </w:r>
    </w:p>
    <w:p>
      <w:pPr>
        <w:pStyle w:val="BookText"/>
      </w:pPr>
      <w:r>
        <w:rPr>
          <w:rFonts w:ascii="IRNazanin" w:hAnsi="IRNazanin" w:eastAsia="IRNazanin" w:cs="IRNazanin"/>
          <w:lang w:bidi="fa-IR"/>
          <w:color w:val="111111"/>
          <w:sz w:val="28"/>
          <w:szCs w:val="28"/>
          <w:rtl/>
        </w:rPr>
        <w:t xml:space="preserve">مواصفات المظهر: 56 ص.؛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 م.</w:t>
      </w:r>
    </w:p>
    <w:p>
      <w:pPr>
        <w:pStyle w:val="BookText"/>
      </w:pPr>
      <w:r>
        <w:rPr>
          <w:rFonts w:ascii="Times New Roman" w:hAnsi="Times New Roman" w:eastAsia="Times New Roman" w:cs="Times New Roman"/>
          <w:lang w:val="en-US" w:bidi="en-US"/>
          <w:color w:val="111111"/>
          <w:sz w:val="28"/>
          <w:szCs w:val="28"/>
          <w:rtl/>
        </w:rPr>
        <w:t xml:space="preserve">ISBN : 978-964-204-639-3</w:t>
      </w:r>
    </w:p>
    <w:p>
      <w:pPr>
        <w:pStyle w:val="BookText"/>
      </w:pPr>
      <w:r>
        <w:rPr>
          <w:rFonts w:ascii="IRNazanin" w:hAnsi="IRNazanin" w:eastAsia="IRNazanin" w:cs="IRNazanin"/>
          <w:lang w:bidi="fa-IR"/>
          <w:color w:val="111111"/>
          <w:sz w:val="28"/>
          <w:szCs w:val="28"/>
          <w:rtl/>
        </w:rPr>
        <w:t xml:space="preserve">حالة الاستماع: فیپا</w:t>
      </w:r>
    </w:p>
    <w:p>
      <w:pPr>
        <w:pStyle w:val="BookText"/>
      </w:pPr>
      <w:r>
        <w:rPr>
          <w:rFonts w:ascii="Amiri" w:hAnsi="Amiri" w:eastAsia="Amiri" w:cs="Amiri"/>
          <w:lang w:bidi="ar-SA"/>
          <w:color w:val="111111"/>
          <w:sz w:val="28"/>
          <w:szCs w:val="28"/>
          <w:rtl/>
        </w:rPr>
        <w:t xml:space="preserve">لسان : العربية.</w:t>
      </w:r>
    </w:p>
    <w:p>
      <w:pPr>
        <w:pStyle w:val="BookText"/>
      </w:pPr>
      <w:r>
        <w:rPr>
          <w:rFonts w:ascii="Amiri" w:hAnsi="Amiri" w:eastAsia="Amiri" w:cs="Amiri"/>
          <w:lang w:bidi="ar-SA"/>
          <w:color w:val="111111"/>
          <w:sz w:val="28"/>
          <w:szCs w:val="28"/>
          <w:rtl/>
        </w:rPr>
        <w:t xml:space="preserve">ملحوظة: ببليوغرافيا مع ترجمة.</w:t>
      </w:r>
    </w:p>
    <w:p>
      <w:pPr>
        <w:pStyle w:val="BookText"/>
      </w:pPr>
      <w:r>
        <w:rPr>
          <w:rFonts w:ascii="IRNazanin" w:hAnsi="IRNazanin" w:eastAsia="IRNazanin" w:cs="IRNazanin"/>
          <w:lang w:bidi="fa-IR"/>
          <w:color w:val="111111"/>
          <w:sz w:val="28"/>
          <w:szCs w:val="28"/>
          <w:rtl/>
        </w:rPr>
        <w:t xml:space="preserve">عنوان آخر : مقدمه من فقه الزهرا علیهاالسلام.</w:t>
      </w:r>
    </w:p>
    <w:p>
      <w:pPr>
        <w:pStyle w:val="BookText"/>
      </w:pPr>
      <w:r>
        <w:rPr>
          <w:rFonts w:ascii="Amiri" w:hAnsi="Amiri" w:eastAsia="Amiri" w:cs="Amiri"/>
          <w:lang w:bidi="ar-SA"/>
          <w:color w:val="111111"/>
          <w:sz w:val="28"/>
          <w:szCs w:val="28"/>
          <w:rtl/>
        </w:rPr>
        <w:t xml:space="preserve">موضوع : فاطمه زهرا (س)، 8؟ قبل الهجرة - 11ق.</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Fatimah Zahra, The Saint</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BP27/2</w:t>
      </w:r>
    </w:p>
    <w:p>
      <w:pPr>
        <w:pStyle w:val="BookText"/>
      </w:pPr>
      <w:r>
        <w:rPr>
          <w:rFonts w:ascii="Amiri" w:hAnsi="Amiri" w:eastAsia="Amiri" w:cs="Amiri"/>
          <w:lang w:bidi="ar-SA"/>
          <w:color w:val="111111"/>
          <w:sz w:val="28"/>
          <w:szCs w:val="28"/>
          <w:rtl/>
        </w:rPr>
        <w:t xml:space="preserve">تصنيف ديوي: 297/973</w:t>
      </w:r>
    </w:p>
    <w:p>
      <w:pPr>
        <w:pStyle w:val="BookText"/>
      </w:pPr>
      <w:r>
        <w:rPr>
          <w:rFonts w:ascii="Amiri" w:hAnsi="Amiri" w:eastAsia="Amiri" w:cs="Amiri"/>
          <w:lang w:bidi="ar-SA"/>
          <w:color w:val="111111"/>
          <w:sz w:val="28"/>
          <w:szCs w:val="28"/>
          <w:rtl/>
        </w:rPr>
        <w:t xml:space="preserve">رقم الببليوغرافيا الوطنية: 8661396</w:t>
      </w:r>
    </w:p>
    <w:p>
      <w:pPr>
        <w:pStyle w:val="BookText"/>
      </w:pPr>
      <w:r>
        <w:rPr>
          <w:rFonts w:ascii="IRNazanin" w:hAnsi="IRNazanin" w:eastAsia="IRNazanin" w:cs="IRNazanin"/>
          <w:lang w:bidi="fa-IR"/>
          <w:color w:val="111111"/>
          <w:sz w:val="28"/>
          <w:szCs w:val="28"/>
          <w:rtl/>
        </w:rPr>
        <w:t xml:space="preserve">معلومات التسجيلة الببليوغرافية: فیپا</w:t>
      </w:r>
    </w:p>
    <w:p>
      <w:pPr>
        <w:pStyle w:val="Heading2"/>
      </w:pPr>
      <w:bookmarkStart w:id="26" w:name="_Toc2"/>
      <w:r>
        <w:t>اشارة</w:t>
      </w:r>
      <w:bookmarkEnd w:id="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شعاع من نور الزهراء (علیها السلام)</w:t>
      </w:r>
    </w:p>
    <w:p>
      <w:pPr>
        <w:pStyle w:val="BookText"/>
      </w:pPr>
      <w:r>
        <w:rPr>
          <w:rFonts w:ascii="IRNazanin" w:hAnsi="IRNazanin" w:eastAsia="IRNazanin" w:cs="IRNazanin"/>
          <w:lang w:bidi="fa-IR"/>
          <w:color w:val="111111"/>
          <w:sz w:val="28"/>
          <w:szCs w:val="28"/>
          <w:rtl/>
        </w:rPr>
        <w:t xml:space="preserve">مقدمة من فقه الزهراء(علیها السلام)</w:t>
      </w:r>
    </w:p>
    <w:p>
      <w:pPr>
        <w:pStyle w:val="BookText"/>
      </w:pPr>
      <w:r>
        <w:rPr>
          <w:rFonts w:ascii="Amiri" w:hAnsi="Amiri" w:eastAsia="Amiri" w:cs="Amiri"/>
          <w:lang w:bidi="ar-SA"/>
          <w:color w:val="111111"/>
          <w:sz w:val="28"/>
          <w:szCs w:val="28"/>
          <w:rtl/>
        </w:rPr>
        <w:t xml:space="preserve">المرجع الديني الراحل السيد محمد الحسيني الشيرازي (رحمة الله)</w:t>
      </w:r>
    </w:p>
    <w:p>
      <w:pPr>
        <w:pStyle w:val="BookText"/>
      </w:pPr>
      <w:r>
        <w:rPr>
          <w:rFonts w:ascii="IRNazanin" w:hAnsi="IRNazanin" w:eastAsia="IRNazanin" w:cs="IRNazanin"/>
          <w:lang w:bidi="fa-IR"/>
          <w:color w:val="111111"/>
          <w:sz w:val="28"/>
          <w:szCs w:val="28"/>
          <w:rtl/>
        </w:rPr>
        <w:t xml:space="preserve">الناشر: دار العلم</w:t>
      </w:r>
    </w:p>
    <w:p>
      <w:pPr>
        <w:pStyle w:val="BookText"/>
      </w:pPr>
      <w:r>
        <w:rPr>
          <w:rFonts w:ascii="IRNazanin" w:hAnsi="IRNazanin" w:eastAsia="IRNazanin" w:cs="IRNazanin"/>
          <w:lang w:bidi="fa-IR"/>
          <w:color w:val="111111"/>
          <w:sz w:val="28"/>
          <w:szCs w:val="28"/>
          <w:rtl/>
        </w:rPr>
        <w:t xml:space="preserve">المطبوع: 5000</w:t>
      </w:r>
    </w:p>
    <w:p>
      <w:pPr>
        <w:pStyle w:val="BookText"/>
      </w:pPr>
      <w:r>
        <w:rPr>
          <w:rFonts w:ascii="Amiri" w:hAnsi="Amiri" w:eastAsia="Amiri" w:cs="Amiri"/>
          <w:lang w:bidi="ar-SA"/>
          <w:color w:val="111111"/>
          <w:sz w:val="28"/>
          <w:szCs w:val="28"/>
          <w:rtl/>
        </w:rPr>
        <w:t xml:space="preserve">المطبعة: إحسان</w:t>
      </w:r>
    </w:p>
    <w:p>
      <w:pPr>
        <w:pStyle w:val="BookText"/>
      </w:pPr>
      <w:r>
        <w:rPr>
          <w:rFonts w:ascii="Amiri" w:hAnsi="Amiri" w:eastAsia="Amiri" w:cs="Amiri"/>
          <w:lang w:bidi="ar-SA"/>
          <w:color w:val="111111"/>
          <w:sz w:val="28"/>
          <w:szCs w:val="28"/>
          <w:rtl/>
        </w:rPr>
        <w:t xml:space="preserve">الطبعة: الثانية - 1443ه</w:t>
      </w:r>
    </w:p>
    <w:p>
      <w:pPr>
        <w:pStyle w:val="BookText"/>
      </w:pPr>
      <w:r>
        <w:rPr>
          <w:rFonts w:ascii="Amiri" w:hAnsi="Amiri" w:eastAsia="Amiri" w:cs="Amiri"/>
          <w:lang w:bidi="ar-SA"/>
          <w:color w:val="111111"/>
          <w:sz w:val="28"/>
          <w:szCs w:val="28"/>
          <w:rtl/>
        </w:rPr>
        <w:t xml:space="preserve">إخراج: نهضة الله العظيمي</w:t>
      </w:r>
    </w:p>
    <w:p>
      <w:pPr>
        <w:pStyle w:val="BookText"/>
      </w:pPr>
      <w:r>
        <w:rPr>
          <w:rFonts w:ascii="Amiri" w:hAnsi="Amiri" w:eastAsia="Amiri" w:cs="Amiri"/>
          <w:lang w:bidi="ar-SA"/>
          <w:color w:val="111111"/>
          <w:sz w:val="28"/>
          <w:szCs w:val="28"/>
          <w:rtl/>
        </w:rPr>
        <w:t xml:space="preserve">شابك 3-639-204-964-978</w:t>
      </w:r>
    </w:p>
    <w:p>
      <w:pPr>
        <w:pStyle w:val="BookText"/>
      </w:pPr>
      <w:r>
        <w:rPr>
          <w:rFonts w:ascii="IRNazanin" w:hAnsi="IRNazanin" w:eastAsia="IRNazanin" w:cs="IRNazanin"/>
          <w:lang w:bidi="fa-IR"/>
          <w:color w:val="111111"/>
          <w:sz w:val="28"/>
          <w:szCs w:val="28"/>
          <w:rtl/>
        </w:rPr>
        <w:t xml:space="preserve">النجف الأشرف: مكتبة الإمام الحسن المجتبى(علیه السلام) للطلب 07826265250</w:t>
      </w:r>
    </w:p>
    <w:p>
      <w:pPr>
        <w:pStyle w:val="BookText"/>
      </w:pPr>
      <w:r>
        <w:rPr>
          <w:rFonts w:ascii="IRNazanin" w:hAnsi="IRNazanin" w:eastAsia="IRNazanin" w:cs="IRNazanin"/>
          <w:lang w:bidi="fa-IR"/>
          <w:color w:val="111111"/>
          <w:sz w:val="28"/>
          <w:szCs w:val="28"/>
          <w:rtl/>
        </w:rPr>
        <w:t xml:space="preserve">كربلاء المقدسة: شارع الإمام علي(علیه السلام)، مكتبة الإمام الحسين(علیه السلام) التخصصية</w:t>
      </w:r>
    </w:p>
    <w:p>
      <w:pPr>
        <w:pStyle w:val="BookText"/>
      </w:pPr>
      <w:r>
        <w:rPr>
          <w:rFonts w:ascii="IRNazanin" w:hAnsi="IRNazanin" w:eastAsia="IRNazanin" w:cs="IRNazanin"/>
          <w:lang w:bidi="fa-IR"/>
          <w:color w:val="111111"/>
          <w:sz w:val="28"/>
          <w:szCs w:val="28"/>
          <w:rtl/>
        </w:rPr>
        <w:t xml:space="preserve">مشهد المقدسة: مدرسة الإمام الرضا(علیه السلام)، جهارراه شهدا، شارع بهجت، فرع 5</w:t>
      </w:r>
    </w:p>
    <w:p>
      <w:pPr>
        <w:pStyle w:val="BookText"/>
      </w:pPr>
      <w:r>
        <w:rPr>
          <w:rFonts w:ascii="Amiri" w:hAnsi="Amiri" w:eastAsia="Amiri" w:cs="Amiri"/>
          <w:lang w:bidi="ar-SA"/>
          <w:color w:val="111111"/>
          <w:sz w:val="28"/>
          <w:szCs w:val="28"/>
          <w:rtl/>
        </w:rPr>
        <w:t xml:space="preserve">طهران: شارع انقلاب، شارع 12 فروردين، مجتمع ناشران، الطابق الأرضي، الرقم 16 و 18، دار العلمقم</w:t>
      </w:r>
    </w:p>
    <w:p>
      <w:pPr>
        <w:pStyle w:val="BookText"/>
      </w:pPr>
      <w:r>
        <w:rPr>
          <w:rFonts w:ascii="Amiri" w:hAnsi="Amiri" w:eastAsia="Amiri" w:cs="Amiri"/>
          <w:lang w:bidi="ar-SA"/>
          <w:color w:val="111111"/>
          <w:sz w:val="28"/>
          <w:szCs w:val="28"/>
          <w:rtl/>
        </w:rPr>
        <w:t xml:space="preserve">المقدسة: شارع معلم، دوار روح الله، أول فرع 19، دار العلم</w:t>
      </w:r>
    </w:p>
    <w:p>
      <w:pPr>
        <w:pStyle w:val="BookText"/>
      </w:pPr>
      <w:r>
        <w:rPr>
          <w:rFonts w:ascii="Amiri" w:hAnsi="Amiri" w:eastAsia="Amiri" w:cs="Amiri"/>
          <w:lang w:bidi="ar-SA"/>
          <w:color w:val="111111"/>
          <w:sz w:val="28"/>
          <w:szCs w:val="28"/>
          <w:rtl/>
        </w:rPr>
        <w:t xml:space="preserve">قم المقدسة: شارع معلم، مجتمع ناشران، الطابق الأرضي، الرقم 7، دار العلم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محمّد وآله الطيبين الطاهرين، ولعنة اللّه على أعدائهم أجمعين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عليك أيتها الصديقة الشهيدة</w:t>
      </w:r>
    </w:p>
    <w:p>
      <w:pPr>
        <w:pStyle w:val="BookText"/>
      </w:pPr>
      <w:r>
        <w:rPr>
          <w:rFonts w:ascii="Amiri" w:hAnsi="Amiri" w:eastAsia="Amiri" w:cs="Amiri"/>
          <w:lang w:bidi="ar-SA"/>
          <w:color w:val="111111"/>
          <w:sz w:val="28"/>
          <w:szCs w:val="28"/>
          <w:rtl/>
        </w:rPr>
        <w:t xml:space="preserve">السلام عليك أيتها الرضية المرضية</w:t>
      </w:r>
    </w:p>
    <w:p>
      <w:pPr>
        <w:pStyle w:val="BookText"/>
      </w:pPr>
      <w:r>
        <w:rPr>
          <w:rFonts w:ascii="Amiri" w:hAnsi="Amiri" w:eastAsia="Amiri" w:cs="Amiri"/>
          <w:lang w:bidi="ar-SA"/>
          <w:color w:val="111111"/>
          <w:sz w:val="28"/>
          <w:szCs w:val="28"/>
          <w:rtl/>
        </w:rPr>
        <w:t xml:space="preserve">السلام عليك أيتها الفاضلة الزكية</w:t>
      </w:r>
    </w:p>
    <w:p>
      <w:pPr>
        <w:pStyle w:val="BookText"/>
      </w:pPr>
      <w:r>
        <w:rPr>
          <w:rFonts w:ascii="Amiri" w:hAnsi="Amiri" w:eastAsia="Amiri" w:cs="Amiri"/>
          <w:lang w:bidi="ar-SA"/>
          <w:color w:val="111111"/>
          <w:sz w:val="28"/>
          <w:szCs w:val="28"/>
          <w:rtl/>
        </w:rPr>
        <w:t xml:space="preserve">السلام عليك أيتها الحوراء الإنسية</w:t>
      </w:r>
    </w:p>
    <w:p>
      <w:pPr>
        <w:pStyle w:val="BookText"/>
      </w:pPr>
      <w:r>
        <w:rPr>
          <w:rFonts w:ascii="Amiri" w:hAnsi="Amiri" w:eastAsia="Amiri" w:cs="Amiri"/>
          <w:lang w:bidi="ar-SA"/>
          <w:color w:val="111111"/>
          <w:sz w:val="28"/>
          <w:szCs w:val="28"/>
          <w:rtl/>
        </w:rPr>
        <w:t xml:space="preserve">السلام عليك أيتها التقية النقية</w:t>
      </w:r>
    </w:p>
    <w:p>
      <w:pPr>
        <w:pStyle w:val="BookText"/>
      </w:pPr>
      <w:r>
        <w:rPr>
          <w:rFonts w:ascii="Amiri" w:hAnsi="Amiri" w:eastAsia="Amiri" w:cs="Amiri"/>
          <w:lang w:bidi="ar-SA"/>
          <w:color w:val="111111"/>
          <w:sz w:val="28"/>
          <w:szCs w:val="28"/>
          <w:rtl/>
        </w:rPr>
        <w:t xml:space="preserve">السلام عليك أيتها المحدثة العليمة</w:t>
      </w:r>
    </w:p>
    <w:p>
      <w:pPr>
        <w:pStyle w:val="BookText"/>
      </w:pPr>
      <w:r>
        <w:rPr>
          <w:rFonts w:ascii="Amiri" w:hAnsi="Amiri" w:eastAsia="Amiri" w:cs="Amiri"/>
          <w:lang w:bidi="ar-SA"/>
          <w:color w:val="111111"/>
          <w:sz w:val="28"/>
          <w:szCs w:val="28"/>
          <w:rtl/>
        </w:rPr>
        <w:t xml:space="preserve">السلام عليك أيتها المظلومة المغصوبة</w:t>
      </w:r>
    </w:p>
    <w:p>
      <w:pPr>
        <w:pStyle w:val="BookText"/>
      </w:pPr>
      <w:r>
        <w:rPr>
          <w:rFonts w:ascii="Amiri" w:hAnsi="Amiri" w:eastAsia="Amiri" w:cs="Amiri"/>
          <w:lang w:bidi="ar-SA"/>
          <w:color w:val="111111"/>
          <w:sz w:val="28"/>
          <w:szCs w:val="28"/>
          <w:rtl/>
        </w:rPr>
        <w:t xml:space="preserve">السلام عليك أيتها المضطهدة المقهورة</w:t>
      </w:r>
    </w:p>
    <w:p>
      <w:pPr>
        <w:pStyle w:val="BookText"/>
      </w:pPr>
      <w:r>
        <w:rPr>
          <w:rFonts w:ascii="Amiri" w:hAnsi="Amiri" w:eastAsia="Amiri" w:cs="Amiri"/>
          <w:lang w:bidi="ar-SA"/>
          <w:color w:val="111111"/>
          <w:sz w:val="28"/>
          <w:szCs w:val="28"/>
          <w:rtl/>
        </w:rPr>
        <w:t xml:space="preserve">السلام عليك يا فاطمة بنت رسول اللّه</w:t>
      </w:r>
    </w:p>
    <w:p>
      <w:pPr>
        <w:pStyle w:val="BookText"/>
      </w:pPr>
      <w:r>
        <w:rPr>
          <w:rFonts w:ascii="Amiri" w:hAnsi="Amiri" w:eastAsia="Amiri" w:cs="Amiri"/>
          <w:lang w:bidi="ar-SA"/>
          <w:color w:val="111111"/>
          <w:sz w:val="28"/>
          <w:szCs w:val="28"/>
          <w:rtl/>
        </w:rPr>
        <w:t xml:space="preserve">ورحمة اللّه وبركاته</w:t>
      </w:r>
    </w:p>
    <w:p>
      <w:pPr>
        <w:pStyle w:val="BookText"/>
      </w:pPr>
      <w:r>
        <w:rPr>
          <w:rFonts w:ascii="Amiri" w:hAnsi="Amiri" w:eastAsia="Amiri" w:cs="Amiri"/>
          <w:lang w:bidi="ar-SA"/>
          <w:color w:val="111111"/>
          <w:sz w:val="28"/>
          <w:szCs w:val="28"/>
          <w:rtl/>
        </w:rPr>
        <w:t xml:space="preserve">البلد الأمين: 278؛ مصباح المتهجد 2: 711؛ بحار الأنوار 97: 195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27_123023"/>
    <w:bookmarkEnd w:id="1"/>
    <w:p>
      <w:pPr>
        <w:pStyle w:val="Heading2"/>
      </w:pPr>
      <w:bookmarkStart w:id="27" w:name="_Toc3"/>
      <w:r>
        <w:t>المقدمة</w:t>
      </w:r>
      <w:bookmarkEnd w:id="2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محمّد وآله الطيبين الطاهرين، سيما المحدّثة العليمة، التقيّة النقيّة، الرضيّة المرضيّة، الصدّيقة الكبرى، فاطمة الزهراء صلوات اللّه عليها، واللعنة الدائمة على أعدائهم أجمعين إلى قيام يوم الدين.</w:t>
      </w:r>
    </w:p>
    <w:p>
      <w:pPr>
        <w:pStyle w:val="BookText"/>
      </w:pPr>
      <w:r>
        <w:rPr>
          <w:rFonts w:ascii="Amiri" w:hAnsi="Amiri" w:eastAsia="Amiri" w:cs="Amiri"/>
          <w:lang w:bidi="ar-SA"/>
          <w:color w:val="111111"/>
          <w:sz w:val="28"/>
          <w:szCs w:val="28"/>
          <w:rtl/>
        </w:rPr>
        <w:t xml:space="preserve">إن سيدة النساء فاطمة الزهراء سلام اللّه عليها مجهولةٌ قدراً، ومهضومةٌ حقاً، ولعلّ من مصاديق مجهولية قدرها: عدمَ الاستفادة من كلماتها وخطبها في الفقه، وعدمَ إدراجها ضمن الأدلة أو المؤيّدات التي يُعتمد عليها في استنباط الأحكام الشرعية، ولذلك فقد استعنتُ بالباري جل وعلا في الكتابة حول ذلك</w:t>
      </w:r>
      <w:r>
        <w:rPr>
          <w:rStyle w:val="FootnoteReference"/>
        </w:rPr>
        <w:footnoteReference w:id="1"/>
      </w:r>
      <w:r>
        <w:rPr>
          <w:rFonts w:ascii="Amiri" w:hAnsi="Amiri" w:eastAsia="Amiri" w:cs="Amiri"/>
          <w:lang w:bidi="ar-SA"/>
          <w:color w:val="111111"/>
          <w:sz w:val="28"/>
          <w:szCs w:val="28"/>
          <w:rtl/>
        </w:rPr>
        <w:t xml:space="preserve">رجاءَ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المثوبة، وأداءً لبعض الواجب، واللّه الموفِّق.</w:t>
      </w:r>
    </w:p>
    <w:p>
      <w:pPr>
        <w:pStyle w:val="BookText"/>
      </w:pPr>
      <w:r>
        <w:rPr>
          <w:rFonts w:ascii="Amiri" w:hAnsi="Amiri" w:eastAsia="Amiri" w:cs="Amiri"/>
          <w:lang w:bidi="ar-SA"/>
          <w:color w:val="111111"/>
          <w:sz w:val="28"/>
          <w:szCs w:val="28"/>
          <w:rtl/>
        </w:rPr>
        <w:t xml:space="preserve">والروايات المذكورة في هذا الكتاب بعضها صحيح من حيث السند، وبعضها حسن أو موثّق، وبعضها الآخر وإن لم يطلق عليها ذلك اصطلاحاً - حسب ما جرى عليه علماء الدراية والرجال - إلاّ أن الغالب منها قد ورد في باب المستحبات والآداب، مما يشمله حديث: «من بلغه...»</w:t>
      </w:r>
      <w:r>
        <w:rPr>
          <w:rStyle w:val="FootnoteReference"/>
        </w:rPr>
        <w:footnoteReference w:id="2"/>
      </w:r>
      <w:r>
        <w:rPr>
          <w:rFonts w:ascii="Amiri" w:hAnsi="Amiri" w:eastAsia="Amiri" w:cs="Amiri"/>
          <w:lang w:bidi="ar-SA"/>
          <w:color w:val="111111"/>
          <w:sz w:val="28"/>
          <w:szCs w:val="28"/>
          <w:rtl/>
        </w:rPr>
        <w:t xml:space="preserve">، وغيره.</w:t>
      </w:r>
    </w:p>
    <w:p>
      <w:pPr>
        <w:pStyle w:val="BookText"/>
      </w:pPr>
      <w:r>
        <w:rPr>
          <w:rFonts w:ascii="Amiri" w:hAnsi="Amiri" w:eastAsia="Amiri" w:cs="Amiri"/>
          <w:lang w:bidi="ar-SA"/>
          <w:color w:val="111111"/>
          <w:sz w:val="28"/>
          <w:szCs w:val="28"/>
          <w:rtl/>
        </w:rPr>
        <w:t xml:space="preserve">بالإضافة إلى الشواهد الكثيرة المؤيّدة لها في الآيات والروايات الأُخر، وهي قرينة خارجية، إضافة على قوة المضمون في بعضها - وهي قرينة داخلية - مما يجعل للأحكام المذكورة قوة، بحيث تصلح للاستدلال بها أو لاعتبارها مؤيّداً على الأقل، كماأن بعضها يؤيّد بنحو الملاكات</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في بعض المباحث</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أن الحجية قد تكون من جهة تمامية السند بمقتضى بناء العقلاء والآيات والروايات، ومنها: قوله(علیه السلام): «لا عذر لأحد من موالينا في التشكيك في ما يرويه عنا ثقاتنا»</w:t>
      </w:r>
      <w:r>
        <w:rPr>
          <w:rStyle w:val="FootnoteReference"/>
        </w:rPr>
        <w:footnoteReference w:id="5"/>
      </w:r>
      <w:r>
        <w:rPr>
          <w:rFonts w:ascii="Amiri" w:hAnsi="Amiri" w:eastAsia="Amiri" w:cs="Amiri"/>
          <w:lang w:bidi="ar-SA"/>
          <w:color w:val="111111"/>
          <w:sz w:val="28"/>
          <w:szCs w:val="28"/>
          <w:rtl/>
        </w:rPr>
        <w:t xml:space="preserve">، الحديث.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تكون من جهة قوة المتن، مما تكون دليلاً على الورود عنهم(علیهم السلام) وإن لم يكن قوي السند، لبناء العقلاء أيضاً، ولشمول ملاك «ثقاتنا» 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تكون من جهة قوة المؤلّف، في ما كان بناء العقلاء الاعتماد على إسناده أو أفاد الاطمئنان وذلك كالشريف الرضي(رحمة الله)، ونحننرى حجية نهج البلاغة وإن لم يتسلسل إسناد العديد من الخطب والكلمات الواردة فيها، لمجموعة من القرائن الخارجية والداخلية.</w:t>
      </w:r>
    </w:p>
    <w:p>
      <w:pPr>
        <w:pStyle w:val="BookText"/>
      </w:pPr>
      <w:r>
        <w:rPr>
          <w:rFonts w:ascii="Amiri" w:hAnsi="Amiri" w:eastAsia="Amiri" w:cs="Amiri"/>
          <w:lang w:bidi="ar-SA"/>
          <w:color w:val="111111"/>
          <w:sz w:val="28"/>
          <w:szCs w:val="28"/>
          <w:rtl/>
        </w:rPr>
        <w:t xml:space="preserve">وقد تكون من جهة القرائن الخارجية</w:t>
      </w:r>
      <w:r>
        <w:rPr>
          <w:rStyle w:val="FootnoteReference"/>
        </w:rPr>
        <w:footnoteReference w:id="7"/>
      </w:r>
      <w:r>
        <w:rPr>
          <w:rFonts w:ascii="Amiri" w:hAnsi="Amiri" w:eastAsia="Amiri" w:cs="Amiri"/>
          <w:lang w:bidi="ar-SA"/>
          <w:color w:val="111111"/>
          <w:sz w:val="28"/>
          <w:szCs w:val="28"/>
          <w:rtl/>
        </w:rPr>
        <w:t xml:space="preserve">، كما ذكر ذلك العديد من علماء الأصول.</w:t>
      </w:r>
    </w:p>
    <w:p>
      <w:pPr>
        <w:pStyle w:val="BookText"/>
      </w:pPr>
      <w:r>
        <w:rPr>
          <w:rFonts w:ascii="IRNazanin" w:hAnsi="IRNazanin" w:eastAsia="IRNazanin" w:cs="IRNazanin"/>
          <w:lang w:bidi="fa-IR"/>
          <w:color w:val="111111"/>
          <w:sz w:val="28"/>
          <w:szCs w:val="28"/>
          <w:rtl/>
        </w:rPr>
        <w:t xml:space="preserve">وقد تكون من جهة الشهرة المضمونية، لشمول قوله(علیه السلام): «خذ بما اشتهر بين أصحابك</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المجمع عليه لا ريب فيه»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بالحجية، أو يتعامل مع الحديث التعامل مع الحجة من حيث ترتيب الآثار أو بعضها - على تفصيل مذكور في الفقه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والأصول - من جهة التسامح في أدلة السنن.</w:t>
      </w:r>
    </w:p>
    <w:p>
      <w:pPr>
        <w:pStyle w:val="BookText"/>
      </w:pPr>
      <w:r>
        <w:rPr>
          <w:rFonts w:ascii="Amiri" w:hAnsi="Amiri" w:eastAsia="Amiri" w:cs="Amiri"/>
          <w:lang w:bidi="ar-SA"/>
          <w:color w:val="111111"/>
          <w:sz w:val="28"/>
          <w:szCs w:val="28"/>
          <w:rtl/>
        </w:rPr>
        <w:t xml:space="preserve">وقد كتبنا حول هذه القاعدةرسالة مستقلة</w:t>
      </w:r>
      <w:r>
        <w:rPr>
          <w:rStyle w:val="FootnoteReference"/>
        </w:rPr>
        <w:footnoteReference w:id="10"/>
      </w:r>
    </w:p>
    <w:p>
      <w:pPr>
        <w:pStyle w:val="BookText"/>
      </w:pPr>
      <w:r>
        <w:rPr>
          <w:rFonts w:ascii="Amiri" w:hAnsi="Amiri" w:eastAsia="Amiri" w:cs="Amiri"/>
          <w:lang w:bidi="ar-SA"/>
          <w:color w:val="111111"/>
          <w:sz w:val="28"/>
          <w:szCs w:val="28"/>
          <w:rtl/>
        </w:rPr>
        <w:t xml:space="preserve">أدرجناها في شرح الرسائل للشيخ الأعظم الأنصاري(قدس سره).</w:t>
      </w:r>
    </w:p>
    <w:p>
      <w:pPr>
        <w:pStyle w:val="BookText"/>
      </w:pPr>
      <w:r>
        <w:rPr>
          <w:rFonts w:ascii="Amiri" w:hAnsi="Amiri" w:eastAsia="Amiri" w:cs="Amiri"/>
          <w:lang w:bidi="ar-SA"/>
          <w:color w:val="111111"/>
          <w:sz w:val="28"/>
          <w:szCs w:val="28"/>
          <w:rtl/>
        </w:rPr>
        <w:t xml:space="preserve">أما سند حديث الكساء: فقد رواه والدي(رحمة الله) في رسالة مخطوطة له بسند صحيح متصل الإسناد، وكل واحد منهم من الأعلام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سند خطبتها عليها الصلاة والسلام، فقد رُويت بما لا يدع للشك مجالاً، كما لا يخفى على من راجع ذلك في مظانِّه، وسيأتي إن شاء اللّه تعالى.</w:t>
      </w:r>
    </w:p>
    <w:p>
      <w:pPr>
        <w:pStyle w:val="BookText"/>
      </w:pPr>
      <w:r>
        <w:rPr>
          <w:rFonts w:ascii="Amiri" w:hAnsi="Amiri" w:eastAsia="Amiri" w:cs="Amiri"/>
          <w:lang w:bidi="ar-SA"/>
          <w:color w:val="111111"/>
          <w:sz w:val="28"/>
          <w:szCs w:val="28"/>
          <w:rtl/>
        </w:rPr>
        <w:t xml:space="preserve">بالإضافة على انطباق مضمونها مع الآيات والروايات ووجود القرائن الداخلية والخارجية.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7727_123027"/>
    <w:bookmarkEnd w:id="2"/>
    <w:p>
      <w:pPr>
        <w:pStyle w:val="Heading2"/>
      </w:pPr>
      <w:bookmarkStart w:id="28" w:name="_Toc4"/>
      <w:r>
        <w:t>لمحة عن عظمة الزهراء(علیها السلام)</w:t>
      </w:r>
      <w:bookmarkEnd w:id="28"/>
    </w:p>
    <w:p>
      <w:pPr>
        <w:pStyle w:val="BookText"/>
      </w:pPr>
      <w:r>
        <w:rPr>
          <w:rFonts w:ascii="Amiri" w:hAnsi="Amiri" w:eastAsia="Amiri" w:cs="Amiri"/>
          <w:lang w:bidi="ar-SA"/>
          <w:color w:val="111111"/>
          <w:sz w:val="28"/>
          <w:szCs w:val="28"/>
          <w:rtl/>
        </w:rPr>
        <w:t xml:space="preserve">ومن نافلة القول في المقام الإشارة إلى أننا لم نقم في هذا الكتاب إلاّ بالإلماع إلى هذا البُعد الفقهي مع شيء موجز من الشرح والتوضيح، وإلاّ فهي صلوات اللّه عليها أعلى وأجلّ من أن أتمكن أنا الفقير العاجز عن ذكر بعض ما يليق بمن دارت على معرفتها القرون الأولى</w:t>
      </w:r>
      <w:r>
        <w:rPr>
          <w:rStyle w:val="FootnoteReference"/>
        </w:rPr>
        <w:footnoteReference w:id="12"/>
      </w:r>
      <w:r>
        <w:rPr>
          <w:rFonts w:ascii="Amiri" w:hAnsi="Amiri" w:eastAsia="Amiri" w:cs="Amiri"/>
          <w:lang w:bidi="ar-SA"/>
          <w:color w:val="111111"/>
          <w:sz w:val="28"/>
          <w:szCs w:val="28"/>
          <w:rtl/>
        </w:rPr>
        <w:t xml:space="preserve">، ومن هي قطب دائرة الإمكان، كما دل على ذلك قوله تعالى في حديث الكساء: «فاطمة وأبوها وبعلها وبنوها».</w:t>
      </w:r>
    </w:p>
    <w:p>
      <w:pPr>
        <w:pStyle w:val="BookText"/>
      </w:pPr>
      <w:r>
        <w:rPr>
          <w:rFonts w:ascii="IRNazanin" w:hAnsi="IRNazanin" w:eastAsia="IRNazanin" w:cs="IRNazanin"/>
          <w:lang w:bidi="fa-IR"/>
          <w:color w:val="111111"/>
          <w:sz w:val="28"/>
          <w:szCs w:val="28"/>
          <w:rtl/>
        </w:rPr>
        <w:t xml:space="preserve">فإن مكانتها وعظمتها صلوات اللّه عليها لا يمكن أن يستوعبها أيّ واحد من المخلوقات إلاّالنبي(صلی الله علیه و آله) والوصي(علیه السلام)؛ فإن الضيق لا يمكن أن يحيط بالواسع، وأنى للذرة أن تحيط بالمجرة؟! وأنى للمغرفة أن تستوعب المحيط؟!</w:t>
      </w:r>
    </w:p>
    <w:p>
      <w:pPr>
        <w:pStyle w:val="BookText"/>
      </w:pPr>
      <w:r>
        <w:rPr>
          <w:rFonts w:ascii="IRNazanin" w:hAnsi="IRNazanin" w:eastAsia="IRNazanin" w:cs="IRNazanin"/>
          <w:lang w:bidi="fa-IR"/>
          <w:color w:val="111111"/>
          <w:sz w:val="28"/>
          <w:szCs w:val="28"/>
          <w:rtl/>
        </w:rPr>
        <w:t xml:space="preserve">كما قالوا بالنسبة إلى استحالة إدراكنا للّه سبحانه؛ لأن اللامتناهي يستحيل أن يحيط به المتناهي المحدود أو يدرك كنهه، ولا شك أنهم(علیهم السلام) ليسوا كاللّه سبحانه في اللاتناهي واللامحدودية إلاّ أنه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شك أنهم(علیهم السلام) أوسع من الناس الضيقين، بما قد يُلغي النسبة بين الطرفين ويجعلها أبعد من نسبة القطرة إلى المحيطات، وقد «سميت فاطمة؛ لأن الخلق فُطموا عن معرفتها» كما في الحديث الشريف</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عليها الصلاة والسلام أفضل من الأنبياء كافة</w:t>
      </w:r>
      <w:r>
        <w:rPr>
          <w:rStyle w:val="FootnoteReference"/>
        </w:rPr>
        <w:footnoteReference w:id="14"/>
      </w:r>
      <w:r>
        <w:rPr>
          <w:rFonts w:ascii="IRNazanin" w:hAnsi="IRNazanin" w:eastAsia="IRNazanin" w:cs="IRNazanin"/>
          <w:lang w:bidi="fa-IR"/>
          <w:color w:val="111111"/>
          <w:sz w:val="28"/>
          <w:szCs w:val="28"/>
          <w:rtl/>
        </w:rPr>
        <w:t xml:space="preserve">باستثناء الرسول(صلی الله علیه و آله) كما دلت على ذلك أدلة متعددة، وسيأتي ذلك.</w:t>
      </w:r>
    </w:p>
    <w:p>
      <w:pPr>
        <w:pStyle w:val="BookText"/>
      </w:pPr>
      <w:r>
        <w:rPr>
          <w:rFonts w:ascii="IRNazanin" w:hAnsi="IRNazanin" w:eastAsia="IRNazanin" w:cs="IRNazanin"/>
          <w:lang w:bidi="fa-IR"/>
          <w:color w:val="111111"/>
          <w:sz w:val="28"/>
          <w:szCs w:val="28"/>
          <w:rtl/>
        </w:rPr>
        <w:t xml:space="preserve">وهي عليها الصلاة والسلام حُجّة على كل أولادها الأئمة الطاهرين(علیهم السلام) وهم(علیهم السلام) أفضل من الأنبياء والملائكة(علیهم السلام) كافة، ولذا قال الإمام العسكري(علیه السلام): «وهي حجة علينا»</w:t>
      </w:r>
      <w:r>
        <w:rPr>
          <w:rStyle w:val="FootnoteReference"/>
        </w:rPr>
        <w:footnoteReference w:id="15"/>
      </w:r>
      <w:r>
        <w:rPr>
          <w:rFonts w:ascii="IRNazanin" w:hAnsi="IRNazanin" w:eastAsia="IRNazanin" w:cs="IRNazanin"/>
          <w:lang w:bidi="fa-IR"/>
          <w:color w:val="111111"/>
          <w:sz w:val="28"/>
          <w:szCs w:val="28"/>
          <w:rtl/>
        </w:rPr>
        <w:t xml:space="preserve">، وقال الإمام الحجة(عجل الله تعالی فرجه الشریف): «وفي ابنة رسول اللّه(صلی الله علیه و آله) لي أسوةٌ حسنة»</w:t>
      </w:r>
      <w:r>
        <w:rPr>
          <w:rStyle w:val="FootnoteReference"/>
        </w:rPr>
        <w:footnoteReference w:id="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الإمام الحسين(علیه السلام): «أُمي خيرٌ مني»</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ولها(علیها السلام) الولاية التكوينية بتفويض اللّه سبحانه لها، كتفويضه الولاية لهم(علیهم السلام).أما كونها(علیها السلام) كسائرهم(علیهم السلام) في حجية قولها وفعلها وتقريرها، فمما قام عليه الإجماع، بالإضافة إلى الأدلة الثلاثة الأُخر،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7727_123029"/>
    <w:bookmarkEnd w:id="3"/>
    <w:p>
      <w:pPr>
        <w:pStyle w:val="BookText"/>
      </w:pPr>
      <w:r>
        <w:rPr>
          <w:rFonts w:ascii="IRNazanin" w:hAnsi="IRNazanin" w:eastAsia="IRNazanin" w:cs="IRNazanin"/>
          <w:lang w:bidi="fa-IR"/>
          <w:color w:val="111111"/>
          <w:sz w:val="28"/>
          <w:szCs w:val="28"/>
          <w:rtl/>
        </w:rPr>
        <w:t xml:space="preserve">وسنذكر شيئاً من الأدلة على ما لهم(علیهم السلام) من الولاية التكوينية والتشريعية، كما نشير إلى بعض مصاديقها حسب ما ذكرناه في كتاب البيع من الفقه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2"/>
      </w:pPr>
      <w:bookmarkStart w:id="29" w:name="_Toc5"/>
      <w:r>
        <w:t>الولاية التكوينية والتشريعية و...</w:t>
      </w:r>
      <w:bookmarkEnd w:id="29"/>
    </w:p>
    <w:p>
      <w:pPr>
        <w:pStyle w:val="Heading3"/>
      </w:pPr>
      <w:bookmarkStart w:id="30" w:name="_Toc6"/>
      <w:r>
        <w:t>اشارة</w:t>
      </w:r>
      <w:bookmarkEnd w:id="30"/>
    </w:p>
    <w:p>
      <w:pPr>
        <w:pStyle w:val="BookText"/>
      </w:pPr>
      <w:r>
        <w:rPr>
          <w:rFonts w:ascii="IRNazanin" w:hAnsi="IRNazanin" w:eastAsia="IRNazanin" w:cs="IRNazanin"/>
          <w:lang w:bidi="fa-IR"/>
          <w:color w:val="111111"/>
          <w:sz w:val="28"/>
          <w:szCs w:val="28"/>
          <w:rtl/>
        </w:rPr>
        <w:t xml:space="preserve">إن الصديقة الطاهرة(علیها السلام) كسائر المعصومين(علیهم السلام) لها الولاية التكوينية والتشريعية، وهي صلوات اللّه عليها وكذلك سائر أهل البيت(علیهم السلام) قد جعلهم اللّه الوسائط في خلق العالم، والعلة الغائية له</w:t>
      </w:r>
      <w:r>
        <w:rPr>
          <w:rStyle w:val="FootnoteReference"/>
        </w:rPr>
        <w:footnoteReference w:id="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أنهاوأنهم(علیهم السلام) سبب لطف اللّه تعالى وإفاضته على العالم، واستمرار قيام العالم بها(علیها السلام) وبهم(علیهم السلام)، وقد صُرح بذلك في الأدلة الشرعية</w:t>
      </w:r>
      <w:r>
        <w:rPr>
          <w:rStyle w:val="FootnoteReference"/>
        </w:rPr>
        <w:footnoteReference w:id="20"/>
      </w:r>
      <w:r>
        <w:rPr>
          <w:rFonts w:ascii="IRNazanin" w:hAnsi="IRNazanin" w:eastAsia="IRNazanin" w:cs="IRNazanin"/>
          <w:lang w:bidi="fa-IR"/>
          <w:color w:val="111111"/>
          <w:sz w:val="28"/>
          <w:szCs w:val="28"/>
          <w:rtl/>
        </w:rPr>
        <w:t xml:space="preserve">، فلولاهم لساخت الأرض</w:t>
      </w:r>
      <w:r>
        <w:rPr>
          <w:rStyle w:val="FootnoteReference"/>
        </w:rPr>
        <w:footnoteReference w:id="21"/>
      </w:r>
      <w:r>
        <w:rPr>
          <w:rFonts w:ascii="IRNazanin" w:hAnsi="IRNazanin" w:eastAsia="IRNazanin" w:cs="IRNazanin"/>
          <w:lang w:bidi="fa-IR"/>
          <w:color w:val="111111"/>
          <w:sz w:val="28"/>
          <w:szCs w:val="28"/>
          <w:rtl/>
        </w:rPr>
        <w:t xml:space="preserve">، وكونهم(علیهم السلام) سبب القيام، كما أن الجاذبية والقوة الطاردة أو العناصر الأربعة سبب القيام المادي بحيث لولاها لساخت الأرض وانهدم العالم.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وكونهم(علیهم السلام) واسطة الفيض كما في حديث الكساء</w:t>
      </w:r>
      <w:r>
        <w:rPr>
          <w:rStyle w:val="FootnoteReference"/>
        </w:rPr>
        <w:footnoteReference w:id="22"/>
      </w:r>
      <w:r>
        <w:rPr>
          <w:rFonts w:ascii="Amiri" w:hAnsi="Amiri" w:eastAsia="Amiri" w:cs="Amiri"/>
          <w:lang w:bidi="ar-SA"/>
          <w:color w:val="111111"/>
          <w:sz w:val="28"/>
          <w:szCs w:val="28"/>
          <w:rtl/>
        </w:rPr>
        <w:t xml:space="preserve">وغيره، وأنه لولاهم لم يجر فيض اللّه سبحانه على هذا العالم القائم فرضاً.</w:t>
      </w:r>
    </w:p>
    <w:p>
      <w:pPr>
        <w:pStyle w:val="BookText"/>
      </w:pPr>
      <w:r>
        <w:rPr>
          <w:rFonts w:ascii="IRNazanin" w:hAnsi="IRNazanin" w:eastAsia="IRNazanin" w:cs="IRNazanin"/>
          <w:lang w:bidi="fa-IR"/>
          <w:color w:val="111111"/>
          <w:sz w:val="28"/>
          <w:szCs w:val="28"/>
          <w:rtl/>
        </w:rPr>
        <w:t xml:space="preserve">كما أنها صلوات اللّه عليها تعلم الغيب كسائر المعصومين(علیهم السلام) حسب مشيئته سبحانه.</w:t>
      </w:r>
    </w:p>
    <w:p>
      <w:pPr>
        <w:pStyle w:val="BookText"/>
      </w:pPr>
      <w:r>
        <w:rPr>
          <w:rFonts w:ascii="IRNazanin" w:hAnsi="IRNazanin" w:eastAsia="IRNazanin" w:cs="IRNazanin"/>
          <w:lang w:bidi="fa-IR"/>
          <w:color w:val="111111"/>
          <w:sz w:val="28"/>
          <w:szCs w:val="28"/>
          <w:rtl/>
        </w:rPr>
        <w:t xml:space="preserve">ولها ولهم(علیهم السلام) الولايات التكوينية، ومعناها: إن زمام العالم بأيديهم(علیهم السلام)، ومنهم فاطمة سلام اللّه عليها حسب جعل اللّه سبحانه، كما أن زمام الإماتة بيد عزرائيل، فلهم(علیهم السلام) التصرف فيه إيجاداً وإعداماً.</w:t>
      </w:r>
    </w:p>
    <w:p>
      <w:pPr>
        <w:pStyle w:val="BookText"/>
      </w:pPr>
      <w:r>
        <w:rPr>
          <w:rFonts w:ascii="IRNazanin" w:hAnsi="IRNazanin" w:eastAsia="IRNazanin" w:cs="IRNazanin"/>
          <w:lang w:bidi="fa-IR"/>
          <w:color w:val="111111"/>
          <w:sz w:val="28"/>
          <w:szCs w:val="28"/>
          <w:rtl/>
        </w:rPr>
        <w:t xml:space="preserve">لكن من الواضح أن قلوبهم(علیهم السلام) أوعية مشيئة اللّه تعالى</w:t>
      </w:r>
      <w:r>
        <w:rPr>
          <w:rStyle w:val="FootnoteReference"/>
        </w:rPr>
        <w:footnoteReference w:id="23"/>
      </w:r>
      <w:r>
        <w:rPr>
          <w:rFonts w:ascii="IRNazanin" w:hAnsi="IRNazanin" w:eastAsia="IRNazanin" w:cs="IRNazanin"/>
          <w:lang w:bidi="fa-IR"/>
          <w:color w:val="111111"/>
          <w:sz w:val="28"/>
          <w:szCs w:val="28"/>
          <w:rtl/>
        </w:rPr>
        <w:t xml:space="preserve">، فكما منح اللّه سبحانه القدرة للإنسان على الأفعال الاختيارية، منحهم(علیهم السلام) القدرة على التصرف في الكون.</w:t>
      </w:r>
    </w:p>
    <w:p>
      <w:pPr>
        <w:pStyle w:val="BookText"/>
      </w:pPr>
      <w:r>
        <w:rPr>
          <w:rFonts w:ascii="IRNazanin" w:hAnsi="IRNazanin" w:eastAsia="IRNazanin" w:cs="IRNazanin"/>
          <w:lang w:bidi="fa-IR"/>
          <w:color w:val="111111"/>
          <w:sz w:val="28"/>
          <w:szCs w:val="28"/>
          <w:rtl/>
        </w:rPr>
        <w:t xml:space="preserve">وما نذكره يشمل كل المعصومين(علیهم السلام)، فإن كل الصلاحيات التي كانت للأنبياء(علیهم السلام) ثابتةللمعصومين(علیهم السلام) أيضاً؛ لأنهم أفضل منهم(علیهم السلام) وفاطمة صلوات اللّه عليها أفضل من جميع الأنبياء(علیهم السلام) إلاّ الرسول(صلی الله علیه و آله)؛ لأنها سلام اللّه عليها بضعة منه</w:t>
      </w:r>
      <w:r>
        <w:rPr>
          <w:rStyle w:val="FootnoteReference"/>
        </w:rPr>
        <w:footnoteReference w:id="24"/>
      </w:r>
      <w:r>
        <w:rPr>
          <w:rFonts w:ascii="Amiri" w:hAnsi="Amiri" w:eastAsia="Amiri" w:cs="Amiri"/>
          <w:lang w:bidi="ar-SA"/>
          <w:color w:val="111111"/>
          <w:sz w:val="28"/>
          <w:szCs w:val="28"/>
          <w:rtl/>
        </w:rPr>
        <w:t xml:space="preserve">، لا البضعة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المادية فقط، بل المعنوية أيضاً؛ إذ لا يترتب على المادية تلك الآثار التي رتبها الرسول(صلی الله علیه و آله) عليها، وإذا كان(صلی الله علیه و آله) أفضل جميع الأنبياء(علیهم السلام) فبضعته(علیها السلام) كذلك، فتأمل.</w:t>
      </w:r>
    </w:p>
    <w:p>
      <w:pPr>
        <w:pStyle w:val="BookText"/>
      </w:pPr>
      <w:r>
        <w:rPr>
          <w:rFonts w:ascii="IRNazanin" w:hAnsi="IRNazanin" w:eastAsia="IRNazanin" w:cs="IRNazanin"/>
          <w:lang w:bidi="fa-IR"/>
          <w:color w:val="111111"/>
          <w:sz w:val="28"/>
          <w:szCs w:val="28"/>
          <w:rtl/>
        </w:rPr>
        <w:t xml:space="preserve">وهناك روايات عديدة يمكن القول بأنها متواترة ولو إجمالاً، ومحتفة بالقرائن المعتبرة تدل على أفضليتها صلوات اللّه عليها من جميع الأنبياء(علیهم السلام) إلاّ الرسول الأعظم(صلی الله علیه و آله) وهي على طوائف:فمنها: ما دل على كون طاعتها(علیها السلام) مفروضة على جميع الخلائق والأنبياء(علیهم السلام).</w:t>
      </w:r>
    </w:p>
    <w:p>
      <w:pPr>
        <w:pStyle w:val="BookText"/>
      </w:pPr>
      <w:r>
        <w:rPr>
          <w:rFonts w:ascii="IRNazanin" w:hAnsi="IRNazanin" w:eastAsia="IRNazanin" w:cs="IRNazanin"/>
          <w:lang w:bidi="fa-IR"/>
          <w:color w:val="111111"/>
          <w:sz w:val="28"/>
          <w:szCs w:val="28"/>
          <w:rtl/>
        </w:rPr>
        <w:t xml:space="preserve">فعن أبي جعفر الباقر(علیه السلام): «ولقد كانت(علیها السلام) مفروضة الطاعة على جميع من خلق اللّه من الجن والإنس والطير والوحش والأنبياء والملائكة...»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دل على اطلاع اللّه تعالى على الخلق واختيارهم.</w:t>
      </w:r>
    </w:p>
    <w:p>
      <w:pPr>
        <w:pStyle w:val="BookText"/>
      </w:pPr>
      <w:r>
        <w:rPr>
          <w:rFonts w:ascii="IRNazanin" w:hAnsi="IRNazanin" w:eastAsia="IRNazanin" w:cs="IRNazanin"/>
          <w:lang w:bidi="fa-IR"/>
          <w:color w:val="111111"/>
          <w:sz w:val="28"/>
          <w:szCs w:val="28"/>
          <w:rtl/>
        </w:rPr>
        <w:t xml:space="preserve">فقد قال الرسول الأعظم(صلی الله علیه و آله) لعلي(علیه السلام): «إن اللّه عزوجل أشرف على الدنيا فاختارني منها على رجال العالمين، ثم اطلع الثانية فاختارك على رجال العالمين، ثم اطلع الثالثة فاختار الأئمة من وُلدِك على رجال العالمين، ثم اطلع الرابعة فاختار فاطمة على نساء العالمين»</w:t>
      </w:r>
      <w:r>
        <w:rPr>
          <w:rStyle w:val="FootnoteReference"/>
        </w:rPr>
        <w:footnoteReference w:id="26"/>
      </w:r>
      <w:r>
        <w:rPr>
          <w:rFonts w:ascii="IRNazanin" w:hAnsi="IRNazanin" w:eastAsia="IRNazanin" w:cs="IRNazanin"/>
          <w:lang w:bidi="fa-IR"/>
          <w:color w:val="111111"/>
          <w:sz w:val="28"/>
          <w:szCs w:val="28"/>
          <w:rtl/>
        </w:rPr>
        <w:t xml:space="preserve">، مع ملاحظة وحدة السياق معه(صلی الله علیه و آله) مما يفيد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عمومية الأفضلية من كل الأنبياء(علیهم السلام)، وبضميمه ما دل على أنها(علیها السلام) أفضل من أبنائها(علیهم السلام).</w:t>
      </w:r>
    </w:p>
    <w:p>
      <w:pPr>
        <w:pStyle w:val="BookText"/>
      </w:pPr>
      <w:r>
        <w:rPr>
          <w:rFonts w:ascii="Amiri" w:hAnsi="Amiri" w:eastAsia="Amiri" w:cs="Amiri"/>
          <w:lang w:bidi="ar-SA"/>
          <w:color w:val="111111"/>
          <w:sz w:val="28"/>
          <w:szCs w:val="28"/>
          <w:rtl/>
        </w:rPr>
        <w:t xml:space="preserve">وفي كمال الدين: «... ثم اطلع إلى الأرض اطلاعة ثالثة فاختاركِ وولديكِ...»</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ونظيره قوله تعالى: «... يا محمد، إني خلقتك وخلقتُ علياً وفاطمة والحسن والحسين من سنخ نوري، وعرضت ولايتكم على أهل السماوات والأرضين، فمن قبلهما كان عندي من المؤمنين...»</w:t>
      </w:r>
      <w:r>
        <w:rPr>
          <w:rStyle w:val="FootnoteReference"/>
        </w:rPr>
        <w:footnoteReference w:id="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ووحدة السياق معه(صلی الله علیه و آله) والإطلاق يفيد المطلوب.</w:t>
      </w:r>
    </w:p>
    <w:p>
      <w:pPr>
        <w:pStyle w:val="BookText"/>
      </w:pPr>
      <w:r>
        <w:rPr>
          <w:rFonts w:ascii="IRNazanin" w:hAnsi="IRNazanin" w:eastAsia="IRNazanin" w:cs="IRNazanin"/>
          <w:lang w:bidi="fa-IR"/>
          <w:color w:val="111111"/>
          <w:sz w:val="28"/>
          <w:szCs w:val="28"/>
          <w:rtl/>
        </w:rPr>
        <w:t xml:space="preserve">ومنها: ما دل بالصراحة على الأفضلية، مثلاً قوله(صلی الله علیه و آله): «ما تكاملت النبوة لنبي حتى أقر بفضلها ومحبتها»</w:t>
      </w:r>
      <w:r>
        <w:rPr>
          <w:rStyle w:val="FootnoteReference"/>
        </w:rPr>
        <w:footnoteReference w:id="2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فتأمل.وكذلك الأحاديث الدالة على أنه لولا أن اللّه تعالى خلق أمير المؤمنين(علیه السلام) لم يكن لفاطمة(علیها السلام) كفو على وجه الأرض آدم فمن دونه، وهي عديدة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يدل بالالتزام على الأفضلية، مثل: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7727_123033"/>
    <w:bookmarkEnd w:id="4"/>
    <w:p>
      <w:pPr>
        <w:pStyle w:val="Heading3"/>
      </w:pPr>
      <w:bookmarkStart w:id="31" w:name="_Toc7"/>
      <w:r>
        <w:t>أ: الكتابة على ساق العرش والجنة.</w:t>
      </w:r>
      <w:bookmarkEnd w:id="31"/>
    </w:p>
    <w:p>
      <w:pPr>
        <w:pStyle w:val="BookText"/>
      </w:pPr>
      <w:r>
        <w:rPr>
          <w:rFonts w:ascii="IRNazanin" w:hAnsi="IRNazanin" w:eastAsia="IRNazanin" w:cs="IRNazanin"/>
          <w:lang w:bidi="fa-IR"/>
          <w:color w:val="111111"/>
          <w:sz w:val="28"/>
          <w:szCs w:val="28"/>
          <w:rtl/>
        </w:rPr>
        <w:t xml:space="preserve">فمثلاً قال رسول اللّه(صلی الله علیه و آله): «ليلة عُرج بي إلى السماء رأيت على باب الجنة مكتوباً: لا إله إلاّ اللّه، محمّد رسول اللّه، علي حبيب اللّه، والحسن والحسين صفوة اللّه، فاطمة خيرة اللّه، على باغضهم لعنة اللّه»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وقال(صلی الله علیه و آله): «أنا وعلي وفاطمة والحسن والحسين كنا في سرادق العرش نسبح اللّه، فسبحت الملائكة بتسبيحنا قبل أن يخلق اللّه عزوجل آدم بألفي عام، فلماخلق اللّه عزوجل آدم أمر الملائكة أن يسجدوا له ولم يؤمروا بالسجود إلاّ لأجلنا...»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وقال(صلی الله علیه و آله): «لما خلق اللّه إبراهيم كشف له عن بصره فنظر في جانب العرش نوراً فقال: إلهي وسيدي ما هذا النور؟</w:t>
      </w:r>
    </w:p>
    <w:p>
      <w:pPr>
        <w:pStyle w:val="BookText"/>
      </w:pPr>
      <w:r>
        <w:rPr>
          <w:rFonts w:ascii="Amiri" w:hAnsi="Amiri" w:eastAsia="Amiri" w:cs="Amiri"/>
          <w:lang w:bidi="ar-SA"/>
          <w:color w:val="111111"/>
          <w:sz w:val="28"/>
          <w:szCs w:val="28"/>
          <w:rtl/>
        </w:rPr>
        <w:t xml:space="preserve">قال: يا إبراهيم، هذا نور محمّد صفوتي.</w:t>
      </w:r>
    </w:p>
    <w:p>
      <w:pPr>
        <w:pStyle w:val="BookText"/>
      </w:pPr>
      <w:r>
        <w:rPr>
          <w:rFonts w:ascii="Amiri" w:hAnsi="Amiri" w:eastAsia="Amiri" w:cs="Amiri"/>
          <w:lang w:bidi="ar-SA"/>
          <w:color w:val="111111"/>
          <w:sz w:val="28"/>
          <w:szCs w:val="28"/>
          <w:rtl/>
        </w:rPr>
        <w:t xml:space="preserve">قال: إلهي وسيدي وأرى نوراً إلى جانبه؟</w:t>
      </w:r>
    </w:p>
    <w:p>
      <w:pPr>
        <w:pStyle w:val="BookText"/>
      </w:pPr>
      <w:r>
        <w:rPr>
          <w:rFonts w:ascii="Amiri" w:hAnsi="Amiri" w:eastAsia="Amiri" w:cs="Amiri"/>
          <w:lang w:bidi="ar-SA"/>
          <w:color w:val="111111"/>
          <w:sz w:val="28"/>
          <w:szCs w:val="28"/>
          <w:rtl/>
        </w:rPr>
        <w:t xml:space="preserve">قال: يا إبراهيم، هذا نور علي ناصر ديني.</w:t>
      </w:r>
    </w:p>
    <w:p>
      <w:pPr>
        <w:pStyle w:val="BookText"/>
      </w:pPr>
      <w:r>
        <w:rPr>
          <w:rFonts w:ascii="Amiri" w:hAnsi="Amiri" w:eastAsia="Amiri" w:cs="Amiri"/>
          <w:lang w:bidi="ar-SA"/>
          <w:color w:val="111111"/>
          <w:sz w:val="28"/>
          <w:szCs w:val="28"/>
          <w:rtl/>
        </w:rPr>
        <w:t xml:space="preserve">قال: إلهي وسيدي وأرى نوراً ثالثاً يلي النورين؟</w:t>
      </w:r>
    </w:p>
    <w:p>
      <w:pPr>
        <w:pStyle w:val="BookText"/>
      </w:pPr>
      <w:r>
        <w:rPr>
          <w:rFonts w:ascii="Amiri" w:hAnsi="Amiri" w:eastAsia="Amiri" w:cs="Amiri"/>
          <w:lang w:bidi="ar-SA"/>
          <w:color w:val="111111"/>
          <w:sz w:val="28"/>
          <w:szCs w:val="28"/>
          <w:rtl/>
        </w:rPr>
        <w:t xml:space="preserve">قال: يا إبراهيم، هذا نور فاطمة تلي أباها وبعلها...»</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7727_123034"/>
    <w:bookmarkEnd w:id="5"/>
    <w:p>
      <w:pPr>
        <w:pStyle w:val="Heading3"/>
      </w:pPr>
      <w:bookmarkStart w:id="32" w:name="_Toc8"/>
      <w:r>
        <w:t>ب: والخلقة قبل آدم(علیه السلام).</w:t>
      </w:r>
      <w:bookmarkEnd w:id="32"/>
    </w:p>
    <w:p>
      <w:pPr>
        <w:pStyle w:val="BookText"/>
      </w:pPr>
      <w:r>
        <w:rPr>
          <w:rFonts w:ascii="IRNazanin" w:hAnsi="IRNazanin" w:eastAsia="IRNazanin" w:cs="IRNazanin"/>
          <w:lang w:bidi="fa-IR"/>
          <w:color w:val="111111"/>
          <w:sz w:val="28"/>
          <w:szCs w:val="28"/>
          <w:rtl/>
        </w:rPr>
        <w:t xml:space="preserve">فعن الإمام الصادق(علیه السلام) قال رسول اللّه(صلی الله علیه و آله): «خلق نورفاطمة(علیها السلام) قبل أن تخلق الأرض والسماء... خلقها اللّه عزوجل من نوره قبل أن يخلق آدم...»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3"/>
      </w:pPr>
      <w:bookmarkStart w:id="33" w:name="_Toc9"/>
      <w:r>
        <w:t>ج: قصة سفينة نوح(علیه السلام).</w:t>
      </w:r>
      <w:bookmarkEnd w:id="33"/>
    </w:p>
    <w:p>
      <w:pPr>
        <w:pStyle w:val="BookText"/>
      </w:pPr>
      <w:r>
        <w:rPr>
          <w:rFonts w:ascii="IRNazanin" w:hAnsi="IRNazanin" w:eastAsia="IRNazanin" w:cs="IRNazanin"/>
          <w:lang w:bidi="fa-IR"/>
          <w:color w:val="111111"/>
          <w:sz w:val="28"/>
          <w:szCs w:val="28"/>
          <w:rtl/>
        </w:rPr>
        <w:t xml:space="preserve">حيث: «... سمّر(علیه السلام) المسامير كلها في السفينة إلى أن بقيت خمسة مسامير، فضرب بيده إلى مسمار منها فأشرق في يده وأضاء كما يضيء الكوكب الدري في أُفق السماء... »، وكان المسمار الأوّل باسم الرسول(صلی الله علیه و آله) والثاني باسم الإمام علي(علیه السلام) والبقية باسم السيدة الزهراء(علیها السلام) والحسنين(علیهما السلام)، ثم قال(صلی الله علیه و آله): «ولولانا ما سارت السفينة بأهلها»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34" w:name="_Toc10"/>
      <w:r>
        <w:t>د: تعليم أسمائهم(علیهم السلام)للأنبياء(علیهم السلام).</w:t>
      </w:r>
      <w:bookmarkEnd w:id="34"/>
    </w:p>
    <w:p>
      <w:pPr>
        <w:pStyle w:val="BookText"/>
      </w:pPr>
      <w:r>
        <w:rPr>
          <w:rFonts w:ascii="IRNazanin" w:hAnsi="IRNazanin" w:eastAsia="IRNazanin" w:cs="IRNazanin"/>
          <w:lang w:bidi="fa-IR"/>
          <w:color w:val="111111"/>
          <w:sz w:val="28"/>
          <w:szCs w:val="28"/>
          <w:rtl/>
        </w:rPr>
        <w:t xml:space="preserve">فمثلاً: ورد عن الإمام الحجة(عجل الله تعالی فرجه الشریف): إن زكريا(علیه السلام) سأل ربه أن يعلمه الأسماء الخمسة، الحديث</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ما ورد عن الإمام الباقر(علیه السلام) في قوله تعالى: «وَلَقَدۡ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7727_123035"/>
    <w:bookmarkEnd w:id="6"/>
    <w:p>
      <w:pPr>
        <w:pStyle w:val="BookText"/>
      </w:pPr>
      <w:r>
        <w:rPr>
          <w:rFonts w:ascii="Amiri" w:hAnsi="Amiri" w:eastAsia="Amiri" w:cs="Amiri"/>
          <w:lang w:bidi="ar-SA"/>
          <w:color w:val="111111"/>
          <w:sz w:val="28"/>
          <w:szCs w:val="28"/>
          <w:rtl/>
        </w:rPr>
        <w:t xml:space="preserve">عَهِدۡنَآ إِلَىٰٓ ءَادَمَ مِن قَبۡلُ»</w:t>
      </w:r>
      <w:r>
        <w:rPr>
          <w:rStyle w:val="FootnoteReference"/>
        </w:rPr>
        <w:footnoteReference w:id="37"/>
      </w:r>
      <w:r>
        <w:rPr>
          <w:rFonts w:ascii="Amiri" w:hAnsi="Amiri" w:eastAsia="Amiri" w:cs="Amiri"/>
          <w:lang w:bidi="ar-SA"/>
          <w:color w:val="111111"/>
          <w:sz w:val="28"/>
          <w:szCs w:val="28"/>
          <w:rtl/>
        </w:rPr>
        <w:t xml:space="preserve">: «كلمات في محمّد وعلي وفاطمة والحسن والحسين والأئمة من ذريتهم»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35" w:name="_Toc11"/>
      <w:r>
        <w:t>ه: ما ورد في يوم القيامة ومقامها(علیها السلام).</w:t>
      </w:r>
      <w:bookmarkEnd w:id="35"/>
    </w:p>
    <w:p>
      <w:pPr>
        <w:pStyle w:val="BookText"/>
      </w:pPr>
      <w:r>
        <w:rPr>
          <w:rFonts w:ascii="IRNazanin" w:hAnsi="IRNazanin" w:eastAsia="IRNazanin" w:cs="IRNazanin"/>
          <w:lang w:bidi="fa-IR"/>
          <w:color w:val="111111"/>
          <w:sz w:val="28"/>
          <w:szCs w:val="28"/>
          <w:rtl/>
        </w:rPr>
        <w:t xml:space="preserve">مثل قوله(صلی الله علیه و آله): «... والذي بعثني بالحق إن جهنم لتزفر زفرة لا يبقى ملك مقرب ولا نبي مرسل إلاّ صعق، فينادي إليها: أن يا جهنم يقول لكِ الجبار: اسكني بعزي واستقريحتى تجوز فاطمة بنت محمد(صلی الله علیه و آله) إلى الجنان...»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3"/>
      </w:pPr>
      <w:bookmarkStart w:id="36" w:name="_Toc12"/>
      <w:r>
        <w:t>و: وما أشبه ذلك.</w:t>
      </w:r>
      <w:bookmarkEnd w:id="36"/>
    </w:p>
    <w:p>
      <w:pPr>
        <w:pStyle w:val="BookText"/>
      </w:pPr>
      <w:r>
        <w:rPr>
          <w:rFonts w:ascii="IRNazanin" w:hAnsi="IRNazanin" w:eastAsia="IRNazanin" w:cs="IRNazanin"/>
          <w:lang w:bidi="fa-IR"/>
          <w:color w:val="111111"/>
          <w:sz w:val="28"/>
          <w:szCs w:val="28"/>
          <w:rtl/>
        </w:rPr>
        <w:t xml:space="preserve">مثل ما دل على أفضليتها(علیها السلام) من الأئمة(علیهم السلام) كقول الإمام الحسين(علیه السلام): «أُمي خير مني»</w:t>
      </w:r>
      <w:r>
        <w:rPr>
          <w:rStyle w:val="FootnoteReference"/>
        </w:rPr>
        <w:footnoteReference w:id="4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وغير ذلك.</w:t>
      </w:r>
    </w:p>
    <w:p>
      <w:pPr>
        <w:pStyle w:val="BookText"/>
      </w:pPr>
      <w:r>
        <w:rPr>
          <w:rFonts w:ascii="IRNazanin" w:hAnsi="IRNazanin" w:eastAsia="IRNazanin" w:cs="IRNazanin"/>
          <w:lang w:bidi="fa-IR"/>
          <w:color w:val="111111"/>
          <w:sz w:val="28"/>
          <w:szCs w:val="28"/>
          <w:rtl/>
        </w:rPr>
        <w:t xml:space="preserve">وسائر الأئمة(علیهم السلام) أيضاً كذلك، فهم(علیهم السلام) في الأفضلية سواء من هذه الجهة</w:t>
      </w:r>
      <w:r>
        <w:rPr>
          <w:rStyle w:val="FootnoteReference"/>
        </w:rPr>
        <w:footnoteReference w:id="41"/>
      </w:r>
      <w:r>
        <w:rPr>
          <w:rFonts w:ascii="IRNazanin" w:hAnsi="IRNazanin" w:eastAsia="IRNazanin" w:cs="IRNazanin"/>
          <w:lang w:bidi="fa-IR"/>
          <w:color w:val="111111"/>
          <w:sz w:val="28"/>
          <w:szCs w:val="28"/>
          <w:rtl/>
        </w:rPr>
        <w:t xml:space="preserve">، ويؤيّده روايات مثل صلاة عيسى(علیه السلام) خلف الإمام المهدي(عجل الله تعالی فرجه الشریف)</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7727_123036"/>
    <w:bookmarkEnd w:id="7"/>
    <w:p>
      <w:pPr>
        <w:pStyle w:val="Heading2"/>
      </w:pPr>
      <w:bookmarkStart w:id="37" w:name="_Toc13"/>
      <w:r>
        <w:t>الولايات التكوينية للأنبياء والصالحين(علیهم السلام)</w:t>
      </w:r>
      <w:bookmarkEnd w:id="37"/>
    </w:p>
    <w:p>
      <w:pPr>
        <w:pStyle w:val="BookText"/>
      </w:pPr>
      <w:r>
        <w:rPr>
          <w:rFonts w:ascii="IRNazanin" w:hAnsi="IRNazanin" w:eastAsia="IRNazanin" w:cs="IRNazanin"/>
          <w:lang w:bidi="fa-IR"/>
          <w:color w:val="111111"/>
          <w:sz w:val="28"/>
          <w:szCs w:val="28"/>
          <w:rtl/>
        </w:rPr>
        <w:t xml:space="preserve">وقد دل القرآن العظيم علىثبوت الولاية التكوينية لعدة من الأنبياء(علیهم السلام) وغيرهم، فتثبت لها صلوات اللّه عليها ولسائر أهل البيت(علیهم السلام) بطريق أولى: كقصة آصف وعرش بلقيس</w:t>
      </w:r>
      <w:r>
        <w:rPr>
          <w:rStyle w:val="FootnoteReference"/>
        </w:rPr>
        <w:footnoteReference w:id="43"/>
      </w:r>
      <w:r>
        <w:rPr>
          <w:rFonts w:ascii="IRNazanin" w:hAnsi="IRNazanin" w:eastAsia="IRNazanin" w:cs="IRNazanin"/>
          <w:lang w:bidi="fa-IR"/>
          <w:color w:val="111111"/>
          <w:sz w:val="28"/>
          <w:szCs w:val="28"/>
          <w:rtl/>
        </w:rPr>
        <w:t xml:space="preserve">، وسليمان(علیه السلام) والريح والشياطين وغيرهم</w:t>
      </w:r>
      <w:r>
        <w:rPr>
          <w:rStyle w:val="FootnoteReference"/>
        </w:rPr>
        <w:footnoteReference w:id="44"/>
      </w:r>
      <w:r>
        <w:rPr>
          <w:rFonts w:ascii="IRNazanin" w:hAnsi="IRNazanin" w:eastAsia="IRNazanin" w:cs="IRNazanin"/>
          <w:lang w:bidi="fa-IR"/>
          <w:color w:val="111111"/>
          <w:sz w:val="28"/>
          <w:szCs w:val="28"/>
          <w:rtl/>
        </w:rPr>
        <w:t xml:space="preserve">، وقصة الجبال والطير مع داوود(علیه السلام)</w:t>
      </w:r>
      <w:r>
        <w:rPr>
          <w:rStyle w:val="FootnoteReference"/>
        </w:rPr>
        <w:footnoteReference w:id="45"/>
      </w:r>
      <w:r>
        <w:rPr>
          <w:rFonts w:ascii="IRNazanin" w:hAnsi="IRNazanin" w:eastAsia="IRNazanin" w:cs="IRNazanin"/>
          <w:lang w:bidi="fa-IR"/>
          <w:color w:val="111111"/>
          <w:sz w:val="28"/>
          <w:szCs w:val="28"/>
          <w:rtl/>
        </w:rPr>
        <w:t xml:space="preserve">، وقصة عيسى(علیه السلام) وتكلمه في المهد</w:t>
      </w:r>
      <w:r>
        <w:rPr>
          <w:rStyle w:val="FootnoteReference"/>
        </w:rPr>
        <w:footnoteReference w:id="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وإبرائه الأكمه والأبرص، وإحيائه الموتى، وخلقه الطير</w:t>
      </w:r>
      <w:r>
        <w:rPr>
          <w:rStyle w:val="FootnoteReference"/>
        </w:rPr>
        <w:footnoteReference w:id="4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إلى غيرها مما ورد في القرآن الكريم.</w:t>
      </w:r>
    </w:p>
    <w:p>
      <w:pPr>
        <w:pStyle w:val="BookText"/>
      </w:pPr>
      <w:r>
        <w:rPr>
          <w:rFonts w:ascii="Amiri" w:hAnsi="Amiri" w:eastAsia="Amiri" w:cs="Amiri"/>
          <w:lang w:bidi="ar-SA"/>
          <w:color w:val="111111"/>
          <w:sz w:val="28"/>
          <w:szCs w:val="28"/>
          <w:rtl/>
        </w:rPr>
        <w:t xml:space="preserve">وقد وردت طائفة كبيرة منها في السنة المطهرة.</w:t>
      </w:r>
    </w:p>
    <w:p>
      <w:pPr>
        <w:pStyle w:val="BookText"/>
      </w:pPr>
      <w:r>
        <w:rPr>
          <w:rFonts w:ascii="Amiri" w:hAnsi="Amiri" w:eastAsia="Amiri" w:cs="Amiri"/>
          <w:lang w:bidi="ar-SA"/>
          <w:color w:val="111111"/>
          <w:sz w:val="28"/>
          <w:szCs w:val="28"/>
          <w:rtl/>
        </w:rPr>
        <w:t xml:space="preserve">بل من أطاع اللّه تعالى إطاعة كاملةً يكون قادراً على العديد من ذلك كرامةً، كسلمان(رحمة الله)الذي تكلم مع الميت</w:t>
      </w:r>
      <w:r>
        <w:rPr>
          <w:rStyle w:val="FootnoteReference"/>
        </w:rPr>
        <w:footnoteReference w:id="4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وزينب(علیها السلام) بنت الإمام أمير المؤمنين(علیه السلام) التي أومأت إلى الناس - في سوق الكوفة - فهدأت الأصوات وسكنت الأجراس</w:t>
      </w:r>
      <w:r>
        <w:rPr>
          <w:rStyle w:val="FootnoteReference"/>
        </w:rPr>
        <w:footnoteReference w:id="49"/>
      </w:r>
      <w:r>
        <w:rPr>
          <w:rFonts w:ascii="Amiri" w:hAnsi="Amiri" w:eastAsia="Amiri" w:cs="Amiri"/>
          <w:lang w:bidi="ar-SA"/>
          <w:color w:val="111111"/>
          <w:sz w:val="28"/>
          <w:szCs w:val="28"/>
          <w:rtl/>
        </w:rPr>
        <w:t xml:space="preserve">، وغيرهما.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الأنبياء والأئمة عليهم الصلاة والسلام يأتون بها معجزة أو خرقاً للعادة، ويطلق على أحدهم الخارق باعتبار خرقه سنن الكون الأوّلية بأمر خالقه سبحانه.</w:t>
      </w:r>
    </w:p>
    <w:p>
      <w:pPr>
        <w:pStyle w:val="BookText"/>
      </w:pPr>
      <w:r>
        <w:rPr>
          <w:rFonts w:ascii="Amiri" w:hAnsi="Amiri" w:eastAsia="Amiri" w:cs="Amiri"/>
          <w:lang w:bidi="ar-SA"/>
          <w:color w:val="111111"/>
          <w:sz w:val="28"/>
          <w:szCs w:val="28"/>
          <w:rtl/>
        </w:rPr>
        <w:t xml:space="preserve">وفي الحديث: «أطعني تكن مثلي»</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وزن حبر أو فرس - والأوّل معناه اسم المصدر والثاني المصدر من قبيل شِبه وشَبه وحُسن وحَسن.</w:t>
      </w:r>
    </w:p>
    <w:p>
      <w:pPr>
        <w:pStyle w:val="BookText"/>
      </w:pPr>
      <w:r>
        <w:rPr>
          <w:rFonts w:ascii="Amiri" w:hAnsi="Amiri" w:eastAsia="Amiri" w:cs="Amiri"/>
          <w:lang w:bidi="ar-SA"/>
          <w:color w:val="111111"/>
          <w:sz w:val="28"/>
          <w:szCs w:val="28"/>
          <w:rtl/>
        </w:rPr>
        <w:t xml:space="preserve">والمثل يطلق على - وينسب إلى - التابع وعلى المتبوع أو المشابه، مثل: «مَثَلُ نُورِهِۦ كَمِشۡكَوٰةٖ»</w:t>
      </w:r>
      <w:r>
        <w:rPr>
          <w:rStyle w:val="FootnoteReference"/>
        </w:rPr>
        <w:footnoteReference w:id="51"/>
      </w:r>
      <w:r>
        <w:rPr>
          <w:rFonts w:ascii="Amiri" w:hAnsi="Amiri" w:eastAsia="Amiri" w:cs="Amiri"/>
          <w:lang w:bidi="ar-SA"/>
          <w:color w:val="111111"/>
          <w:sz w:val="28"/>
          <w:szCs w:val="28"/>
          <w:rtl/>
        </w:rPr>
        <w:t xml:space="preserve">وقد يستعمل في المتبوع مثل«وَجَعَلۡنَٰهُ مَثَلا لِّبَنِيٓ إِسۡرَٰٓءِيلَ»</w:t>
      </w:r>
      <w:r>
        <w:rPr>
          <w:rStyle w:val="FootnoteReference"/>
        </w:rPr>
        <w:footnoteReference w:id="52"/>
      </w:r>
      <w:r>
        <w:rPr>
          <w:rFonts w:ascii="IRNazanin" w:hAnsi="IRNazanin" w:eastAsia="IRNazanin" w:cs="IRNazanin"/>
          <w:lang w:bidi="fa-IR"/>
          <w:color w:val="111111"/>
          <w:sz w:val="28"/>
          <w:szCs w:val="28"/>
          <w:rtl/>
        </w:rPr>
        <w:t xml:space="preserve">، فإن معناه الشبه تابعاً أو متبوعاً.</w:t>
      </w:r>
    </w:p>
    <w:p>
      <w:pPr>
        <w:pStyle w:val="BookText"/>
      </w:pPr>
      <w:r>
        <w:rPr>
          <w:rFonts w:ascii="Amiri" w:hAnsi="Amiri" w:eastAsia="Amiri" w:cs="Amiri"/>
          <w:lang w:bidi="ar-SA"/>
          <w:color w:val="111111"/>
          <w:sz w:val="28"/>
          <w:szCs w:val="28"/>
          <w:rtl/>
        </w:rPr>
        <w:t xml:space="preserve">ومن الواضح: إن قدرتهم(علیهم السلام) التكوينية ليست ذاتية من عند أنفسهم، بل هي منحة اللّه تعالى وعطاؤه لهم(علیهم السلام)، ولذا قال سبحانه: «قُل لَّآ أَمۡلِكُ لِنَفۡسِي نَفۡعا وَلَا ضَرًّا»</w:t>
      </w:r>
      <w:r>
        <w:rPr>
          <w:rStyle w:val="FootnoteReference"/>
        </w:rPr>
        <w:footnoteReference w:id="53"/>
      </w:r>
      <w:r>
        <w:rPr>
          <w:rFonts w:ascii="Amiri" w:hAnsi="Amiri" w:eastAsia="Amiri" w:cs="Amiri"/>
          <w:lang w:bidi="ar-SA"/>
          <w:color w:val="111111"/>
          <w:sz w:val="28"/>
          <w:szCs w:val="28"/>
          <w:rtl/>
        </w:rPr>
        <w:t xml:space="preserve">، فقدرتهم(علیهم السلام) في طول قدرة اللّه سبحانه وحاصلة بإرادته تعالى، ولذا لا ينافي علمهم(علیهم السلام) بالغيب حسب «إِلَّا مَنِ ٱرۡتَضَىٰ مِن رَّسُولٖ»</w:t>
      </w:r>
      <w:r>
        <w:rPr>
          <w:rStyle w:val="FootnoteReference"/>
        </w:rPr>
        <w:footnoteReference w:id="54"/>
      </w:r>
      <w:r>
        <w:rPr>
          <w:rFonts w:ascii="Amiri" w:hAnsi="Amiri" w:eastAsia="Amiri" w:cs="Amiri"/>
          <w:lang w:bidi="ar-SA"/>
          <w:color w:val="111111"/>
          <w:sz w:val="28"/>
          <w:szCs w:val="28"/>
          <w:rtl/>
        </w:rPr>
        <w:t xml:space="preserve">عدم علمهم(علیهم السلام) الذاتي حسب قوله سبحانه: «وَلَوۡ كُنتُ أَعۡلَمُ ٱلۡغَيۡبَ لَٱسۡتَكۡثَرۡتُ مِنَ ٱلۡخَيۡرِ وَمَا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مَسَّنِيَ ٱلسُّوٓءُۚ»</w:t>
      </w:r>
      <w:r>
        <w:rPr>
          <w:rStyle w:val="FootnoteReference"/>
        </w:rPr>
        <w:footnoteReference w:id="55"/>
      </w:r>
      <w:r>
        <w:rPr>
          <w:rFonts w:ascii="Amiri" w:hAnsi="Amiri" w:eastAsia="Amiri" w:cs="Amiri"/>
          <w:lang w:bidi="ar-SA"/>
          <w:color w:val="111111"/>
          <w:sz w:val="28"/>
          <w:szCs w:val="28"/>
          <w:rtl/>
        </w:rPr>
        <w:t xml:space="preserve">، فهما كالشفاعة، لا يملكها أحد بذاته«قُل لِّلَّهِ ٱلشَّفَٰعَةُ جَمِيعاۖ»</w:t>
      </w:r>
      <w:r>
        <w:rPr>
          <w:rStyle w:val="FootnoteReference"/>
        </w:rPr>
        <w:footnoteReference w:id="56"/>
      </w:r>
      <w:r>
        <w:rPr>
          <w:rFonts w:ascii="Amiri" w:hAnsi="Amiri" w:eastAsia="Amiri" w:cs="Amiri"/>
          <w:lang w:bidi="ar-SA"/>
          <w:color w:val="111111"/>
          <w:sz w:val="28"/>
          <w:szCs w:val="28"/>
          <w:rtl/>
        </w:rPr>
        <w:t xml:space="preserve">، وإن ملكها غير واحد فهو بأمره سبحانه «وَلَا يَشۡفَعُونَ إِلَّا لِمَنِ ٱرۡتَضَىٰ»</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«تكن مثلي» لا ينافي «فَلَا تَضۡرِبُواْ لِلَّهِ ٱلۡأَمۡثَالَۚ»</w:t>
      </w:r>
      <w:r>
        <w:rPr>
          <w:rStyle w:val="FootnoteReference"/>
        </w:rPr>
        <w:footnoteReference w:id="58"/>
      </w:r>
      <w:r>
        <w:rPr>
          <w:rFonts w:ascii="Amiri" w:hAnsi="Amiri" w:eastAsia="Amiri" w:cs="Amiri"/>
          <w:lang w:bidi="ar-SA"/>
          <w:color w:val="111111"/>
          <w:sz w:val="28"/>
          <w:szCs w:val="28"/>
          <w:rtl/>
        </w:rPr>
        <w:t xml:space="preserve">، و«لَيۡسَ كَمِثۡلِهِۦ شَيۡءٞۖ»</w:t>
      </w:r>
      <w:r>
        <w:rPr>
          <w:rStyle w:val="FootnoteReference"/>
        </w:rPr>
        <w:footnoteReference w:id="59"/>
      </w:r>
      <w:r>
        <w:rPr>
          <w:rFonts w:ascii="Amiri" w:hAnsi="Amiri" w:eastAsia="Amiri" w:cs="Amiri"/>
          <w:lang w:bidi="ar-SA"/>
          <w:color w:val="111111"/>
          <w:sz w:val="28"/>
          <w:szCs w:val="28"/>
          <w:rtl/>
        </w:rPr>
        <w:t xml:space="preserve">ف- «مثلي» طولي لا عرضي، وفي بعض الأمور بقرينة الوضوح، والذيل: «أقول للشيء كن فيكون وتقول للشيء...»</w:t>
      </w:r>
      <w:r>
        <w:rPr>
          <w:rStyle w:val="FootnoteReference"/>
        </w:rPr>
        <w:footnoteReference w:id="6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فإن الخبر يعمّم ويخصّص الموضوع، كالعكس.</w:t>
      </w:r>
    </w:p>
    <w:p>
      <w:pPr>
        <w:pStyle w:val="BookText"/>
      </w:pPr>
      <w:r>
        <w:rPr>
          <w:rFonts w:ascii="IRNazanin" w:hAnsi="IRNazanin" w:eastAsia="IRNazanin" w:cs="IRNazanin"/>
          <w:lang w:bidi="fa-IR"/>
          <w:color w:val="111111"/>
          <w:sz w:val="28"/>
          <w:szCs w:val="28"/>
          <w:rtl/>
        </w:rPr>
        <w:t xml:space="preserve">أما ما سبق من كونهم(علیهم السلام) بما فيهم فاطمة صلوات اللّه عليها علة غائية للتكوين، فلأدلة ومؤيّدات عديدة، منها: ما ورد من: «ما خلقت سماءً مبنيةً... إلاّ لأجل هؤلاء الخمسة»</w:t>
      </w:r>
      <w:r>
        <w:rPr>
          <w:rStyle w:val="FootnoteReference"/>
        </w:rPr>
        <w:footnoteReference w:id="6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«لولاك لما خلقت الأفلاك،ولولا علي لما خلقتك، ولولا فاطمة لما خلقتكما»</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7727_123039"/>
    <w:bookmarkEnd w:id="8"/>
    <w:p>
      <w:pPr>
        <w:pStyle w:val="BookText"/>
      </w:pPr>
      <w:r>
        <w:rPr>
          <w:rFonts w:ascii="IRNazanin" w:hAnsi="IRNazanin" w:eastAsia="IRNazanin" w:cs="IRNazanin"/>
          <w:lang w:bidi="fa-IR"/>
          <w:color w:val="111111"/>
          <w:sz w:val="28"/>
          <w:szCs w:val="28"/>
          <w:rtl/>
        </w:rPr>
        <w:t xml:space="preserve">ولعل الوجه في ذلك أن عدم خلق الكمال من جميع الحيثيات، مع خلق ما عداه دليل على عدم قدرة الخالق أو بخُله، تعالى عن ذلك علواً كبيراً، فلولاهم(علیهم السلام) كان الخلق على خلاف الحكمة.</w:t>
      </w:r>
    </w:p>
    <w:p>
      <w:pPr>
        <w:pStyle w:val="Heading2"/>
      </w:pPr>
      <w:bookmarkStart w:id="38" w:name="_Toc14"/>
      <w:r>
        <w:t>العلة للحدوث والبقاء</w:t>
      </w:r>
      <w:bookmarkEnd w:id="38"/>
    </w:p>
    <w:p>
      <w:pPr>
        <w:pStyle w:val="BookText"/>
      </w:pPr>
      <w:r>
        <w:rPr>
          <w:rFonts w:ascii="IRNazanin" w:hAnsi="IRNazanin" w:eastAsia="IRNazanin" w:cs="IRNazanin"/>
          <w:lang w:bidi="fa-IR"/>
          <w:color w:val="111111"/>
          <w:sz w:val="28"/>
          <w:szCs w:val="28"/>
          <w:rtl/>
        </w:rPr>
        <w:t xml:space="preserve">وقد ذهب بعض العلماء، إلى كونهم(علیهم السلام) العلة حدوثاً، بمعنى أن الكون منهم ككون الوفاة من عزرائيل، وعن الإمام المهدي(عجل الله تعالی فرجه الشریف): «نحن صنائع ربنا والخلق بعدُ صنائعنا»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ذهب بعض علماء الكلام إلى ذلك مستندين إلى أدلة وشواهد ومؤيّدات كثيرة نشير إلى بعضها، قالوا: ومما يشهد على كونهم(علیهم السلام) وسائط اللّه سبحانه وتعالى في خلق العالم بعد وضوح إمكان ذلك، بل وضوح رجحانه بالنظر لحكمة اللّه تعالى كما فصّل في محله، ما ورد في الحديث القدسي: «... وهي فاطمة، وبنورها ظهر الوجود من الفاتحة إلى الخاتمة» - الخصائص الفاطمية للمحقق الشهير الملا محمّد باقر(رحمة الله): ص1 - ، والظاهر أن المراد ظهورها من كتم العدم إلى نور الوجود والباء للسببية، فليتأمل.</w:t>
      </w:r>
    </w:p>
    <w:p>
      <w:pPr>
        <w:pStyle w:val="BookText"/>
      </w:pPr>
      <w:r>
        <w:rPr>
          <w:rFonts w:ascii="IRNazanin" w:hAnsi="IRNazanin" w:eastAsia="IRNazanin" w:cs="IRNazanin"/>
          <w:lang w:bidi="fa-IR"/>
          <w:color w:val="111111"/>
          <w:sz w:val="28"/>
          <w:szCs w:val="28"/>
          <w:rtl/>
        </w:rPr>
        <w:t xml:space="preserve">كما قالت السيدة فاطمة(علیها السلام): «... ونحن وسيلته في خلقه، ونحن خاصته ومحل قدسه، ونحن حجته في غيبه...»، شرح نهج البلاغة 16: 211.</w:t>
      </w:r>
    </w:p>
    <w:p>
      <w:pPr>
        <w:pStyle w:val="BookText"/>
      </w:pPr>
      <w:r>
        <w:rPr>
          <w:rFonts w:ascii="IRNazanin" w:hAnsi="IRNazanin" w:eastAsia="IRNazanin" w:cs="IRNazanin"/>
          <w:lang w:bidi="fa-IR"/>
          <w:color w:val="111111"/>
          <w:sz w:val="28"/>
          <w:szCs w:val="28"/>
          <w:rtl/>
        </w:rPr>
        <w:t xml:space="preserve">وإطلاق «وسيلته» يقتضي الأعم من الحدوث والبقاء، وهذا بناء على كون المراد ب-«الوسيلة» ما يتوصل به إلى الشيء - كما هو الأصل في معناها، راجع لسان العرب مادة: وسل، وباقي المعاني مشتقة منه - ، فهم(علیهم السلام) الوسيلة في الإيجاد وهم(علیهم السلام) الوسيلة في الإفاضة بعد الإيجاد.</w:t>
      </w:r>
    </w:p>
    <w:p>
      <w:pPr>
        <w:pStyle w:val="BookText"/>
      </w:pPr>
      <w:r>
        <w:rPr>
          <w:rFonts w:ascii="IRNazanin" w:hAnsi="IRNazanin" w:eastAsia="IRNazanin" w:cs="IRNazanin"/>
          <w:lang w:bidi="fa-IR"/>
          <w:color w:val="111111"/>
          <w:sz w:val="28"/>
          <w:szCs w:val="28"/>
          <w:rtl/>
        </w:rPr>
        <w:t xml:space="preserve">ويقول العلامة المجلسي (قدس سره): ورد في أخبار كثيرة: «لا تقولوا فينا رباً وقولوا ما شئتم ولن تبلغوا» بحار الأنوار 25: 347 فذلكة - مع وضوح أن: رب، عَلَم للّه سبحانه وتعالى أي للواجب الوجود فلا يقال فيهم(علیهم السلام) أنهم إله واجب الوجود، بل هم ممكنو الوجود، وبعد ذلك «قولوا فينا ما شئتم»، ومن مصاديقه كونهم(علیهم السلام) الوسائط في الخلق خاصة مع ملاحظة «ولن تبلغوا» والأمر واضح بملاحظة العقد السلبي والعقد الإيجابي للكلام، وبملاحظة أن المتكلم معصوم حكيم ملتفت لدقائق الكلام ومنها هذا الإطلاق الواسع والمؤكد.</w:t>
      </w:r>
    </w:p>
    <w:p>
      <w:pPr>
        <w:pStyle w:val="BookText"/>
      </w:pPr>
      <w:r>
        <w:rPr>
          <w:rFonts w:ascii="IRNazanin" w:hAnsi="IRNazanin" w:eastAsia="IRNazanin" w:cs="IRNazanin"/>
          <w:lang w:bidi="fa-IR"/>
          <w:color w:val="111111"/>
          <w:sz w:val="28"/>
          <w:szCs w:val="28"/>
          <w:rtl/>
        </w:rPr>
        <w:t xml:space="preserve">وورد كما أشار المصنف (قدس سره): «نحن صنايع ربنا والناس بعدُ صنايعنا» كتاب الغيبة، للشيخ الطوسي: 285؛ وفي بحار الأنوار 53: 178، ووحدة النسق والسياق يشير إلى أن الناس مصنوعون لهم(علیهم السلام) كما أنهم(علیهم السلام) مصنوعون للّه تعالى، فاللّه سبحانه علة العلة.</w:t>
      </w:r>
    </w:p>
    <w:p>
      <w:pPr>
        <w:pStyle w:val="BookText"/>
      </w:pPr>
      <w:r>
        <w:rPr>
          <w:rFonts w:ascii="IRNazanin" w:hAnsi="IRNazanin" w:eastAsia="IRNazanin" w:cs="IRNazanin"/>
          <w:lang w:bidi="fa-IR"/>
          <w:color w:val="111111"/>
          <w:sz w:val="28"/>
          <w:szCs w:val="28"/>
          <w:rtl/>
        </w:rPr>
        <w:t xml:space="preserve">وفي نهج البلاغة، الرسائل: 28: ومن كتاب له(علیه السلام) إلى معاوية جواباً: «إنا صنائع ربنا والناس بعدُ صنائع لنا» واللام في «لنا» للتقوية، خاصة مع ورود «صنائعنا» الذي يشهد لذلك.</w:t>
      </w:r>
    </w:p>
    <w:p>
      <w:pPr>
        <w:pStyle w:val="BookText"/>
      </w:pPr>
      <w:r>
        <w:rPr>
          <w:rFonts w:ascii="IRNazanin" w:hAnsi="IRNazanin" w:eastAsia="IRNazanin" w:cs="IRNazanin"/>
          <w:lang w:bidi="fa-IR"/>
          <w:color w:val="111111"/>
          <w:sz w:val="28"/>
          <w:szCs w:val="28"/>
          <w:rtl/>
        </w:rPr>
        <w:t xml:space="preserve">وفي البحار، عن الخصال: قال أمير المؤمنين(علیه السلام): «إياكم والغلو فينا، قولوا إنا عبيد مربوبون، وقولوا في فضلنا ما شئتم»، بحار الأنوار 25: 270؛ الخصال 2: 214. وكونهم(علیهم السلام) بإذن اللّه العلة الفاعلية من مصاديق الفضل، كما لا يخفى.</w:t>
      </w:r>
    </w:p>
    <w:p>
      <w:pPr>
        <w:pStyle w:val="BookText"/>
      </w:pPr>
      <w:r>
        <w:rPr>
          <w:rFonts w:ascii="IRNazanin" w:hAnsi="IRNazanin" w:eastAsia="IRNazanin" w:cs="IRNazanin"/>
          <w:lang w:bidi="fa-IR"/>
          <w:color w:val="111111"/>
          <w:sz w:val="28"/>
          <w:szCs w:val="28"/>
          <w:rtl/>
        </w:rPr>
        <w:t xml:space="preserve">وقوله(علیه السلام): «ولو خلت الأرض ساعة واحدة من حجة لساخت بأهلها» الغيبة، للنعماني: 141، وهذا ونظائره يدل على كون استمرار الإفاضة منوطاً بهم(علیهم السلام).</w:t>
      </w:r>
    </w:p>
    <w:p>
      <w:pPr>
        <w:pStyle w:val="BookText"/>
      </w:pPr>
      <w:r>
        <w:rPr>
          <w:rFonts w:ascii="IRNazanin" w:hAnsi="IRNazanin" w:eastAsia="IRNazanin" w:cs="IRNazanin"/>
          <w:lang w:bidi="fa-IR"/>
          <w:color w:val="111111"/>
          <w:sz w:val="28"/>
          <w:szCs w:val="28"/>
          <w:rtl/>
        </w:rPr>
        <w:t xml:space="preserve">وأما الروايات التي يتوهم منها نفي ذلك، فهي إما محمولة على التقية، أو أن المراد بها نفي كونهم(علیهم السلام) بالاستقلال وفي عرض اللّه سبحانه علة الخلائق، لا نفي كونهم(علیهم السلام) في طوله تعالى وبالإستناد إليه وبقدرته وإذنه العلة للخلقة، فلاحظ هذه الرواية مثلاً: روي عن زرارة أنه قال: قلت للصادق(علیه السلام): إن رجلاً يقول بالتفويض فقال: «وما التفويض؟». قلت: إن اللّه تبارك وتعالى خلق محمداً وعلياً صلوات اللّه عليهما ففوض إليهما فخلقا ورزقا وأماتا وأحييا؟. فقال: «كذب عدو اللّه، إذا انصرفت إليه فاتل عليه هذه الآية التي في سورة الرعد: «أَمۡ جَعَلُواْ لِلَّهِ شُرَكَآءَ خَلَقُواْ كَخَلۡقِهِۦ فَتَشَٰبَهَ ٱلۡخَلۡقُ عَلَيۡهِمۡۚ»» سورة الرعد، الآية: 16، بحار الأنوار 25: 343-344؛ عن اعتقادات الإمامية: 100.</w:t>
      </w:r>
    </w:p>
    <w:p>
      <w:pPr>
        <w:pStyle w:val="BookText"/>
      </w:pPr>
      <w:r>
        <w:rPr>
          <w:rFonts w:ascii="IRNazanin" w:hAnsi="IRNazanin" w:eastAsia="IRNazanin" w:cs="IRNazanin"/>
          <w:lang w:bidi="fa-IR"/>
          <w:color w:val="111111"/>
          <w:sz w:val="28"/>
          <w:szCs w:val="28"/>
          <w:rtl/>
        </w:rPr>
        <w:t xml:space="preserve">فلاحظ أن الإمام(علیه السلام) نفى التفويض بمعنى اعتبارهم: شركاء للّه خلقوا كخلقه، أي في عرض اللّه لا باستناد إليه، وهكذا سائر الأحاديث كما يظهر بالتتبع والتأمل، خاصة مع لحاظ أن إطلاق السؤال يشمل المقام، وهو كونهم(علیهم السلام) الخالقين في طول اللّه سبحانه، وهو محل الابتلاء أيضاً، بل لعل السؤال كان عن خصوص كونهم(علیهم السلام) العلة في طول اللّه بقرينة: «خلق... ففوض...»، ومع ذلك لم ينف الإمام(علیه السلام) هذا الشق، بل نقل الحديث لنفي الشق الآخر وهو كونهم(علیهم السلام) شركاء اللّه تعالى وفي عرضه.</w:t>
      </w:r>
    </w:p>
    <w:p>
      <w:pPr>
        <w:pStyle w:val="BookText"/>
      </w:pPr>
      <w:r>
        <w:rPr>
          <w:rFonts w:ascii="IRNazanin" w:hAnsi="IRNazanin" w:eastAsia="IRNazanin" w:cs="IRNazanin"/>
          <w:lang w:bidi="fa-IR"/>
          <w:color w:val="111111"/>
          <w:sz w:val="28"/>
          <w:szCs w:val="28"/>
          <w:rtl/>
        </w:rPr>
        <w:t xml:space="preserve">كما أن التفويض بمعنى أن أمور الكون إليهم(علیهم السلام) بقاءً دون مدخلية للّه تعالى أصلاً أيضاً باطل، ولهذا البحث مقام آخر تطرقنا له هنا إشارة فقط.</w:t>
      </w:r>
    </w:p>
    <w:p>
      <w:pPr>
        <w:pStyle w:val="BookText"/>
      </w:pPr>
      <w:r>
        <w:rPr>
          <w:rFonts w:ascii="IRNazanin" w:hAnsi="IRNazanin" w:eastAsia="IRNazanin" w:cs="IRNazanin"/>
          <w:lang w:bidi="fa-IR"/>
          <w:color w:val="111111"/>
          <w:sz w:val="28"/>
          <w:szCs w:val="28"/>
          <w:rtl/>
        </w:rPr>
        <w:t xml:space="preserve">ونموذج آخر يوضحه قوله(علیه السلام): «اللّهم أني بريء من الغلاة كبراءة عيسى بن مريم من النصارى»، عن الأمالي، للشيخ الطوسي: 650، فهذا التشبيه دليل على المتبرى منه؛ إذ النصارى يرون فيه رباً وشريكاً، لا مخلوقأً مستند القدرة إلى اللّه سبحانه، وهذا التقييد ب-«كبراءة» في العديد من الأحاديث شاهد كبير على المطلب.</w:t>
      </w:r>
    </w:p>
    <w:p>
      <w:pPr>
        <w:pStyle w:val="BookText"/>
      </w:pPr>
      <w:r>
        <w:rPr>
          <w:rFonts w:ascii="Amiri" w:hAnsi="Amiri" w:eastAsia="Amiri" w:cs="Amiri"/>
          <w:lang w:bidi="ar-SA"/>
          <w:color w:val="111111"/>
          <w:sz w:val="28"/>
          <w:szCs w:val="28"/>
          <w:rtl/>
        </w:rPr>
        <w:t xml:space="preserve">ولذا جاء في الرواية: «وإنا لنبرأ إلى اللّه عزوجل ممن يغلو فينا فيرفعنا فوق حدنا كبراءة عيسى بن مريم من النصارى، قال اللّه عزوجل: «وَإِذۡ قَالَ ٱللَّهُ يَٰعِيسَى ٱبۡنَ مَرۡيَمَ ءَأَنتَ قُلۡتَ لِلنَّاسِ ٱتَّخِذُونِي وَأُمِّيَ إِلَٰهَيۡنِ مِن دُونِ ٱللَّهِۖ»»، سورة المائدة، الآية: 116، بحار الأنوار 25: 272؛ عن عيون أخبار الرضا(علیه السلام) 2: 200.</w:t>
      </w:r>
    </w:p>
    <w:p>
      <w:pPr>
        <w:pStyle w:val="BookText"/>
      </w:pPr>
      <w:r>
        <w:rPr>
          <w:rFonts w:ascii="IRNazanin" w:hAnsi="IRNazanin" w:eastAsia="IRNazanin" w:cs="IRNazanin"/>
          <w:lang w:bidi="fa-IR"/>
          <w:color w:val="111111"/>
          <w:sz w:val="28"/>
          <w:szCs w:val="28"/>
          <w:rtl/>
        </w:rPr>
        <w:t xml:space="preserve">وكذلك قول صاحب الزمان(عجل الله تعالی فرجه الشریف): «... ليس نحن شركاءه في علمه ولا في قدرته، بل لا يعلم الغيب غيره...»، بحار الأنوار 25: 266، مع وضوح علمهم(علیهم السلام) بالغيب بإذنه تعالى وكذلك قدرتهم.</w:t>
      </w:r>
    </w:p>
    <w:p>
      <w:pPr>
        <w:pStyle w:val="BookText"/>
      </w:pPr>
      <w:r>
        <w:rPr>
          <w:rFonts w:ascii="IRNazanin" w:hAnsi="IRNazanin" w:eastAsia="IRNazanin" w:cs="IRNazanin"/>
          <w:lang w:bidi="fa-IR"/>
          <w:color w:val="111111"/>
          <w:sz w:val="28"/>
          <w:szCs w:val="28"/>
          <w:rtl/>
        </w:rPr>
        <w:t xml:space="preserve">ويوضحه أكثر قوله(عجل الله تعالی فرجه الشریف): «إني بريء إلى اللّه وإلى رسوله ممن يقول إنا نعلم الغيب أو نشارك اللّه في ملكه...»، بحار الأنوار 25: 267؛ عن الاحتجاج 2: 473.</w:t>
      </w:r>
    </w:p>
    <w:p>
      <w:pPr>
        <w:pStyle w:val="BookText"/>
      </w:pPr>
      <w:r>
        <w:rPr>
          <w:rFonts w:ascii="Amiri" w:hAnsi="Amiri" w:eastAsia="Amiri" w:cs="Amiri"/>
          <w:lang w:bidi="ar-SA"/>
          <w:color w:val="111111"/>
          <w:sz w:val="28"/>
          <w:szCs w:val="28"/>
          <w:rtl/>
        </w:rPr>
        <w:t xml:space="preserve">فالمنفي هو مشاركة اللّه في ملكه وهو الند ومن هو في العرض، لا من يقوم بعمل استناداً إليه تعالى وبإفاضته وفي طوله.</w:t>
      </w:r>
    </w:p>
    <w:p>
      <w:pPr>
        <w:pStyle w:val="BookText"/>
      </w:pPr>
      <w:r>
        <w:rPr>
          <w:rFonts w:ascii="IRNazanin" w:hAnsi="IRNazanin" w:eastAsia="IRNazanin" w:cs="IRNazanin"/>
          <w:lang w:bidi="fa-IR"/>
          <w:color w:val="111111"/>
          <w:sz w:val="28"/>
          <w:szCs w:val="28"/>
          <w:rtl/>
        </w:rPr>
        <w:t xml:space="preserve">وما يوضح المطلب أكثر فأكثر مراجعة الرواية المطولة المذكورة في بحار الأنوار 25: 273-278، حيث إن الأئمة(علیهم السلام) كانوا يواجهون من يدعي أن علياً(علیه السلام) هو اللّه تعالى - والعياذ باللّه - ويردون عليه بكل شدة وصراحة.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كونهم(علیهم السلام) علته</w:t>
      </w:r>
      <w:r>
        <w:rPr>
          <w:rStyle w:val="FootnoteReference"/>
        </w:rPr>
        <w:footnoteReference w:id="64"/>
      </w:r>
      <w:r>
        <w:rPr>
          <w:rFonts w:ascii="Amiri" w:hAnsi="Amiri" w:eastAsia="Amiri" w:cs="Amiri"/>
          <w:lang w:bidi="ar-SA"/>
          <w:color w:val="111111"/>
          <w:sz w:val="28"/>
          <w:szCs w:val="28"/>
          <w:rtl/>
        </w:rPr>
        <w:t xml:space="preserve">بقاءً؛ فلأن البقاء بحاجة إلى استمرار العلة، كالمصباح حيث إن دوامه بحاجة إلى الاتصال المستمر بالقوة الكهربائية، وهم بإرادة اللّه وفي طوله تعالى علةٌ كما أن الكهرباء بإرادته تعالى وفي طوله علة للإنارة.</w:t>
      </w:r>
    </w:p>
    <w:p>
      <w:pPr>
        <w:pStyle w:val="BookText"/>
      </w:pPr>
      <w:r>
        <w:rPr>
          <w:rFonts w:ascii="IRNazanin" w:hAnsi="IRNazanin" w:eastAsia="IRNazanin" w:cs="IRNazanin"/>
          <w:lang w:bidi="fa-IR"/>
          <w:color w:val="111111"/>
          <w:sz w:val="28"/>
          <w:szCs w:val="28"/>
          <w:rtl/>
        </w:rPr>
        <w:t xml:space="preserve">وقد قيل للصادق(علیه السلام): اللّه بمقدوره أن يخلق الكون الباقي أبداً في أقل من الساعة</w:t>
      </w:r>
      <w:r>
        <w:rPr>
          <w:rStyle w:val="FootnoteReference"/>
        </w:rPr>
        <w:footnoteReference w:id="65"/>
      </w:r>
    </w:p>
    <w:p>
      <w:pPr>
        <w:pStyle w:val="BookText"/>
      </w:pPr>
      <w:r>
        <w:rPr>
          <w:rFonts w:ascii="Amiri" w:hAnsi="Amiri" w:eastAsia="Amiri" w:cs="Amiri"/>
          <w:lang w:bidi="ar-SA"/>
          <w:color w:val="111111"/>
          <w:sz w:val="28"/>
          <w:szCs w:val="28"/>
          <w:rtl/>
        </w:rPr>
        <w:t xml:space="preserve">فلا عمل له سبحانه بعد ذلك، كما قالت اليهود «يَدُ ٱللَّهِ مَغۡلُولَةٌۚ»</w:t>
      </w:r>
      <w:r>
        <w:rPr>
          <w:rStyle w:val="FootnoteReference"/>
        </w:rPr>
        <w:footnoteReference w:id="66"/>
      </w:r>
      <w:r>
        <w:rPr>
          <w:rFonts w:ascii="Amiri" w:hAnsi="Amiri" w:eastAsia="Amiri" w:cs="Amiri"/>
          <w:lang w:bidi="ar-SA"/>
          <w:color w:val="111111"/>
          <w:sz w:val="28"/>
          <w:szCs w:val="28"/>
          <w:rtl/>
        </w:rPr>
        <w:t xml:space="preserve">فأجاب - ما معناه -: بأن الكون قائم به سبحانه على سبيل الاستمرار.</w:t>
      </w:r>
    </w:p>
    <w:p>
      <w:pPr>
        <w:pStyle w:val="BookText"/>
      </w:pPr>
      <w:r>
        <w:rPr>
          <w:rFonts w:ascii="Amiri" w:hAnsi="Amiri" w:eastAsia="Amiri" w:cs="Amiri"/>
          <w:lang w:bidi="ar-SA"/>
          <w:color w:val="111111"/>
          <w:sz w:val="28"/>
          <w:szCs w:val="28"/>
          <w:rtl/>
        </w:rPr>
        <w:t xml:space="preserve">فالكون بالنسبة إليه كالصور الذهنية بالنسبة إلينا بحيث إن مجرد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7727_123043"/>
    <w:bookmarkEnd w:id="9"/>
    <w:p>
      <w:pPr>
        <w:pStyle w:val="BookText"/>
      </w:pPr>
      <w:r>
        <w:rPr>
          <w:rFonts w:ascii="Amiri" w:hAnsi="Amiri" w:eastAsia="Amiri" w:cs="Amiri"/>
          <w:lang w:bidi="ar-SA"/>
          <w:color w:val="111111"/>
          <w:sz w:val="28"/>
          <w:szCs w:val="28"/>
          <w:rtl/>
        </w:rPr>
        <w:t xml:space="preserve">عدم الالتفات يوجب انعدامها، ولذا ورد: «لو لاالحجة لساخت»</w:t>
      </w:r>
      <w:r>
        <w:rPr>
          <w:rStyle w:val="FootnoteReference"/>
        </w:rPr>
        <w:footnoteReference w:id="6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الانعدام لا الانهدام، فليس من قبيل انهدام الكون إذا فقدت الجاذبية.</w:t>
      </w:r>
    </w:p>
    <w:p>
      <w:pPr>
        <w:pStyle w:val="BookText"/>
      </w:pPr>
      <w:r>
        <w:rPr>
          <w:rFonts w:ascii="Amiri" w:hAnsi="Amiri" w:eastAsia="Amiri" w:cs="Amiri"/>
          <w:lang w:bidi="ar-SA"/>
          <w:color w:val="111111"/>
          <w:sz w:val="28"/>
          <w:szCs w:val="28"/>
          <w:rtl/>
        </w:rPr>
        <w:t xml:space="preserve">وفي دعاء رجب: «فبكم يجبر المهيض، ويشفى المريض، وما تزداد الأرحام وما تغيض»</w:t>
      </w:r>
      <w:r>
        <w:rPr>
          <w:rStyle w:val="FootnoteReference"/>
        </w:rPr>
        <w:footnoteReference w:id="6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مما دل على هذه المراتب الثلاثة في الولاية التكوينية.</w:t>
      </w:r>
    </w:p>
    <w:p>
      <w:pPr>
        <w:pStyle w:val="Heading2"/>
      </w:pPr>
      <w:bookmarkStart w:id="39" w:name="_Toc15"/>
      <w:r>
        <w:t>الولاية التشريعية</w:t>
      </w:r>
      <w:bookmarkEnd w:id="39"/>
    </w:p>
    <w:p>
      <w:pPr>
        <w:pStyle w:val="BookText"/>
      </w:pPr>
      <w:r>
        <w:rPr>
          <w:rFonts w:ascii="IRNazanin" w:hAnsi="IRNazanin" w:eastAsia="IRNazanin" w:cs="IRNazanin"/>
          <w:lang w:bidi="fa-IR"/>
          <w:color w:val="111111"/>
          <w:sz w:val="28"/>
          <w:szCs w:val="28"/>
          <w:rtl/>
        </w:rPr>
        <w:t xml:space="preserve">وكذلك لفاطمة صلوات اللّه عليها الولاية التشريعية؛ إذ هم(علیهم السلام) علة التشريع، فإن علة الملازم علةٌ للملازم الآخر، وعلة الملزوم علةٌ للازمه أيضاً، مثل كون علة وجود الكتب المتعددة علة وجود الزوجية أو الفردية التي هي وصف لتلك الكتب؛ إذ التشريع من لوازم التكوين - بالمعنى الأعم - .</w:t>
      </w:r>
    </w:p>
    <w:p>
      <w:pPr>
        <w:pStyle w:val="BookText"/>
      </w:pPr>
      <w:r>
        <w:rPr>
          <w:rFonts w:ascii="IRNazanin" w:hAnsi="IRNazanin" w:eastAsia="IRNazanin" w:cs="IRNazanin"/>
          <w:lang w:bidi="fa-IR"/>
          <w:color w:val="111111"/>
          <w:sz w:val="28"/>
          <w:szCs w:val="28"/>
          <w:rtl/>
        </w:rPr>
        <w:t xml:space="preserve">إضافةً إلى ما ورد من:«إنهم(علیهم السلام) نور واحد»</w:t>
      </w:r>
      <w:r>
        <w:rPr>
          <w:rStyle w:val="FootnoteReference"/>
        </w:rPr>
        <w:footnoteReference w:id="69"/>
      </w:r>
      <w:r>
        <w:rPr>
          <w:rFonts w:ascii="IRNazanin" w:hAnsi="IRNazanin" w:eastAsia="IRNazanin" w:cs="IRNazanin"/>
          <w:lang w:bidi="fa-IR"/>
          <w:color w:val="111111"/>
          <w:sz w:val="28"/>
          <w:szCs w:val="28"/>
          <w:rtl/>
        </w:rPr>
        <w:t xml:space="preserve">، وما ورد من: «إن فاطمة(علیها السلام) حجة علينا»</w:t>
      </w:r>
      <w:r>
        <w:rPr>
          <w:rStyle w:val="FootnoteReference"/>
        </w:rPr>
        <w:footnoteReference w:id="70"/>
      </w:r>
      <w:r>
        <w:rPr>
          <w:rFonts w:ascii="Amiri" w:hAnsi="Amiri" w:eastAsia="Amiri" w:cs="Amiri"/>
          <w:lang w:bidi="ar-SA"/>
          <w:color w:val="111111"/>
          <w:sz w:val="28"/>
          <w:szCs w:val="28"/>
          <w:rtl/>
        </w:rPr>
        <w:t xml:space="preserve">، وغير ذلك.</w:t>
      </w:r>
    </w:p>
    <w:p>
      <w:pPr>
        <w:pStyle w:val="BookText"/>
      </w:pPr>
      <w:r>
        <w:rPr>
          <w:rFonts w:ascii="IRNazanin" w:hAnsi="IRNazanin" w:eastAsia="IRNazanin" w:cs="IRNazanin"/>
          <w:lang w:bidi="fa-IR"/>
          <w:color w:val="111111"/>
          <w:sz w:val="28"/>
          <w:szCs w:val="28"/>
          <w:rtl/>
        </w:rPr>
        <w:t xml:space="preserve">كما أنهم(علیهم السلام) علة فعلية التشريع وبقاء التشريع، حيث إن الدين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7727_123044"/>
    <w:bookmarkEnd w:id="10"/>
    <w:p>
      <w:pPr>
        <w:pStyle w:val="BookText"/>
      </w:pPr>
      <w:r>
        <w:rPr>
          <w:rFonts w:ascii="IRNazanin" w:hAnsi="IRNazanin" w:eastAsia="IRNazanin" w:cs="IRNazanin"/>
          <w:lang w:bidi="fa-IR"/>
          <w:color w:val="111111"/>
          <w:sz w:val="28"/>
          <w:szCs w:val="28"/>
          <w:rtl/>
        </w:rPr>
        <w:t xml:space="preserve">باق بصورة أو أخرى، فلا يقال لدين موسى(علیه السلام) مثلاً: لم يبق بقول مطلق؛ إذ جوهر الدين بقي بصورة أخرى في زمن عيسى(علیه السلام)، وزمن الرسول(صلی الله علیه و آله) «قُولُوٓاْ ءَامَنَّا بِٱللَّهِ»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2"/>
      </w:pPr>
      <w:bookmarkStart w:id="40" w:name="_Toc16"/>
      <w:r>
        <w:t>الأمر بين الأمرين في التشريع</w:t>
      </w:r>
      <w:bookmarkEnd w:id="40"/>
    </w:p>
    <w:p>
      <w:pPr>
        <w:pStyle w:val="BookText"/>
      </w:pPr>
      <w:r>
        <w:rPr>
          <w:rFonts w:ascii="IRNazanin" w:hAnsi="IRNazanin" w:eastAsia="IRNazanin" w:cs="IRNazanin"/>
          <w:lang w:bidi="fa-IR"/>
          <w:color w:val="111111"/>
          <w:sz w:val="28"/>
          <w:szCs w:val="28"/>
          <w:rtl/>
        </w:rPr>
        <w:t xml:space="preserve">لا يقال: كيف يجمع بين تشريعهم(علیهم السلام) المستفاد من «ففوض إليه دينه»</w:t>
      </w:r>
      <w:r>
        <w:rPr>
          <w:rStyle w:val="FootnoteReference"/>
        </w:rPr>
        <w:footnoteReference w:id="7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ومِن «المفوض إليه دين اللّه»</w:t>
      </w:r>
      <w:r>
        <w:rPr>
          <w:rStyle w:val="FootnoteReference"/>
        </w:rPr>
        <w:footnoteReference w:id="73"/>
      </w:r>
      <w:r>
        <w:rPr>
          <w:rFonts w:ascii="Amiri" w:hAnsi="Amiri" w:eastAsia="Amiri" w:cs="Amiri"/>
          <w:lang w:bidi="ar-SA"/>
          <w:color w:val="111111"/>
          <w:sz w:val="28"/>
          <w:szCs w:val="28"/>
          <w:rtl/>
        </w:rPr>
        <w:t xml:space="preserve">، ومِن سنة النبي(صلی الله علیه و آله) في قبالفرض اللّه، وبين «مَا يَنطِقُ عَنِ ٱلۡهَوَىٰٓ»</w:t>
      </w:r>
      <w:r>
        <w:rPr>
          <w:rStyle w:val="FootnoteReference"/>
        </w:rPr>
        <w:footnoteReference w:id="74"/>
      </w:r>
      <w:r>
        <w:rPr>
          <w:rFonts w:ascii="Amiri" w:hAnsi="Amiri" w:eastAsia="Amiri" w:cs="Amiri"/>
          <w:lang w:bidi="ar-SA"/>
          <w:color w:val="111111"/>
          <w:sz w:val="28"/>
          <w:szCs w:val="28"/>
          <w:rtl/>
        </w:rPr>
        <w:t xml:space="preserve">المراد به الأعم من القول والفعل والتقرير، ولذا ورد «هَٰذَا كِتَٰبُنَا يَنطِقُ عَلَيۡكُم»</w:t>
      </w:r>
      <w:r>
        <w:rPr>
          <w:rStyle w:val="FootnoteReference"/>
        </w:rPr>
        <w:footnoteReference w:id="75"/>
      </w:r>
      <w:r>
        <w:rPr>
          <w:rFonts w:ascii="Amiri" w:hAnsi="Amiri" w:eastAsia="Amiri" w:cs="Amiri"/>
          <w:lang w:bidi="ar-SA"/>
          <w:color w:val="111111"/>
          <w:sz w:val="28"/>
          <w:szCs w:val="28"/>
          <w:rtl/>
        </w:rPr>
        <w:t xml:space="preserve">فإن كل مظهر نطق، مثل: «يُسَبِّحُ لِلَّهِ»</w:t>
      </w:r>
      <w:r>
        <w:rPr>
          <w:rStyle w:val="FootnoteReference"/>
        </w:rPr>
        <w:footnoteReference w:id="76"/>
      </w:r>
      <w:r>
        <w:rPr>
          <w:rFonts w:ascii="Amiri" w:hAnsi="Amiri" w:eastAsia="Amiri" w:cs="Amiri"/>
          <w:lang w:bidi="ar-SA"/>
          <w:color w:val="111111"/>
          <w:sz w:val="28"/>
          <w:szCs w:val="28"/>
          <w:rtl/>
        </w:rPr>
        <w:t xml:space="preserve">المراد به التكوين أو اللسان أو بُعد آخر لا تدركه عقولنا؟</w:t>
      </w:r>
    </w:p>
    <w:p>
      <w:pPr>
        <w:pStyle w:val="BookText"/>
      </w:pPr>
      <w:r>
        <w:rPr>
          <w:rFonts w:ascii="Amiri" w:hAnsi="Amiri" w:eastAsia="Amiri" w:cs="Amiri"/>
          <w:lang w:bidi="ar-SA"/>
          <w:color w:val="111111"/>
          <w:sz w:val="28"/>
          <w:szCs w:val="28"/>
          <w:rtl/>
        </w:rPr>
        <w:t xml:space="preserve">لأنه يقال: إن قلوبهم(علیهم السلام) أوعية مشيئة اللّه سبحانه، كما أن اللّه ينبت لكن محل إنباته الأرض أو الرحم كما قال: «وَأَنۢبَتَهَا نَبَاتًا حَسَنا»</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اللّه سبحانه نسب الأمور التكوينية تارة إلى نفسه، وأخرى إليهم(علیهم السلام)، وثالثة إليهما: فمرة قال تعالى: «وَقَضَيۡنَآ إِلَىٰ بَنِيٓ إِسۡرَٰٓءِيلَ»</w:t>
      </w:r>
      <w:r>
        <w:rPr>
          <w:rStyle w:val="FootnoteReference"/>
        </w:rPr>
        <w:footnoteReference w:id="78"/>
      </w:r>
      <w:r>
        <w:rPr>
          <w:rFonts w:ascii="Amiri" w:hAnsi="Amiri" w:eastAsia="Amiri" w:cs="Amiri"/>
          <w:lang w:bidi="ar-SA"/>
          <w:color w:val="111111"/>
          <w:sz w:val="28"/>
          <w:szCs w:val="28"/>
          <w:rtl/>
        </w:rPr>
        <w:t xml:space="preserve">، وتارة قالسبحانه: «ثُمَّ لَا يَجِدُواْ فِيٓ أَنفُسِهِمۡ حَرَجا مِّمَّا قَضَيۡتَ»</w:t>
      </w:r>
      <w:r>
        <w:rPr>
          <w:rStyle w:val="FootnoteReference"/>
        </w:rPr>
        <w:footnoteReference w:id="79"/>
      </w:r>
      <w:r>
        <w:rPr>
          <w:rFonts w:ascii="Amiri" w:hAnsi="Amiri" w:eastAsia="Amiri" w:cs="Amiri"/>
          <w:lang w:bidi="ar-SA"/>
          <w:color w:val="111111"/>
          <w:sz w:val="28"/>
          <w:szCs w:val="28"/>
          <w:rtl/>
        </w:rPr>
        <w:t xml:space="preserve">، وقال تعالى ثالثة: «رَضُواْ مَآ ءَاتَىٰهُمُ ٱللَّهُ وَرَسُولُهُۥ»</w:t>
      </w:r>
      <w:r>
        <w:rPr>
          <w:rStyle w:val="FootnoteReference"/>
        </w:rPr>
        <w:footnoteReference w:id="80"/>
      </w:r>
      <w:r>
        <w:rPr>
          <w:rFonts w:ascii="Amiri" w:hAnsi="Amiri" w:eastAsia="Amiri" w:cs="Amiri"/>
          <w:lang w:bidi="ar-SA"/>
          <w:color w:val="111111"/>
          <w:sz w:val="28"/>
          <w:szCs w:val="28"/>
          <w:rtl/>
        </w:rPr>
        <w:t xml:space="preserve">، «سَيُؤۡتِينَا ٱللَّهُ مِن فَضۡلِهِۦ وَرَسُولُهُۥٓ»</w:t>
      </w:r>
      <w:r>
        <w:rPr>
          <w:rStyle w:val="FootnoteReference"/>
        </w:rPr>
        <w:footnoteReference w:id="81"/>
      </w:r>
      <w:r>
        <w:rPr>
          <w:rFonts w:ascii="IRNazanin" w:hAnsi="IRNazanin" w:eastAsia="IRNazanin" w:cs="IRNazanin"/>
          <w:lang w:bidi="fa-IR"/>
          <w:color w:val="111111"/>
          <w:sz w:val="28"/>
          <w:szCs w:val="28"/>
          <w:rtl/>
        </w:rPr>
        <w:t xml:space="preserve">- ماضياً ومستقبلاً - كما استدل بها الصادق(علیه السلام) على أبي حنيفة الذي قال: أشركت باللّه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فمعنى أنهم(علیهم السلام) المكوِّنين بأمره تعالى، وبأنهم(علیهم السلام) مجرى إرادته وأوعية مشيئته، مثل أن عزرائيل(علیه السلام) يُميت بأمره سبحانه وإرادته، وإسرافيل(علیه السلام) ينفخ، وجبرائيل(علیه السلام) ينزل الوحي،وميكائيل(علیه السلام) يقسم الرزق، وهكذا، ومن المعلوم أن المعصومين(علیهم السلام) جميعاً أفضل من الملائكة، ولذا سجدت الملائكة لآدم(علیه السلام)، وهم(علیهم السلام) أفضل من آدم(علیه السلام).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7727_123046"/>
    <w:bookmarkEnd w:id="11"/>
    <w:p>
      <w:pPr>
        <w:pStyle w:val="BookText"/>
      </w:pPr>
      <w:r>
        <w:rPr>
          <w:rFonts w:ascii="Amiri" w:hAnsi="Amiri" w:eastAsia="Amiri" w:cs="Amiri"/>
          <w:lang w:bidi="ar-SA"/>
          <w:color w:val="111111"/>
          <w:sz w:val="28"/>
          <w:szCs w:val="28"/>
          <w:rtl/>
        </w:rPr>
        <w:t xml:space="preserve">وكشاهد على ما نحن فيه ترى في القرآن الكريم يقول سبحانه تارة: «ٱللَّهُ يَتَوَفَّى ٱلۡأَنفُسَ»</w:t>
      </w:r>
      <w:r>
        <w:rPr>
          <w:rStyle w:val="FootnoteReference"/>
        </w:rPr>
        <w:footnoteReference w:id="83"/>
      </w:r>
      <w:r>
        <w:rPr>
          <w:rFonts w:ascii="Amiri" w:hAnsi="Amiri" w:eastAsia="Amiri" w:cs="Amiri"/>
          <w:lang w:bidi="ar-SA"/>
          <w:color w:val="111111"/>
          <w:sz w:val="28"/>
          <w:szCs w:val="28"/>
          <w:rtl/>
        </w:rPr>
        <w:t xml:space="preserve">، وأخرى: «يَتَوَفَّىٰكُم مَّلَكُ ٱلۡمَوۡتِ»</w:t>
      </w:r>
      <w:r>
        <w:rPr>
          <w:rStyle w:val="FootnoteReference"/>
        </w:rPr>
        <w:footnoteReference w:id="84"/>
      </w:r>
      <w:r>
        <w:rPr>
          <w:rFonts w:ascii="Amiri" w:hAnsi="Amiri" w:eastAsia="Amiri" w:cs="Amiri"/>
          <w:lang w:bidi="ar-SA"/>
          <w:color w:val="111111"/>
          <w:sz w:val="28"/>
          <w:szCs w:val="28"/>
          <w:rtl/>
        </w:rPr>
        <w:t xml:space="preserve">، وثالثة: «تَوَفَّتۡهُ رُسُلُنَا»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فالثالث</w:t>
      </w:r>
      <w:r>
        <w:rPr>
          <w:rStyle w:val="FootnoteReference"/>
        </w:rPr>
        <w:footnoteReference w:id="86"/>
      </w:r>
    </w:p>
    <w:p>
      <w:pPr>
        <w:pStyle w:val="BookText"/>
      </w:pPr>
      <w:r>
        <w:rPr>
          <w:rFonts w:ascii="Amiri" w:hAnsi="Amiri" w:eastAsia="Amiri" w:cs="Amiri"/>
          <w:lang w:bidi="ar-SA"/>
          <w:color w:val="111111"/>
          <w:sz w:val="28"/>
          <w:szCs w:val="28"/>
          <w:rtl/>
        </w:rPr>
        <w:t xml:space="preserve">في طول الثاني الذي هو طول اللّه سبحانه.</w:t>
      </w:r>
    </w:p>
    <w:p>
      <w:pPr>
        <w:pStyle w:val="Heading2"/>
      </w:pPr>
      <w:bookmarkStart w:id="41" w:name="_Toc17"/>
      <w:r>
        <w:t>من الأدلة على ولايتهم(علیهم السلام)</w:t>
      </w:r>
      <w:bookmarkEnd w:id="41"/>
    </w:p>
    <w:p>
      <w:pPr>
        <w:pStyle w:val="BookText"/>
      </w:pPr>
      <w:r>
        <w:rPr>
          <w:rFonts w:ascii="IRNazanin" w:hAnsi="IRNazanin" w:eastAsia="IRNazanin" w:cs="IRNazanin"/>
          <w:lang w:bidi="fa-IR"/>
          <w:color w:val="111111"/>
          <w:sz w:val="28"/>
          <w:szCs w:val="28"/>
          <w:rtl/>
        </w:rPr>
        <w:t xml:space="preserve">ثم إنه يدل على ولايتها(علیها السلام) خصوصاً، أو ضمن سائرالمعصومين(علیهم السلام) أدلة كثيرة، وقد سبق أو سيأتي بعضها كدليلٍ أو مؤيّد، منها:</w:t>
      </w:r>
    </w:p>
    <w:p>
      <w:pPr>
        <w:pStyle w:val="BookText"/>
      </w:pPr>
      <w:r>
        <w:rPr>
          <w:rFonts w:ascii="IRNazanin" w:hAnsi="IRNazanin" w:eastAsia="IRNazanin" w:cs="IRNazanin"/>
          <w:lang w:bidi="fa-IR"/>
          <w:color w:val="111111"/>
          <w:sz w:val="28"/>
          <w:szCs w:val="28"/>
          <w:rtl/>
        </w:rPr>
        <w:t xml:space="preserve">قوله(علیه السلام): «فاطمة حجة اللّه علينا»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الكساء، كما سيأتي بيان ذلك.</w:t>
      </w:r>
    </w:p>
    <w:p>
      <w:pPr>
        <w:pStyle w:val="BookText"/>
      </w:pPr>
      <w:r>
        <w:rPr>
          <w:rFonts w:ascii="IRNazanin" w:hAnsi="IRNazanin" w:eastAsia="IRNazanin" w:cs="IRNazanin"/>
          <w:lang w:bidi="fa-IR"/>
          <w:color w:val="111111"/>
          <w:sz w:val="28"/>
          <w:szCs w:val="28"/>
          <w:rtl/>
        </w:rPr>
        <w:t xml:space="preserve">وقوله(صلی الله علیه و آله): «لولا علي لما كان لفاطمة كفؤ آدم فمن دونه»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دل على تساويها(علیها السلام) مع الإمام علي(علیه السلام).</w:t>
      </w:r>
    </w:p>
    <w:p>
      <w:pPr>
        <w:pStyle w:val="BookText"/>
      </w:pPr>
      <w:r>
        <w:rPr>
          <w:rFonts w:ascii="IRNazanin" w:hAnsi="IRNazanin" w:eastAsia="IRNazanin" w:cs="IRNazanin"/>
          <w:lang w:bidi="fa-IR"/>
          <w:color w:val="111111"/>
          <w:sz w:val="28"/>
          <w:szCs w:val="28"/>
          <w:rtl/>
        </w:rPr>
        <w:t xml:space="preserve">وما دل على الأفضلية من الأنبياء(علیهم السلام)، مع قيام الأدلة على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ثبوت الولاية لهم(علیهم السلام) - على درجات - .</w:t>
      </w:r>
    </w:p>
    <w:p>
      <w:pPr>
        <w:pStyle w:val="BookText"/>
      </w:pPr>
      <w:r>
        <w:rPr>
          <w:rFonts w:ascii="Amiri" w:hAnsi="Amiri" w:eastAsia="Amiri" w:cs="Amiri"/>
          <w:lang w:bidi="ar-SA"/>
          <w:color w:val="111111"/>
          <w:sz w:val="28"/>
          <w:szCs w:val="28"/>
          <w:rtl/>
        </w:rPr>
        <w:t xml:space="preserve">والأولوية القطعية من أمثال: «عبدي أطعني تكن مثلي»</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وقوله(علیه السلام): «الخلق بعدُصنائعنا»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«فبكم يجبر المهيض ويُشفى المريض وما تزداد الأرحام وما تغيض»</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«فوّض إليه دينه»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«كونهم(علیهم السلام) أوعية لمشيئة اللّه»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صدور الخوارق منهم.</w:t>
      </w:r>
    </w:p>
    <w:p>
      <w:pPr>
        <w:pStyle w:val="BookText"/>
      </w:pPr>
      <w:r>
        <w:rPr>
          <w:rFonts w:ascii="IRNazanin" w:hAnsi="IRNazanin" w:eastAsia="IRNazanin" w:cs="IRNazanin"/>
          <w:lang w:bidi="fa-IR"/>
          <w:color w:val="111111"/>
          <w:sz w:val="28"/>
          <w:szCs w:val="28"/>
          <w:rtl/>
        </w:rPr>
        <w:t xml:space="preserve">و: التوقيع المروي عن صاحب الزمان(عجل الله تعالی فرجه الشریف) كما سيأتي</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الأدلة الكثيرة.</w:t>
      </w:r>
    </w:p>
    <w:p>
      <w:pPr>
        <w:pStyle w:val="BookText"/>
      </w:pPr>
      <w:r>
        <w:rPr>
          <w:rFonts w:ascii="Amiri" w:hAnsi="Amiri" w:eastAsia="Amiri" w:cs="Amiri"/>
          <w:lang w:bidi="ar-SA"/>
          <w:color w:val="111111"/>
          <w:sz w:val="28"/>
          <w:szCs w:val="28"/>
          <w:rtl/>
        </w:rPr>
        <w:t xml:space="preserve">كما يدل على ولايتهم(علیهم السلام) عموماً قوله تعالى: «ٱلنَّبِيُّ أَوۡلَىٰ بِٱلۡمُؤۡمِنِينَ»</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بالإضافة إلى الآيات والرواياتالمتواترات؛ لما قد ثبت من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7727_123048"/>
    <w:bookmarkEnd w:id="12"/>
    <w:p>
      <w:pPr>
        <w:pStyle w:val="BookText"/>
      </w:pPr>
      <w:r>
        <w:rPr>
          <w:rFonts w:ascii="IRNazanin" w:hAnsi="IRNazanin" w:eastAsia="IRNazanin" w:cs="IRNazanin"/>
          <w:lang w:bidi="fa-IR"/>
          <w:color w:val="111111"/>
          <w:sz w:val="28"/>
          <w:szCs w:val="28"/>
          <w:rtl/>
        </w:rPr>
        <w:t xml:space="preserve">أنهم(علیهم السلام) نور واحد، وأن لأوّلهم ما لآخرهم كما في الروايات</w:t>
      </w:r>
      <w:r>
        <w:rPr>
          <w:rStyle w:val="FootnoteReference"/>
        </w:rPr>
        <w:footnoteReference w:id="9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«إِنَّمَا وَلِيُّكُمُ ٱللَّهُ»</w:t>
      </w:r>
      <w:r>
        <w:rPr>
          <w:rStyle w:val="FootnoteReference"/>
        </w:rPr>
        <w:footnoteReference w:id="97"/>
      </w:r>
      <w:r>
        <w:rPr>
          <w:rFonts w:ascii="IRNazanin" w:hAnsi="IRNazanin" w:eastAsia="IRNazanin" w:cs="IRNazanin"/>
          <w:lang w:bidi="fa-IR"/>
          <w:color w:val="111111"/>
          <w:sz w:val="28"/>
          <w:szCs w:val="28"/>
          <w:rtl/>
        </w:rPr>
        <w:t xml:space="preserve">الآية، فهم(علیهم السلام) كالنبي(صلی الله علیه و آله) في مرتبة الولاية وإن اختلفوا في مراتب الفضل، فبعد الرسول(صلی الله علیه و آله) عليٌ(علیه السلام) وبعده أو مقارناً له - كما يظهر من جملة من الأحاديث - فاطمة(علیها السلام)، ثم الحسن(علیه السلام)، ثم الحسين(علیه السلام)، ثم القائم(علیه السلام)، ثم الأئمة الثمانية(علیهم السلام) قبله، كما يظهر من الأحاديث.</w:t>
      </w:r>
    </w:p>
    <w:p>
      <w:pPr>
        <w:pStyle w:val="Heading2"/>
      </w:pPr>
      <w:bookmarkStart w:id="42" w:name="_Toc18"/>
      <w:r>
        <w:t>ماذا تعني الأولوية؟</w:t>
      </w:r>
      <w:bookmarkEnd w:id="42"/>
    </w:p>
    <w:p>
      <w:pPr>
        <w:pStyle w:val="BookText"/>
      </w:pPr>
      <w:r>
        <w:rPr>
          <w:rFonts w:ascii="Amiri" w:hAnsi="Amiri" w:eastAsia="Amiri" w:cs="Amiri"/>
          <w:lang w:bidi="ar-SA"/>
          <w:color w:val="111111"/>
          <w:sz w:val="28"/>
          <w:szCs w:val="28"/>
          <w:rtl/>
        </w:rPr>
        <w:t xml:space="preserve">وهل المراد الأولوية التكوينية؟</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أو في صورة التدافع؟ أو أن له(صلی الله علیه و آله) سلطة فوق سلطة الإنسان، كما في سلطة اللّه تعالى على السيد المسلّط على العبد؟ أو الحكومة؟ أو الثلاثة الأخيرة؟ أو الخمسة جميعاً؛ لجامع السلطوية، فليس من استعمال اللفظ في أكثر من معنى؟</w:t>
      </w:r>
    </w:p>
    <w:p>
      <w:pPr>
        <w:pStyle w:val="BookText"/>
      </w:pPr>
      <w:r>
        <w:rPr>
          <w:rFonts w:ascii="Amiri" w:hAnsi="Amiri" w:eastAsia="Amiri" w:cs="Amiri"/>
          <w:lang w:bidi="ar-SA"/>
          <w:color w:val="111111"/>
          <w:sz w:val="28"/>
          <w:szCs w:val="28"/>
          <w:rtl/>
        </w:rPr>
        <w:t xml:space="preserve">احتمالات، وإن كان بعضها أقرب.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7727_123049"/>
    <w:bookmarkEnd w:id="13"/>
    <w:p>
      <w:pPr>
        <w:pStyle w:val="BookText"/>
      </w:pPr>
      <w:r>
        <w:rPr>
          <w:rFonts w:ascii="Amiri" w:hAnsi="Amiri" w:eastAsia="Amiri" w:cs="Amiri"/>
          <w:lang w:bidi="ar-SA"/>
          <w:color w:val="111111"/>
          <w:sz w:val="28"/>
          <w:szCs w:val="28"/>
          <w:rtl/>
        </w:rPr>
        <w:t xml:space="preserve">نعم، إذا كان أولى بمعنى التفضيل العرفي، يكون الثاني فقط، لكنه خلاف الظاهر حيث الاحتفاف بالقرائن الداخلية والخارجية، فتأمل.</w:t>
      </w:r>
    </w:p>
    <w:p>
      <w:pPr>
        <w:pStyle w:val="Heading2"/>
      </w:pPr>
      <w:bookmarkStart w:id="43" w:name="_Toc19"/>
      <w:r>
        <w:t>سلطة الهدم والبناء</w:t>
      </w:r>
      <w:bookmarkEnd w:id="43"/>
    </w:p>
    <w:p>
      <w:pPr>
        <w:pStyle w:val="BookText"/>
      </w:pPr>
      <w:r>
        <w:rPr>
          <w:rFonts w:ascii="IRNazanin" w:hAnsi="IRNazanin" w:eastAsia="IRNazanin" w:cs="IRNazanin"/>
          <w:lang w:bidi="fa-IR"/>
          <w:color w:val="111111"/>
          <w:sz w:val="28"/>
          <w:szCs w:val="28"/>
          <w:rtl/>
        </w:rPr>
        <w:t xml:space="preserve">والظاهر أن لهم(علیهم السلام) سلطة الهدم، كما لهم سلطة البناء، من قبيل الزوج الذي له سلطة النكاح والطلاق، أو الشركة حيثالعقد الجائز للشريك كلاهما</w:t>
      </w:r>
      <w:r>
        <w:rPr>
          <w:rStyle w:val="FootnoteReference"/>
        </w:rPr>
        <w:footnoteReference w:id="9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بخلاف مثل البيع اللازم حيث البناء فقط، ومثل ثالثٍ جُعِلَ الخيار بيده حيث له الهدم فقط.</w:t>
      </w:r>
    </w:p>
    <w:p>
      <w:pPr>
        <w:pStyle w:val="BookText"/>
      </w:pPr>
      <w:r>
        <w:rPr>
          <w:rFonts w:ascii="IRNazanin" w:hAnsi="IRNazanin" w:eastAsia="IRNazanin" w:cs="IRNazanin"/>
          <w:lang w:bidi="fa-IR"/>
          <w:color w:val="111111"/>
          <w:sz w:val="28"/>
          <w:szCs w:val="28"/>
          <w:rtl/>
        </w:rPr>
        <w:t xml:space="preserve">فكما أنه سبحانه له حق طلاق نساء الناس أو تزويجهنّ ولو بدون رغبتهم، كذلك لهم(علیهم السلام) هذا الحق خلافةً منه تعالى، لكن من الواضح أنهم(علیهم السلام) في طوله سبحانه، وأنهم(علیهم السلام) أوعية مشيئته</w:t>
      </w:r>
      <w:r>
        <w:rPr>
          <w:rStyle w:val="FootnoteReference"/>
        </w:rPr>
        <w:footnoteReference w:id="100"/>
      </w:r>
      <w:r>
        <w:rPr>
          <w:rFonts w:ascii="IRNazanin" w:hAnsi="IRNazanin" w:eastAsia="IRNazanin" w:cs="IRNazanin"/>
          <w:lang w:bidi="fa-IR"/>
          <w:color w:val="111111"/>
          <w:sz w:val="28"/>
          <w:szCs w:val="28"/>
          <w:rtl/>
        </w:rPr>
        <w:t xml:space="preserve">كما تقدم، وإن كانوا(علیهم السلام) لا يقومون بإعمال أمثال هذه القدرة عادةً، كما سيأتي.</w:t>
      </w:r>
    </w:p>
    <w:p>
      <w:pPr>
        <w:pStyle w:val="Heading2"/>
      </w:pPr>
      <w:bookmarkStart w:id="44" w:name="_Toc20"/>
      <w:r>
        <w:t>من معاني التفويض</w:t>
      </w:r>
      <w:bookmarkEnd w:id="44"/>
    </w:p>
    <w:p>
      <w:pPr>
        <w:pStyle w:val="BookText"/>
      </w:pPr>
      <w:r>
        <w:rPr>
          <w:rFonts w:ascii="IRNazanin" w:hAnsi="IRNazanin" w:eastAsia="IRNazanin" w:cs="IRNazanin"/>
          <w:lang w:bidi="fa-IR"/>
          <w:color w:val="111111"/>
          <w:sz w:val="28"/>
          <w:szCs w:val="28"/>
          <w:rtl/>
        </w:rPr>
        <w:t xml:space="preserve">ثم إن التفويض التكويني إليهم(علیهم السلام) هو بالمعنى الذي ذكرناه، ودل عليه النص مثل: «في ما إليكم التفويض وعليكم التعويض»</w:t>
      </w:r>
      <w:r>
        <w:rPr>
          <w:rStyle w:val="FootnoteReference"/>
        </w:rPr>
        <w:footnoteReference w:id="101"/>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والإجماع.والتشريعي أيضاً كما ذكرناه، ودل عليه: «المفوض إليه دين اللّه»</w:t>
      </w:r>
      <w:r>
        <w:rPr>
          <w:rStyle w:val="FootnoteReference"/>
        </w:rPr>
        <w:footnoteReference w:id="102"/>
      </w:r>
      <w:r>
        <w:rPr>
          <w:rFonts w:ascii="Amiri" w:hAnsi="Amiri" w:eastAsia="Amiri" w:cs="Amiri"/>
          <w:lang w:bidi="ar-SA"/>
          <w:color w:val="111111"/>
          <w:sz w:val="28"/>
          <w:szCs w:val="28"/>
          <w:rtl/>
        </w:rPr>
        <w:t xml:space="preserve">، و«أنَّ اللّه أدَّب نبيه بآدابه ففوّض إليه دينه»</w:t>
      </w:r>
      <w:r>
        <w:rPr>
          <w:rStyle w:val="FootnoteReference"/>
        </w:rPr>
        <w:footnoteReference w:id="10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إلى غيرها من الروايات المتواترة.</w:t>
      </w:r>
    </w:p>
    <w:p>
      <w:pPr>
        <w:pStyle w:val="BookText"/>
      </w:pPr>
      <w:r>
        <w:rPr>
          <w:rFonts w:ascii="Amiri" w:hAnsi="Amiri" w:eastAsia="Amiri" w:cs="Amiri"/>
          <w:lang w:bidi="ar-SA"/>
          <w:color w:val="111111"/>
          <w:sz w:val="28"/>
          <w:szCs w:val="28"/>
          <w:rtl/>
        </w:rPr>
        <w:t xml:space="preserve">وفي قباله تفويضان باطلان:</w:t>
      </w:r>
    </w:p>
    <w:p>
      <w:pPr>
        <w:pStyle w:val="BookText"/>
      </w:pPr>
      <w:r>
        <w:rPr>
          <w:rFonts w:ascii="Amiri" w:hAnsi="Amiri" w:eastAsia="Amiri" w:cs="Amiri"/>
          <w:lang w:bidi="ar-SA"/>
          <w:color w:val="111111"/>
          <w:sz w:val="28"/>
          <w:szCs w:val="28"/>
          <w:rtl/>
        </w:rPr>
        <w:t xml:space="preserve">الأوّل: عزل اللّه سبحانه عن أيّ شيء، وإنما يكون كمن أشغل مصنعاً وفوضه إلى آخر واعتزل هو عن العمل إطلاقاً، وهذا يخالفه النص والإجماع، بل الكتاب والعقل أيضاً.</w:t>
      </w:r>
    </w:p>
    <w:p>
      <w:pPr>
        <w:pStyle w:val="BookText"/>
      </w:pPr>
      <w:r>
        <w:rPr>
          <w:rFonts w:ascii="Amiri" w:hAnsi="Amiri" w:eastAsia="Amiri" w:cs="Amiri"/>
          <w:lang w:bidi="ar-SA"/>
          <w:color w:val="111111"/>
          <w:sz w:val="28"/>
          <w:szCs w:val="28"/>
          <w:rtl/>
        </w:rPr>
        <w:t xml:space="preserve">الثاني: تفويض الأمور وتركها وسائر الكون لا إلى أحد، بأن يكون اللّه سبحانه قد خلق الكون وهو يدور بنفسه، كمن يشغل مصنعاً ويتركه يدور بدون قيام أحد مقامه، وهذا هو الذي قالته اليهود مما ذكره سبحانه: «وَقَالَتِ ٱلۡيَهُودُ يَدُ ٱللَّهِ مَغۡلُولَةٌۚ غُلَّتۡ أَيۡدِيهِمۡ وَلُعِنُواْ بِمَا قَالُواْۘ»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التفويض الباطل بالمعنىالثاني هو نقطة النقيض لفكرة الجبر التي تقول: إن اللّه سبحانه يفعل كل شيء، بينما الأوّل بمعنى أنه تعالى لا يفعل أيّ شيء، والحقيقة أنه أمر بين الأمرين</w:t>
      </w:r>
      <w:r>
        <w:rPr>
          <w:rStyle w:val="FootnoteReference"/>
        </w:rPr>
        <w:footnoteReference w:id="105"/>
      </w:r>
      <w:r>
        <w:rPr>
          <w:rFonts w:ascii="IRNazanin" w:hAnsi="IRNazanin" w:eastAsia="IRNazanin" w:cs="IRNazanin"/>
          <w:lang w:bidi="fa-IR"/>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7727_123051"/>
    <w:bookmarkEnd w:id="14"/>
    <w:p>
      <w:pPr>
        <w:pStyle w:val="BookText"/>
      </w:pPr>
      <w:r>
        <w:rPr>
          <w:rFonts w:ascii="Amiri" w:hAnsi="Amiri" w:eastAsia="Amiri" w:cs="Amiri"/>
          <w:lang w:bidi="ar-SA"/>
          <w:color w:val="111111"/>
          <w:sz w:val="28"/>
          <w:szCs w:val="28"/>
          <w:rtl/>
        </w:rPr>
        <w:t xml:space="preserve">فالآلات منه سبحانه والعمل من الإنسان ولذا يُثاب ويُعاقب.</w:t>
      </w:r>
    </w:p>
    <w:p>
      <w:pPr>
        <w:pStyle w:val="Heading2"/>
      </w:pPr>
      <w:bookmarkStart w:id="45" w:name="_Toc21"/>
      <w:r>
        <w:t>عود على بدء</w:t>
      </w:r>
      <w:bookmarkEnd w:id="45"/>
    </w:p>
    <w:p>
      <w:pPr>
        <w:pStyle w:val="BookText"/>
      </w:pPr>
      <w:r>
        <w:rPr>
          <w:rFonts w:ascii="IRNazanin" w:hAnsi="IRNazanin" w:eastAsia="IRNazanin" w:cs="IRNazanin"/>
          <w:lang w:bidi="fa-IR"/>
          <w:color w:val="111111"/>
          <w:sz w:val="28"/>
          <w:szCs w:val="28"/>
          <w:rtl/>
        </w:rPr>
        <w:t xml:space="preserve">ولما سبق من أن اللّه سبحانه جعل بيدهم(علیهم السلام) الكون، تصدر منهم(علیهم السلام) الخوارق معجزة وكرامة، بما أنهم أوعية مشيئة اللّه تعالى، وكذلك ما سبق من أنه تعالى فوض إليهم(علیهم السلام) التشريع كما ورد: «المفوَّض إليه دين اللّه»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والأوّل يشمل: الهدم والبناء، كإماتة الإمام الرضا(علیه السلام) الساحر</w:t>
      </w:r>
      <w:r>
        <w:rPr>
          <w:rStyle w:val="FootnoteReference"/>
        </w:rPr>
        <w:footnoteReference w:id="10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وإحياء عيسى(علیه السلام)الأموات</w:t>
      </w:r>
      <w:r>
        <w:rPr>
          <w:rStyle w:val="FootnoteReference"/>
        </w:rPr>
        <w:footnoteReference w:id="10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والتبديل والتحويل، قال سبحانه: «فَلَن تَجِدَ لِسُنَّتِ ٱللَّهِ تَبۡدِيلاۖ وَلَن تَجِدَ لِسُنَّتِ ٱللَّهِ تَحۡوِيلًا»</w:t>
      </w:r>
      <w:r>
        <w:rPr>
          <w:rStyle w:val="FootnoteReference"/>
        </w:rPr>
        <w:footnoteReference w:id="109"/>
      </w:r>
      <w:r>
        <w:rPr>
          <w:rFonts w:ascii="IRNazanin" w:hAnsi="IRNazanin" w:eastAsia="IRNazanin" w:cs="IRNazanin"/>
          <w:lang w:bidi="fa-IR"/>
          <w:color w:val="111111"/>
          <w:sz w:val="28"/>
          <w:szCs w:val="28"/>
          <w:rtl/>
        </w:rPr>
        <w:t xml:space="preserve">، ومن سنة اللّه جعله تعالى التكوين والتشريع بأيديهم(علیهم السلام) وذلك كأن يجعل الشام عراقاً وبالعكس، وكأن يجعل الرجل امرأة وبالعكس، كما في قصة الإمام الحسن(علیه السلام)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7727_123052"/>
    <w:bookmarkEnd w:id="15"/>
    <w:p>
      <w:pPr>
        <w:pStyle w:val="Heading2"/>
      </w:pPr>
      <w:bookmarkStart w:id="46" w:name="_Toc22"/>
      <w:r>
        <w:t>بين التصرُّف والصلاحية</w:t>
      </w:r>
      <w:bookmarkEnd w:id="46"/>
    </w:p>
    <w:p>
      <w:pPr>
        <w:pStyle w:val="BookText"/>
      </w:pPr>
      <w:r>
        <w:rPr>
          <w:rFonts w:ascii="IRNazanin" w:hAnsi="IRNazanin" w:eastAsia="IRNazanin" w:cs="IRNazanin"/>
          <w:lang w:bidi="fa-IR"/>
          <w:color w:val="111111"/>
          <w:sz w:val="28"/>
          <w:szCs w:val="28"/>
          <w:rtl/>
        </w:rPr>
        <w:t xml:space="preserve">ولم نجد تصرفهم(علیهم السلام) في التشريع، وإن كان لهم صلاحية ذلك، ولعلّ السبب في ذلك أن لا يتخذ الحكّام ذلك ذريعةً للتصرف في الأحكام، وبالرغم من ذلك ترى الحكّام قد تصرفوا في أحكام اللّهتعالى كما في المتعتين</w:t>
      </w:r>
      <w:r>
        <w:rPr>
          <w:rStyle w:val="FootnoteReference"/>
        </w:rPr>
        <w:footnoteReference w:id="1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وكما في صلاة التمام في عرفات</w:t>
      </w:r>
      <w:r>
        <w:rPr>
          <w:rStyle w:val="FootnoteReference"/>
        </w:rPr>
        <w:footnoteReference w:id="112"/>
      </w:r>
      <w:r>
        <w:rPr>
          <w:rFonts w:ascii="IRNazanin" w:hAnsi="IRNazanin" w:eastAsia="IRNazanin" w:cs="IRNazanin"/>
          <w:lang w:bidi="fa-IR"/>
          <w:color w:val="111111"/>
          <w:sz w:val="28"/>
          <w:szCs w:val="28"/>
          <w:rtl/>
        </w:rPr>
        <w:t xml:space="preserve">وغير ذلك، فكيف بما إذا كانوا يرون الرسول(صلی الله علیه و آله) يفعل ذلك، ولذا قالوا باستحباب البول في المزبلة لكذب نسبوه إلى النبي(صلی الله علیه و آله)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تقدم ثبتت الولاية بمعانيها السبعة: كونهم(علیهم السلام) للتكوين علة، وطريقاً كطريقية عزرائيل للموت، وأنه قائم بهم(علیهم السلام)، وكذلك التشريع: علة، وطريقاً، وقياماً، بإضافة أن لهم(علیهم السلام) الحكومة، حيث لا تلازم بين الأخير وسائر أقسام التشريع.</w:t>
      </w:r>
    </w:p>
    <w:p>
      <w:pPr>
        <w:pStyle w:val="Heading2"/>
      </w:pPr>
      <w:bookmarkStart w:id="47" w:name="_Toc23"/>
      <w:r>
        <w:t>التوقيع الشريف</w:t>
      </w:r>
      <w:bookmarkEnd w:id="47"/>
    </w:p>
    <w:p>
      <w:pPr>
        <w:pStyle w:val="BookText"/>
      </w:pPr>
      <w:r>
        <w:rPr>
          <w:rFonts w:ascii="Amiri" w:hAnsi="Amiri" w:eastAsia="Amiri" w:cs="Amiri"/>
          <w:lang w:bidi="ar-SA"/>
          <w:color w:val="111111"/>
          <w:sz w:val="28"/>
          <w:szCs w:val="28"/>
          <w:rtl/>
        </w:rPr>
        <w:t xml:space="preserve">ويؤيد ذلك - بل يدل عليه - التوقيع المروي عن صاحب الزمانأرواحنا فداه في دعائه: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بما نطق فيهم من مشيتك، فجعلتهم معادن لكلماتك، وأركاناً لتوحيدك وآياتك، ومقاماتك التي لا تعطيل لها في كل مكان، يعرفك بها من عرفك، لا فرق بينك وبينها إلاّ أنهم عبادك وخلقك، فتقها ورقتها بيدك، بدؤها منك وعودها إليك، أعضاد وأشهاد، ومناة وأذواد، وحفظة ورواد، فبهم ملأت سماءك وأرضك حتى ظهر أن لا إله إلاّ أنت»</w:t>
      </w:r>
      <w:r>
        <w:rPr>
          <w:rStyle w:val="FootnoteReference"/>
        </w:rPr>
        <w:footnoteReference w:id="114"/>
      </w:r>
      <w:r>
        <w:rPr>
          <w:rFonts w:ascii="IRNazanin" w:hAnsi="IRNazanin" w:eastAsia="IRNazanin" w:cs="IRNazanin"/>
          <w:lang w:bidi="fa-IR"/>
          <w:color w:val="111111"/>
          <w:sz w:val="28"/>
          <w:szCs w:val="28"/>
          <w:rtl/>
        </w:rPr>
        <w:t xml:space="preserve">، إلى آخر الدعاء.</w:t>
      </w:r>
    </w:p>
    <w:p>
      <w:pPr>
        <w:pStyle w:val="BookText"/>
      </w:pPr>
      <w:r>
        <w:rPr>
          <w:rFonts w:ascii="Amiri" w:hAnsi="Amiri" w:eastAsia="Amiri" w:cs="Amiri"/>
          <w:lang w:bidi="ar-SA"/>
          <w:color w:val="111111"/>
          <w:sz w:val="28"/>
          <w:szCs w:val="28"/>
          <w:rtl/>
        </w:rPr>
        <w:t xml:space="preserve">و«مُناة»: - على وزن دُعاة جمع داعي - من منى اللّه تعالى فلاناً بخير، أي أعطاه له.</w:t>
      </w:r>
    </w:p>
    <w:p>
      <w:pPr>
        <w:pStyle w:val="BookText"/>
      </w:pPr>
      <w:r>
        <w:rPr>
          <w:rFonts w:ascii="IRNazanin" w:hAnsi="IRNazanin" w:eastAsia="IRNazanin" w:cs="IRNazanin"/>
          <w:lang w:bidi="fa-IR"/>
          <w:color w:val="111111"/>
          <w:sz w:val="28"/>
          <w:szCs w:val="28"/>
          <w:rtl/>
        </w:rPr>
        <w:t xml:space="preserve">و«أذواد»: - جمع ذائد، كأصحاب جمع صاحب - من ذاد بمعنى طرد، فالمعنى: من ينال خيراً أو يطرد عن شيء لا يكون إلاّ بهم(علیهم السلام) لا علة بل فعلية.</w:t>
      </w:r>
    </w:p>
    <w:p>
      <w:pPr>
        <w:pStyle w:val="BookText"/>
      </w:pPr>
      <w:r>
        <w:rPr>
          <w:rFonts w:ascii="Amiri" w:hAnsi="Amiri" w:eastAsia="Amiri" w:cs="Amiri"/>
          <w:lang w:bidi="ar-SA"/>
          <w:color w:val="111111"/>
          <w:sz w:val="28"/>
          <w:szCs w:val="28"/>
          <w:rtl/>
        </w:rPr>
        <w:t xml:space="preserve">وملأ السماء والأرض: كالشمس تملأ الكون وإن كان جسمها الظاهرصغيراً.</w:t>
      </w:r>
    </w:p>
    <w:p>
      <w:pPr>
        <w:pStyle w:val="BookText"/>
      </w:pPr>
      <w:r>
        <w:rPr>
          <w:rFonts w:ascii="IRNazanin" w:hAnsi="IRNazanin" w:eastAsia="IRNazanin" w:cs="IRNazanin"/>
          <w:lang w:bidi="fa-IR"/>
          <w:color w:val="111111"/>
          <w:sz w:val="28"/>
          <w:szCs w:val="28"/>
          <w:rtl/>
        </w:rPr>
        <w:t xml:space="preserve">ولعلّ سرّ ورود الزيارة الجامعة والدعاءين لرجب عنهم(علیهم السلام) لبيان الطريق الوسط بين مادية الخلفاء الذين استهتروا فيها، وإفراط المتصوفة القائلين بوحدة الوجود أو الموجود في تلك الأزمنة المتأخرة.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7727_123054"/>
    <w:bookmarkEnd w:id="16"/>
    <w:p>
      <w:pPr>
        <w:pStyle w:val="BookText"/>
      </w:pPr>
      <w:r>
        <w:rPr>
          <w:rFonts w:ascii="IRNazanin" w:hAnsi="IRNazanin" w:eastAsia="IRNazanin" w:cs="IRNazanin"/>
          <w:lang w:bidi="fa-IR"/>
          <w:color w:val="111111"/>
          <w:sz w:val="28"/>
          <w:szCs w:val="28"/>
          <w:rtl/>
        </w:rPr>
        <w:t xml:space="preserve">ومن الواضح أن ظهور (لا إله إلاّ اللّه) بسببهم(علیهم السلام) من جهة امتلاء العالم بالشرك الوثني أو المسيحي أو اليهودي، بل والعامة القائلين بالتجسيم ونحوه، وقد قال علي(علیه السلام): «فمن وصف اللّه فقد قرنه، ومن قرنه فقد ثناه، ومن ثناه فقد جزّأه»</w:t>
      </w:r>
      <w:r>
        <w:rPr>
          <w:rStyle w:val="FootnoteReference"/>
        </w:rPr>
        <w:footnoteReference w:id="11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ولا يخفي أن ما ذكرناه في الجملة، يظهر من مئات الآيات والروايات مما ذكر في مباحث أصول الدين، فراجع.</w:t>
      </w:r>
    </w:p>
    <w:p>
      <w:pPr>
        <w:pStyle w:val="Heading2"/>
      </w:pPr>
      <w:bookmarkStart w:id="48" w:name="_Toc24"/>
      <w:r>
        <w:t>لا فرق بين حياتهم ومماتهم(علیهم السلام)</w:t>
      </w:r>
      <w:bookmarkEnd w:id="48"/>
    </w:p>
    <w:p>
      <w:pPr>
        <w:pStyle w:val="BookText"/>
      </w:pPr>
      <w:r>
        <w:rPr>
          <w:rFonts w:ascii="IRNazanin" w:hAnsi="IRNazanin" w:eastAsia="IRNazanin" w:cs="IRNazanin"/>
          <w:lang w:bidi="fa-IR"/>
          <w:color w:val="111111"/>
          <w:sz w:val="28"/>
          <w:szCs w:val="28"/>
          <w:rtl/>
        </w:rPr>
        <w:t xml:space="preserve">ثم إنهم(علیهم السلام) وهم أموات كالأحياء من جهة التكوين وجهة التشريع؛ لإطلاق الأدلة، إلاّ في الأمر السابع الذي هو فعلية الحكومة.</w:t>
      </w:r>
    </w:p>
    <w:p>
      <w:pPr>
        <w:pStyle w:val="BookText"/>
      </w:pPr>
      <w:r>
        <w:rPr>
          <w:rFonts w:ascii="IRNazanin" w:hAnsi="IRNazanin" w:eastAsia="IRNazanin" w:cs="IRNazanin"/>
          <w:lang w:bidi="fa-IR"/>
          <w:color w:val="111111"/>
          <w:sz w:val="28"/>
          <w:szCs w:val="28"/>
          <w:rtl/>
        </w:rPr>
        <w:t xml:space="preserve">لا يقال: إنهم(علیهم السلام) كيف يتصرفون في التكوين وهم أموات؟</w:t>
      </w:r>
    </w:p>
    <w:p>
      <w:pPr>
        <w:pStyle w:val="BookText"/>
      </w:pPr>
      <w:r>
        <w:rPr>
          <w:rFonts w:ascii="Amiri" w:hAnsi="Amiri" w:eastAsia="Amiri" w:cs="Amiri"/>
          <w:lang w:bidi="ar-SA"/>
          <w:color w:val="111111"/>
          <w:sz w:val="28"/>
          <w:szCs w:val="28"/>
          <w:rtl/>
        </w:rPr>
        <w:t xml:space="preserve">لأنه يقال: أوّلاً: لا موت</w:t>
      </w:r>
      <w:r>
        <w:rPr>
          <w:rStyle w:val="FootnoteReference"/>
        </w:rPr>
        <w:footnoteReference w:id="116"/>
      </w:r>
      <w:r>
        <w:rPr>
          <w:rFonts w:ascii="Amiri" w:hAnsi="Amiri" w:eastAsia="Amiri" w:cs="Amiri"/>
          <w:lang w:bidi="ar-SA"/>
          <w:color w:val="111111"/>
          <w:sz w:val="28"/>
          <w:szCs w:val="28"/>
          <w:rtl/>
        </w:rPr>
        <w:t xml:space="preserve">لهم(علیهم السلام) فإنهم «أَحۡيَآءٌ عِندَ رَبِّهِمۡ يُرۡزَقُونَ»</w:t>
      </w:r>
      <w:r>
        <w:rPr>
          <w:rStyle w:val="FootnoteReference"/>
        </w:rPr>
        <w:footnoteReference w:id="117"/>
      </w:r>
      <w:r>
        <w:rPr>
          <w:rFonts w:ascii="IRNazanin" w:hAnsi="IRNazanin" w:eastAsia="IRNazanin" w:cs="IRNazanin"/>
          <w:lang w:bidi="fa-IR"/>
          <w:color w:val="111111"/>
          <w:sz w:val="28"/>
          <w:szCs w:val="28"/>
          <w:rtl/>
        </w:rPr>
        <w:t xml:space="preserve">وإنما بدّلوا الملبس، بل كل حي إذا مات كان كذلك، فقد خلقهم للبقاء لا للفناء، وقد قال الرسول(صلی الله علیه و آله) - لمن اعترض عليه حينما خاطب قتلى المشركين يوم بدر - : «ما أنت بأسمع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w:t>
      </w:r>
      <w:r>
        <w:rPr>
          <w:rStyle w:val="FootnoteReference"/>
        </w:rPr>
        <w:footnoteReference w:id="11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 الزيارة: «وأنك حي»</w:t>
      </w:r>
      <w:r>
        <w:rPr>
          <w:rStyle w:val="FootnoteReference"/>
        </w:rPr>
        <w:footnoteReference w:id="119"/>
      </w:r>
      <w:r>
        <w:rPr>
          <w:rFonts w:ascii="Amiri" w:hAnsi="Amiri" w:eastAsia="Amiri" w:cs="Amiri"/>
          <w:lang w:bidi="ar-SA"/>
          <w:color w:val="111111"/>
          <w:sz w:val="28"/>
          <w:szCs w:val="28"/>
          <w:rtl/>
        </w:rPr>
        <w:t xml:space="preserve">، إلى غيرذلك.</w:t>
      </w:r>
    </w:p>
    <w:p>
      <w:pPr>
        <w:pStyle w:val="BookText"/>
      </w:pPr>
      <w:r>
        <w:rPr>
          <w:rFonts w:ascii="IRNazanin" w:hAnsi="IRNazanin" w:eastAsia="IRNazanin" w:cs="IRNazanin"/>
          <w:lang w:bidi="fa-IR"/>
          <w:color w:val="111111"/>
          <w:sz w:val="28"/>
          <w:szCs w:val="28"/>
          <w:rtl/>
        </w:rPr>
        <w:t xml:space="preserve">وثانياً: على فرض كونهم(علیهم السلام) أمواتاً ما المانع من أن يعطي اللّه سبحانه للميت الحياة، كالرزق والشفاء وغير ذلك</w:t>
      </w:r>
      <w:r>
        <w:rPr>
          <w:rStyle w:val="FootnoteReference"/>
        </w:rPr>
        <w:footnoteReference w:id="12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 القرآن الحكيم: «وَجَعَلۡنَا مِنَ ٱلۡمَآءِ كُلَّ شَيۡءٍ حَيٍّۚ»</w:t>
      </w:r>
      <w:r>
        <w:rPr>
          <w:rStyle w:val="FootnoteReference"/>
        </w:rPr>
        <w:footnoteReference w:id="121"/>
      </w:r>
      <w:r>
        <w:rPr>
          <w:rFonts w:ascii="Amiri" w:hAnsi="Amiri" w:eastAsia="Amiri" w:cs="Amiri"/>
          <w:lang w:bidi="ar-SA"/>
          <w:color w:val="111111"/>
          <w:sz w:val="28"/>
          <w:szCs w:val="28"/>
          <w:rtl/>
        </w:rPr>
        <w:t xml:space="preserve">، ومن المعلوم أن الماء بالمعنى المتعارف ليس حياً فإن اللّه تعالى هو علة العلل، ولا فرق عنده في الإحياء بسببٍ بين أن يكون حياً أو ميتاً.</w:t>
      </w:r>
    </w:p>
    <w:p>
      <w:pPr>
        <w:pStyle w:val="BookText"/>
      </w:pPr>
      <w:r>
        <w:rPr>
          <w:rFonts w:ascii="Amiri" w:hAnsi="Amiri" w:eastAsia="Amiri" w:cs="Amiri"/>
          <w:lang w:bidi="ar-SA"/>
          <w:color w:val="111111"/>
          <w:sz w:val="28"/>
          <w:szCs w:val="28"/>
          <w:rtl/>
        </w:rPr>
        <w:t xml:space="preserve">وفي آية أخرى: «يُخۡرِجُ ٱلۡحَيَّ مِنَ ٱلۡمَيِّتِ»</w:t>
      </w:r>
      <w:r>
        <w:rPr>
          <w:rStyle w:val="FootnoteReference"/>
        </w:rPr>
        <w:footnoteReference w:id="122"/>
      </w:r>
      <w:r>
        <w:rPr>
          <w:rFonts w:ascii="Amiri" w:hAnsi="Amiri" w:eastAsia="Amiri" w:cs="Amiri"/>
          <w:lang w:bidi="ar-SA"/>
          <w:color w:val="111111"/>
          <w:sz w:val="28"/>
          <w:szCs w:val="28"/>
          <w:rtl/>
        </w:rPr>
        <w:t xml:space="preserve">، وفي بقرة بني إسرائيل المذبوحة أنها سبّبت حياة المقتول</w:t>
      </w:r>
      <w:r>
        <w:rPr>
          <w:rStyle w:val="FootnoteReference"/>
        </w:rPr>
        <w:footnoteReference w:id="123"/>
      </w:r>
      <w:r>
        <w:rPr>
          <w:rFonts w:ascii="Amiri" w:hAnsi="Amiri" w:eastAsia="Amiri" w:cs="Amiri"/>
          <w:lang w:bidi="ar-SA"/>
          <w:color w:val="111111"/>
          <w:sz w:val="28"/>
          <w:szCs w:val="28"/>
          <w:rtl/>
        </w:rPr>
        <w:t xml:space="preserve">، كما سبّب أثر الرسولحياة عجل السامري</w:t>
      </w:r>
      <w:r>
        <w:rPr>
          <w:rStyle w:val="FootnoteReference"/>
        </w:rPr>
        <w:footnoteReference w:id="12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وكذلك رش الماء على الذين خرجوا 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7727_123056"/>
    <w:bookmarkEnd w:id="17"/>
    <w:p>
      <w:pPr>
        <w:pStyle w:val="BookText"/>
      </w:pPr>
      <w:r>
        <w:rPr>
          <w:rFonts w:ascii="Amiri" w:hAnsi="Amiri" w:eastAsia="Amiri" w:cs="Amiri"/>
          <w:lang w:bidi="ar-SA"/>
          <w:color w:val="111111"/>
          <w:sz w:val="28"/>
          <w:szCs w:val="28"/>
          <w:rtl/>
        </w:rPr>
        <w:t xml:space="preserve">ديارهم وهم ألوف فماتوا فعادوا أحياءً في قصة إرميا</w:t>
      </w:r>
      <w:r>
        <w:rPr>
          <w:rStyle w:val="FootnoteReference"/>
        </w:rPr>
        <w:footnoteReference w:id="1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المذكورات في القرآن الكريم.</w:t>
      </w:r>
    </w:p>
    <w:p>
      <w:pPr>
        <w:pStyle w:val="BookText"/>
      </w:pPr>
      <w:r>
        <w:rPr>
          <w:rFonts w:ascii="Amiri" w:hAnsi="Amiri" w:eastAsia="Amiri" w:cs="Amiri"/>
          <w:lang w:bidi="ar-SA"/>
          <w:color w:val="111111"/>
          <w:sz w:val="28"/>
          <w:szCs w:val="28"/>
          <w:rtl/>
        </w:rPr>
        <w:t xml:space="preserve">ولذا لم تكن قصة البقرة مثلاً مجرد سرد تاريخ، بل لعبر، منها: أن اللّه سبحانه يحيي الميت من الميت، كما لم تكن آية النجوى</w:t>
      </w:r>
      <w:r>
        <w:rPr>
          <w:rStyle w:val="FootnoteReference"/>
        </w:rPr>
        <w:footnoteReference w:id="126"/>
      </w:r>
      <w:r>
        <w:rPr>
          <w:rFonts w:ascii="IRNazanin" w:hAnsi="IRNazanin" w:eastAsia="IRNazanin" w:cs="IRNazanin"/>
          <w:lang w:bidi="fa-IR"/>
          <w:color w:val="111111"/>
          <w:sz w:val="28"/>
          <w:szCs w:val="28"/>
          <w:rtl/>
        </w:rPr>
        <w:t xml:space="preserve">مجرد قصة منسوخة، بل لإفادة أن الناس - عادة - يقومون بأداء العبادات التيتتعلق بالجوارح، أما إذا وصل الأمر إلى المال ظهر عمق إيمانهم، فلا يقال: ما فائدة الآية المذكورة تتلى إلاّ فضيلة علي(علیه السلام).</w:t>
      </w:r>
    </w:p>
    <w:p>
      <w:pPr>
        <w:pStyle w:val="Heading2"/>
      </w:pPr>
      <w:bookmarkStart w:id="49" w:name="_Toc25"/>
      <w:r>
        <w:t>رفعة منزلتهم(علیهم السلام) ذاتية</w:t>
      </w:r>
      <w:bookmarkEnd w:id="49"/>
    </w:p>
    <w:p>
      <w:pPr>
        <w:pStyle w:val="BookText"/>
      </w:pPr>
      <w:r>
        <w:rPr>
          <w:rFonts w:ascii="IRNazanin" w:hAnsi="IRNazanin" w:eastAsia="IRNazanin" w:cs="IRNazanin"/>
          <w:lang w:bidi="fa-IR"/>
          <w:color w:val="111111"/>
          <w:sz w:val="28"/>
          <w:szCs w:val="28"/>
          <w:rtl/>
        </w:rPr>
        <w:t xml:space="preserve">ثم إن رفعة المعصوم(علیه السلام) أمر جوهري كرفعة الذهب على التراب، وقد دلت على ذلك الأدلة الأربعة.</w:t>
      </w:r>
    </w:p>
    <w:p>
      <w:pPr>
        <w:pStyle w:val="BookText"/>
      </w:pPr>
      <w:r>
        <w:rPr>
          <w:rFonts w:ascii="Amiri" w:hAnsi="Amiri" w:eastAsia="Amiri" w:cs="Amiri"/>
          <w:lang w:bidi="ar-SA"/>
          <w:color w:val="111111"/>
          <w:sz w:val="28"/>
          <w:szCs w:val="28"/>
          <w:rtl/>
        </w:rPr>
        <w:t xml:space="preserve">والمراد بدلالة العقل: الدليل الإنِّي حيث يكشف أعمالهم عن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واللِّمّي بالنسبة إلى الكبرى حيث إن القدرة المطلقة بدون محذور في الخلق يعطي خلق الأرفع أيضاً.</w:t>
      </w:r>
    </w:p>
    <w:p>
      <w:pPr>
        <w:pStyle w:val="BookText"/>
      </w:pPr>
      <w:r>
        <w:rPr>
          <w:rFonts w:ascii="Amiri" w:hAnsi="Amiri" w:eastAsia="Amiri" w:cs="Amiri"/>
          <w:lang w:bidi="ar-SA"/>
          <w:color w:val="111111"/>
          <w:sz w:val="28"/>
          <w:szCs w:val="28"/>
          <w:rtl/>
        </w:rPr>
        <w:t xml:space="preserve">نعم، الانطباق على الأشخاص الخاصين - أي الصغرى - نقلي، قال سبحانه: «تِلۡكَ ٱلرُّسُلُ فَضَّلۡنَا بَعۡضَهُمۡ عَلَىٰ بَعۡضٖۘ»</w:t>
      </w:r>
      <w:r>
        <w:rPr>
          <w:rStyle w:val="FootnoteReference"/>
        </w:rPr>
        <w:footnoteReference w:id="127"/>
      </w:r>
      <w:r>
        <w:rPr>
          <w:rFonts w:ascii="Amiri" w:hAnsi="Amiri" w:eastAsia="Amiri" w:cs="Amiri"/>
          <w:lang w:bidi="ar-SA"/>
          <w:color w:val="111111"/>
          <w:sz w:val="28"/>
          <w:szCs w:val="28"/>
          <w:rtl/>
        </w:rPr>
        <w:t xml:space="preserve">، وقال تعالى: «ٱنظُرۡ كَيۡفَ فَضَّلۡنَا بَعۡضَهُمۡ عَلَىٰ بَعۡضٖۚ»</w:t>
      </w:r>
      <w:r>
        <w:rPr>
          <w:rStyle w:val="FootnoteReference"/>
        </w:rPr>
        <w:footnoteReference w:id="128"/>
      </w:r>
      <w:r>
        <w:rPr>
          <w:rFonts w:ascii="Amiri" w:hAnsi="Amiri" w:eastAsia="Amiri" w:cs="Amiri"/>
          <w:lang w:bidi="ar-SA"/>
          <w:color w:val="111111"/>
          <w:sz w:val="28"/>
          <w:szCs w:val="28"/>
          <w:rtl/>
        </w:rPr>
        <w:t xml:space="preserve">، وقالسبحانه: «وَنُفَضِّلُ بَعۡضَهَا عَلَىٰ بَعۡضٖ فِي ٱلۡأُكُلِۚ»</w:t>
      </w:r>
      <w:r>
        <w:rPr>
          <w:rStyle w:val="FootnoteReference"/>
        </w:rPr>
        <w:footnoteReference w:id="129"/>
      </w:r>
      <w:r>
        <w:rPr>
          <w:rFonts w:ascii="Amiri" w:hAnsi="Amiri" w:eastAsia="Amiri" w:cs="Amiri"/>
          <w:lang w:bidi="ar-SA"/>
          <w:color w:val="111111"/>
          <w:sz w:val="28"/>
          <w:szCs w:val="28"/>
          <w:rtl/>
        </w:rPr>
        <w:t xml:space="preserve">، إلى غيرها من الآيات والروايات المتواترة، وقد دلت على ذلك الكرامات الخاصة أيضاً.</w:t>
      </w:r>
    </w:p>
    <w:p>
      <w:pPr>
        <w:pStyle w:val="BookText"/>
      </w:pPr>
      <w:r>
        <w:rPr>
          <w:rFonts w:ascii="Amiri" w:hAnsi="Amiri" w:eastAsia="Amiri" w:cs="Amiri"/>
          <w:lang w:bidi="ar-SA"/>
          <w:color w:val="111111"/>
          <w:sz w:val="28"/>
          <w:szCs w:val="28"/>
          <w:rtl/>
        </w:rPr>
        <w:t xml:space="preserve">ولا يستشكل بأنه لو كان</w:t>
      </w:r>
      <w:r>
        <w:rPr>
          <w:rStyle w:val="FootnoteReference"/>
        </w:rPr>
        <w:footnoteReference w:id="130"/>
      </w:r>
    </w:p>
    <w:p>
      <w:pPr>
        <w:pStyle w:val="BookText"/>
      </w:pPr>
      <w:r>
        <w:rPr>
          <w:rFonts w:ascii="Amiri" w:hAnsi="Amiri" w:eastAsia="Amiri" w:cs="Amiri"/>
          <w:lang w:bidi="ar-SA"/>
          <w:color w:val="111111"/>
          <w:sz w:val="28"/>
          <w:szCs w:val="28"/>
          <w:rtl/>
        </w:rPr>
        <w:t xml:space="preserve">خَلَق زيداً أو عمرواً مثلهم لكان يستحق الدرجات الرفيعة؛ لوضوح أنه يلزم في الحكمة خلق كل مهية ممكنة لا محذور في خلقها، وإلاّ لزم العجز أو الجهل أو الخبث، تعالى عن ذلك علواً كبيراً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ما في ذاته محذور عدم القابلية كخلق المتناقضين مثل أن يخلق شيئاً واحداً نملةً وفيلاً، أو زوجاً وفرداً، أو وجوداً وعدماً، أو ما هو خلاف المصلحة، لا يكون الأوّل للاستحالة الذاتية والثاني للاستحالة العرضية؛ إذ القبيح محال على الحكيم تعالى.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7727_123058"/>
    <w:bookmarkEnd w:id="18"/>
    <w:p>
      <w:pPr>
        <w:pStyle w:val="Heading2"/>
      </w:pPr>
      <w:bookmarkStart w:id="50" w:name="_Toc26"/>
      <w:r>
        <w:t>مجالات ستة للرسول(صلی الله علیه و آله)</w:t>
      </w:r>
      <w:bookmarkEnd w:id="50"/>
    </w:p>
    <w:p>
      <w:pPr>
        <w:pStyle w:val="BookText"/>
      </w:pPr>
      <w:r>
        <w:rPr>
          <w:rFonts w:ascii="IRNazanin" w:hAnsi="IRNazanin" w:eastAsia="IRNazanin" w:cs="IRNazanin"/>
          <w:lang w:bidi="fa-IR"/>
          <w:color w:val="111111"/>
          <w:sz w:val="28"/>
          <w:szCs w:val="28"/>
          <w:rtl/>
        </w:rPr>
        <w:t xml:space="preserve">ثم إن القرآن الحكيم ذكر الأسوة برسول اللّه(صلی الله علیه و آله)</w:t>
      </w:r>
      <w:r>
        <w:rPr>
          <w:rStyle w:val="FootnoteReference"/>
        </w:rPr>
        <w:footnoteReference w:id="132"/>
      </w:r>
      <w:r>
        <w:rPr>
          <w:rFonts w:ascii="IRNazanin" w:hAnsi="IRNazanin" w:eastAsia="IRNazanin" w:cs="IRNazanin"/>
          <w:lang w:bidi="fa-IR"/>
          <w:color w:val="111111"/>
          <w:sz w:val="28"/>
          <w:szCs w:val="28"/>
          <w:rtl/>
        </w:rPr>
        <w:t xml:space="preserve">، وفي كلام علي(علیه السلام): «فتأسى متأسٍّ بنبيه وإلاّ فلا يأمن الهلكة»</w:t>
      </w:r>
      <w:r>
        <w:rPr>
          <w:rStyle w:val="FootnoteReference"/>
        </w:rPr>
        <w:footnoteReference w:id="133"/>
      </w:r>
      <w:r>
        <w:rPr>
          <w:rFonts w:ascii="IRNazanin" w:hAnsi="IRNazanin" w:eastAsia="IRNazanin" w:cs="IRNazanin"/>
          <w:lang w:bidi="fa-IR"/>
          <w:color w:val="111111"/>
          <w:sz w:val="28"/>
          <w:szCs w:val="28"/>
          <w:rtl/>
        </w:rPr>
        <w:t xml:space="preserve">، وفي الزيارات قد ورد التأسي بالأئمة(علیهم السلام) حجج اللّه تعالى، هذا في ما لم يكن من مناصبهم ومختصاتهم.</w:t>
      </w:r>
    </w:p>
    <w:p>
      <w:pPr>
        <w:pStyle w:val="BookText"/>
      </w:pPr>
      <w:r>
        <w:rPr>
          <w:rFonts w:ascii="IRNazanin" w:hAnsi="IRNazanin" w:eastAsia="IRNazanin" w:cs="IRNazanin"/>
          <w:lang w:bidi="fa-IR"/>
          <w:color w:val="111111"/>
          <w:sz w:val="28"/>
          <w:szCs w:val="28"/>
          <w:rtl/>
        </w:rPr>
        <w:t xml:space="preserve">والظاهر أنه(صلی الله علیه و آله) تتوفر لديه وفي حيطته أمور ستة: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الأحكام الأوّلية: قولاً أو فعلاً أو تقريراً، كوجوب الصلاة وحرمة الخمر إلى سائر الأحكام التكليفية والوضعية، والمراد بها أعم مما ذكر، ومن مثل الصيام في الحضر والإفطار في السفر، فإن الثاني وإن كان ربما يقال له الحكم الثانوي باعتبار أن التشريع أوّلاً وبالذات هو الصيام، إلاّ أنهأيضاً حكم أوّلي باعتبار أن المكلف مخير بينهما، فهما موضوعان عرضيان.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الأحكام الثانوية: وهي الطولية، مثل أحكام الاضطرار ونحوها، والرسول(صلی الله علیه و آله) أسوة فيهما، كل في مورده، فقد اضطر الرسول(صلی الله علیه و آله) إلى الدخول إلى مكة بقوة السلاح، وإلى الصلاة جالساً في مرضه وهذا من مختصاته، كما أنه(صلی الله علیه و آله) لم يعمل حسب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يعلمون»</w:t>
      </w:r>
      <w:r>
        <w:rPr>
          <w:rStyle w:val="FootnoteReference"/>
        </w:rPr>
        <w:footnoteReference w:id="13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«أخطأوا»، و«ما سهوا»، و«ما نسوا»؛ لأنه(صلی الله علیه و آله) منزه عنها.</w:t>
      </w:r>
    </w:p>
    <w:p>
      <w:pPr>
        <w:pStyle w:val="BookText"/>
      </w:pPr>
      <w:r>
        <w:rPr>
          <w:rFonts w:ascii="IRNazanin" w:hAnsi="IRNazanin" w:eastAsia="IRNazanin" w:cs="IRNazanin"/>
          <w:lang w:bidi="fa-IR"/>
          <w:color w:val="111111"/>
          <w:sz w:val="28"/>
          <w:szCs w:val="28"/>
          <w:rtl/>
        </w:rPr>
        <w:t xml:space="preserve">أما إنه هل عَمِلَ حَسَب «ما أُكرهوا» بنفسه الشريفة(صلی الله علیه و آله)؟ فلم أجده.</w:t>
      </w:r>
    </w:p>
    <w:p>
      <w:pPr>
        <w:pStyle w:val="BookText"/>
      </w:pPr>
      <w:r>
        <w:rPr>
          <w:rFonts w:ascii="IRNazanin" w:hAnsi="IRNazanin" w:eastAsia="IRNazanin" w:cs="IRNazanin"/>
          <w:lang w:bidi="fa-IR"/>
          <w:color w:val="111111"/>
          <w:sz w:val="28"/>
          <w:szCs w:val="28"/>
          <w:rtl/>
        </w:rPr>
        <w:t xml:space="preserve">والعامة يقولون: بالسهو والنسيان فيه(صلی الله علیه و آله) لكن إجماع الشيعة على خلاف ذلك، وكذلك العقل والنقل.3. الأمور العامة: كشرائه(صلی الله علیه و آله) ناقة، أو زواجه(صلی الله علیه و آله) من ثيّب عمرها كذا، وأكله(صلی الله علیه و آله) وشربه كذا، فإنه لا يلزم الاقتداء به(صلی الله علیه و آله) هاهنا بحيث إن التارك لا يأمن الهلكة.</w:t>
      </w:r>
    </w:p>
    <w:p>
      <w:pPr>
        <w:pStyle w:val="BookText"/>
      </w:pPr>
      <w:r>
        <w:rPr>
          <w:rFonts w:ascii="IRNazanin" w:hAnsi="IRNazanin" w:eastAsia="IRNazanin" w:cs="IRNazanin"/>
          <w:lang w:bidi="fa-IR"/>
          <w:color w:val="111111"/>
          <w:sz w:val="28"/>
          <w:szCs w:val="28"/>
          <w:rtl/>
        </w:rPr>
        <w:t xml:space="preserve">نعم، إن عمله(صلی الله علیه و آله) يدل على الجواز، وقول بعض العامة القائلين باللزوم - ولذا قال بوجوب البول في المزبلة ولو في السنة مرة - باطل البناء والمبنى، ولذا لا يقولون بمثل ذلك في ما نسبوا إليه من حمله زوجته ونظرها إلى الطبالين</w:t>
      </w:r>
      <w:r>
        <w:rPr>
          <w:rStyle w:val="FootnoteReference"/>
        </w:rPr>
        <w:footnoteReference w:id="13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أيضاً باطل عندنا مفترىً عليه(صلی الله علیه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الحكوميات: التي هي عبارة عن تطبيقه(صلی الله علیه و آله) كبرى المصلحة على صغرى خارجية في شؤون الناس، كنصب أسامة أميراً، أو فلاناً والياً على البحرين، أوما أشبه ذلك، فإنه لا يجب على</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علي(علیه السلام) في زمان حكومته أن يفعل ذلك بعينه، وإن فرض أن المنصوب بقي على العدالة.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التصرفات الولائية بالمعنى الأعم: فإنها وإن كانت جائزة له(صلی الله علیه و آله) خلافة عن اللّه سبحانه إلاّ أنا لم نجد أنه(صلی الله علیه و آله) عمل بها، كجعل حر عبداً أو عكسه، أو إبطال زواج أو جعله، أو إبطال ملك أو عكسه، إلى ما أشبه ذلك.</w:t>
      </w:r>
    </w:p>
    <w:p>
      <w:pPr>
        <w:pStyle w:val="BookText"/>
      </w:pPr>
      <w:r>
        <w:rPr>
          <w:rFonts w:ascii="IRNazanin" w:hAnsi="IRNazanin" w:eastAsia="IRNazanin" w:cs="IRNazanin"/>
          <w:lang w:bidi="fa-IR"/>
          <w:color w:val="111111"/>
          <w:sz w:val="28"/>
          <w:szCs w:val="28"/>
          <w:rtl/>
        </w:rPr>
        <w:t xml:space="preserve">وروي تهديد علي(علیه السلام)</w:t>
      </w:r>
      <w:r>
        <w:rPr>
          <w:rStyle w:val="FootnoteReference"/>
        </w:rPr>
        <w:footnoteReference w:id="136"/>
      </w:r>
      <w:r>
        <w:rPr>
          <w:rFonts w:ascii="Amiri" w:hAnsi="Amiri" w:eastAsia="Amiri" w:cs="Amiri"/>
          <w:lang w:bidi="ar-SA"/>
          <w:color w:val="111111"/>
          <w:sz w:val="28"/>
          <w:szCs w:val="28"/>
          <w:rtl/>
        </w:rPr>
        <w:t xml:space="preserve">جعل الأحرار عبيداً في قصة طغيان الفرات</w:t>
      </w:r>
      <w:r>
        <w:rPr>
          <w:rStyle w:val="FootnoteReference"/>
        </w:rPr>
        <w:footnoteReference w:id="13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كما لم نجد مثل هذا التصرف عن الأئمة عليهم الصلاة والسلام.</w:t>
      </w:r>
    </w:p>
    <w:p>
      <w:pPr>
        <w:pStyle w:val="BookText"/>
      </w:pPr>
      <w:r>
        <w:rPr>
          <w:rFonts w:ascii="Amiri" w:hAnsi="Amiri" w:eastAsia="Amiri" w:cs="Amiri"/>
          <w:lang w:bidi="ar-SA"/>
          <w:color w:val="111111"/>
          <w:sz w:val="28"/>
          <w:szCs w:val="28"/>
          <w:rtl/>
        </w:rPr>
        <w:t xml:space="preserve">وما ذكره بعضهم من قصة سمرة</w:t>
      </w:r>
      <w:r>
        <w:rPr>
          <w:rStyle w:val="FootnoteReference"/>
        </w:rPr>
        <w:footnoteReference w:id="138"/>
      </w:r>
      <w:r>
        <w:rPr>
          <w:rFonts w:ascii="Amiri" w:hAnsi="Amiri" w:eastAsia="Amiri" w:cs="Amiri"/>
          <w:lang w:bidi="ar-SA"/>
          <w:color w:val="111111"/>
          <w:sz w:val="28"/>
          <w:szCs w:val="28"/>
          <w:rtl/>
        </w:rPr>
        <w:t xml:space="preserve">وأن القلع كان بالولاية محل نظر، بل هو جائز حتى للفقيهحيث يلجؤه الأمر إلى ذلك، كما بيناه في الأصول</w:t>
      </w:r>
      <w:r>
        <w:rPr>
          <w:rStyle w:val="FootnoteReference"/>
        </w:rPr>
        <w:footnoteReference w:id="139"/>
      </w:r>
      <w:r>
        <w:rPr>
          <w:rFonts w:ascii="Amiri" w:hAnsi="Amiri" w:eastAsia="Amiri" w:cs="Amiri"/>
          <w:lang w:bidi="ar-SA"/>
          <w:color w:val="111111"/>
          <w:sz w:val="28"/>
          <w:szCs w:val="28"/>
          <w:rtl/>
        </w:rPr>
        <w:t xml:space="preserve">فإنه حكم قضائي في أمثال هذا التنازع.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الاختصاصات: كزواجه(صلی الله علیه و آله) أكثر من أربع، وغيره مما ذكره الشرائع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والجواهر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وغيرهما في باب النكاح، وهي خاصة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7727_123061"/>
    <w:bookmarkEnd w:id="19"/>
    <w:p>
      <w:pPr>
        <w:pStyle w:val="BookText"/>
      </w:pPr>
      <w:r>
        <w:rPr>
          <w:rFonts w:ascii="IRNazanin" w:hAnsi="IRNazanin" w:eastAsia="IRNazanin" w:cs="IRNazanin"/>
          <w:lang w:bidi="fa-IR"/>
          <w:color w:val="111111"/>
          <w:sz w:val="28"/>
          <w:szCs w:val="28"/>
          <w:rtl/>
        </w:rPr>
        <w:t xml:space="preserve">به(صلی الله علیه و آله) وإن كان ربما يوجد نحو منه في بعض المعصومين(علیهم السلام) مثل: حرمة زواج علي(علیه السلام) امرأة مادامت فاطمة سلام اللّه عليها في بيته مما يكون من مختصات فاطمة سلام اللّه عليها وحرمة أن يخاطب غير علي(علیه السلام) بإمرة المؤمنين مما كان من خصائصه، وما يظهر من اختصاص بعض الأحكام بالإمام المهدي(عجل الله تعالی فرجه الشریف)، كما يظهر من بعض الأخبار.</w:t>
      </w:r>
    </w:p>
    <w:p>
      <w:pPr>
        <w:pStyle w:val="Heading2"/>
      </w:pPr>
      <w:bookmarkStart w:id="51" w:name="_Toc27"/>
      <w:r>
        <w:t>شمولية علمهم وقدراتهم(علیهم السلام)</w:t>
      </w:r>
      <w:bookmarkEnd w:id="51"/>
    </w:p>
    <w:p>
      <w:pPr>
        <w:pStyle w:val="BookText"/>
      </w:pPr>
      <w:r>
        <w:rPr>
          <w:rFonts w:ascii="IRNazanin" w:hAnsi="IRNazanin" w:eastAsia="IRNazanin" w:cs="IRNazanin"/>
          <w:lang w:bidi="fa-IR"/>
          <w:color w:val="111111"/>
          <w:sz w:val="28"/>
          <w:szCs w:val="28"/>
          <w:rtl/>
        </w:rPr>
        <w:t xml:space="preserve">ثم إنهم(علیهم السلام) ومنهم فاطمة صلوات اللّه عليها يحيطون علماً وقدرةً - بإذن اللّه تعالى - بالكائنات جميعاً إلاّ ما استثني</w:t>
      </w:r>
      <w:r>
        <w:rPr>
          <w:rStyle w:val="FootnoteReference"/>
        </w:rPr>
        <w:footnoteReference w:id="14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في الزيارة الرجبية ما يدل على ذلك، كما في جملة من الأحاديث: «يعلمون ما كان وما يكون وما هو كائن»</w:t>
      </w:r>
      <w:r>
        <w:rPr>
          <w:rStyle w:val="FootnoteReference"/>
        </w:rPr>
        <w:footnoteReference w:id="141"/>
      </w:r>
      <w:r>
        <w:rPr>
          <w:rFonts w:ascii="IRNazanin" w:hAnsi="IRNazanin" w:eastAsia="IRNazanin" w:cs="IRNazanin"/>
          <w:lang w:bidi="fa-IR"/>
          <w:color w:val="111111"/>
          <w:sz w:val="28"/>
          <w:szCs w:val="28"/>
          <w:rtl/>
        </w:rPr>
        <w:t xml:space="preserve">، فإنه ليس بمحال عقلاً، ويشبه ذلك في الماديات الهواء والحرارة والجاذبية وغيرها، كما أن عزرائيل(علیه السلام) يحيط علماً وقدرةً في بُعْد الإماتة بكل إنسان، بل بالملائكة أيضاً، كما ورد في الأحاديث.</w:t>
      </w:r>
    </w:p>
    <w:p>
      <w:pPr>
        <w:pStyle w:val="BookText"/>
      </w:pPr>
      <w:r>
        <w:rPr>
          <w:rFonts w:ascii="Amiri" w:hAnsi="Amiri" w:eastAsia="Amiri" w:cs="Amiri"/>
          <w:lang w:bidi="ar-SA"/>
          <w:color w:val="111111"/>
          <w:sz w:val="28"/>
          <w:szCs w:val="28"/>
          <w:rtl/>
        </w:rPr>
        <w:t xml:space="preserve">وقد قال اللّه سبحانه في إبراهيم(علیه السلام): «وَكَذَٰلِكَ نُرِيٓ إِبۡرَٰهِيمَ مَلَكُوتَ ٱلسَّمَٰوَٰتِ وَٱلۡأَرۡضِ»</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يعقوب(علیه السلام): «وَلَمَّا فَصَلَتِٱلۡعِيرُ قَالَ أَبُوهُمۡ إِنِّي لَأَجِدُ رِيحَ يُوسُفَۖ»</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وهم(علیهم السلام) أفضل من الملائكة والأنبياء(علیهم السلام)، كما دلت على ذلك النصوص وإجماعنا، وقد سبق الإشارة إلى ذلك.</w:t>
      </w:r>
    </w:p>
    <w:p>
      <w:pPr>
        <w:pStyle w:val="BookText"/>
      </w:pPr>
      <w:r>
        <w:rPr>
          <w:rFonts w:ascii="Amiri" w:hAnsi="Amiri" w:eastAsia="Amiri" w:cs="Amiri"/>
          <w:lang w:bidi="ar-SA"/>
          <w:color w:val="111111"/>
          <w:sz w:val="28"/>
          <w:szCs w:val="28"/>
          <w:rtl/>
        </w:rPr>
        <w:t xml:space="preserve">وفي رسول الإسلام(صلی الله علیه و آله) قال اللّه تعالى: «إِنَّآ أَرۡسَلۡنَٰكَ شَٰهِدا وَمُبَشِّرا وَنَذِيرا * وَدَاعِيًا إِلَى ٱللَّهِ بِإِذۡنِهِۦ وَسِرَاجا مُّنِيرا»</w:t>
      </w:r>
      <w:r>
        <w:rPr>
          <w:rStyle w:val="FootnoteReference"/>
        </w:rPr>
        <w:footnoteReference w:id="144"/>
      </w:r>
      <w:r>
        <w:rPr>
          <w:rFonts w:ascii="IRNazanin" w:hAnsi="IRNazanin" w:eastAsia="IRNazanin" w:cs="IRNazanin"/>
          <w:lang w:bidi="fa-IR"/>
          <w:color w:val="111111"/>
          <w:sz w:val="28"/>
          <w:szCs w:val="28"/>
          <w:rtl/>
        </w:rPr>
        <w:t xml:space="preserve">فإطلاق الشاهد</w:t>
      </w:r>
      <w:r>
        <w:rPr>
          <w:rStyle w:val="FootnoteReference"/>
        </w:rPr>
        <w:footnoteReference w:id="145"/>
      </w:r>
      <w:r>
        <w:rPr>
          <w:rFonts w:ascii="Amiri" w:hAnsi="Amiri" w:eastAsia="Amiri" w:cs="Amiri"/>
          <w:lang w:bidi="ar-SA"/>
          <w:color w:val="111111"/>
          <w:sz w:val="28"/>
          <w:szCs w:val="28"/>
          <w:rtl/>
        </w:rPr>
        <w:t xml:space="preserve">وقرينية إطلاق الصفات الأخرى يدل على العموم، ومن المعلوم أن الشاهد لا يكون إلاّ من حضر.</w:t>
      </w:r>
    </w:p>
    <w:p>
      <w:pPr>
        <w:pStyle w:val="BookText"/>
      </w:pPr>
      <w:r>
        <w:rPr>
          <w:rFonts w:ascii="Amiri" w:hAnsi="Amiri" w:eastAsia="Amiri" w:cs="Amiri"/>
          <w:lang w:bidi="ar-SA"/>
          <w:color w:val="111111"/>
          <w:sz w:val="28"/>
          <w:szCs w:val="28"/>
          <w:rtl/>
        </w:rPr>
        <w:t xml:space="preserve">وقال سبحانه: «وَجِئۡنَا بِكَ عَلَىٰ هَٰٓؤُلَآءِ شَهِيدا»</w:t>
      </w:r>
      <w:r>
        <w:rPr>
          <w:rStyle w:val="FootnoteReference"/>
        </w:rPr>
        <w:footnoteReference w:id="146"/>
      </w:r>
      <w:r>
        <w:rPr>
          <w:rFonts w:ascii="Amiri" w:hAnsi="Amiri" w:eastAsia="Amiri" w:cs="Amiri"/>
          <w:lang w:bidi="ar-SA"/>
          <w:color w:val="111111"/>
          <w:sz w:val="28"/>
          <w:szCs w:val="28"/>
          <w:rtl/>
        </w:rPr>
        <w:t xml:space="preserve">، ويؤيّده قوله تعالى بعد ذلك: «يَوۡمَئِذٖ يَوَدُّ ٱلَّذِينَ كَفَرُواْ وَعَصَوُاْ ٱلرَّسُولَ لَوۡ تُسَوَّىٰ بِهِمُ ٱلۡأَرۡضُ وَلَا يَكۡتُمُونَ ٱللَّهَ حَدِيثا»</w:t>
      </w:r>
      <w:r>
        <w:rPr>
          <w:rStyle w:val="FootnoteReference"/>
        </w:rPr>
        <w:footnoteReference w:id="147"/>
      </w:r>
      <w:r>
        <w:rPr>
          <w:rFonts w:ascii="Amiri" w:hAnsi="Amiri" w:eastAsia="Amiri" w:cs="Amiri"/>
          <w:lang w:bidi="ar-SA"/>
          <w:color w:val="111111"/>
          <w:sz w:val="28"/>
          <w:szCs w:val="28"/>
          <w:rtl/>
        </w:rPr>
        <w:t xml:space="preserve">.وفي الروايات: «لولا أن الشياطين يحومون على قلوب بني آدم لنظروا إلى ملكوت السماوات»</w:t>
      </w:r>
      <w:r>
        <w:rPr>
          <w:rStyle w:val="FootnoteReference"/>
        </w:rPr>
        <w:footnoteReference w:id="14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كان لبني آدم هذه القدرة - لولا المنع - فأهل البيت(علیهم السلام) أولى.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7727_123063"/>
    <w:bookmarkEnd w:id="20"/>
    <w:p>
      <w:pPr>
        <w:pStyle w:val="BookText"/>
      </w:pPr>
      <w:r>
        <w:rPr>
          <w:rFonts w:ascii="Amiri" w:hAnsi="Amiri" w:eastAsia="Amiri" w:cs="Amiri"/>
          <w:lang w:bidi="ar-SA"/>
          <w:color w:val="111111"/>
          <w:sz w:val="28"/>
          <w:szCs w:val="28"/>
          <w:rtl/>
        </w:rPr>
        <w:t xml:space="preserve">وتقول في تشهد الصلاة: «السلام عليك أيها النبي» وفيه ظهور الحضور، وفي الحديث: «نزهونا عن الربوبية وقولوا فينا ما شئتم»</w:t>
      </w:r>
      <w:r>
        <w:rPr>
          <w:rStyle w:val="FootnoteReference"/>
        </w:rPr>
        <w:footnoteReference w:id="14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حيث إن جماعة اتخذوهم(علیهم السلام) آلهة فنهوا عن ذلك، أما بَعد الألوهية ففيهم(علیهم السلام) كل خير، والتي منها عموم العلم والقدرة، وفي جملة من زيارات الحسين(علیه السلام)، كما في بعض فقرات الزيارة الجامعة دلالة على ذلك.</w:t>
      </w:r>
    </w:p>
    <w:p>
      <w:pPr>
        <w:pStyle w:val="BookText"/>
      </w:pPr>
      <w:r>
        <w:rPr>
          <w:rFonts w:ascii="IRNazanin" w:hAnsi="IRNazanin" w:eastAsia="IRNazanin" w:cs="IRNazanin"/>
          <w:lang w:bidi="fa-IR"/>
          <w:color w:val="111111"/>
          <w:sz w:val="28"/>
          <w:szCs w:val="28"/>
          <w:rtl/>
        </w:rPr>
        <w:t xml:space="preserve">وما ورد من إبلاغ الملَك السلام إلى رسول اللّه(صلی الله علیه و آله) لا ينافي ما تقدم، فهو كإبلاغ الملَكصحيفة الأعمال إليه سبحانه، وسؤالهم(علیهم السلام) عن أشياء كسؤال اللّه في قوله تعالى: «وَمَا تِلۡكَ بِيَمِينِكَ يَٰمُوسَىٰ»</w:t>
      </w:r>
      <w:r>
        <w:rPr>
          <w:rStyle w:val="FootnoteReference"/>
        </w:rPr>
        <w:footnoteReference w:id="150"/>
      </w:r>
      <w:r>
        <w:rPr>
          <w:rFonts w:ascii="Amiri" w:hAnsi="Amiri" w:eastAsia="Amiri" w:cs="Amiri"/>
          <w:lang w:bidi="ar-SA"/>
          <w:color w:val="111111"/>
          <w:sz w:val="28"/>
          <w:szCs w:val="28"/>
          <w:rtl/>
        </w:rPr>
        <w:t xml:space="preserve">، إلى غير ذلك، مما لا يخفى على من راجع الروايات المتواترة.</w:t>
      </w:r>
    </w:p>
    <w:p>
      <w:pPr>
        <w:pStyle w:val="Heading2"/>
      </w:pPr>
      <w:bookmarkStart w:id="52" w:name="_Toc28"/>
      <w:r>
        <w:t>بين العلم الغيبي والسلوك العملي</w:t>
      </w:r>
      <w:bookmarkEnd w:id="52"/>
    </w:p>
    <w:p>
      <w:pPr>
        <w:pStyle w:val="BookText"/>
      </w:pPr>
      <w:r>
        <w:rPr>
          <w:rFonts w:ascii="IRNazanin" w:hAnsi="IRNazanin" w:eastAsia="IRNazanin" w:cs="IRNazanin"/>
          <w:lang w:bidi="fa-IR"/>
          <w:color w:val="111111"/>
          <w:sz w:val="28"/>
          <w:szCs w:val="28"/>
          <w:rtl/>
        </w:rPr>
        <w:t xml:space="preserve">ثم الظاهر أن علمهم(علیهم السلام) الغيبي لا يؤثر في سلوكهم العملي:</w:t>
      </w:r>
    </w:p>
    <w:p>
      <w:pPr>
        <w:pStyle w:val="BookText"/>
      </w:pPr>
      <w:r>
        <w:rPr>
          <w:rFonts w:ascii="IRNazanin" w:hAnsi="IRNazanin" w:eastAsia="IRNazanin" w:cs="IRNazanin"/>
          <w:lang w:bidi="fa-IR"/>
          <w:color w:val="111111"/>
          <w:sz w:val="28"/>
          <w:szCs w:val="28"/>
          <w:rtl/>
        </w:rPr>
        <w:t xml:space="preserve">فالحسن(علیه السلام) يشرب السم مع أنه لم يكن مجبوراً، والرسول(صلی الله علیه و آله) مضغ اللحم المسموم الذي أثر فيه، وأخيراً انتهى إلى الموت، وعلي(علیه السلام) كان يعلم بوقت موته، ومع ذلك خرج إلى المسجد مع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إمكانه أن يستنيب في صلاة الجماعة ذلك اليوم، أو يستصحب معه حراساً، أو يسجن ابن ملجم، أو يخرجه منالمسجد، أو يجعل عليه حراساً، أو ما أشبه ذلك.</w:t>
      </w:r>
    </w:p>
    <w:p>
      <w:pPr>
        <w:pStyle w:val="BookText"/>
      </w:pPr>
      <w:r>
        <w:rPr>
          <w:rFonts w:ascii="IRNazanin" w:hAnsi="IRNazanin" w:eastAsia="IRNazanin" w:cs="IRNazanin"/>
          <w:lang w:bidi="fa-IR"/>
          <w:color w:val="111111"/>
          <w:sz w:val="28"/>
          <w:szCs w:val="28"/>
          <w:rtl/>
        </w:rPr>
        <w:t xml:space="preserve">أما القول بأنهم(علیهم السلام) لا يعلمون عند نزول الموت، أو أنهم مضطرون كما في دس هارون والمأمون السمّ إلى الإمامين الكاظم والرضا(علیهما السلام) أو ما أشبه ذلك من الأجوبة، فليست بمقنعة وخلاف ظاهر الأدلة.</w:t>
      </w:r>
    </w:p>
    <w:p>
      <w:pPr>
        <w:pStyle w:val="BookText"/>
      </w:pPr>
      <w:r>
        <w:rPr>
          <w:rFonts w:ascii="IRNazanin" w:hAnsi="IRNazanin" w:eastAsia="IRNazanin" w:cs="IRNazanin"/>
          <w:lang w:bidi="fa-IR"/>
          <w:color w:val="111111"/>
          <w:sz w:val="28"/>
          <w:szCs w:val="28"/>
          <w:rtl/>
        </w:rPr>
        <w:t xml:space="preserve">بل لو كان العلم الغيبي يؤثر لما بكى الرسول(صلی الله علیه و آله) لفقد ولده إبراهيم، ولما بكى الحسين(علیه السلام) لفقد أولاده وأصحابه، مع أنهم(علیهم السلام) يعلمون بل ويرون انتقالهم إلى جنات النعيم، هل يبكي أحدنا لذهاب ولده إلى مكان حسن جداً وهو يراه عين اليقين؟ بل لم يكن يعقوب(علیه السلام) يبكي من فراق يوسف(علیه السلام) وهو يعلم أنه حي وسيرجع إليه بعد مدة ملكاً.</w:t>
      </w:r>
    </w:p>
    <w:p>
      <w:pPr>
        <w:pStyle w:val="BookText"/>
      </w:pPr>
      <w:r>
        <w:rPr>
          <w:rFonts w:ascii="IRNazanin" w:hAnsi="IRNazanin" w:eastAsia="IRNazanin" w:cs="IRNazanin"/>
          <w:lang w:bidi="fa-IR"/>
          <w:color w:val="111111"/>
          <w:sz w:val="28"/>
          <w:szCs w:val="28"/>
          <w:rtl/>
        </w:rPr>
        <w:t xml:space="preserve">لا يقال: حتى على فرض موت يوسف(علیه السلام) فلماذا هذا البكاءمن يعقوب(علیه السلام) حتى ابيضت عيناه وخيف عليه أن يكون حَرضاً أو يكون من الهالكين؟</w:t>
      </w:r>
    </w:p>
    <w:p>
      <w:pPr>
        <w:pStyle w:val="BookText"/>
      </w:pPr>
      <w:r>
        <w:rPr>
          <w:rFonts w:ascii="IRNazanin" w:hAnsi="IRNazanin" w:eastAsia="IRNazanin" w:cs="IRNazanin"/>
          <w:lang w:bidi="fa-IR"/>
          <w:color w:val="111111"/>
          <w:sz w:val="28"/>
          <w:szCs w:val="28"/>
          <w:rtl/>
        </w:rPr>
        <w:t xml:space="preserve">لأنه يقال: كما أن العيون والشمس منبع الماء والنور، كذلك جعل اللّه سبحانه للمعنويات منابع، فيعقوب(علیه السلام) منبع العاطفة ليتأس الناس به ويستمدونها منه، ولولا ذلك لم يكن لهم ما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يتأسون به.</w:t>
      </w:r>
    </w:p>
    <w:p>
      <w:pPr>
        <w:pStyle w:val="BookText"/>
      </w:pPr>
      <w:r>
        <w:rPr>
          <w:rFonts w:ascii="IRNazanin" w:hAnsi="IRNazanin" w:eastAsia="IRNazanin" w:cs="IRNazanin"/>
          <w:lang w:bidi="fa-IR"/>
          <w:color w:val="111111"/>
          <w:sz w:val="28"/>
          <w:szCs w:val="28"/>
          <w:rtl/>
        </w:rPr>
        <w:t xml:space="preserve">فعلمهم الغيبي صلوات اللّه عليهم أجمعين لا يؤثر في عواطفهم الإنسانية كي يكونوا أسوة، وإلاّ لقال الناس أن علياً(علیه السلام) كان يخوض الحروب لعلمه بأنه لا يُقتل ونحن لا نعلم ذلك.</w:t>
      </w:r>
    </w:p>
    <w:p>
      <w:pPr>
        <w:pStyle w:val="BookText"/>
      </w:pPr>
      <w:r>
        <w:rPr>
          <w:rFonts w:ascii="Amiri" w:hAnsi="Amiri" w:eastAsia="Amiri" w:cs="Amiri"/>
          <w:lang w:bidi="ar-SA"/>
          <w:color w:val="111111"/>
          <w:sz w:val="28"/>
          <w:szCs w:val="28"/>
          <w:rtl/>
        </w:rPr>
        <w:t xml:space="preserve">بل ميثم التمار جاء إلى الكوفة وقد كان يتمكن من الفرار من مكة إلى موضع لا يصله سلطان ابن زياد، إلى غيرها من الأمثلة الكثيرة.</w:t>
      </w:r>
    </w:p>
    <w:p>
      <w:pPr>
        <w:pStyle w:val="BookText"/>
      </w:pPr>
      <w:r>
        <w:rPr>
          <w:rFonts w:ascii="IRNazanin" w:hAnsi="IRNazanin" w:eastAsia="IRNazanin" w:cs="IRNazanin"/>
          <w:lang w:bidi="fa-IR"/>
          <w:color w:val="111111"/>
          <w:sz w:val="28"/>
          <w:szCs w:val="28"/>
          <w:rtl/>
        </w:rPr>
        <w:t xml:space="preserve">وكذلك حال القدرة الغيبية؛ إذ لا يستعملونها إلاّ حال الإعجاز، فلقد كانوا قادرين على رفع الضيق عنهم وعن المؤمنين،فهم(علیهم السلام) - ولا مناقشة في المثال - كوكيل الإنسان الغني لا يتصرف في أمواله إلاّ بإذن الموكّل وإن كان قادراً على التصرف، واللّه سبحانه العالم.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7727_123066"/>
    <w:bookmarkEnd w:id="21"/>
    <w:p>
      <w:pPr>
        <w:pStyle w:val="Heading2"/>
      </w:pPr>
      <w:bookmarkStart w:id="53" w:name="_Toc29"/>
      <w:r>
        <w:t>الأحكام المستفادة</w:t>
      </w:r>
      <w:bookmarkEnd w:id="53"/>
    </w:p>
    <w:p>
      <w:pPr>
        <w:pStyle w:val="BookText"/>
      </w:pPr>
      <w:r>
        <w:rPr>
          <w:rFonts w:ascii="Amiri" w:hAnsi="Amiri" w:eastAsia="Amiri" w:cs="Amiri"/>
          <w:lang w:bidi="ar-SA"/>
          <w:color w:val="111111"/>
          <w:sz w:val="28"/>
          <w:szCs w:val="28"/>
          <w:rtl/>
        </w:rPr>
        <w:t xml:space="preserve">وقد أشرنا أن إلى الأحكام التي ذكرت في الكتاب</w:t>
      </w:r>
      <w:r>
        <w:rPr>
          <w:rStyle w:val="FootnoteReference"/>
        </w:rPr>
        <w:footnoteReference w:id="151"/>
      </w:r>
      <w:r>
        <w:rPr>
          <w:rFonts w:ascii="IRNazanin" w:hAnsi="IRNazanin" w:eastAsia="IRNazanin" w:cs="IRNazanin"/>
          <w:lang w:bidi="fa-IR"/>
          <w:color w:val="111111"/>
          <w:sz w:val="28"/>
          <w:szCs w:val="28"/>
          <w:rtl/>
        </w:rPr>
        <w:t xml:space="preserve">مما يستفاد من كلماتها(علیها السلام) إنما ذكرناها بإيجاز، دون التطرق لمختلف الأدلة والأقوال وشبه ذلك، وإلاّ فالتفصيل يحتاج إلى مجلدات ضخمة، حسب قولهم(علیهم السلام): «علينا إلقاء الأصول وعليكم التفريع»</w:t>
      </w:r>
      <w:r>
        <w:rPr>
          <w:rStyle w:val="FootnoteReference"/>
        </w:rPr>
        <w:footnoteReference w:id="15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اللّه سبحانه يوفّق بعض مواليها(علیها السلام) من الفقهاء كي يتشرف بتفصيل ذلك، وهو المستعان.</w:t>
      </w:r>
    </w:p>
    <w:p>
      <w:pPr>
        <w:pStyle w:val="BookText"/>
      </w:pPr>
      <w:r>
        <w:rPr>
          <w:rFonts w:ascii="Amiri" w:hAnsi="Amiri" w:eastAsia="Amiri" w:cs="Amiri"/>
          <w:lang w:bidi="ar-SA"/>
          <w:color w:val="111111"/>
          <w:sz w:val="28"/>
          <w:szCs w:val="28"/>
          <w:rtl/>
        </w:rPr>
        <w:t xml:space="preserve">ولا يخفى أن الأحكام التي استفدناها قد تستخرج استناداً إلى الدلالة المطابقية أو التضمنية أو الالتزامية، وقديتم استخراجها استناداً إلى دلالة الاقتضاء</w:t>
      </w:r>
      <w:r>
        <w:rPr>
          <w:rStyle w:val="FootnoteReference"/>
        </w:rPr>
        <w:footnoteReference w:id="153"/>
      </w:r>
    </w:p>
    <w:p>
      <w:pPr>
        <w:pStyle w:val="BookText"/>
      </w:pPr>
      <w:r>
        <w:rPr>
          <w:rFonts w:ascii="Amiri" w:hAnsi="Amiri" w:eastAsia="Amiri" w:cs="Amiri"/>
          <w:lang w:bidi="ar-SA"/>
          <w:color w:val="111111"/>
          <w:sz w:val="28"/>
          <w:szCs w:val="28"/>
          <w:rtl/>
        </w:rPr>
        <w:t xml:space="preserve">والقارئ الكريم سيرى أن المؤلف (قدس سره) قام بملاحظة شتى الجهات السابقة الذكر وربما يكون من ذلك أيضاً: استكشاف الإنشاء من الأخبار وبالعكس عبر بعض الدلالات السابقة.</w:t>
      </w:r>
    </w:p>
    <w:p>
      <w:pPr>
        <w:pStyle w:val="BookText"/>
      </w:pPr>
      <w:r>
        <w:rPr>
          <w:rFonts w:ascii="Amiri" w:hAnsi="Amiri" w:eastAsia="Amiri" w:cs="Amiri"/>
          <w:lang w:bidi="ar-SA"/>
          <w:color w:val="111111"/>
          <w:sz w:val="28"/>
          <w:szCs w:val="28"/>
          <w:rtl/>
        </w:rPr>
        <w:t xml:space="preserve">، وربما الدلالة العرفية أيضاً، وإن لم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7727_123067"/>
    <w:bookmarkEnd w:id="22"/>
    <w:p>
      <w:pPr>
        <w:pStyle w:val="BookText"/>
      </w:pPr>
      <w:r>
        <w:rPr>
          <w:rFonts w:ascii="IRNazanin" w:hAnsi="IRNazanin" w:eastAsia="IRNazanin" w:cs="IRNazanin"/>
          <w:lang w:bidi="fa-IR"/>
          <w:color w:val="111111"/>
          <w:sz w:val="28"/>
          <w:szCs w:val="28"/>
          <w:rtl/>
        </w:rPr>
        <w:t xml:space="preserve">تكن من الأربع المذكورة. وربما كان الحكم أو العلم به منشأ لتعليل أو توضيح بعض كلماتها(علیها السلام)</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استطردنا أحياناً إلى ذكر بعض الأمور الأُخَر، بالإضافة إلىالاعتقاديات وفلسفة الأحكام والأحكام الخمسة.</w:t>
      </w:r>
    </w:p>
    <w:p>
      <w:pPr>
        <w:pStyle w:val="BookText"/>
      </w:pPr>
      <w:r>
        <w:rPr>
          <w:rFonts w:ascii="IRNazanin" w:hAnsi="IRNazanin" w:eastAsia="IRNazanin" w:cs="IRNazanin"/>
          <w:lang w:bidi="fa-IR"/>
          <w:color w:val="111111"/>
          <w:sz w:val="28"/>
          <w:szCs w:val="28"/>
          <w:rtl/>
        </w:rPr>
        <w:t xml:space="preserve">وهذا الكتاب يتطرق غالباً للحديث عما يستنبط من أقوالها(علیها السلام)، أما فعلها وتقريرها: فبحاجة إلى كتاب ضخم ويكفي أن نشير هنا إشارة عابرة إلى بعض النماذج من فعلها وسيرتها(علیها السلام).</w:t>
      </w:r>
    </w:p>
    <w:p>
      <w:pPr>
        <w:pStyle w:val="Heading2"/>
      </w:pPr>
      <w:bookmarkStart w:id="54" w:name="_Toc30"/>
      <w:r>
        <w:t>دروسٌ من سيرتها(علیها السلام)</w:t>
      </w:r>
      <w:bookmarkEnd w:id="54"/>
    </w:p>
    <w:p>
      <w:pPr>
        <w:pStyle w:val="BookText"/>
      </w:pPr>
      <w:r>
        <w:rPr>
          <w:rFonts w:ascii="IRNazanin" w:hAnsi="IRNazanin" w:eastAsia="IRNazanin" w:cs="IRNazanin"/>
          <w:lang w:bidi="fa-IR"/>
          <w:color w:val="111111"/>
          <w:sz w:val="28"/>
          <w:szCs w:val="28"/>
          <w:rtl/>
        </w:rPr>
        <w:t xml:space="preserve">ففي سيرة وحياة الزهراء(علیها السلام) مواضع كثيرة للتعلّم، إذا تعلمها المسلمون بل البشرية سعدوا في الدنيا قبل الآخرة وأسعدوا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الآخرين، نذكر منها على سبيل المثال لا الحصر:</w:t>
      </w:r>
    </w:p>
    <w:p>
      <w:pPr>
        <w:pStyle w:val="BookText"/>
      </w:pPr>
      <w:r>
        <w:rPr>
          <w:rFonts w:ascii="IRNazanin" w:hAnsi="IRNazanin" w:eastAsia="IRNazanin" w:cs="IRNazanin"/>
          <w:lang w:bidi="fa-IR"/>
          <w:color w:val="111111"/>
          <w:sz w:val="28"/>
          <w:szCs w:val="28"/>
          <w:rtl/>
        </w:rPr>
        <w:t xml:space="preserve">زواجها الميمون، حيث زوّجها الرسول(صلی الله علیه و آله) في أوّل بلوغها(علیها السلام)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إذا زُوّجت البنات في أوائل البلوغ سعدن، وانقطعتإلى حد بعيد جذور الفساد في المجتمع؛ إذ معنى زواجهنّ في ذلك السن زواج الأولاد الذكور أيضاً في سن البلوغ، فلا ترغب النفس أو تهم بالحرام.</w:t>
      </w:r>
    </w:p>
    <w:p>
      <w:pPr>
        <w:pStyle w:val="BookText"/>
      </w:pPr>
      <w:r>
        <w:rPr>
          <w:rFonts w:ascii="Amiri" w:hAnsi="Amiri" w:eastAsia="Amiri" w:cs="Amiri"/>
          <w:lang w:bidi="ar-SA"/>
          <w:color w:val="111111"/>
          <w:sz w:val="28"/>
          <w:szCs w:val="28"/>
          <w:rtl/>
        </w:rPr>
        <w:t xml:space="preserve">وقد رأينا جملة من العشائر في البلاد الإسلامية تجري على ذلك، وبذلك تشذ الجريمة وتتضاءل أرقامها إلى ما يقارب الصفر، بخلاف ما لو لم يتبع هذا المنهج حيث تتصاعد تصاعداً كبيراً، وذلك يؤدي إلى الأمراض والعُقَد النفسية والتوترات العصبية وهدم العوائل وكثرة المشاكل، إلى غيرها.</w:t>
      </w:r>
    </w:p>
    <w:p>
      <w:pPr>
        <w:pStyle w:val="BookText"/>
      </w:pPr>
      <w:r>
        <w:rPr>
          <w:rFonts w:ascii="IRNazanin" w:hAnsi="IRNazanin" w:eastAsia="IRNazanin" w:cs="IRNazanin"/>
          <w:lang w:bidi="fa-IR"/>
          <w:color w:val="111111"/>
          <w:sz w:val="28"/>
          <w:szCs w:val="28"/>
          <w:rtl/>
        </w:rPr>
        <w:t xml:space="preserve">كما أن في الجهاز البسيط لزواجها صلوات اللّه عليها أكبر الدرس لتخفيف المهور والقناعة بالميسور، وقد قال(صلی الله علیه و آله): «أفضل نساء أمتي أصبحهن وجهاً</w:t>
      </w:r>
      <w:r>
        <w:rPr>
          <w:rStyle w:val="FootnoteReference"/>
        </w:rPr>
        <w:footnoteReference w:id="156"/>
      </w:r>
      <w:r>
        <w:rPr>
          <w:rFonts w:ascii="IRNazanin" w:hAnsi="IRNazanin" w:eastAsia="IRNazanin" w:cs="IRNazanin"/>
          <w:lang w:bidi="fa-IR"/>
          <w:color w:val="111111"/>
          <w:sz w:val="28"/>
          <w:szCs w:val="28"/>
          <w:rtl/>
        </w:rPr>
        <w:t xml:space="preserve">وأقلهن مهراً»</w:t>
      </w:r>
      <w:r>
        <w:rPr>
          <w:rStyle w:val="FootnoteReference"/>
        </w:rPr>
        <w:footnoteReference w:id="1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وقال(صلی الله علیه و آله):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«القناعة مال لا ينفد»</w:t>
      </w:r>
      <w:r>
        <w:rPr>
          <w:rStyle w:val="FootnoteReference"/>
        </w:rPr>
        <w:footnoteReference w:id="158"/>
      </w:r>
      <w:r>
        <w:rPr>
          <w:rFonts w:ascii="IRNazanin" w:hAnsi="IRNazanin" w:eastAsia="IRNazanin" w:cs="IRNazanin"/>
          <w:lang w:bidi="fa-IR"/>
          <w:color w:val="111111"/>
          <w:sz w:val="28"/>
          <w:szCs w:val="28"/>
          <w:rtl/>
        </w:rPr>
        <w:t xml:space="preserve">، وعن علي(علیه السلام): «لا كنز أغنى من القناعة»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من أسرار السعادة وتحرّك الشباب بشكل أكثر جدية نحو الأمام، فإن الزوجين يتعاونان على التقدم في الحياة - بعد الزواج - إلى الأمام، وربما يكون ذلك مما يوضح بعض السر في قوله تعالى: «إِن يَكُونُواْ فُقَرَآءَ يُغۡنِهِمُ ٱللَّهُ مِن فَضۡلِهِۦۗ»</w:t>
      </w:r>
      <w:r>
        <w:rPr>
          <w:rStyle w:val="FootnoteReference"/>
        </w:rPr>
        <w:footnoteReference w:id="160"/>
      </w:r>
      <w:r>
        <w:rPr>
          <w:rFonts w:ascii="Amiri" w:hAnsi="Amiri" w:eastAsia="Amiri" w:cs="Amiri"/>
          <w:lang w:bidi="ar-SA"/>
          <w:color w:val="111111"/>
          <w:sz w:val="28"/>
          <w:szCs w:val="28"/>
          <w:rtl/>
        </w:rPr>
        <w:t xml:space="preserve">، بينما غلاء المهور وتعقيد مقدمات وبرامج الزواج وزيادة التشريفات يوجب التأخير في الزواج، أو يؤدي بالكثير إلى البقاء عزاباً وعوانس مدى الحياة بما يستلزم ذلك من أضرار وأخطار.</w:t>
      </w:r>
    </w:p>
    <w:p>
      <w:pPr>
        <w:pStyle w:val="BookText"/>
      </w:pPr>
      <w:r>
        <w:rPr>
          <w:rFonts w:ascii="IRNazanin" w:hAnsi="IRNazanin" w:eastAsia="IRNazanin" w:cs="IRNazanin"/>
          <w:lang w:bidi="fa-IR"/>
          <w:color w:val="111111"/>
          <w:sz w:val="28"/>
          <w:szCs w:val="28"/>
          <w:rtl/>
        </w:rPr>
        <w:t xml:space="preserve">وكذلك إدارتها صلوات اللّه عليهالشؤون البيت، حيث فُوِّضت إليها الأمور الداخلية، والخارجية إلى علي(علیه السلام)</w:t>
      </w:r>
      <w:r>
        <w:rPr>
          <w:rStyle w:val="FootnoteReference"/>
        </w:rPr>
        <w:footnoteReference w:id="161"/>
      </w:r>
      <w:r>
        <w:rPr>
          <w:rFonts w:ascii="Amiri" w:hAnsi="Amiri" w:eastAsia="Amiri" w:cs="Amiri"/>
          <w:lang w:bidi="ar-SA"/>
          <w:color w:val="111111"/>
          <w:sz w:val="28"/>
          <w:szCs w:val="28"/>
          <w:rtl/>
        </w:rPr>
        <w:t xml:space="preserve">فإنها توجب الراحة النفسية والصحة الجسدية؛ إذ إن الأعمال الشاقة - وإن كانت مقرونة بالتعب والنصب - توجب الصحة والسلامة، بينما الراحة والدعة تؤديان إلى مختلف الأمراض.</w:t>
      </w:r>
    </w:p>
    <w:p>
      <w:pPr>
        <w:pStyle w:val="BookText"/>
      </w:pPr>
      <w:r>
        <w:rPr>
          <w:rFonts w:ascii="Amiri" w:hAnsi="Amiri" w:eastAsia="Amiri" w:cs="Amiri"/>
          <w:lang w:bidi="ar-SA"/>
          <w:color w:val="111111"/>
          <w:sz w:val="28"/>
          <w:szCs w:val="28"/>
          <w:rtl/>
        </w:rPr>
        <w:t xml:space="preserve">ومما يؤيّد هذا المعنى هو أن التاريخ - حسب الاستقراء الناقص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يسجل لها صلوات اللّه عليها تمرضاً إلاّ مرة واحدة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مرضها الأخير فهو وليد الصدمة التي تعرضت لها بين الحائط والباب والتي انتهت إلى شهادتها ووفاتها صلوات اللّه عليها.</w:t>
      </w:r>
    </w:p>
    <w:p>
      <w:pPr>
        <w:pStyle w:val="BookText"/>
      </w:pPr>
      <w:r>
        <w:rPr>
          <w:rFonts w:ascii="IRNazanin" w:hAnsi="IRNazanin" w:eastAsia="IRNazanin" w:cs="IRNazanin"/>
          <w:lang w:bidi="fa-IR"/>
          <w:color w:val="111111"/>
          <w:sz w:val="28"/>
          <w:szCs w:val="28"/>
          <w:rtl/>
        </w:rPr>
        <w:t xml:space="preserve">ولعلّه لأجل تعليم الأمة علىالكدح والعمل لم يمنحها الرسول(صلی الله علیه و آله) خادمةً عندما طلبت منه ذلك، مع أنه(صلی الله علیه و آله) الكريم الرؤوف</w:t>
      </w:r>
      <w:r>
        <w:rPr>
          <w:rStyle w:val="FootnoteReference"/>
        </w:rPr>
        <w:footnoteReference w:id="1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وذلك حتى تكون(علیها السلام) أُسوة في العمل بنفسها لنساء المسلمين، وربما كان طلبها(علیها السلام) وعدم تلبيته(صلی الله علیه و آله) بمجمله تعليماً.</w:t>
      </w:r>
    </w:p>
    <w:p>
      <w:pPr>
        <w:pStyle w:val="BookText"/>
      </w:pPr>
      <w:r>
        <w:rPr>
          <w:rFonts w:ascii="IRNazanin" w:hAnsi="IRNazanin" w:eastAsia="IRNazanin" w:cs="IRNazanin"/>
          <w:lang w:bidi="fa-IR"/>
          <w:color w:val="111111"/>
          <w:sz w:val="28"/>
          <w:szCs w:val="28"/>
          <w:rtl/>
        </w:rPr>
        <w:t xml:space="preserve">أما حصولها(علیها السلام) على فضة</w:t>
      </w:r>
      <w:r>
        <w:rPr>
          <w:rStyle w:val="FootnoteReference"/>
        </w:rPr>
        <w:footnoteReference w:id="164"/>
      </w:r>
    </w:p>
    <w:p>
      <w:pPr>
        <w:pStyle w:val="BookText"/>
      </w:pPr>
      <w:r>
        <w:rPr>
          <w:rFonts w:ascii="Amiri" w:hAnsi="Amiri" w:eastAsia="Amiri" w:cs="Amiri"/>
          <w:lang w:bidi="ar-SA"/>
          <w:color w:val="111111"/>
          <w:sz w:val="28"/>
          <w:szCs w:val="28"/>
          <w:rtl/>
        </w:rPr>
        <w:t xml:space="preserve">فهو مما دعت إليه الضرورة، حيث تراكمت عليها الأعمال اليدوية الشاقة من الطحن والخبز والغسل وغير ذلك، بالإضافة إلى أطفالها الصغار وضرورة الاهتمام بشؤونهم، إلى جانب أن النساء كن يرجعن إليها في كثير من شؤونهن ومسائلهن</w:t>
      </w:r>
      <w:r>
        <w:rPr>
          <w:rStyle w:val="FootnoteReference"/>
        </w:rPr>
        <w:footnoteReference w:id="16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نجد بعدحصولها على فضة أن النبي(صلی الله علیه و آله) قد قسم العمل بينهما، يوماً لها ويوماً لفضة - كما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أيضاً بالإضافة إلى كونه تعليماً للأُمة على مشاطرة من هم أدنى منزلة في الهموم والمهام، يتضمن تأكيداً للالتزام بالعمل والكد والكدح رغم وجود البديل.</w:t>
      </w:r>
    </w:p>
    <w:p>
      <w:pPr>
        <w:pStyle w:val="BookText"/>
      </w:pPr>
      <w:r>
        <w:rPr>
          <w:rFonts w:ascii="Amiri" w:hAnsi="Amiri" w:eastAsia="Amiri" w:cs="Amiri"/>
          <w:lang w:bidi="ar-SA"/>
          <w:color w:val="111111"/>
          <w:sz w:val="28"/>
          <w:szCs w:val="28"/>
          <w:rtl/>
        </w:rPr>
        <w:t xml:space="preserve">والجدير بالذكر أن فضة كانت متزوجة ذات أسرة، وقد يظهر هذا من خبر قراءتها للقرآن في سفرة الحج وتلقي أولادها لها في المنزل</w:t>
      </w:r>
      <w:r>
        <w:rPr>
          <w:rStyle w:val="FootnoteReference"/>
        </w:rPr>
        <w:footnoteReference w:id="167"/>
      </w:r>
      <w:r>
        <w:rPr>
          <w:rFonts w:ascii="IRNazanin" w:hAnsi="IRNazanin" w:eastAsia="IRNazanin" w:cs="IRNazanin"/>
          <w:lang w:bidi="fa-IR"/>
          <w:color w:val="111111"/>
          <w:sz w:val="28"/>
          <w:szCs w:val="28"/>
          <w:rtl/>
        </w:rPr>
        <w:t xml:space="preserve">، كما هو شأن الإسلام حيث لا يدع بنتاً بلا زواج، حتى قال سلمان المحمّدي(رحمة الله) وهو حاكم في المدائن عندما تزوج امرأة هناك فوجد عندها بنتاً - من زوجها السابق - غير متزوجة: سمعت رسول اللّه(صلی الله علیه و آله) يقول - ما مضمونه -: لو لم تزوج البنتفي الدار فزنت كان عقاب الزنا على أهل الدار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طحنها(علیها السلام) وعجنها وخبزها وطبخها وغزلها وغسل الملابس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ورعاية الأولاد، وقيامها بإنجاز العشرات من الحاجات البيتية بنفسها صلوات اللّه عليها أو بمساعدة فضة، ففي كل ذلك تعليم لكيفية سلوك الزوجة في الحياة الزوجية.</w:t>
      </w:r>
    </w:p>
    <w:p>
      <w:pPr>
        <w:pStyle w:val="BookText"/>
      </w:pPr>
      <w:r>
        <w:rPr>
          <w:rFonts w:ascii="Amiri" w:hAnsi="Amiri" w:eastAsia="Amiri" w:cs="Amiri"/>
          <w:lang w:bidi="ar-SA"/>
          <w:color w:val="111111"/>
          <w:sz w:val="28"/>
          <w:szCs w:val="28"/>
          <w:rtl/>
        </w:rPr>
        <w:t xml:space="preserve">ولو راج مثل ذلك في بيوتنا فهل بعد ذلك كنا نحتاج إلى استيراد كل شيء من الغرب والشرق حتى اللحم وغيره من الأوّليات والضروريات؟</w:t>
      </w:r>
    </w:p>
    <w:p>
      <w:pPr>
        <w:pStyle w:val="BookText"/>
      </w:pPr>
      <w:r>
        <w:rPr>
          <w:rFonts w:ascii="IRNazanin" w:hAnsi="IRNazanin" w:eastAsia="IRNazanin" w:cs="IRNazanin"/>
          <w:lang w:bidi="fa-IR"/>
          <w:color w:val="111111"/>
          <w:sz w:val="28"/>
          <w:szCs w:val="28"/>
          <w:rtl/>
        </w:rPr>
        <w:t xml:space="preserve">كما أن قولها(علیها السلام) لعلي(علیهالسلام): «ما عهدتني كاذبة ولا خائنة»</w:t>
      </w:r>
      <w:r>
        <w:rPr>
          <w:rStyle w:val="FootnoteReference"/>
        </w:rPr>
        <w:footnoteReference w:id="169"/>
      </w:r>
      <w:r>
        <w:rPr>
          <w:rFonts w:ascii="IRNazanin" w:hAnsi="IRNazanin" w:eastAsia="IRNazanin" w:cs="IRNazanin"/>
          <w:lang w:bidi="fa-IR"/>
          <w:color w:val="111111"/>
          <w:sz w:val="28"/>
          <w:szCs w:val="28"/>
          <w:rtl/>
        </w:rPr>
        <w:t xml:space="preserve">، تعليم لكيفية سلوك الزوجات مع الأزواج، وإلاّ فعلي(علیه السلام) كان يعلم ذلك.</w:t>
      </w:r>
    </w:p>
    <w:p>
      <w:pPr>
        <w:pStyle w:val="BookText"/>
      </w:pPr>
      <w:r>
        <w:rPr>
          <w:rFonts w:ascii="IRNazanin" w:hAnsi="IRNazanin" w:eastAsia="IRNazanin" w:cs="IRNazanin"/>
          <w:lang w:bidi="fa-IR"/>
          <w:color w:val="111111"/>
          <w:sz w:val="28"/>
          <w:szCs w:val="28"/>
          <w:rtl/>
        </w:rPr>
        <w:t xml:space="preserve">وهكذا نجد في عدم دخول النبي(صلی الله علیه و آله) دارها لما رأى ستراً على الباب</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تعليماً آخر لنا، ولعلّ الزهراء(علیها السلام) تعمدت وضع الستر حتى تكون مدعاة للتعليم؛ كي لا ترفل النساء في النعيم، بينما كثير من الناس يعانون شظف العيش، وقد قال(صلی الله علیه و آله): «ما آمن بي من بات شبعاناً وجاره جائع»</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غير ذلك من النقاط المشرقة في سيرتها(علیها السلام) الوضاءة، وكلها عِبَر وبرامج تربوية ومناهج للسعادة الدنيوية والأخروية.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7727_123073"/>
    <w:bookmarkEnd w:id="23"/>
    <w:p>
      <w:pPr>
        <w:pStyle w:val="Heading2"/>
      </w:pPr>
      <w:bookmarkStart w:id="55" w:name="_Toc31"/>
      <w:r>
        <w:t>وفي الختام</w:t>
      </w:r>
      <w:bookmarkEnd w:id="55"/>
    </w:p>
    <w:p>
      <w:pPr>
        <w:pStyle w:val="BookText"/>
      </w:pPr>
      <w:r>
        <w:rPr>
          <w:rFonts w:ascii="Amiri" w:hAnsi="Amiri" w:eastAsia="Amiri" w:cs="Amiri"/>
          <w:lang w:bidi="ar-SA"/>
          <w:color w:val="111111"/>
          <w:sz w:val="28"/>
          <w:szCs w:val="28"/>
          <w:rtl/>
        </w:rPr>
        <w:t xml:space="preserve">وفي الختام نشير إلى أننا قد قسمنا الكتاب إلى ثلاثة فصول:</w:t>
      </w:r>
    </w:p>
    <w:p>
      <w:pPr>
        <w:pStyle w:val="BookText"/>
      </w:pPr>
      <w:r>
        <w:rPr>
          <w:rFonts w:ascii="Amiri" w:hAnsi="Amiri" w:eastAsia="Amiri" w:cs="Amiri"/>
          <w:lang w:bidi="ar-SA"/>
          <w:color w:val="111111"/>
          <w:sz w:val="28"/>
          <w:szCs w:val="28"/>
          <w:rtl/>
        </w:rPr>
        <w:t xml:space="preserve">الأوّل: أحكام مستفادة من حديث الكساء.</w:t>
      </w:r>
    </w:p>
    <w:p>
      <w:pPr>
        <w:pStyle w:val="BookText"/>
      </w:pPr>
      <w:r>
        <w:rPr>
          <w:rFonts w:ascii="Amiri" w:hAnsi="Amiri" w:eastAsia="Amiri" w:cs="Amiri"/>
          <w:lang w:bidi="ar-SA"/>
          <w:color w:val="111111"/>
          <w:sz w:val="28"/>
          <w:szCs w:val="28"/>
          <w:rtl/>
        </w:rPr>
        <w:t xml:space="preserve">الثاني: أحكام مستفادة من الخطبة الشريفة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أحكام مستفادة من سائر ما روي عنها(علیها السلام).</w:t>
      </w:r>
    </w:p>
    <w:p>
      <w:pPr>
        <w:pStyle w:val="BookText"/>
      </w:pPr>
      <w:r>
        <w:rPr>
          <w:rFonts w:ascii="Amiri" w:hAnsi="Amiri" w:eastAsia="Amiri" w:cs="Amiri"/>
          <w:lang w:bidi="ar-SA"/>
          <w:color w:val="111111"/>
          <w:sz w:val="28"/>
          <w:szCs w:val="28"/>
          <w:rtl/>
        </w:rPr>
        <w:t xml:space="preserve">واللّه المسؤول أن يقرنه برضاه، وأن ينفع به إنه قريب مجيب.</w:t>
      </w:r>
    </w:p>
    <w:p>
      <w:pPr>
        <w:pStyle w:val="BookText"/>
      </w:pPr>
      <w:r>
        <w:rPr>
          <w:rFonts w:ascii="Amiri" w:hAnsi="Amiri" w:eastAsia="Amiri" w:cs="Amiri"/>
          <w:lang w:bidi="ar-SA"/>
          <w:color w:val="111111"/>
          <w:sz w:val="28"/>
          <w:szCs w:val="28"/>
          <w:rtl/>
        </w:rPr>
        <w:t xml:space="preserve">والحمد للّه أوّلاً وأخراً وظاهراً وباطناً.</w:t>
      </w:r>
    </w:p>
    <w:p>
      <w:pPr>
        <w:pStyle w:val="BookText"/>
      </w:pPr>
      <w:r>
        <w:rPr>
          <w:rFonts w:ascii="Amiri" w:hAnsi="Amiri" w:eastAsia="Amiri" w:cs="Amiri"/>
          <w:lang w:bidi="ar-SA"/>
          <w:color w:val="111111"/>
          <w:sz w:val="28"/>
          <w:szCs w:val="28"/>
          <w:rtl/>
        </w:rPr>
        <w:t xml:space="preserve">محمّد الشيرازي</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1414ه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7727_123074"/>
    <w:bookmarkEnd w:id="24"/>
    <w:p>
      <w:pPr>
        <w:pStyle w:val="Heading2"/>
      </w:pPr>
      <w:bookmarkStart w:id="56" w:name="_Toc32"/>
      <w:r>
        <w:t>فهرس المحتويات</w:t>
      </w:r>
      <w:bookmarkEnd w:id="56"/>
    </w:p>
    <w:p>
      <w:pPr>
        <w:pStyle w:val="BookText"/>
      </w:pPr>
      <w:r>
        <w:rPr>
          <w:rFonts w:ascii="Amiri" w:hAnsi="Amiri" w:eastAsia="Amiri" w:cs="Amiri"/>
          <w:lang w:bidi="ar-SA"/>
          <w:color w:val="111111"/>
          <w:sz w:val="28"/>
          <w:szCs w:val="28"/>
          <w:rtl/>
        </w:rPr>
        <w:t xml:space="preserve">المقدمة.. 5</w:t>
      </w:r>
    </w:p>
    <w:p>
      <w:pPr>
        <w:pStyle w:val="BookText"/>
      </w:pPr>
      <w:r>
        <w:rPr>
          <w:rFonts w:ascii="IRNazanin" w:hAnsi="IRNazanin" w:eastAsia="IRNazanin" w:cs="IRNazanin"/>
          <w:lang w:bidi="fa-IR"/>
          <w:color w:val="111111"/>
          <w:sz w:val="28"/>
          <w:szCs w:val="28"/>
          <w:rtl/>
        </w:rPr>
        <w:t xml:space="preserve">لمحة عن عظمة الزهراء(علیها السلام). 9</w:t>
      </w:r>
    </w:p>
    <w:p>
      <w:pPr>
        <w:pStyle w:val="BookText"/>
      </w:pPr>
      <w:r>
        <w:rPr>
          <w:rFonts w:ascii="Amiri" w:hAnsi="Amiri" w:eastAsia="Amiri" w:cs="Amiri"/>
          <w:lang w:bidi="ar-SA"/>
          <w:color w:val="111111"/>
          <w:sz w:val="28"/>
          <w:szCs w:val="28"/>
          <w:rtl/>
        </w:rPr>
        <w:t xml:space="preserve">الولاية التكوينية والتشريعية و..... 11</w:t>
      </w:r>
    </w:p>
    <w:p>
      <w:pPr>
        <w:pStyle w:val="BookText"/>
      </w:pPr>
      <w:r>
        <w:rPr>
          <w:rFonts w:ascii="IRNazanin" w:hAnsi="IRNazanin" w:eastAsia="IRNazanin" w:cs="IRNazanin"/>
          <w:lang w:bidi="fa-IR"/>
          <w:color w:val="111111"/>
          <w:sz w:val="28"/>
          <w:szCs w:val="28"/>
          <w:rtl/>
        </w:rPr>
        <w:t xml:space="preserve">الولايات التكوينية للأنبياء والصالحين(علیهم السلام) 18</w:t>
      </w:r>
    </w:p>
    <w:p>
      <w:pPr>
        <w:pStyle w:val="BookText"/>
      </w:pPr>
      <w:r>
        <w:rPr>
          <w:rFonts w:ascii="Amiri" w:hAnsi="Amiri" w:eastAsia="Amiri" w:cs="Amiri"/>
          <w:lang w:bidi="ar-SA"/>
          <w:color w:val="111111"/>
          <w:sz w:val="28"/>
          <w:szCs w:val="28"/>
          <w:rtl/>
        </w:rPr>
        <w:t xml:space="preserve">العلة للحدوث والبقاء.. 21</w:t>
      </w:r>
    </w:p>
    <w:p>
      <w:pPr>
        <w:pStyle w:val="BookText"/>
      </w:pPr>
      <w:r>
        <w:rPr>
          <w:rFonts w:ascii="Amiri" w:hAnsi="Amiri" w:eastAsia="Amiri" w:cs="Amiri"/>
          <w:lang w:bidi="ar-SA"/>
          <w:color w:val="111111"/>
          <w:sz w:val="28"/>
          <w:szCs w:val="28"/>
          <w:rtl/>
        </w:rPr>
        <w:t xml:space="preserve">الولاية التشريعية.. 25</w:t>
      </w:r>
    </w:p>
    <w:p>
      <w:pPr>
        <w:pStyle w:val="BookText"/>
      </w:pPr>
      <w:r>
        <w:rPr>
          <w:rFonts w:ascii="Amiri" w:hAnsi="Amiri" w:eastAsia="Amiri" w:cs="Amiri"/>
          <w:lang w:bidi="ar-SA"/>
          <w:color w:val="111111"/>
          <w:sz w:val="28"/>
          <w:szCs w:val="28"/>
          <w:rtl/>
        </w:rPr>
        <w:t xml:space="preserve">الأمر بين الأمرين في التشريع.. 26</w:t>
      </w:r>
    </w:p>
    <w:p>
      <w:pPr>
        <w:pStyle w:val="BookText"/>
      </w:pPr>
      <w:r>
        <w:rPr>
          <w:rFonts w:ascii="IRNazanin" w:hAnsi="IRNazanin" w:eastAsia="IRNazanin" w:cs="IRNazanin"/>
          <w:lang w:bidi="fa-IR"/>
          <w:color w:val="111111"/>
          <w:sz w:val="28"/>
          <w:szCs w:val="28"/>
          <w:rtl/>
        </w:rPr>
        <w:t xml:space="preserve">من الأدلة على ولايتهم(علیهم السلام). 28</w:t>
      </w:r>
    </w:p>
    <w:p>
      <w:pPr>
        <w:pStyle w:val="BookText"/>
      </w:pPr>
      <w:r>
        <w:rPr>
          <w:rFonts w:ascii="Amiri" w:hAnsi="Amiri" w:eastAsia="Amiri" w:cs="Amiri"/>
          <w:lang w:bidi="ar-SA"/>
          <w:color w:val="111111"/>
          <w:sz w:val="28"/>
          <w:szCs w:val="28"/>
          <w:rtl/>
        </w:rPr>
        <w:t xml:space="preserve">ماذا تعني الأولوية؟.. 30</w:t>
      </w:r>
    </w:p>
    <w:p>
      <w:pPr>
        <w:pStyle w:val="BookText"/>
      </w:pPr>
      <w:r>
        <w:rPr>
          <w:rFonts w:ascii="Amiri" w:hAnsi="Amiri" w:eastAsia="Amiri" w:cs="Amiri"/>
          <w:lang w:bidi="ar-SA"/>
          <w:color w:val="111111"/>
          <w:sz w:val="28"/>
          <w:szCs w:val="28"/>
          <w:rtl/>
        </w:rPr>
        <w:t xml:space="preserve">سلطة الهدم والبناء.. 31</w:t>
      </w:r>
    </w:p>
    <w:p>
      <w:pPr>
        <w:pStyle w:val="BookText"/>
      </w:pPr>
      <w:r>
        <w:rPr>
          <w:rFonts w:ascii="Amiri" w:hAnsi="Amiri" w:eastAsia="Amiri" w:cs="Amiri"/>
          <w:lang w:bidi="ar-SA"/>
          <w:color w:val="111111"/>
          <w:sz w:val="28"/>
          <w:szCs w:val="28"/>
          <w:rtl/>
        </w:rPr>
        <w:t xml:space="preserve">من معاني التفويض.. 31</w:t>
      </w:r>
    </w:p>
    <w:p>
      <w:pPr>
        <w:pStyle w:val="BookText"/>
      </w:pPr>
      <w:r>
        <w:rPr>
          <w:rFonts w:ascii="IRNazanin" w:hAnsi="IRNazanin" w:eastAsia="IRNazanin" w:cs="IRNazanin"/>
          <w:lang w:bidi="fa-IR"/>
          <w:color w:val="111111"/>
          <w:sz w:val="28"/>
          <w:szCs w:val="28"/>
          <w:rtl/>
        </w:rPr>
        <w:t xml:space="preserve">عود على بدء.. 33</w:t>
      </w:r>
    </w:p>
    <w:p>
      <w:pPr>
        <w:pStyle w:val="BookText"/>
      </w:pPr>
      <w:r>
        <w:rPr>
          <w:rFonts w:ascii="Amiri" w:hAnsi="Amiri" w:eastAsia="Amiri" w:cs="Amiri"/>
          <w:lang w:bidi="ar-SA"/>
          <w:color w:val="111111"/>
          <w:sz w:val="28"/>
          <w:szCs w:val="28"/>
          <w:rtl/>
        </w:rPr>
        <w:t xml:space="preserve">بين التصرُّف والصلاحية.. 34</w:t>
      </w:r>
    </w:p>
    <w:p>
      <w:pPr>
        <w:pStyle w:val="BookText"/>
      </w:pPr>
      <w:r>
        <w:rPr>
          <w:rFonts w:ascii="Amiri" w:hAnsi="Amiri" w:eastAsia="Amiri" w:cs="Amiri"/>
          <w:lang w:bidi="ar-SA"/>
          <w:color w:val="111111"/>
          <w:sz w:val="28"/>
          <w:szCs w:val="28"/>
          <w:rtl/>
        </w:rPr>
        <w:t xml:space="preserve">التوقيع الشريف.. 34</w:t>
      </w:r>
    </w:p>
    <w:p>
      <w:pPr>
        <w:pStyle w:val="BookText"/>
      </w:pPr>
      <w:r>
        <w:rPr>
          <w:rFonts w:ascii="IRNazanin" w:hAnsi="IRNazanin" w:eastAsia="IRNazanin" w:cs="IRNazanin"/>
          <w:lang w:bidi="fa-IR"/>
          <w:color w:val="111111"/>
          <w:sz w:val="28"/>
          <w:szCs w:val="28"/>
          <w:rtl/>
        </w:rPr>
        <w:t xml:space="preserve">لا فرق بين حياتهم ومماتهم(علیهم السلام). 36</w:t>
      </w:r>
    </w:p>
    <w:p>
      <w:pPr>
        <w:pStyle w:val="BookText"/>
      </w:pPr>
      <w:r>
        <w:rPr>
          <w:rFonts w:ascii="IRNazanin" w:hAnsi="IRNazanin" w:eastAsia="IRNazanin" w:cs="IRNazanin"/>
          <w:lang w:bidi="fa-IR"/>
          <w:color w:val="111111"/>
          <w:sz w:val="28"/>
          <w:szCs w:val="28"/>
          <w:rtl/>
        </w:rPr>
        <w:t xml:space="preserve">رفعة منزلتهم(علیهم السلام) ذاتية.. 38</w:t>
      </w:r>
    </w:p>
    <w:p>
      <w:pPr>
        <w:pStyle w:val="BookText"/>
      </w:pPr>
      <w:r>
        <w:rPr>
          <w:rFonts w:ascii="IRNazanin" w:hAnsi="IRNazanin" w:eastAsia="IRNazanin" w:cs="IRNazanin"/>
          <w:lang w:bidi="fa-IR"/>
          <w:color w:val="111111"/>
          <w:sz w:val="28"/>
          <w:szCs w:val="28"/>
          <w:rtl/>
        </w:rPr>
        <w:t xml:space="preserve">مجالات ستة للرسول(صلی الله علیه و آله). 40</w:t>
      </w:r>
    </w:p>
    <w:p>
      <w:pPr>
        <w:pStyle w:val="BookText"/>
      </w:pPr>
      <w:r>
        <w:rPr>
          <w:rFonts w:ascii="IRNazanin" w:hAnsi="IRNazanin" w:eastAsia="IRNazanin" w:cs="IRNazanin"/>
          <w:lang w:bidi="fa-IR"/>
          <w:color w:val="111111"/>
          <w:sz w:val="28"/>
          <w:szCs w:val="28"/>
          <w:rtl/>
        </w:rPr>
        <w:t xml:space="preserve">شمولية علمهم وقدراتهم(علیهم السلام). 43</w:t>
      </w:r>
    </w:p>
    <w:p>
      <w:pPr>
        <w:pStyle w:val="BookText"/>
      </w:pPr>
      <w:r>
        <w:rPr>
          <w:rFonts w:ascii="Amiri" w:hAnsi="Amiri" w:eastAsia="Amiri" w:cs="Amiri"/>
          <w:lang w:bidi="ar-SA"/>
          <w:color w:val="111111"/>
          <w:sz w:val="28"/>
          <w:szCs w:val="28"/>
          <w:rtl/>
        </w:rPr>
        <w:t xml:space="preserve">بين العلم الغيبي والسلوك العملي.. 45</w:t>
      </w:r>
    </w:p>
    <w:p>
      <w:pPr>
        <w:pStyle w:val="BookText"/>
      </w:pPr>
      <w:r>
        <w:rPr>
          <w:rFonts w:ascii="Amiri" w:hAnsi="Amiri" w:eastAsia="Amiri" w:cs="Amiri"/>
          <w:lang w:bidi="ar-SA"/>
          <w:color w:val="111111"/>
          <w:sz w:val="28"/>
          <w:szCs w:val="28"/>
          <w:rtl/>
        </w:rPr>
        <w:t xml:space="preserve">الأحكام المستفادة.. 48</w:t>
      </w:r>
    </w:p>
    <w:p>
      <w:pPr>
        <w:pStyle w:val="BookText"/>
      </w:pPr>
      <w:r>
        <w:rPr>
          <w:rFonts w:ascii="IRNazanin" w:hAnsi="IRNazanin" w:eastAsia="IRNazanin" w:cs="IRNazanin"/>
          <w:lang w:bidi="fa-IR"/>
          <w:color w:val="111111"/>
          <w:sz w:val="28"/>
          <w:szCs w:val="28"/>
          <w:rtl/>
        </w:rPr>
        <w:t xml:space="preserve">دروسٌ من سيرتها(علیها السلام). 49</w:t>
      </w:r>
    </w:p>
    <w:p>
      <w:pPr>
        <w:pStyle w:val="BookText"/>
      </w:pPr>
      <w:r>
        <w:rPr>
          <w:rFonts w:ascii="Amiri" w:hAnsi="Amiri" w:eastAsia="Amiri" w:cs="Amiri"/>
          <w:lang w:bidi="ar-SA"/>
          <w:color w:val="111111"/>
          <w:sz w:val="28"/>
          <w:szCs w:val="28"/>
          <w:rtl/>
        </w:rPr>
        <w:t xml:space="preserve">وفي الختام.. 55</w:t>
      </w:r>
    </w:p>
    <w:p>
      <w:pPr>
        <w:pStyle w:val="BookText"/>
      </w:pPr>
      <w:r>
        <w:rPr>
          <w:rFonts w:ascii="Amiri" w:hAnsi="Amiri" w:eastAsia="Amiri" w:cs="Amiri"/>
          <w:lang w:bidi="ar-SA"/>
          <w:color w:val="111111"/>
          <w:sz w:val="28"/>
          <w:szCs w:val="28"/>
          <w:rtl/>
        </w:rPr>
        <w:t xml:space="preserve">فهرس المحتويات 56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قام الإمام المؤلف(قدس سره) باستخدام أسلوب فقه الحديث في تحليل كلماتها(علیها السلام)، حيث تناول كل كلمة بالبحث والدراسة وربما في العديد من جوانبها، وقد ورد في الحديث الشريف: «أنتم أفقه الناس ما عرفتم معاني كلامنا»، الاختصاص: 288، ومن الواضح أن للكلمات دلالات جليّة وأخرى خفيّة، كما أن لها ظهراً وبطناً، ويظهر ذلك بجلاء أكبر في آيات الذكر الحكيم وفي القواعد الفقهية.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80.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يكون المراد تنقيح المناط، أو كون الحكم المذكور صغرى لكبرى كلية، ويكون المراد من الشواهد: المعاضد الموافق.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الوصول إلى كفاية الأصول 5: 266.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816؛ وسائل الشيعة 27: 149-150.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الملاك: (الوثاقة) كما تطرق له الإمام المؤلف (قدس سره) في الأصول، راجع الوصول إلى كفاية الأصول 5: 330.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ما سبق وسيأتي من مصاديق ذلك كما لا يخفى، فهو من باب ذكر الخاص بعد العام أو قبله.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يستفاد الشمول للشهرة الفتوائية أيضاً.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1: 68؛ وسائل الشيعة 27: 106- 107؛ مستدرك الوسائل 17: 303.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الوصائل إلى الرسائل 8: 65.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ولهذا الحديث أسناد كثيرة، ذكرت بعد المقدمة - أوّل الفصل الأوّل - في الهامش، راجع من فقه الزهراء(علیها السلام) 1: 53.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الحديث المروي عن الإمام الصادق(علیه السلام): «هي الصديقة الكبرى وعلى معرفتها دارت القرون الأولى»، الأمالي، للشيخ الطوسي: 668.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581.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بعد قليل الحديث عن أفضليتها(علیها السلام).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أطيب البيان 13: 225.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2: 94.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كتاب البيع، الجزء الرابع والخامس.</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فقه الزهراء(علیها السلام) 1: 242، من بحث (لأجلهم) و(محبتهم) وغيرهما.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الحديث عن الأدلة على ذلك بعد صفحات كما سيتطرق الإمام المؤلف (قدس سره) لذلك في مطاوي الكتاب، وراجع أيضاً: العقبات، والبحار - عند الحديث عنهم(علیهم السلام) وكذا عن خلق العالم - ، وكفاية الموحدين، ونهج الحق وكشف الصدق، للعلامة الحلي، ودلائل الصدق، للمرحوم المظفر، إلى غيرها من الكتب الكلامية.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1: 179.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الدعاء والزيارة: 915؛ ومفاتيح الجنان، للشيخ عباس القمي(رحمة الله)، وسائر المصادر المذكورة في هذا الكتاب.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 337؛ عن تفسير العياشي 1: 197.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14: 183.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11: 172؛ دلائل الإمامة: 106.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374.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 263.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148؛ تأويل الآيات الظاهرة: 105؛ مقتضب الأثر: 11.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11: 161؛ بحار الأنوار 26: 281؛ بصائر الدرجات: 73، وفيهما: «ما تكاملت النبوة لنبي في الأظلة حتى عرضت عليه ولايتي وولاية أهل بيتي ومثلوا له فأقروا بطاعتهم وولايتهم».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43: 107؛ مناقب آل أبي طالب(علیهم السلام) 2: 181.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 274؛ الأمالي، للشيخ الطوسي: 355.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498.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الفضائل: 158؛ الروضة في فضائل أمير المؤمنين(علیه السلام) 1: 186؛ بحار الأنوار 36: 213-214.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396.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الأمان من أخطار الأسفار والأزمان: 118-119، ولا يخفى ما له من الدلالة على أن ببركتهم(علیهم السلام) وعناية اللّه بهم نجى نوحاً(علیه السلام) وأصحابه.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52: 84.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115.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طالب(علیهم السلام) 3: 320.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491؛ عن طرف من الأنباء والمناقب: 193.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2: 94.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جميع الأنبياء(علیهم السلام) إلّا الرسول(صلی الله علیه و آله).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14: 349؛ اعتقادات الإمامية 1: 62.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40.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36-37.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79.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19-30.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86.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162.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90: 376؛ الجواهر السنية 1: 713.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59.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188.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الآية: 27.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188.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44.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28.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74.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90: 376؛ إرشاد القلوب 1: 75.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35: 23.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مستدرك سفينة البحار 13: 168-169 و8: 243؛ مجمع النورين: 14 و 187.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الغيبة، الشيخ الطوسي: 285؛ بحار الأنوار 53: 178.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علة الكون.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الساعة - لغة - الفترة من الزمن فتشمل حتى الدقيقة مثلاً.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51: 113؛ بصائر الدرجات: 489.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99: 195؛ مصباح المتهجد 2: 821؛ الإقبال 3: 184.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71.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أطيب البيان 13: 225.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397؛ الكافي 1: 267.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91: 81؛ الغيبة، للشيخ الطوسي: 278.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الآية: 29.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الآية: 1؛ سورة التغابن، الآية: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4. والقضاء يأتي بمعنى الإخبار والتقدير والحكم وغير ذلك - راجع شرح التجريد بحث القضاء - وربما يكون المراد بالآية أن التقدير كان حسب السنن الكونية إفسادهم مرتين، فمن السنن الكونية أن التكبر يفسد وهذا تقدير كوني.</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65.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59.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59.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24: 351.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42.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11.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للروايات الدالة على أن لملك الموت أعواناً يقبضون الروح بأمره.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تفسير أطيب البيان 13: 225.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الأحكام 7: 470.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مستدرك الوسائل 11: 258.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466.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3: 184؛ مصباح المتهجد 2: 821.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397.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25: 336؛ عن الغيبة للشيخ الطوسي: 247.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ذكر مصادر تلك الأحاديث تفصيلاً بإذنه تعالى.</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الآية: 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399؛ وفي بحار الأنوار 25: 360، عن الاختصاص: 268، قال أبوجعفر(علیه السلام): «لا يستكمل عبد الإيمان حتى يعرف أنه يجري لآخرنا ما يجري لأوّلنا، وهم في الطاعة والحجة والحلال والحرام سواء، ولمحمّد(صلی الله علیه و آله) وأمير المؤمنين(علیه السلام) فضلهما».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إنه أولى لأنه كونه.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الإمضاء والفسخ.</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25: 336.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 821.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278.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26: 142؛ بصائر الدرجات: 378.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1: 155.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278.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49: 184.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«وَرَسُولًا إِلَىٰ بَنِيٓ إِسۡرَٰٓءِيلَ أَنِّي قَدۡ جِئۡتُكُم بَِٔايَةٖ مِّن رَّبِّكُمۡ أَنِّيٓ أَخۡلُقُ لَكُم مِّنَ ٱلطِّينِ كَهَيَۡٔةِ ٱلطَّيۡرِ فَأَنفُخُ فِيهِ فَيَكُونُ طَيۡرَۢا بِإِذۡنِ ٱللَّهِۖ وَأُبۡرِئُ ٱلۡأَكۡمَهَ وَٱلۡأَبۡرَصَ وَأُحۡيِ ٱلۡمَوۡتَىٰ بِإِذۡنِ ٱللَّهِۖ»، سورة آل عمران، الآية: 49.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43.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43: 327؛ مناقب آل أبي طالب(علیهم السلام) 4: 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مستدرك الوسائل 14: 483.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8: 466؛ مستدرك الوسائل 6: 548.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1: 62؛ مسند أحمد 4: 246، وتجده في غيره من كتب العامة أيضاً.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179؛ الإقبال 3: 214.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الانعدام أو الآثار المترتبة على الموت من العجز عن التأثير في الكون وما أشبه.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169.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 255؛ وراجع بحار الأنوار 6: 207، وفيه: «إنهم أسمع منكم».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65؛ وراجع كامل الزيارات: 220، وفيه: «أشهد أنك حي شهيد ترزق عند ربك».</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يكون الميت سبباً لما فيه الحياة بإذن اللّه تعالى، فيكون سببا للرزق والشفاء وما أشبه.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30.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95؛ سوة يونس، الآية: 31؛ سورة الروم، الآية: 19.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«فَقُلۡنَا ٱضۡرِبُوهُ بِبَعۡضِهَاۚ كَذَٰلِكَ يُحۡيِ ٱللَّهُ ٱلۡمَوۡتَىٰ وَيُرِيكُمۡ ءَايَٰتِهِۦ لَعَلَّكُمۡ تَعۡقِلُونَ»، سورة البقرة، الآية: 73.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«قَالَ بَصُرۡتُ بِمَا لَمۡ يَبۡصُرُواْ بِهِۦ فَقَبَضۡتُ قَبۡضَة مِّنۡ أَثَرِ ٱلرَّسُولِ فَنَبَذۡتُهَا وَكَذَٰلِكَ سَوَّلَتۡ لِي نَفۡسِي»، سورة طه، الآية: 96؛ وقوله سبحانه: «فَكَذَٰلِكَ أَلۡقَى ٱلسَّامِرِيُّ * فَأَخۡرَجَ لَهُمۡ عِجۡلا جَسَدا لَّهُۥ خُوَارٞ فَقَالُواْ هَٰذَآ إِلَٰهُكُمۡ وَإِلَٰهُ مُوسَىٰ فَنَسِيَ»، سورة طه، الآية: 87-88.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«أَلَمۡ تَرَ إِلَى ٱلَّذِينَ خَرَجُواْ مِن دِيَٰرِهِمۡ وَهُمۡ أُلُوفٌ حَذَرَ ٱلۡمَوۡتِ فَقَالَ لَهُمُ ٱللَّهُ مُوتُواْ ثُمَّ أَحۡيَٰهُمۡۚ إِنَّ ٱللَّهَ لَذُو فَضۡلٍ عَلَى ٱلنَّاسِ وَلَٰكِنَّ أَكۡثَرَ ٱلنَّاسِ لَا يَشۡكُرُونَ»، سورة البقرة، الآية: 243.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«يَٰٓأَيُّهَا ٱلَّذِينَ ءَامَنُوٓاْ إِذَا نَٰجَيۡتُمُ ٱلرَّسُولَ فَقَدِّمُواْ بَيۡنَ يَدَيۡ نَجۡوَىٰكُمۡ صَدَقَةۚ ذَٰلِكَ خَيۡرٞ لَّكُمۡ وَأَطۡهَرُۚ فَإِن لَّمۡ تَجِدُواْ فَإِنَّ ٱللَّهَ غَفُورٞ رَّحِيمٌ»، سورة المجادلة، الآية: 12.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21.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اللّه سبحانه وتعالى.</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مطاوي الكتاب أجوبة أخرى عديدة عن ذلك فليراجع.</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«لَّقَدۡ كَانَ لَكُمۡ فِي رَسُولِ ٱللَّهِ أُسۡوَةٌ حَسَنَةٞ لِّمَن كَانَ يَرۡجُواْ ٱللَّهَ وَٱلۡيَوۡمَ ٱلۡأٓخِرَ وَذَكَرَ ٱللَّهَ كَثِيرا»، سورة الأحزاب، الآية: 21.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 160. خبر يريد به الطلب.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463.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النسائي 3: 195؛ والكبرى للنسائي 1: 553، وغيرهما من كتب العامة.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مجرد تهديد دون تطبيق.</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اليقين: 416-418.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5: 292.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الوصائل إلى الرسائل 11: 32.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كالاسم الأعظم الثالث والسبعين مثلاً على رواية.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1: 260؛ الهداية الكبرى: 432.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75.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94.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45-46.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وحذف المتعلق يفيد العموم.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56: 163؛ وغوالي اللئالي 4: 113.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25: 347، وفيه: قد ورد في أخبار كثيرة: «لا تقولوا فينا رباً وقولوا ما شئتم ولن تبلغوا».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هذا الكتاب، وهو: من فقه الزهراء(علیها السلام).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61-62، وفيه: «إنما علينا أن نلقي عليكم الأصول وعليكم أن تفرعوا».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يتوقف صحة أو صدق الكلام عليه وذلك نظير: «وَسَۡٔلِ ٱلۡقَرۡيَةَ»، سورة يوسف، الآية: 82، وكذا استكشاف أمير المؤمنين علي(علیه السلام) لأدنى مدة الحمل من ضم قوله تعالى: «وَحَمۡلُهُۥ وَفِصَٰلُهُۥ ثَلَٰثُونَ شَهۡرًاۚ»، سورة الأحقاف، الآية: 15، إلى قوله تعالى: «وَٱلۡوَٰلِدَٰتُ يُرۡضِعۡنَ أَوۡلَٰدَهُنَّ حَوۡلَيۡنِ كَامِلَيۡنِۖ»، سورة البقرة، الآية: 233، ومن ذلك: إلغاء الخصوصية حيث يكتشف بذلك أن ما ذكر إنما كان بعنوان المصداق وكصغرى لكبرى كلية للقطع أو الإطمئنان بالملاك، وقد تكون الاستفادة والاستنباط مستندة إلى مبنى الكلام، أو إلى مقدمات مطوية أو شرائط أو موانع كذلك، وإذا لاحظنا عصمتها(علیها السلام) وإحاطتها العلمية ظهر بوضوح أن كلامها بشتى دلالاته حجة، فلو توقف صحة الكلام أو صدقه مثلاً على مقدمة مطوية وإن كانت بعيدة، كان ذلك دليلاً على حجيتها وصدقها وأمكن الاستناد إليها كذلك.</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 والنشر مرتب، كما لا يخفى.</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عوالم العلوم 11: 287.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المراد بالصباحة ها هنا: الطلاقة والإشراق لا الجمال، والوجه يكتسي بالصباحة والإشراق بتأثير الحالة المعنوية والروحية والأخلاقية للإنسان، قال في مجمع البحرين 2: 382، «وقد صَبُحَ الوجه - بالضم - صباحة: أشرق وأنار»، وقال في لسان العرب 2: 507، «الصبيح: الوضيء الوجه».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404.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15: 226.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371.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مستدرك الوسائل 13: 48.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43: 77-78، وفيه: عن أمير المؤمنين(علیه السلام) قال: «إن فاطمة(علیها السلام) بنت محمّد(صلی الله علیه و آله) وجدت علة فجاءها رسول اللّه(صلی الله علیه و آله) عائداً فجلس عندها وسألها عن حالها...» الحديث.</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لا يحضره الفقيه 1: 320-321.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خادمتها المعروفة، وقد أهديت إلى النبي(صلی الله علیه و آله) وأهداها إلى الصديقة فاطمة(علیها السلام).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مستدرك الوسائل 17: 317؛ عن التفسير المنسوب إلى الإمام الحسن العسكري(علیه السلام): 340.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الخرائج والجرائح 2: 530-531.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مناقب آل أبي طالب(علیهم السلام) 3: 343-344.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22: 383؛ عن رجال الكشي 1: 68؛ وفيه: عن أبي عبد اللّه(علیه السلام) قال: «تزوج سلمان امرأة من كندة، فدخل عليها فإذا لها خادمة وعلى بابها عباءة، فقال سلمان: إن في بيتكم هذا لمريضاً أو قد تحولت الكعبة فيه، فقيل: إن المرأة أرادت أن تستر على نفسها فيه، قال فما هذه الجارية؟ قالوا: كان لها شي ء فأرادت أن تخدم، قال: إني سمت رسول اللّه(صلی الله علیه و آله) يقول: أيما رجل كانت عنده جارية فلم يأتها أو لم يزوجها من يأتيها ثم فجرت كان عليه وزر مثلها، ومن أقرض قرضاً فكأنما تصدق بشطره، فإذا أقرضه الثانية كان برأس المال وأداء الحق إلى صاحبه أن يأتيه في بيته أو في رحله فيقول ها خذه».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 151.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الأمالي، للشيخ الصدوق: 234.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668.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خطبة الصديقة الطاهرة(علیها السلام) في المسجد، ويليها بعد ذلك خطبة الدار التي تحدثت بها على نساء المهاجرين والأنصار عندما جئن لعيادتها صلوات اللّه عليها.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313EF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شعاع من نور الزهراء علیها السلام مقدمه من فقه الزهرا علیهاالسلام</dc:title>
  <dc:description/>
  <dc:subject/>
  <cp:keywords/>
  <cp:category/>
  <cp:lastModifiedBy/>
  <dcterms:created xsi:type="dcterms:W3CDTF">2026-08-27T15:22:28+03:30</dcterms:created>
  <dcterms:modified xsi:type="dcterms:W3CDTF">2026-08-27T15:22:28+03:30</dcterms:modified>
</cp:coreProperties>
</file>

<file path=docProps/custom.xml><?xml version="1.0" encoding="utf-8"?>
<Properties xmlns="http://schemas.openxmlformats.org/officeDocument/2006/custom-properties" xmlns:vt="http://schemas.openxmlformats.org/officeDocument/2006/docPropsVTypes"/>
</file>