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الاوامر المولویة والارشادیة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9139_105122903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3959141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959143_1051229030">
            <w:r>
              <w:rPr>
                <w:webHidden/>
                <w:rStyle w:val="IndexLink"/>
                <w:rtl w:val="true"/>
              </w:rPr>
              <w:t>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3959145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959147_1051229030">
            <w:r>
              <w:rPr>
                <w:webHidden/>
                <w:rStyle w:val="IndexLink"/>
                <w:rtl w:val="true"/>
              </w:rPr>
              <w:t>من مباحث الكتاب</w:t>
            </w:r>
            <w:r>
              <w:rPr>
                <w:rStyle w:val="IndexLink"/>
                <w:rtl w:val="true"/>
              </w:rPr>
              <w:tab/>
            </w:r>
            <w:r>
              <w:rPr>
                <w:rStyle w:val="IndexLink"/>
              </w:rPr>
              <w:t>26</w:t>
            </w:r>
          </w:hyperlink>
        </w:p>
        <w:p>
          <w:pPr>
            <w:pStyle w:val="Contents3"/>
            <w:tabs>
              <w:tab w:val="clear" w:pos="8459"/>
              <w:tab w:val="right" w:pos="9026" w:leader="dot"/>
            </w:tabs>
            <w:rPr/>
          </w:pPr>
          <w:hyperlink w:anchor="__RefHeading___Toc3959149_1051229030">
            <w:r>
              <w:rPr>
                <w:webHidden/>
                <w:rStyle w:val="IndexLink"/>
                <w:rtl w:val="true"/>
              </w:rPr>
              <w:t>مباحث أخرى</w:t>
            </w:r>
            <w:r>
              <w:rPr>
                <w:rStyle w:val="IndexLink"/>
                <w:rtl w:val="true"/>
              </w:rPr>
              <w:tab/>
            </w:r>
            <w:r>
              <w:rPr>
                <w:rStyle w:val="IndexLink"/>
              </w:rPr>
              <w:t>27</w:t>
            </w:r>
          </w:hyperlink>
        </w:p>
        <w:p>
          <w:pPr>
            <w:pStyle w:val="Contents3"/>
            <w:tabs>
              <w:tab w:val="clear" w:pos="8459"/>
              <w:tab w:val="right" w:pos="9026" w:leader="dot"/>
            </w:tabs>
            <w:rPr/>
          </w:pPr>
          <w:hyperlink w:anchor="__RefHeading___Toc3959151_1051229030">
            <w:r>
              <w:rPr>
                <w:webHidden/>
                <w:rStyle w:val="IndexLink"/>
                <w:rtl w:val="true"/>
              </w:rPr>
              <w:t>من مسائل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3959153_1051229030">
            <w:r>
              <w:rPr>
                <w:webHidden/>
                <w:rStyle w:val="IndexLink"/>
                <w:rtl w:val="true"/>
              </w:rPr>
              <w:t>منهجية الكتاب</w:t>
            </w:r>
            <w:r>
              <w:rPr>
                <w:rStyle w:val="IndexLink"/>
                <w:rtl w:val="true"/>
              </w:rPr>
              <w:tab/>
            </w:r>
            <w:r>
              <w:rPr>
                <w:rStyle w:val="IndexLink"/>
              </w:rPr>
              <w:t>29</w:t>
            </w:r>
          </w:hyperlink>
        </w:p>
        <w:p>
          <w:pPr>
            <w:pStyle w:val="Contents3"/>
            <w:tabs>
              <w:tab w:val="clear" w:pos="8459"/>
              <w:tab w:val="right" w:pos="9026" w:leader="dot"/>
            </w:tabs>
            <w:rPr/>
          </w:pPr>
          <w:hyperlink w:anchor="__RefHeading___Toc3959155_1051229030">
            <w:r>
              <w:rPr>
                <w:webHidden/>
                <w:rStyle w:val="IndexLink"/>
                <w:rtl w:val="true"/>
              </w:rPr>
              <w:t>المدخل</w:t>
            </w:r>
            <w:r>
              <w:rPr>
                <w:rStyle w:val="IndexLink"/>
                <w:rtl w:val="true"/>
              </w:rPr>
              <w:tab/>
            </w:r>
            <w:r>
              <w:rPr>
                <w:rStyle w:val="IndexLink"/>
              </w:rPr>
              <w:t>31</w:t>
            </w:r>
          </w:hyperlink>
        </w:p>
        <w:p>
          <w:pPr>
            <w:pStyle w:val="Contents3"/>
            <w:tabs>
              <w:tab w:val="clear" w:pos="8459"/>
              <w:tab w:val="right" w:pos="9026" w:leader="dot"/>
            </w:tabs>
            <w:rPr/>
          </w:pPr>
          <w:hyperlink w:anchor="__RefHeading___Toc3959157_1051229030">
            <w:r>
              <w:rPr>
                <w:webHidden/>
                <w:rStyle w:val="IndexLink"/>
                <w:rtl w:val="true"/>
              </w:rPr>
              <w:t>إشارة لثمرات هذا المبحث</w:t>
            </w:r>
            <w:r>
              <w:rPr>
                <w:rStyle w:val="IndexLink"/>
                <w:rtl w:val="true"/>
              </w:rPr>
              <w:tab/>
            </w:r>
            <w:r>
              <w:rPr>
                <w:rStyle w:val="IndexLink"/>
              </w:rPr>
              <w:t>32</w:t>
            </w:r>
          </w:hyperlink>
        </w:p>
        <w:p>
          <w:pPr>
            <w:pStyle w:val="Contents2"/>
            <w:tabs>
              <w:tab w:val="clear" w:pos="8743"/>
              <w:tab w:val="right" w:pos="9026" w:leader="dot"/>
            </w:tabs>
            <w:rPr/>
          </w:pPr>
          <w:hyperlink w:anchor="__RefHeading___Toc3959159_1051229030">
            <w:r>
              <w:rPr>
                <w:webHidden/>
                <w:rStyle w:val="IndexLink"/>
                <w:rtl w:val="true"/>
              </w:rPr>
              <w:t>المبحث الاول</w:t>
            </w:r>
            <w:r>
              <w:rPr>
                <w:rStyle w:val="IndexLink"/>
                <w:rtl w:val="true"/>
              </w:rPr>
              <w:t xml:space="preserve">: </w:t>
            </w:r>
            <w:r>
              <w:rPr>
                <w:rStyle w:val="IndexLink"/>
                <w:rtl w:val="true"/>
              </w:rPr>
              <w:t>ابتناء الشريعة والفقه على كلا قسمي الأوامر والنواهي المولوية والإرشادية</w:t>
            </w:r>
            <w:r>
              <w:rPr>
                <w:rStyle w:val="IndexLink"/>
                <w:rtl w:val="true"/>
              </w:rPr>
              <w:tab/>
            </w:r>
            <w:r>
              <w:rPr>
                <w:rStyle w:val="IndexLink"/>
              </w:rPr>
              <w:t>35</w:t>
            </w:r>
          </w:hyperlink>
        </w:p>
        <w:p>
          <w:pPr>
            <w:pStyle w:val="Contents3"/>
            <w:tabs>
              <w:tab w:val="clear" w:pos="8459"/>
              <w:tab w:val="right" w:pos="9026" w:leader="dot"/>
            </w:tabs>
            <w:rPr/>
          </w:pPr>
          <w:hyperlink w:anchor="__RefHeading___Toc3959161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959163_1051229030">
            <w:r>
              <w:rPr>
                <w:webHidden/>
                <w:rStyle w:val="IndexLink"/>
                <w:rtl w:val="true"/>
              </w:rPr>
              <w:t>من مباحث الكتاب</w:t>
            </w:r>
            <w:r>
              <w:rPr>
                <w:rStyle w:val="IndexLink"/>
                <w:rtl w:val="true"/>
              </w:rPr>
              <w:tab/>
            </w:r>
            <w:r>
              <w:rPr>
                <w:rStyle w:val="IndexLink"/>
              </w:rPr>
              <w:t>40</w:t>
            </w:r>
          </w:hyperlink>
        </w:p>
        <w:p>
          <w:pPr>
            <w:pStyle w:val="Contents3"/>
            <w:tabs>
              <w:tab w:val="clear" w:pos="8459"/>
              <w:tab w:val="right" w:pos="9026" w:leader="dot"/>
            </w:tabs>
            <w:rPr/>
          </w:pPr>
          <w:hyperlink w:anchor="__RefHeading___Toc3959165_1051229030">
            <w:r>
              <w:rPr>
                <w:webHidden/>
                <w:rStyle w:val="IndexLink"/>
                <w:rtl w:val="true"/>
              </w:rPr>
              <w:t>من الأوامر الإرشادية في القرآن الكريم</w:t>
            </w:r>
            <w:r>
              <w:rPr>
                <w:rStyle w:val="IndexLink"/>
                <w:rtl w:val="true"/>
              </w:rPr>
              <w:tab/>
            </w:r>
            <w:r>
              <w:rPr>
                <w:rStyle w:val="IndexLink"/>
              </w:rPr>
              <w:t>42</w:t>
            </w:r>
          </w:hyperlink>
        </w:p>
        <w:p>
          <w:pPr>
            <w:pStyle w:val="Contents4"/>
            <w:tabs>
              <w:tab w:val="clear" w:pos="8176"/>
              <w:tab w:val="right" w:pos="9026" w:leader="dot"/>
            </w:tabs>
            <w:rPr/>
          </w:pPr>
          <w:hyperlink w:anchor="__RefHeading___Toc3959167_1051229030">
            <w:r>
              <w:rPr>
                <w:webHidden/>
                <w:rStyle w:val="IndexLink"/>
                <w:rtl w:val="true"/>
              </w:rPr>
              <w:t>آيات وروايات أدعي أنها إرشادية</w:t>
            </w:r>
            <w:r>
              <w:rPr>
                <w:rStyle w:val="IndexLink"/>
                <w:rtl w:val="true"/>
              </w:rPr>
              <w:tab/>
            </w:r>
            <w:r>
              <w:rPr>
                <w:rStyle w:val="IndexLink"/>
              </w:rPr>
              <w:t>42</w:t>
            </w:r>
          </w:hyperlink>
        </w:p>
        <w:p>
          <w:pPr>
            <w:pStyle w:val="Contents4"/>
            <w:tabs>
              <w:tab w:val="clear" w:pos="8176"/>
              <w:tab w:val="right" w:pos="9026" w:leader="dot"/>
            </w:tabs>
            <w:rPr/>
          </w:pPr>
          <w:hyperlink w:anchor="__RefHeading___Toc3959169_1051229030">
            <w:r>
              <w:rPr>
                <w:webHidden/>
                <w:rStyle w:val="IndexLink"/>
                <w:rtl w:val="true"/>
              </w:rPr>
              <w:t>من الأدلة على مولوية تلك الأوامر</w:t>
            </w:r>
            <w:r>
              <w:rPr>
                <w:rStyle w:val="IndexLink"/>
                <w:rtl w:val="true"/>
              </w:rPr>
              <w:tab/>
            </w:r>
            <w:r>
              <w:rPr>
                <w:rStyle w:val="IndexLink"/>
              </w:rPr>
              <w:t>45</w:t>
            </w:r>
          </w:hyperlink>
        </w:p>
        <w:p>
          <w:pPr>
            <w:pStyle w:val="Contents4"/>
            <w:tabs>
              <w:tab w:val="clear" w:pos="8176"/>
              <w:tab w:val="right" w:pos="9026" w:leader="dot"/>
            </w:tabs>
            <w:rPr/>
          </w:pPr>
          <w:hyperlink w:anchor="__RefHeading___Toc3959171_1051229030">
            <w:r>
              <w:rPr>
                <w:webHidden/>
                <w:rStyle w:val="IndexLink"/>
                <w:rtl w:val="true"/>
              </w:rPr>
              <w:t>من أدلة المولوية</w:t>
            </w:r>
            <w:r>
              <w:rPr>
                <w:rStyle w:val="IndexLink"/>
                <w:rtl w:val="true"/>
              </w:rPr>
              <w:t xml:space="preserve">: </w:t>
            </w:r>
            <w:r>
              <w:rPr>
                <w:rStyle w:val="IndexLink"/>
                <w:rtl w:val="true"/>
              </w:rPr>
              <w:t>ذكر الثواب</w:t>
            </w:r>
            <w:r>
              <w:rPr>
                <w:rStyle w:val="IndexLink"/>
                <w:rtl w:val="true"/>
              </w:rPr>
              <w:tab/>
            </w:r>
            <w:r>
              <w:rPr>
                <w:rStyle w:val="IndexLink"/>
              </w:rPr>
              <w:t>46</w:t>
            </w:r>
          </w:hyperlink>
        </w:p>
        <w:p>
          <w:pPr>
            <w:pStyle w:val="Contents4"/>
            <w:tabs>
              <w:tab w:val="clear" w:pos="8176"/>
              <w:tab w:val="right" w:pos="9026" w:leader="dot"/>
            </w:tabs>
            <w:rPr/>
          </w:pPr>
          <w:hyperlink w:anchor="__RefHeading___Toc3959173_1051229030">
            <w:r>
              <w:rPr>
                <w:webHidden/>
                <w:rStyle w:val="IndexLink"/>
                <w:rtl w:val="true"/>
              </w:rPr>
              <w:t>أدلة أخرى</w:t>
            </w:r>
            <w:r>
              <w:rPr>
                <w:rStyle w:val="IndexLink"/>
                <w:rtl w:val="true"/>
              </w:rPr>
              <w:tab/>
            </w:r>
            <w:r>
              <w:rPr>
                <w:rStyle w:val="IndexLink"/>
              </w:rPr>
              <w:t>47</w:t>
            </w:r>
          </w:hyperlink>
        </w:p>
        <w:p>
          <w:pPr>
            <w:pStyle w:val="Contents3"/>
            <w:tabs>
              <w:tab w:val="clear" w:pos="8459"/>
              <w:tab w:val="right" w:pos="9026" w:leader="dot"/>
            </w:tabs>
            <w:rPr/>
          </w:pPr>
          <w:hyperlink w:anchor="__RefHeading___Toc3959175_1051229030">
            <w:r>
              <w:rPr>
                <w:webHidden/>
                <w:rStyle w:val="IndexLink"/>
                <w:rtl w:val="true"/>
              </w:rPr>
              <w:t xml:space="preserve">هل </w:t>
            </w:r>
            <w:r>
              <w:rPr>
                <w:rStyle w:val="IndexLink"/>
                <w:rtl w:val="true"/>
              </w:rPr>
              <w:t>(</w:t>
            </w:r>
            <w:r>
              <w:rPr>
                <w:rStyle w:val="IndexLink"/>
                <w:rtl w:val="true"/>
              </w:rPr>
              <w:t>جناح</w:t>
            </w:r>
            <w:r>
              <w:rPr>
                <w:rStyle w:val="IndexLink"/>
                <w:rtl w:val="true"/>
              </w:rPr>
              <w:t xml:space="preserve">) </w:t>
            </w:r>
            <w:r>
              <w:rPr>
                <w:rStyle w:val="IndexLink"/>
                <w:rtl w:val="true"/>
              </w:rPr>
              <w:t>قرينة المولوية؟</w:t>
            </w:r>
            <w:r>
              <w:rPr>
                <w:rStyle w:val="IndexLink"/>
                <w:rtl w:val="true"/>
              </w:rPr>
              <w:tab/>
            </w:r>
            <w:r>
              <w:rPr>
                <w:rStyle w:val="IndexLink"/>
              </w:rPr>
              <w:t>49</w:t>
            </w:r>
          </w:hyperlink>
        </w:p>
        <w:p>
          <w:pPr>
            <w:pStyle w:val="Contents3"/>
            <w:tabs>
              <w:tab w:val="clear" w:pos="8459"/>
              <w:tab w:val="right" w:pos="9026" w:leader="dot"/>
            </w:tabs>
            <w:rPr/>
          </w:pPr>
          <w:hyperlink w:anchor="__RefHeading___Toc3959177_1051229030">
            <w:r>
              <w:rPr>
                <w:webHidden/>
                <w:rStyle w:val="IndexLink"/>
                <w:rtl w:val="true"/>
              </w:rPr>
              <w:t xml:space="preserve">هل </w:t>
            </w:r>
            <w:r>
              <w:rPr>
                <w:rStyle w:val="IndexLink"/>
                <w:rtl w:val="true"/>
              </w:rPr>
              <w:t>«</w:t>
            </w:r>
            <w:r>
              <w:rPr>
                <w:rStyle w:val="IndexLink"/>
                <w:rtl w:val="true"/>
              </w:rPr>
              <w:t>أشهدوا ذوي عدل</w:t>
            </w:r>
            <w:r>
              <w:rPr>
                <w:rStyle w:val="IndexLink"/>
                <w:rtl w:val="true"/>
              </w:rPr>
              <w:t xml:space="preserve">» </w:t>
            </w:r>
            <w:r>
              <w:rPr>
                <w:rStyle w:val="IndexLink"/>
                <w:rtl w:val="true"/>
              </w:rPr>
              <w:t>في الطلاق، مولوي؟</w:t>
            </w:r>
            <w:r>
              <w:rPr>
                <w:rStyle w:val="IndexLink"/>
                <w:rtl w:val="true"/>
              </w:rPr>
              <w:tab/>
            </w:r>
            <w:r>
              <w:rPr>
                <w:rStyle w:val="IndexLink"/>
              </w:rPr>
              <w:t>51</w:t>
            </w:r>
          </w:hyperlink>
        </w:p>
        <w:p>
          <w:pPr>
            <w:pStyle w:val="Contents3"/>
            <w:tabs>
              <w:tab w:val="clear" w:pos="8459"/>
              <w:tab w:val="right" w:pos="9026" w:leader="dot"/>
            </w:tabs>
            <w:rPr/>
          </w:pPr>
          <w:hyperlink w:anchor="__RefHeading___Toc3959179_1051229030">
            <w:r>
              <w:rPr>
                <w:webHidden/>
                <w:rStyle w:val="IndexLink"/>
                <w:rtl w:val="true"/>
              </w:rPr>
              <w:t xml:space="preserve">هل </w:t>
            </w:r>
            <w:r>
              <w:rPr>
                <w:rStyle w:val="IndexLink"/>
                <w:rtl w:val="true"/>
              </w:rPr>
              <w:t>«</w:t>
            </w:r>
            <w:r>
              <w:rPr>
                <w:rStyle w:val="IndexLink"/>
                <w:rtl w:val="true"/>
              </w:rPr>
              <w:t>أقصد في مشيك</w:t>
            </w:r>
            <w:r>
              <w:rPr>
                <w:rStyle w:val="IndexLink"/>
                <w:rtl w:val="true"/>
              </w:rPr>
              <w:t xml:space="preserve">» </w:t>
            </w:r>
            <w:r>
              <w:rPr>
                <w:rStyle w:val="IndexLink"/>
                <w:rtl w:val="true"/>
              </w:rPr>
              <w:t>إرشادي؟</w:t>
            </w:r>
            <w:r>
              <w:rPr>
                <w:rStyle w:val="IndexLink"/>
                <w:rtl w:val="true"/>
              </w:rPr>
              <w:tab/>
            </w:r>
            <w:r>
              <w:rPr>
                <w:rStyle w:val="IndexLink"/>
              </w:rPr>
              <w:t>52</w:t>
            </w:r>
          </w:hyperlink>
        </w:p>
        <w:p>
          <w:pPr>
            <w:pStyle w:val="Contents3"/>
            <w:tabs>
              <w:tab w:val="clear" w:pos="8459"/>
              <w:tab w:val="right" w:pos="9026" w:leader="dot"/>
            </w:tabs>
            <w:rPr/>
          </w:pPr>
          <w:hyperlink w:anchor="__RefHeading___Toc3959181_1051229030">
            <w:r>
              <w:rPr>
                <w:webHidden/>
                <w:rStyle w:val="IndexLink"/>
                <w:rtl w:val="true"/>
              </w:rPr>
              <w:t xml:space="preserve">شواهد على مولوية </w:t>
            </w:r>
            <w:r>
              <w:rPr>
                <w:rStyle w:val="IndexLink"/>
                <w:rtl w:val="true"/>
              </w:rPr>
              <w:t>«</w:t>
            </w:r>
            <w:r>
              <w:rPr>
                <w:rStyle w:val="IndexLink"/>
                <w:rtl w:val="true"/>
              </w:rPr>
              <w:t>كُلُواْ وَاشْرَبُواْ</w:t>
            </w:r>
            <w:r>
              <w:rPr>
                <w:rStyle w:val="IndexLink"/>
                <w:rtl w:val="true"/>
              </w:rPr>
              <w:t>»</w:t>
              <w:tab/>
            </w:r>
            <w:r>
              <w:rPr>
                <w:rStyle w:val="IndexLink"/>
              </w:rPr>
              <w:t>54</w:t>
            </w:r>
          </w:hyperlink>
        </w:p>
        <w:p>
          <w:pPr>
            <w:pStyle w:val="Contents3"/>
            <w:tabs>
              <w:tab w:val="clear" w:pos="8459"/>
              <w:tab w:val="right" w:pos="9026" w:leader="dot"/>
            </w:tabs>
            <w:rPr/>
          </w:pPr>
          <w:hyperlink w:anchor="__RefHeading___Toc3959183_1051229030">
            <w:r>
              <w:rPr>
                <w:webHidden/>
                <w:rStyle w:val="IndexLink"/>
                <w:rtl w:val="true"/>
              </w:rPr>
              <w:t xml:space="preserve">هل </w:t>
            </w:r>
            <w:r>
              <w:rPr>
                <w:rStyle w:val="IndexLink"/>
                <w:rtl w:val="true"/>
              </w:rPr>
              <w:t>«</w:t>
            </w:r>
            <w:r>
              <w:rPr>
                <w:rStyle w:val="IndexLink"/>
                <w:rtl w:val="true"/>
              </w:rPr>
              <w:t>كلوا واشربوا</w:t>
            </w:r>
            <w:r>
              <w:rPr>
                <w:rStyle w:val="IndexLink"/>
                <w:rtl w:val="true"/>
              </w:rPr>
              <w:t xml:space="preserve">» </w:t>
            </w:r>
            <w:r>
              <w:rPr>
                <w:rStyle w:val="IndexLink"/>
                <w:rtl w:val="true"/>
              </w:rPr>
              <w:t>للإباحة؟</w:t>
            </w:r>
            <w:r>
              <w:rPr>
                <w:rStyle w:val="IndexLink"/>
                <w:rtl w:val="true"/>
              </w:rPr>
              <w:tab/>
            </w:r>
            <w:r>
              <w:rPr>
                <w:rStyle w:val="IndexLink"/>
              </w:rPr>
              <w:t>54</w:t>
            </w:r>
          </w:hyperlink>
        </w:p>
        <w:p>
          <w:pPr>
            <w:pStyle w:val="Contents3"/>
            <w:tabs>
              <w:tab w:val="clear" w:pos="8459"/>
              <w:tab w:val="right" w:pos="9026" w:leader="dot"/>
            </w:tabs>
            <w:rPr/>
          </w:pPr>
          <w:hyperlink w:anchor="__RefHeading___Toc3959185_1051229030">
            <w:r>
              <w:rPr>
                <w:webHidden/>
                <w:rStyle w:val="IndexLink"/>
                <w:rtl w:val="true"/>
              </w:rPr>
              <w:t xml:space="preserve">تحقيق الحال في </w:t>
            </w:r>
            <w:r>
              <w:rPr>
                <w:rStyle w:val="IndexLink"/>
                <w:rtl w:val="true"/>
              </w:rPr>
              <w:t>(</w:t>
            </w:r>
            <w:r>
              <w:rPr>
                <w:rStyle w:val="IndexLink"/>
                <w:rtl w:val="true"/>
              </w:rPr>
              <w:t>الآية</w:t>
            </w:r>
            <w:r>
              <w:rPr>
                <w:rStyle w:val="IndexLink"/>
                <w:rtl w:val="true"/>
              </w:rPr>
              <w:t xml:space="preserve">) </w:t>
            </w:r>
            <w:r>
              <w:rPr>
                <w:rStyle w:val="IndexLink"/>
                <w:rtl w:val="true"/>
              </w:rPr>
              <w:t xml:space="preserve">على كل الأقوال في </w:t>
            </w:r>
            <w:r>
              <w:rPr>
                <w:rStyle w:val="IndexLink"/>
                <w:rtl w:val="true"/>
              </w:rPr>
              <w:t>(</w:t>
            </w:r>
            <w:r>
              <w:rPr>
                <w:rStyle w:val="IndexLink"/>
                <w:rtl w:val="true"/>
              </w:rPr>
              <w:t>الصيغة</w:t>
            </w:r>
            <w:r>
              <w:rPr>
                <w:rStyle w:val="IndexLink"/>
                <w:rtl w:val="true"/>
              </w:rPr>
              <w:t>)</w:t>
              <w:tab/>
            </w:r>
            <w:r>
              <w:rPr>
                <w:rStyle w:val="IndexLink"/>
              </w:rPr>
              <w:t>56</w:t>
            </w:r>
          </w:hyperlink>
        </w:p>
        <w:p>
          <w:pPr>
            <w:pStyle w:val="Contents3"/>
            <w:tabs>
              <w:tab w:val="clear" w:pos="8459"/>
              <w:tab w:val="right" w:pos="9026" w:leader="dot"/>
            </w:tabs>
            <w:rPr/>
          </w:pPr>
          <w:hyperlink w:anchor="__RefHeading___Toc3959187_1051229030">
            <w:r>
              <w:rPr>
                <w:webHidden/>
                <w:rStyle w:val="IndexLink"/>
                <w:rtl w:val="true"/>
              </w:rPr>
              <w:t xml:space="preserve">أدلة أخرى على مولوية </w:t>
            </w:r>
            <w:r>
              <w:rPr>
                <w:rStyle w:val="IndexLink"/>
                <w:rtl w:val="true"/>
              </w:rPr>
              <w:t>«</w:t>
            </w:r>
            <w:r>
              <w:rPr>
                <w:rStyle w:val="IndexLink"/>
                <w:rtl w:val="true"/>
              </w:rPr>
              <w:t>كلوا واشربوا</w:t>
            </w:r>
            <w:r>
              <w:rPr>
                <w:rStyle w:val="IndexLink"/>
                <w:rtl w:val="true"/>
              </w:rPr>
              <w:t>»</w:t>
              <w:tab/>
            </w:r>
            <w:r>
              <w:rPr>
                <w:rStyle w:val="IndexLink"/>
              </w:rPr>
              <w:t>57</w:t>
            </w:r>
          </w:hyperlink>
        </w:p>
        <w:p>
          <w:pPr>
            <w:pStyle w:val="Contents2"/>
            <w:tabs>
              <w:tab w:val="clear" w:pos="8743"/>
              <w:tab w:val="right" w:pos="9026" w:leader="dot"/>
            </w:tabs>
            <w:rPr/>
          </w:pPr>
          <w:hyperlink w:anchor="__RefHeading___Toc3959189_1051229030">
            <w:r>
              <w:rPr>
                <w:webHidden/>
                <w:rStyle w:val="IndexLink"/>
                <w:rtl w:val="true"/>
              </w:rPr>
              <w:t xml:space="preserve">المبحث الثاني </w:t>
            </w:r>
            <w:r>
              <w:rPr>
                <w:rStyle w:val="IndexLink"/>
                <w:rtl w:val="true"/>
              </w:rPr>
              <w:t xml:space="preserve">: </w:t>
            </w:r>
            <w:r>
              <w:rPr>
                <w:rStyle w:val="IndexLink"/>
                <w:rtl w:val="true"/>
              </w:rPr>
              <w:t>هل ورد مصطلح الأمر المولوي والإرشادي في الكتاب والسنة؟</w:t>
            </w:r>
            <w:r>
              <w:rPr>
                <w:rStyle w:val="IndexLink"/>
                <w:rtl w:val="true"/>
              </w:rPr>
              <w:tab/>
            </w:r>
            <w:r>
              <w:rPr>
                <w:rStyle w:val="IndexLink"/>
              </w:rPr>
              <w:t>65</w:t>
            </w:r>
          </w:hyperlink>
        </w:p>
        <w:p>
          <w:pPr>
            <w:pStyle w:val="Contents3"/>
            <w:tabs>
              <w:tab w:val="clear" w:pos="8459"/>
              <w:tab w:val="right" w:pos="9026" w:leader="dot"/>
            </w:tabs>
            <w:rPr/>
          </w:pPr>
          <w:hyperlink w:anchor="__RefHeading___Toc3959191_105122903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959193_1051229030">
            <w:r>
              <w:rPr>
                <w:webHidden/>
                <w:rStyle w:val="IndexLink"/>
                <w:rtl w:val="true"/>
              </w:rPr>
              <w:t>(</w:t>
            </w:r>
            <w:r>
              <w:rPr>
                <w:rStyle w:val="IndexLink"/>
                <w:rtl w:val="true"/>
              </w:rPr>
              <w:t>المولوي</w:t>
            </w:r>
            <w:r>
              <w:rPr>
                <w:rStyle w:val="IndexLink"/>
                <w:rtl w:val="true"/>
              </w:rPr>
              <w:t xml:space="preserve">) </w:t>
            </w:r>
            <w:r>
              <w:rPr>
                <w:rStyle w:val="IndexLink"/>
                <w:rtl w:val="true"/>
              </w:rPr>
              <w:t>في الكتاب</w:t>
            </w:r>
            <w:r>
              <w:rPr>
                <w:rStyle w:val="IndexLink"/>
                <w:rtl w:val="true"/>
              </w:rPr>
              <w:tab/>
            </w:r>
            <w:r>
              <w:rPr>
                <w:rStyle w:val="IndexLink"/>
              </w:rPr>
              <w:t>67</w:t>
            </w:r>
          </w:hyperlink>
        </w:p>
        <w:p>
          <w:pPr>
            <w:pStyle w:val="Contents3"/>
            <w:tabs>
              <w:tab w:val="clear" w:pos="8459"/>
              <w:tab w:val="right" w:pos="9026" w:leader="dot"/>
            </w:tabs>
            <w:rPr/>
          </w:pPr>
          <w:hyperlink w:anchor="__RefHeading___Toc3959195_1051229030">
            <w:r>
              <w:rPr>
                <w:webHidden/>
                <w:rStyle w:val="IndexLink"/>
                <w:rtl w:val="true"/>
              </w:rPr>
              <w:t>دلالة الآية الكريمة على وجود قسمين للمولوي</w:t>
            </w:r>
            <w:r>
              <w:rPr>
                <w:rStyle w:val="IndexLink"/>
                <w:rtl w:val="true"/>
              </w:rPr>
              <w:tab/>
            </w:r>
            <w:r>
              <w:rPr>
                <w:rStyle w:val="IndexLink"/>
              </w:rPr>
              <w:t>68</w:t>
            </w:r>
          </w:hyperlink>
        </w:p>
        <w:p>
          <w:pPr>
            <w:pStyle w:val="Contents3"/>
            <w:tabs>
              <w:tab w:val="clear" w:pos="8459"/>
              <w:tab w:val="right" w:pos="9026" w:leader="dot"/>
            </w:tabs>
            <w:rPr/>
          </w:pPr>
          <w:hyperlink w:anchor="__RefHeading___Toc3959197_1051229030">
            <w:r>
              <w:rPr>
                <w:webHidden/>
                <w:rStyle w:val="IndexLink"/>
                <w:rtl w:val="true"/>
              </w:rPr>
              <w:t>مقتضى مقام المولى</w:t>
            </w:r>
            <w:r>
              <w:rPr>
                <w:rStyle w:val="IndexLink"/>
                <w:rtl w:val="true"/>
              </w:rPr>
              <w:t xml:space="preserve">: </w:t>
            </w:r>
            <w:r>
              <w:rPr>
                <w:rStyle w:val="IndexLink"/>
                <w:rtl w:val="true"/>
              </w:rPr>
              <w:t>الإخبار ناصحاً</w:t>
            </w:r>
            <w:r>
              <w:rPr>
                <w:rStyle w:val="IndexLink"/>
                <w:rtl w:val="true"/>
              </w:rPr>
              <w:tab/>
            </w:r>
            <w:r>
              <w:rPr>
                <w:rStyle w:val="IndexLink"/>
              </w:rPr>
              <w:t>69</w:t>
            </w:r>
          </w:hyperlink>
        </w:p>
        <w:p>
          <w:pPr>
            <w:pStyle w:val="Contents3"/>
            <w:tabs>
              <w:tab w:val="clear" w:pos="8459"/>
              <w:tab w:val="right" w:pos="9026" w:leader="dot"/>
            </w:tabs>
            <w:rPr/>
          </w:pPr>
          <w:hyperlink w:anchor="__RefHeading___Toc3959199_1051229030">
            <w:r>
              <w:rPr>
                <w:webHidden/>
                <w:rStyle w:val="IndexLink"/>
                <w:rtl w:val="true"/>
              </w:rPr>
              <w:t>هل الآية في مقام الولاية التكوينية فقط؟</w:t>
            </w:r>
            <w:r>
              <w:rPr>
                <w:rStyle w:val="IndexLink"/>
                <w:rtl w:val="true"/>
              </w:rPr>
              <w:tab/>
            </w:r>
            <w:r>
              <w:rPr>
                <w:rStyle w:val="IndexLink"/>
              </w:rPr>
              <w:t>70</w:t>
            </w:r>
          </w:hyperlink>
        </w:p>
        <w:p>
          <w:pPr>
            <w:pStyle w:val="Contents3"/>
            <w:tabs>
              <w:tab w:val="clear" w:pos="8459"/>
              <w:tab w:val="right" w:pos="9026" w:leader="dot"/>
            </w:tabs>
            <w:rPr/>
          </w:pPr>
          <w:hyperlink w:anchor="__RefHeading___Toc3959201_1051229030">
            <w:r>
              <w:rPr>
                <w:webHidden/>
                <w:rStyle w:val="IndexLink"/>
                <w:rtl w:val="true"/>
              </w:rPr>
              <w:t xml:space="preserve">آية </w:t>
            </w:r>
            <w:r>
              <w:rPr>
                <w:rStyle w:val="IndexLink"/>
                <w:rtl w:val="true"/>
              </w:rPr>
              <w:t>«</w:t>
            </w:r>
            <w:r>
              <w:rPr>
                <w:rStyle w:val="IndexLink"/>
                <w:rtl w:val="true"/>
              </w:rPr>
              <w:t>الله ولي الذين آمنوا</w:t>
            </w:r>
            <w:r>
              <w:rPr>
                <w:rStyle w:val="IndexLink"/>
                <w:rtl w:val="true"/>
              </w:rPr>
              <w:t>»</w:t>
              <w:tab/>
            </w:r>
            <w:r>
              <w:rPr>
                <w:rStyle w:val="IndexLink"/>
              </w:rPr>
              <w:t>72</w:t>
            </w:r>
          </w:hyperlink>
        </w:p>
        <w:p>
          <w:pPr>
            <w:pStyle w:val="Contents3"/>
            <w:tabs>
              <w:tab w:val="clear" w:pos="8459"/>
              <w:tab w:val="right" w:pos="9026" w:leader="dot"/>
            </w:tabs>
            <w:rPr/>
          </w:pPr>
          <w:hyperlink w:anchor="__RefHeading___Toc3959203_1051229030">
            <w:r>
              <w:rPr>
                <w:webHidden/>
                <w:rStyle w:val="IndexLink"/>
                <w:rtl w:val="true"/>
              </w:rPr>
              <w:t xml:space="preserve">آية </w:t>
            </w:r>
            <w:r>
              <w:rPr>
                <w:rStyle w:val="IndexLink"/>
                <w:rtl w:val="true"/>
              </w:rPr>
              <w:t>«</w:t>
            </w:r>
            <w:r>
              <w:rPr>
                <w:rStyle w:val="IndexLink"/>
                <w:rtl w:val="true"/>
              </w:rPr>
              <w:t>مولاهم حق</w:t>
            </w:r>
            <w:r>
              <w:rPr>
                <w:rStyle w:val="IndexLink"/>
                <w:rtl w:val="true"/>
              </w:rPr>
              <w:t>»</w:t>
              <w:tab/>
            </w:r>
            <w:r>
              <w:rPr>
                <w:rStyle w:val="IndexLink"/>
              </w:rPr>
              <w:t>72</w:t>
            </w:r>
          </w:hyperlink>
        </w:p>
        <w:p>
          <w:pPr>
            <w:pStyle w:val="Contents3"/>
            <w:tabs>
              <w:tab w:val="clear" w:pos="8459"/>
              <w:tab w:val="right" w:pos="9026" w:leader="dot"/>
            </w:tabs>
            <w:rPr/>
          </w:pPr>
          <w:hyperlink w:anchor="__RefHeading___Toc3959205_1051229030">
            <w:r>
              <w:rPr>
                <w:webHidden/>
                <w:rStyle w:val="IndexLink"/>
                <w:rtl w:val="true"/>
              </w:rPr>
              <w:t xml:space="preserve">آية </w:t>
            </w:r>
            <w:r>
              <w:rPr>
                <w:rStyle w:val="IndexLink"/>
                <w:rtl w:val="true"/>
              </w:rPr>
              <w:t>«</w:t>
            </w:r>
            <w:r>
              <w:rPr>
                <w:rStyle w:val="IndexLink"/>
                <w:rtl w:val="true"/>
              </w:rPr>
              <w:t>وإن تظاهرا عليه</w:t>
            </w:r>
            <w:r>
              <w:rPr>
                <w:rStyle w:val="IndexLink"/>
                <w:rtl w:val="true"/>
              </w:rPr>
              <w:t>»</w:t>
              <w:tab/>
            </w:r>
            <w:r>
              <w:rPr>
                <w:rStyle w:val="IndexLink"/>
              </w:rPr>
              <w:t>73</w:t>
            </w:r>
          </w:hyperlink>
        </w:p>
        <w:p>
          <w:pPr>
            <w:pStyle w:val="Contents3"/>
            <w:tabs>
              <w:tab w:val="clear" w:pos="8459"/>
              <w:tab w:val="right" w:pos="9026" w:leader="dot"/>
            </w:tabs>
            <w:rPr/>
          </w:pPr>
          <w:hyperlink w:anchor="__RefHeading___Toc3959207_1051229030">
            <w:r>
              <w:rPr>
                <w:webHidden/>
                <w:rStyle w:val="IndexLink"/>
                <w:rtl w:val="true"/>
              </w:rPr>
              <w:t>(</w:t>
            </w:r>
            <w:r>
              <w:rPr>
                <w:rStyle w:val="IndexLink"/>
                <w:rtl w:val="true"/>
              </w:rPr>
              <w:t>الفعل</w:t>
            </w:r>
            <w:r>
              <w:rPr>
                <w:rStyle w:val="IndexLink"/>
                <w:rtl w:val="true"/>
              </w:rPr>
              <w:t xml:space="preserve">) </w:t>
            </w:r>
            <w:r>
              <w:rPr>
                <w:rStyle w:val="IndexLink"/>
                <w:rtl w:val="true"/>
              </w:rPr>
              <w:t>مولوي وإرشادي ك</w:t>
            </w:r>
            <w:r>
              <w:rPr>
                <w:rStyle w:val="IndexLink"/>
                <w:rtl w:val="true"/>
              </w:rPr>
              <w:t>(</w:t>
            </w:r>
            <w:r>
              <w:rPr>
                <w:rStyle w:val="IndexLink"/>
                <w:rtl w:val="true"/>
              </w:rPr>
              <w:t>الأمر</w:t>
            </w:r>
            <w:r>
              <w:rPr>
                <w:rStyle w:val="IndexLink"/>
                <w:rtl w:val="true"/>
              </w:rPr>
              <w:t>)</w:t>
              <w:tab/>
            </w:r>
            <w:r>
              <w:rPr>
                <w:rStyle w:val="IndexLink"/>
              </w:rPr>
              <w:t>73</w:t>
            </w:r>
          </w:hyperlink>
        </w:p>
        <w:p>
          <w:pPr>
            <w:pStyle w:val="Contents3"/>
            <w:tabs>
              <w:tab w:val="clear" w:pos="8459"/>
              <w:tab w:val="right" w:pos="9026" w:leader="dot"/>
            </w:tabs>
            <w:rPr/>
          </w:pPr>
          <w:hyperlink w:anchor="__RefHeading___Toc3959209_1051229030">
            <w:r>
              <w:rPr>
                <w:webHidden/>
                <w:rStyle w:val="IndexLink"/>
                <w:rtl w:val="true"/>
              </w:rPr>
              <w:t>(</w:t>
            </w:r>
            <w:r>
              <w:rPr>
                <w:rStyle w:val="IndexLink"/>
                <w:rtl w:val="true"/>
              </w:rPr>
              <w:t>الفعل المولوي</w:t>
            </w:r>
            <w:r>
              <w:rPr>
                <w:rStyle w:val="IndexLink"/>
                <w:rtl w:val="true"/>
              </w:rPr>
              <w:t xml:space="preserve">) </w:t>
            </w:r>
            <w:r>
              <w:rPr>
                <w:rStyle w:val="IndexLink"/>
                <w:rtl w:val="true"/>
              </w:rPr>
              <w:t>من أهم طرق إثبات ولاية أمير المؤمنين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959211_1051229030">
            <w:r>
              <w:rPr>
                <w:webHidden/>
                <w:rStyle w:val="IndexLink"/>
                <w:rtl w:val="true"/>
              </w:rPr>
              <w:t>التقرير المولوي، وكذا الإشارة</w:t>
            </w:r>
            <w:r>
              <w:rPr>
                <w:rStyle w:val="IndexLink"/>
                <w:rtl w:val="true"/>
              </w:rPr>
              <w:tab/>
            </w:r>
            <w:r>
              <w:rPr>
                <w:rStyle w:val="IndexLink"/>
              </w:rPr>
              <w:t>75</w:t>
            </w:r>
          </w:hyperlink>
        </w:p>
        <w:p>
          <w:pPr>
            <w:pStyle w:val="Contents3"/>
            <w:tabs>
              <w:tab w:val="clear" w:pos="8459"/>
              <w:tab w:val="right" w:pos="9026" w:leader="dot"/>
            </w:tabs>
            <w:rPr/>
          </w:pPr>
          <w:hyperlink w:anchor="__RefHeading___Toc3959213_1051229030">
            <w:r>
              <w:rPr>
                <w:webHidden/>
                <w:rStyle w:val="IndexLink"/>
                <w:rtl w:val="true"/>
              </w:rPr>
              <w:t xml:space="preserve">آية </w:t>
            </w:r>
            <w:r>
              <w:rPr>
                <w:rStyle w:val="IndexLink"/>
                <w:rtl w:val="true"/>
              </w:rPr>
              <w:t>«</w:t>
            </w:r>
            <w:r>
              <w:rPr>
                <w:rStyle w:val="IndexLink"/>
                <w:rtl w:val="true"/>
              </w:rPr>
              <w:t>وهو الولي الحميد</w:t>
            </w:r>
            <w:r>
              <w:rPr>
                <w:rStyle w:val="IndexLink"/>
                <w:rtl w:val="true"/>
              </w:rPr>
              <w:t>»</w:t>
              <w:tab/>
            </w:r>
            <w:r>
              <w:rPr>
                <w:rStyle w:val="IndexLink"/>
              </w:rPr>
              <w:t>76</w:t>
            </w:r>
          </w:hyperlink>
        </w:p>
        <w:p>
          <w:pPr>
            <w:pStyle w:val="Contents3"/>
            <w:tabs>
              <w:tab w:val="clear" w:pos="8459"/>
              <w:tab w:val="right" w:pos="9026" w:leader="dot"/>
            </w:tabs>
            <w:rPr/>
          </w:pPr>
          <w:hyperlink w:anchor="__RefHeading___Toc3959215_1051229030">
            <w:r>
              <w:rPr>
                <w:webHidden/>
                <w:rStyle w:val="IndexLink"/>
                <w:rtl w:val="true"/>
              </w:rPr>
              <w:t xml:space="preserve">آية </w:t>
            </w:r>
            <w:r>
              <w:rPr>
                <w:rStyle w:val="IndexLink"/>
                <w:rtl w:val="true"/>
              </w:rPr>
              <w:t>«</w:t>
            </w:r>
            <w:r>
              <w:rPr>
                <w:rStyle w:val="IndexLink"/>
                <w:rtl w:val="true"/>
              </w:rPr>
              <w:t>إنما وليكم الله</w:t>
            </w:r>
            <w:r>
              <w:rPr>
                <w:rStyle w:val="IndexLink"/>
                <w:rtl w:val="true"/>
              </w:rPr>
              <w:t>»</w:t>
              <w:tab/>
            </w:r>
            <w:r>
              <w:rPr>
                <w:rStyle w:val="IndexLink"/>
              </w:rPr>
              <w:t>77</w:t>
            </w:r>
          </w:hyperlink>
        </w:p>
        <w:p>
          <w:pPr>
            <w:pStyle w:val="Contents3"/>
            <w:tabs>
              <w:tab w:val="clear" w:pos="8459"/>
              <w:tab w:val="right" w:pos="9026" w:leader="dot"/>
            </w:tabs>
            <w:rPr/>
          </w:pPr>
          <w:hyperlink w:anchor="__RefHeading___Toc3959217_1051229030">
            <w:r>
              <w:rPr>
                <w:webHidden/>
                <w:rStyle w:val="IndexLink"/>
                <w:rtl w:val="true"/>
              </w:rPr>
              <w:t>(</w:t>
            </w:r>
            <w:r>
              <w:rPr>
                <w:rStyle w:val="IndexLink"/>
                <w:rtl w:val="true"/>
              </w:rPr>
              <w:t>النصح</w:t>
            </w:r>
            <w:r>
              <w:rPr>
                <w:rStyle w:val="IndexLink"/>
                <w:rtl w:val="true"/>
              </w:rPr>
              <w:t xml:space="preserve">) </w:t>
            </w:r>
            <w:r>
              <w:rPr>
                <w:rStyle w:val="IndexLink"/>
                <w:rtl w:val="true"/>
              </w:rPr>
              <w:t>أصل في المعصومين عليهم السلام، كالتشريع</w:t>
            </w:r>
            <w:r>
              <w:rPr>
                <w:rStyle w:val="IndexLink"/>
                <w:rtl w:val="true"/>
              </w:rPr>
              <w:tab/>
            </w:r>
            <w:r>
              <w:rPr>
                <w:rStyle w:val="IndexLink"/>
              </w:rPr>
              <w:t>77</w:t>
            </w:r>
          </w:hyperlink>
        </w:p>
        <w:p>
          <w:pPr>
            <w:pStyle w:val="Contents3"/>
            <w:tabs>
              <w:tab w:val="clear" w:pos="8459"/>
              <w:tab w:val="right" w:pos="9026" w:leader="dot"/>
            </w:tabs>
            <w:rPr/>
          </w:pPr>
          <w:hyperlink w:anchor="__RefHeading___Toc3959219_1051229030">
            <w:r>
              <w:rPr>
                <w:webHidden/>
                <w:rStyle w:val="IndexLink"/>
                <w:rtl w:val="true"/>
              </w:rPr>
              <w:t>مناقشة</w:t>
            </w:r>
            <w:r>
              <w:rPr>
                <w:rStyle w:val="IndexLink"/>
                <w:rtl w:val="true"/>
              </w:rPr>
              <w:t>: (</w:t>
            </w:r>
            <w:r>
              <w:rPr>
                <w:rStyle w:val="IndexLink"/>
                <w:rtl w:val="true"/>
              </w:rPr>
              <w:t>الأصل في مقامهم عليهم السلام المولوية</w:t>
            </w:r>
            <w:r>
              <w:rPr>
                <w:rStyle w:val="IndexLink"/>
                <w:rtl w:val="true"/>
              </w:rPr>
              <w:t>)</w:t>
              <w:tab/>
            </w:r>
            <w:r>
              <w:rPr>
                <w:rStyle w:val="IndexLink"/>
              </w:rPr>
              <w:t>78</w:t>
            </w:r>
          </w:hyperlink>
        </w:p>
        <w:p>
          <w:pPr>
            <w:pStyle w:val="Contents3"/>
            <w:tabs>
              <w:tab w:val="clear" w:pos="8459"/>
              <w:tab w:val="right" w:pos="9026" w:leader="dot"/>
            </w:tabs>
            <w:rPr/>
          </w:pPr>
          <w:hyperlink w:anchor="__RefHeading___Toc3959221_1051229030">
            <w:r>
              <w:rPr>
                <w:webHidden/>
                <w:rStyle w:val="IndexLink"/>
                <w:rtl w:val="true"/>
              </w:rPr>
              <w:t>وهل الأصل في أوامرهم عليهم السلام المولوية؟</w:t>
            </w:r>
            <w:r>
              <w:rPr>
                <w:rStyle w:val="IndexLink"/>
                <w:rtl w:val="true"/>
              </w:rPr>
              <w:tab/>
            </w:r>
            <w:r>
              <w:rPr>
                <w:rStyle w:val="IndexLink"/>
              </w:rPr>
              <w:t>79</w:t>
            </w:r>
          </w:hyperlink>
        </w:p>
        <w:p>
          <w:pPr>
            <w:pStyle w:val="Contents3"/>
            <w:tabs>
              <w:tab w:val="clear" w:pos="8459"/>
              <w:tab w:val="right" w:pos="9026" w:leader="dot"/>
            </w:tabs>
            <w:rPr/>
          </w:pPr>
          <w:hyperlink w:anchor="__RefHeading___Toc3959223_1051229030">
            <w:r>
              <w:rPr>
                <w:webHidden/>
                <w:rStyle w:val="IndexLink"/>
                <w:rtl w:val="true"/>
              </w:rPr>
              <w:t>(</w:t>
            </w:r>
            <w:r>
              <w:rPr>
                <w:rStyle w:val="IndexLink"/>
                <w:rtl w:val="true"/>
              </w:rPr>
              <w:t>المولوي</w:t>
            </w:r>
            <w:r>
              <w:rPr>
                <w:rStyle w:val="IndexLink"/>
                <w:rtl w:val="true"/>
              </w:rPr>
              <w:t xml:space="preserve">) </w:t>
            </w:r>
            <w:r>
              <w:rPr>
                <w:rStyle w:val="IndexLink"/>
                <w:rtl w:val="true"/>
              </w:rPr>
              <w:t>في السنة</w:t>
            </w:r>
            <w:r>
              <w:rPr>
                <w:rStyle w:val="IndexLink"/>
                <w:rtl w:val="true"/>
              </w:rPr>
              <w:t>:</w:t>
              <w:tab/>
            </w:r>
            <w:r>
              <w:rPr>
                <w:rStyle w:val="IndexLink"/>
              </w:rPr>
              <w:t>80</w:t>
            </w:r>
          </w:hyperlink>
        </w:p>
        <w:p>
          <w:pPr>
            <w:pStyle w:val="Contents3"/>
            <w:tabs>
              <w:tab w:val="clear" w:pos="8459"/>
              <w:tab w:val="right" w:pos="9026" w:leader="dot"/>
            </w:tabs>
            <w:rPr/>
          </w:pPr>
          <w:hyperlink w:anchor="__RefHeading___Toc3959225_1051229030">
            <w:r>
              <w:rPr>
                <w:webHidden/>
                <w:rStyle w:val="IndexLink"/>
                <w:rtl w:val="true"/>
              </w:rPr>
              <w:t xml:space="preserve">رواية </w:t>
            </w:r>
            <w:r>
              <w:rPr>
                <w:rStyle w:val="IndexLink"/>
                <w:rtl w:val="true"/>
              </w:rPr>
              <w:t>(</w:t>
            </w:r>
            <w:r>
              <w:rPr>
                <w:rStyle w:val="IndexLink"/>
                <w:rtl w:val="true"/>
              </w:rPr>
              <w:t>إني لأولى الناس بالناس</w:t>
            </w:r>
            <w:r>
              <w:rPr>
                <w:rStyle w:val="IndexLink"/>
                <w:rtl w:val="true"/>
              </w:rPr>
              <w:t>)</w:t>
              <w:tab/>
            </w:r>
            <w:r>
              <w:rPr>
                <w:rStyle w:val="IndexLink"/>
              </w:rPr>
              <w:t>81</w:t>
            </w:r>
          </w:hyperlink>
        </w:p>
        <w:p>
          <w:pPr>
            <w:pStyle w:val="Contents3"/>
            <w:tabs>
              <w:tab w:val="clear" w:pos="8459"/>
              <w:tab w:val="right" w:pos="9026" w:leader="dot"/>
            </w:tabs>
            <w:rPr/>
          </w:pPr>
          <w:hyperlink w:anchor="__RefHeading___Toc3959227_1051229030">
            <w:r>
              <w:rPr>
                <w:webHidden/>
                <w:rStyle w:val="IndexLink"/>
                <w:rtl w:val="true"/>
              </w:rPr>
              <w:t xml:space="preserve">رواية </w:t>
            </w:r>
            <w:r>
              <w:rPr>
                <w:rStyle w:val="IndexLink"/>
                <w:rtl w:val="true"/>
              </w:rPr>
              <w:t>(</w:t>
            </w:r>
            <w:r>
              <w:rPr>
                <w:rStyle w:val="IndexLink"/>
                <w:rtl w:val="true"/>
              </w:rPr>
              <w:t>فيمن وليت عليه</w:t>
            </w:r>
            <w:r>
              <w:rPr>
                <w:rStyle w:val="IndexLink"/>
                <w:rtl w:val="true"/>
              </w:rPr>
              <w:t>)</w:t>
              <w:tab/>
            </w:r>
            <w:r>
              <w:rPr>
                <w:rStyle w:val="IndexLink"/>
              </w:rPr>
              <w:t>81</w:t>
            </w:r>
          </w:hyperlink>
        </w:p>
        <w:p>
          <w:pPr>
            <w:pStyle w:val="Contents3"/>
            <w:tabs>
              <w:tab w:val="clear" w:pos="8459"/>
              <w:tab w:val="right" w:pos="9026" w:leader="dot"/>
            </w:tabs>
            <w:rPr/>
          </w:pPr>
          <w:hyperlink w:anchor="__RefHeading___Toc3959229_1051229030">
            <w:r>
              <w:rPr>
                <w:webHidden/>
                <w:rStyle w:val="IndexLink"/>
                <w:rtl w:val="true"/>
              </w:rPr>
              <w:t xml:space="preserve">رواية </w:t>
            </w:r>
            <w:r>
              <w:rPr>
                <w:rStyle w:val="IndexLink"/>
                <w:rtl w:val="true"/>
              </w:rPr>
              <w:t>(</w:t>
            </w:r>
            <w:r>
              <w:rPr>
                <w:rStyle w:val="IndexLink"/>
                <w:rtl w:val="true"/>
              </w:rPr>
              <w:t>نصيحتك لله ولمن وليت أمره</w:t>
            </w:r>
            <w:r>
              <w:rPr>
                <w:rStyle w:val="IndexLink"/>
                <w:rtl w:val="true"/>
              </w:rPr>
              <w:t>)</w:t>
              <w:tab/>
            </w:r>
            <w:r>
              <w:rPr>
                <w:rStyle w:val="IndexLink"/>
              </w:rPr>
              <w:t>82</w:t>
            </w:r>
          </w:hyperlink>
        </w:p>
        <w:p>
          <w:pPr>
            <w:pStyle w:val="Contents3"/>
            <w:tabs>
              <w:tab w:val="clear" w:pos="8459"/>
              <w:tab w:val="right" w:pos="9026" w:leader="dot"/>
            </w:tabs>
            <w:rPr/>
          </w:pPr>
          <w:hyperlink w:anchor="__RefHeading___Toc3959231_1051229030">
            <w:r>
              <w:rPr>
                <w:webHidden/>
                <w:rStyle w:val="IndexLink"/>
                <w:rtl w:val="true"/>
              </w:rPr>
              <w:t xml:space="preserve">المعاني الثلاثة للنصيحة كلها من مقامات </w:t>
            </w:r>
            <w:r>
              <w:rPr>
                <w:rStyle w:val="IndexLink"/>
                <w:rtl w:val="true"/>
              </w:rPr>
              <w:t>(</w:t>
            </w:r>
            <w:r>
              <w:rPr>
                <w:rStyle w:val="IndexLink"/>
                <w:rtl w:val="true"/>
              </w:rPr>
              <w:t>المولى</w:t>
            </w:r>
            <w:r>
              <w:rPr>
                <w:rStyle w:val="IndexLink"/>
                <w:rtl w:val="true"/>
              </w:rPr>
              <w:t>)</w:t>
              <w:tab/>
            </w:r>
            <w:r>
              <w:rPr>
                <w:rStyle w:val="IndexLink"/>
              </w:rPr>
              <w:t>82</w:t>
            </w:r>
          </w:hyperlink>
        </w:p>
        <w:p>
          <w:pPr>
            <w:pStyle w:val="Contents3"/>
            <w:tabs>
              <w:tab w:val="clear" w:pos="8459"/>
              <w:tab w:val="right" w:pos="9026" w:leader="dot"/>
            </w:tabs>
            <w:rPr/>
          </w:pPr>
          <w:hyperlink w:anchor="__RefHeading___Toc3959233_1051229030">
            <w:r>
              <w:rPr>
                <w:webHidden/>
                <w:rStyle w:val="IndexLink"/>
                <w:rtl w:val="true"/>
              </w:rPr>
              <w:t>فما ورد في الكتاب والسنة مصحح للإصطلاح الأصولي</w:t>
            </w:r>
            <w:r>
              <w:rPr>
                <w:rStyle w:val="IndexLink"/>
                <w:rtl w:val="true"/>
              </w:rPr>
              <w:tab/>
            </w:r>
            <w:r>
              <w:rPr>
                <w:rStyle w:val="IndexLink"/>
              </w:rPr>
              <w:t>83</w:t>
            </w:r>
          </w:hyperlink>
        </w:p>
        <w:p>
          <w:pPr>
            <w:pStyle w:val="Contents3"/>
            <w:tabs>
              <w:tab w:val="clear" w:pos="8459"/>
              <w:tab w:val="right" w:pos="9026" w:leader="dot"/>
            </w:tabs>
            <w:rPr/>
          </w:pPr>
          <w:hyperlink w:anchor="__RefHeading___Toc3959235_1051229030">
            <w:r>
              <w:rPr>
                <w:webHidden/>
                <w:rStyle w:val="IndexLink"/>
                <w:rtl w:val="true"/>
              </w:rPr>
              <w:t>(</w:t>
            </w:r>
            <w:r>
              <w:rPr>
                <w:rStyle w:val="IndexLink"/>
                <w:rtl w:val="true"/>
              </w:rPr>
              <w:t>الإرشادي</w:t>
            </w:r>
            <w:r>
              <w:rPr>
                <w:rStyle w:val="IndexLink"/>
                <w:rtl w:val="true"/>
              </w:rPr>
              <w:t xml:space="preserve">) </w:t>
            </w:r>
            <w:r>
              <w:rPr>
                <w:rStyle w:val="IndexLink"/>
                <w:rtl w:val="true"/>
              </w:rPr>
              <w:t>في الكتاب</w:t>
            </w:r>
            <w:r>
              <w:rPr>
                <w:rStyle w:val="IndexLink"/>
                <w:rtl w:val="true"/>
              </w:rPr>
              <w:tab/>
            </w:r>
            <w:r>
              <w:rPr>
                <w:rStyle w:val="IndexLink"/>
              </w:rPr>
              <w:t>84</w:t>
            </w:r>
          </w:hyperlink>
        </w:p>
        <w:p>
          <w:pPr>
            <w:pStyle w:val="Contents3"/>
            <w:tabs>
              <w:tab w:val="clear" w:pos="8459"/>
              <w:tab w:val="right" w:pos="9026" w:leader="dot"/>
            </w:tabs>
            <w:rPr/>
          </w:pPr>
          <w:hyperlink w:anchor="__RefHeading___Toc3959237_1051229030">
            <w:r>
              <w:rPr>
                <w:webHidden/>
                <w:rStyle w:val="IndexLink"/>
                <w:rtl w:val="true"/>
              </w:rPr>
              <w:t>«</w:t>
            </w:r>
            <w:r>
              <w:rPr>
                <w:rStyle w:val="IndexLink"/>
                <w:rtl w:val="true"/>
              </w:rPr>
              <w:t>سبيل الرشاد</w:t>
            </w:r>
            <w:r>
              <w:rPr>
                <w:rStyle w:val="IndexLink"/>
                <w:rtl w:val="true"/>
              </w:rPr>
              <w:t xml:space="preserve">» </w:t>
            </w:r>
            <w:r>
              <w:rPr>
                <w:rStyle w:val="IndexLink"/>
                <w:rtl w:val="true"/>
              </w:rPr>
              <w:t>في الآية أعم من الإرشادي والمولوي</w:t>
            </w:r>
            <w:r>
              <w:rPr>
                <w:rStyle w:val="IndexLink"/>
                <w:rtl w:val="true"/>
              </w:rPr>
              <w:tab/>
            </w:r>
            <w:r>
              <w:rPr>
                <w:rStyle w:val="IndexLink"/>
              </w:rPr>
              <w:t>84</w:t>
            </w:r>
          </w:hyperlink>
        </w:p>
        <w:p>
          <w:pPr>
            <w:pStyle w:val="Contents3"/>
            <w:tabs>
              <w:tab w:val="clear" w:pos="8459"/>
              <w:tab w:val="right" w:pos="9026" w:leader="dot"/>
            </w:tabs>
            <w:rPr/>
          </w:pPr>
          <w:hyperlink w:anchor="__RefHeading___Toc3959239_1051229030">
            <w:r>
              <w:rPr>
                <w:webHidden/>
                <w:rStyle w:val="IndexLink"/>
                <w:rtl w:val="true"/>
              </w:rPr>
              <w:t>كذلك الهداية</w:t>
            </w:r>
            <w:r>
              <w:rPr>
                <w:rStyle w:val="IndexLink"/>
                <w:rtl w:val="true"/>
              </w:rPr>
              <w:t>:</w:t>
              <w:tab/>
            </w:r>
            <w:r>
              <w:rPr>
                <w:rStyle w:val="IndexLink"/>
              </w:rPr>
              <w:t>85</w:t>
            </w:r>
          </w:hyperlink>
        </w:p>
        <w:p>
          <w:pPr>
            <w:pStyle w:val="Contents3"/>
            <w:tabs>
              <w:tab w:val="clear" w:pos="8459"/>
              <w:tab w:val="right" w:pos="9026" w:leader="dot"/>
            </w:tabs>
            <w:rPr/>
          </w:pPr>
          <w:hyperlink w:anchor="__RefHeading___Toc3959241_1051229030">
            <w:r>
              <w:rPr>
                <w:webHidden/>
                <w:rStyle w:val="IndexLink"/>
                <w:rtl w:val="true"/>
              </w:rPr>
              <w:t xml:space="preserve">آية </w:t>
            </w:r>
            <w:r>
              <w:rPr>
                <w:rStyle w:val="IndexLink"/>
                <w:rtl w:val="true"/>
              </w:rPr>
              <w:t>«</w:t>
            </w:r>
            <w:r>
              <w:rPr>
                <w:rStyle w:val="IndexLink"/>
                <w:rtl w:val="true"/>
              </w:rPr>
              <w:t>تُعلمن مما عُلِّمتَ رشداً</w:t>
            </w:r>
            <w:r>
              <w:rPr>
                <w:rStyle w:val="IndexLink"/>
                <w:rtl w:val="true"/>
              </w:rPr>
              <w:t>»</w:t>
              <w:tab/>
            </w:r>
            <w:r>
              <w:rPr>
                <w:rStyle w:val="IndexLink"/>
              </w:rPr>
              <w:t>88</w:t>
            </w:r>
          </w:hyperlink>
        </w:p>
        <w:p>
          <w:pPr>
            <w:pStyle w:val="Contents3"/>
            <w:tabs>
              <w:tab w:val="clear" w:pos="8459"/>
              <w:tab w:val="right" w:pos="9026" w:leader="dot"/>
            </w:tabs>
            <w:rPr/>
          </w:pPr>
          <w:hyperlink w:anchor="__RefHeading___Toc3959243_1051229030">
            <w:r>
              <w:rPr>
                <w:webHidden/>
                <w:rStyle w:val="IndexLink"/>
                <w:rtl w:val="true"/>
              </w:rPr>
              <w:t>(</w:t>
            </w:r>
            <w:r>
              <w:rPr>
                <w:rStyle w:val="IndexLink"/>
                <w:rtl w:val="true"/>
              </w:rPr>
              <w:t>الإرشادي</w:t>
            </w:r>
            <w:r>
              <w:rPr>
                <w:rStyle w:val="IndexLink"/>
                <w:rtl w:val="true"/>
              </w:rPr>
              <w:t xml:space="preserve">) </w:t>
            </w:r>
            <w:r>
              <w:rPr>
                <w:rStyle w:val="IndexLink"/>
                <w:rtl w:val="true"/>
              </w:rPr>
              <w:t>في السنة</w:t>
            </w:r>
            <w:r>
              <w:rPr>
                <w:rStyle w:val="IndexLink"/>
                <w:rtl w:val="true"/>
              </w:rPr>
              <w:tab/>
            </w:r>
            <w:r>
              <w:rPr>
                <w:rStyle w:val="IndexLink"/>
              </w:rPr>
              <w:t>88</w:t>
            </w:r>
          </w:hyperlink>
        </w:p>
        <w:p>
          <w:pPr>
            <w:pStyle w:val="Contents3"/>
            <w:tabs>
              <w:tab w:val="clear" w:pos="8459"/>
              <w:tab w:val="right" w:pos="9026" w:leader="dot"/>
            </w:tabs>
            <w:rPr/>
          </w:pPr>
          <w:hyperlink w:anchor="__RefHeading___Toc3959245_1051229030">
            <w:r>
              <w:rPr>
                <w:webHidden/>
                <w:rStyle w:val="IndexLink"/>
                <w:rtl w:val="true"/>
              </w:rPr>
              <w:t xml:space="preserve">رواية </w:t>
            </w:r>
            <w:r>
              <w:rPr>
                <w:rStyle w:val="IndexLink"/>
                <w:rtl w:val="true"/>
              </w:rPr>
              <w:t>(</w:t>
            </w:r>
            <w:r>
              <w:rPr>
                <w:rStyle w:val="IndexLink"/>
                <w:rtl w:val="true"/>
              </w:rPr>
              <w:t>إماماً</w:t>
            </w:r>
            <w:r>
              <w:rPr>
                <w:rStyle w:val="IndexLink"/>
                <w:rtl w:val="true"/>
              </w:rPr>
              <w:t xml:space="preserve">.. </w:t>
            </w:r>
            <w:r>
              <w:rPr>
                <w:rStyle w:val="IndexLink"/>
                <w:rtl w:val="true"/>
              </w:rPr>
              <w:t>يرشدكم السبيل</w:t>
            </w:r>
            <w:r>
              <w:rPr>
                <w:rStyle w:val="IndexLink"/>
                <w:rtl w:val="true"/>
              </w:rPr>
              <w:t>)</w:t>
              <w:tab/>
            </w:r>
            <w:r>
              <w:rPr>
                <w:rStyle w:val="IndexLink"/>
              </w:rPr>
              <w:t>88</w:t>
            </w:r>
          </w:hyperlink>
        </w:p>
        <w:p>
          <w:pPr>
            <w:pStyle w:val="Contents3"/>
            <w:tabs>
              <w:tab w:val="clear" w:pos="8459"/>
              <w:tab w:val="right" w:pos="9026" w:leader="dot"/>
            </w:tabs>
            <w:rPr/>
          </w:pPr>
          <w:hyperlink w:anchor="__RefHeading___Toc3959247_1051229030">
            <w:r>
              <w:rPr>
                <w:webHidden/>
                <w:rStyle w:val="IndexLink"/>
                <w:rtl w:val="true"/>
              </w:rPr>
              <w:t>إرشاد السبيل، بالترجي والتمني والإنذار وغيرها</w:t>
            </w:r>
            <w:r>
              <w:rPr>
                <w:rStyle w:val="IndexLink"/>
                <w:rtl w:val="true"/>
              </w:rPr>
              <w:tab/>
            </w:r>
            <w:r>
              <w:rPr>
                <w:rStyle w:val="IndexLink"/>
              </w:rPr>
              <w:t>89</w:t>
            </w:r>
          </w:hyperlink>
        </w:p>
        <w:p>
          <w:pPr>
            <w:pStyle w:val="Contents3"/>
            <w:tabs>
              <w:tab w:val="clear" w:pos="8459"/>
              <w:tab w:val="right" w:pos="9026" w:leader="dot"/>
            </w:tabs>
            <w:rPr/>
          </w:pPr>
          <w:hyperlink w:anchor="__RefHeading___Toc3959249_1051229030">
            <w:r>
              <w:rPr>
                <w:webHidden/>
                <w:rStyle w:val="IndexLink"/>
                <w:rtl w:val="true"/>
              </w:rPr>
              <w:t xml:space="preserve">رواية </w:t>
            </w:r>
            <w:r>
              <w:rPr>
                <w:rStyle w:val="IndexLink"/>
                <w:rtl w:val="true"/>
              </w:rPr>
              <w:t>(</w:t>
            </w:r>
            <w:r>
              <w:rPr>
                <w:rStyle w:val="IndexLink"/>
                <w:rtl w:val="true"/>
              </w:rPr>
              <w:t>استرشده السبيل</w:t>
            </w:r>
            <w:r>
              <w:rPr>
                <w:rStyle w:val="IndexLink"/>
                <w:rtl w:val="true"/>
              </w:rPr>
              <w:t>)</w:t>
              <w:tab/>
            </w:r>
            <w:r>
              <w:rPr>
                <w:rStyle w:val="IndexLink"/>
              </w:rPr>
              <w:t>90</w:t>
            </w:r>
          </w:hyperlink>
        </w:p>
        <w:p>
          <w:pPr>
            <w:pStyle w:val="Contents3"/>
            <w:tabs>
              <w:tab w:val="clear" w:pos="8459"/>
              <w:tab w:val="right" w:pos="9026" w:leader="dot"/>
            </w:tabs>
            <w:rPr/>
          </w:pPr>
          <w:hyperlink w:anchor="__RefHeading___Toc3959251_1051229030">
            <w:r>
              <w:rPr>
                <w:webHidden/>
                <w:rStyle w:val="IndexLink"/>
                <w:rtl w:val="true"/>
              </w:rPr>
              <w:t xml:space="preserve">رواية </w:t>
            </w:r>
            <w:r>
              <w:rPr>
                <w:rStyle w:val="IndexLink"/>
                <w:rtl w:val="true"/>
              </w:rPr>
              <w:t>(</w:t>
            </w:r>
            <w:r>
              <w:rPr>
                <w:rStyle w:val="IndexLink"/>
                <w:rtl w:val="true"/>
              </w:rPr>
              <w:t>إرشادي وهدايتي له</w:t>
            </w:r>
            <w:r>
              <w:rPr>
                <w:rStyle w:val="IndexLink"/>
                <w:rtl w:val="true"/>
              </w:rPr>
              <w:t>)</w:t>
              <w:tab/>
            </w:r>
            <w:r>
              <w:rPr>
                <w:rStyle w:val="IndexLink"/>
              </w:rPr>
              <w:t>90</w:t>
            </w:r>
          </w:hyperlink>
        </w:p>
        <w:p>
          <w:pPr>
            <w:pStyle w:val="Contents3"/>
            <w:tabs>
              <w:tab w:val="clear" w:pos="8459"/>
              <w:tab w:val="right" w:pos="9026" w:leader="dot"/>
            </w:tabs>
            <w:rPr/>
          </w:pPr>
          <w:hyperlink w:anchor="__RefHeading___Toc3959253_1051229030">
            <w:r>
              <w:rPr>
                <w:webHidden/>
                <w:rStyle w:val="IndexLink"/>
                <w:rtl w:val="true"/>
              </w:rPr>
              <w:t>هل يدل قوله</w:t>
            </w:r>
            <w:r>
              <w:rPr>
                <w:rStyle w:val="IndexLink"/>
                <w:rtl w:val="true"/>
              </w:rPr>
              <w:t>: (</w:t>
            </w:r>
            <w:r>
              <w:rPr>
                <w:rStyle w:val="IndexLink"/>
                <w:rtl w:val="true"/>
              </w:rPr>
              <w:t>أحب إرشادهم</w:t>
            </w:r>
            <w:r>
              <w:rPr>
                <w:rStyle w:val="IndexLink"/>
                <w:rtl w:val="true"/>
              </w:rPr>
              <w:t xml:space="preserve">) </w:t>
            </w:r>
            <w:r>
              <w:rPr>
                <w:rStyle w:val="IndexLink"/>
                <w:rtl w:val="true"/>
              </w:rPr>
              <w:t>على مولوية أمر الإطاعة؟</w:t>
            </w:r>
            <w:r>
              <w:rPr>
                <w:rStyle w:val="IndexLink"/>
                <w:rtl w:val="true"/>
              </w:rPr>
              <w:tab/>
            </w:r>
            <w:r>
              <w:rPr>
                <w:rStyle w:val="IndexLink"/>
              </w:rPr>
              <w:t>91</w:t>
            </w:r>
          </w:hyperlink>
        </w:p>
        <w:p>
          <w:pPr>
            <w:pStyle w:val="Contents3"/>
            <w:tabs>
              <w:tab w:val="clear" w:pos="8459"/>
              <w:tab w:val="right" w:pos="9026" w:leader="dot"/>
            </w:tabs>
            <w:rPr/>
          </w:pPr>
          <w:hyperlink w:anchor="__RefHeading___Toc3959255_1051229030">
            <w:r>
              <w:rPr>
                <w:webHidden/>
                <w:rStyle w:val="IndexLink"/>
                <w:rtl w:val="true"/>
              </w:rPr>
              <w:t>قوله عليه السلام</w:t>
            </w:r>
            <w:r>
              <w:rPr>
                <w:rStyle w:val="IndexLink"/>
                <w:rtl w:val="true"/>
              </w:rPr>
              <w:t>: (</w:t>
            </w:r>
            <w:r>
              <w:rPr>
                <w:rStyle w:val="IndexLink"/>
                <w:rtl w:val="true"/>
              </w:rPr>
              <w:t>كلامكم نور وأمركم رشد</w:t>
            </w:r>
            <w:r>
              <w:rPr>
                <w:rStyle w:val="IndexLink"/>
                <w:rtl w:val="true"/>
              </w:rPr>
              <w:t>)</w:t>
              <w:tab/>
            </w:r>
            <w:r>
              <w:rPr>
                <w:rStyle w:val="IndexLink"/>
              </w:rPr>
              <w:t>92</w:t>
            </w:r>
          </w:hyperlink>
        </w:p>
        <w:p>
          <w:pPr>
            <w:pStyle w:val="Contents3"/>
            <w:tabs>
              <w:tab w:val="clear" w:pos="8459"/>
              <w:tab w:val="right" w:pos="9026" w:leader="dot"/>
            </w:tabs>
            <w:rPr/>
          </w:pPr>
          <w:hyperlink w:anchor="__RefHeading___Toc3959257_1051229030">
            <w:r>
              <w:rPr>
                <w:webHidden/>
                <w:rStyle w:val="IndexLink"/>
                <w:rtl w:val="true"/>
              </w:rPr>
              <w:t>النتيجة</w:t>
            </w:r>
            <w:r>
              <w:rPr>
                <w:rStyle w:val="IndexLink"/>
                <w:rtl w:val="true"/>
              </w:rPr>
              <w:t>:</w:t>
              <w:tab/>
            </w:r>
            <w:r>
              <w:rPr>
                <w:rStyle w:val="IndexLink"/>
              </w:rPr>
              <w:t>94</w:t>
            </w:r>
          </w:hyperlink>
        </w:p>
        <w:p>
          <w:pPr>
            <w:pStyle w:val="Contents4"/>
            <w:tabs>
              <w:tab w:val="clear" w:pos="8176"/>
              <w:tab w:val="right" w:pos="9026" w:leader="dot"/>
            </w:tabs>
            <w:rPr/>
          </w:pPr>
          <w:hyperlink w:anchor="__RefHeading___Toc3959259_105122903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959261_1051229030">
            <w:r>
              <w:rPr>
                <w:webHidden/>
                <w:rStyle w:val="IndexLink"/>
                <w:rtl w:val="true"/>
              </w:rPr>
              <w:t>(</w:t>
            </w:r>
            <w:r>
              <w:rPr>
                <w:rStyle w:val="IndexLink"/>
                <w:rtl w:val="true"/>
              </w:rPr>
              <w:t>الأمر</w:t>
            </w:r>
            <w:r>
              <w:rPr>
                <w:rStyle w:val="IndexLink"/>
                <w:rtl w:val="true"/>
              </w:rPr>
              <w:t xml:space="preserve">) </w:t>
            </w:r>
            <w:r>
              <w:rPr>
                <w:rStyle w:val="IndexLink"/>
                <w:rtl w:val="true"/>
              </w:rPr>
              <w:t>في الكتاب</w:t>
            </w:r>
            <w:r>
              <w:rPr>
                <w:rStyle w:val="IndexLink"/>
                <w:rtl w:val="true"/>
              </w:rPr>
              <w:tab/>
            </w:r>
            <w:r>
              <w:rPr>
                <w:rStyle w:val="IndexLink"/>
              </w:rPr>
              <w:t>95</w:t>
            </w:r>
          </w:hyperlink>
        </w:p>
        <w:p>
          <w:pPr>
            <w:pStyle w:val="Contents4"/>
            <w:tabs>
              <w:tab w:val="clear" w:pos="8176"/>
              <w:tab w:val="right" w:pos="9026" w:leader="dot"/>
            </w:tabs>
            <w:rPr/>
          </w:pPr>
          <w:hyperlink w:anchor="__RefHeading___Toc3959263_1051229030">
            <w:r>
              <w:rPr>
                <w:webHidden/>
                <w:rStyle w:val="IndexLink"/>
                <w:rtl w:val="true"/>
              </w:rPr>
              <w:t xml:space="preserve">صدق </w:t>
            </w:r>
            <w:r>
              <w:rPr>
                <w:rStyle w:val="IndexLink"/>
                <w:rtl w:val="true"/>
              </w:rPr>
              <w:t>(</w:t>
            </w:r>
            <w:r>
              <w:rPr>
                <w:rStyle w:val="IndexLink"/>
                <w:rtl w:val="true"/>
              </w:rPr>
              <w:t>الأمر</w:t>
            </w:r>
            <w:r>
              <w:rPr>
                <w:rStyle w:val="IndexLink"/>
                <w:rtl w:val="true"/>
              </w:rPr>
              <w:t xml:space="preserve">) </w:t>
            </w:r>
            <w:r>
              <w:rPr>
                <w:rStyle w:val="IndexLink"/>
                <w:rtl w:val="true"/>
              </w:rPr>
              <w:t>حقيقة على الإرشادي</w:t>
            </w:r>
            <w:r>
              <w:rPr>
                <w:rStyle w:val="IndexLink"/>
                <w:rtl w:val="true"/>
              </w:rPr>
              <w:tab/>
            </w:r>
            <w:r>
              <w:rPr>
                <w:rStyle w:val="IndexLink"/>
              </w:rPr>
              <w:t>97</w:t>
            </w:r>
          </w:hyperlink>
        </w:p>
        <w:p>
          <w:pPr>
            <w:pStyle w:val="Contents4"/>
            <w:tabs>
              <w:tab w:val="clear" w:pos="8176"/>
              <w:tab w:val="right" w:pos="9026" w:leader="dot"/>
            </w:tabs>
            <w:rPr/>
          </w:pPr>
          <w:hyperlink w:anchor="__RefHeading___Toc3959265_1051229030">
            <w:r>
              <w:rPr>
                <w:webHidden/>
                <w:rStyle w:val="IndexLink"/>
                <w:rtl w:val="true"/>
              </w:rPr>
              <w:t>الأمر في السنة</w:t>
            </w:r>
            <w:r>
              <w:rPr>
                <w:rStyle w:val="IndexLink"/>
                <w:rtl w:val="true"/>
              </w:rPr>
              <w:tab/>
            </w:r>
            <w:r>
              <w:rPr>
                <w:rStyle w:val="IndexLink"/>
              </w:rPr>
              <w:t>98</w:t>
            </w:r>
          </w:hyperlink>
        </w:p>
        <w:p>
          <w:pPr>
            <w:pStyle w:val="Contents4"/>
            <w:tabs>
              <w:tab w:val="clear" w:pos="8176"/>
              <w:tab w:val="right" w:pos="9026" w:leader="dot"/>
            </w:tabs>
            <w:rPr/>
          </w:pPr>
          <w:hyperlink w:anchor="__RefHeading___Toc3959267_1051229030">
            <w:r>
              <w:rPr>
                <w:webHidden/>
                <w:rStyle w:val="IndexLink"/>
                <w:rtl w:val="true"/>
              </w:rPr>
              <w:t>(</w:t>
            </w:r>
            <w:r>
              <w:rPr>
                <w:rStyle w:val="IndexLink"/>
                <w:rtl w:val="true"/>
              </w:rPr>
              <w:t>الحكم</w:t>
            </w:r>
            <w:r>
              <w:rPr>
                <w:rStyle w:val="IndexLink"/>
                <w:rtl w:val="true"/>
              </w:rPr>
              <w:t xml:space="preserve">) </w:t>
            </w:r>
            <w:r>
              <w:rPr>
                <w:rStyle w:val="IndexLink"/>
                <w:rtl w:val="true"/>
              </w:rPr>
              <w:t>في الكتاب والسنة</w:t>
            </w:r>
            <w:r>
              <w:rPr>
                <w:rStyle w:val="IndexLink"/>
                <w:rtl w:val="true"/>
              </w:rPr>
              <w:tab/>
            </w:r>
            <w:r>
              <w:rPr>
                <w:rStyle w:val="IndexLink"/>
              </w:rPr>
              <w:t>100</w:t>
            </w:r>
          </w:hyperlink>
        </w:p>
        <w:p>
          <w:pPr>
            <w:pStyle w:val="Contents2"/>
            <w:tabs>
              <w:tab w:val="clear" w:pos="8743"/>
              <w:tab w:val="right" w:pos="9026" w:leader="dot"/>
            </w:tabs>
            <w:rPr/>
          </w:pPr>
          <w:hyperlink w:anchor="__RefHeading___Toc3959269_1051229030">
            <w:r>
              <w:rPr>
                <w:webHidden/>
                <w:rStyle w:val="IndexLink"/>
                <w:rtl w:val="true"/>
              </w:rPr>
              <w:t>المبحث الثالث</w:t>
            </w:r>
            <w:r>
              <w:rPr>
                <w:rStyle w:val="IndexLink"/>
                <w:rtl w:val="true"/>
              </w:rPr>
              <w:t xml:space="preserve">: </w:t>
            </w:r>
            <w:r>
              <w:rPr>
                <w:rStyle w:val="IndexLink"/>
                <w:rtl w:val="true"/>
              </w:rPr>
              <w:t xml:space="preserve">الوجه في إدراج الأحكام الإرشادية في </w:t>
            </w:r>
            <w:r>
              <w:rPr>
                <w:rStyle w:val="IndexLink"/>
                <w:rtl w:val="true"/>
              </w:rPr>
              <w:t>(</w:t>
            </w:r>
            <w:r>
              <w:rPr>
                <w:rStyle w:val="IndexLink"/>
                <w:rtl w:val="true"/>
              </w:rPr>
              <w:t>الفقه</w:t>
            </w:r>
            <w:r>
              <w:rPr>
                <w:rStyle w:val="IndexLink"/>
                <w:rtl w:val="true"/>
              </w:rPr>
              <w:t>)</w:t>
              <w:tab/>
            </w:r>
            <w:r>
              <w:rPr>
                <w:rStyle w:val="IndexLink"/>
              </w:rPr>
              <w:t>101</w:t>
            </w:r>
          </w:hyperlink>
        </w:p>
        <w:p>
          <w:pPr>
            <w:pStyle w:val="Contents3"/>
            <w:tabs>
              <w:tab w:val="clear" w:pos="8459"/>
              <w:tab w:val="right" w:pos="9026" w:leader="dot"/>
            </w:tabs>
            <w:rPr/>
          </w:pPr>
          <w:hyperlink w:anchor="__RefHeading___Toc3959271_105122903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959273_1051229030">
            <w:r>
              <w:rPr>
                <w:webHidden/>
                <w:rStyle w:val="IndexLink"/>
                <w:rtl w:val="true"/>
              </w:rPr>
              <w:t xml:space="preserve">الاستدلال بجريان مباحث الإطلاق والتقييد وغيرها في </w:t>
            </w:r>
            <w:r>
              <w:rPr>
                <w:rStyle w:val="IndexLink"/>
                <w:rtl w:val="true"/>
              </w:rPr>
              <w:t>(</w:t>
            </w:r>
            <w:r>
              <w:rPr>
                <w:rStyle w:val="IndexLink"/>
                <w:rtl w:val="true"/>
              </w:rPr>
              <w:t>الإرشادي</w:t>
            </w:r>
            <w:r>
              <w:rPr>
                <w:rStyle w:val="IndexLink"/>
                <w:rtl w:val="true"/>
              </w:rPr>
              <w:t>)</w:t>
              <w:tab/>
            </w:r>
            <w:r>
              <w:rPr>
                <w:rStyle w:val="IndexLink"/>
              </w:rPr>
              <w:t>107</w:t>
            </w:r>
          </w:hyperlink>
        </w:p>
        <w:p>
          <w:pPr>
            <w:pStyle w:val="Contents3"/>
            <w:tabs>
              <w:tab w:val="clear" w:pos="8459"/>
              <w:tab w:val="right" w:pos="9026" w:leader="dot"/>
            </w:tabs>
            <w:rPr/>
          </w:pPr>
          <w:hyperlink w:anchor="__RefHeading___Toc3959275_1051229030">
            <w:r>
              <w:rPr>
                <w:webHidden/>
                <w:rStyle w:val="IndexLink"/>
                <w:rtl w:val="true"/>
              </w:rPr>
              <w:t xml:space="preserve">الأدلة الستة على إدراج </w:t>
            </w:r>
            <w:r>
              <w:rPr>
                <w:rStyle w:val="IndexLink"/>
                <w:rtl w:val="true"/>
              </w:rPr>
              <w:t>(</w:t>
            </w:r>
            <w:r>
              <w:rPr>
                <w:rStyle w:val="IndexLink"/>
                <w:rtl w:val="true"/>
              </w:rPr>
              <w:t>الإرشادية</w:t>
            </w:r>
            <w:r>
              <w:rPr>
                <w:rStyle w:val="IndexLink"/>
                <w:rtl w:val="true"/>
              </w:rPr>
              <w:t xml:space="preserve">) </w:t>
            </w:r>
            <w:r>
              <w:rPr>
                <w:rStyle w:val="IndexLink"/>
                <w:rtl w:val="true"/>
              </w:rPr>
              <w:t>في الفقه</w:t>
            </w:r>
            <w:r>
              <w:rPr>
                <w:rStyle w:val="IndexLink"/>
                <w:rtl w:val="true"/>
              </w:rPr>
              <w:tab/>
            </w:r>
            <w:r>
              <w:rPr>
                <w:rStyle w:val="IndexLink"/>
              </w:rPr>
              <w:t>109</w:t>
            </w:r>
          </w:hyperlink>
        </w:p>
        <w:p>
          <w:pPr>
            <w:pStyle w:val="Contents3"/>
            <w:tabs>
              <w:tab w:val="clear" w:pos="8459"/>
              <w:tab w:val="right" w:pos="9026" w:leader="dot"/>
            </w:tabs>
            <w:rPr/>
          </w:pPr>
          <w:hyperlink w:anchor="__RefHeading___Toc3959277_1051229030">
            <w:r>
              <w:rPr>
                <w:webHidden/>
                <w:rStyle w:val="IndexLink"/>
                <w:rtl w:val="true"/>
              </w:rPr>
              <w:t>الاستدلال ب</w:t>
            </w:r>
            <w:r>
              <w:rPr>
                <w:rStyle w:val="IndexLink"/>
                <w:rtl w:val="true"/>
              </w:rPr>
              <w:t>(</w:t>
            </w:r>
            <w:r>
              <w:rPr>
                <w:rStyle w:val="IndexLink"/>
                <w:rtl w:val="true"/>
              </w:rPr>
              <w:t>الغاية</w:t>
            </w:r>
            <w:r>
              <w:rPr>
                <w:rStyle w:val="IndexLink"/>
                <w:rtl w:val="true"/>
              </w:rPr>
              <w:t xml:space="preserve">) </w:t>
            </w:r>
            <w:r>
              <w:rPr>
                <w:rStyle w:val="IndexLink"/>
                <w:rtl w:val="true"/>
              </w:rPr>
              <w:t>لعلم الفقه</w:t>
            </w:r>
            <w:r>
              <w:rPr>
                <w:rStyle w:val="IndexLink"/>
                <w:rtl w:val="true"/>
              </w:rPr>
              <w:tab/>
            </w:r>
            <w:r>
              <w:rPr>
                <w:rStyle w:val="IndexLink"/>
              </w:rPr>
              <w:t>110</w:t>
            </w:r>
          </w:hyperlink>
        </w:p>
        <w:p>
          <w:pPr>
            <w:pStyle w:val="Contents3"/>
            <w:tabs>
              <w:tab w:val="clear" w:pos="8459"/>
              <w:tab w:val="right" w:pos="9026" w:leader="dot"/>
            </w:tabs>
            <w:rPr/>
          </w:pPr>
          <w:hyperlink w:anchor="__RefHeading___Toc3959279_1051229030">
            <w:r>
              <w:rPr>
                <w:webHidden/>
                <w:rStyle w:val="IndexLink"/>
                <w:rtl w:val="true"/>
              </w:rPr>
              <w:t>الأقوال والمعاني العشرة ل</w:t>
            </w:r>
            <w:r>
              <w:rPr>
                <w:rStyle w:val="IndexLink"/>
                <w:rtl w:val="true"/>
              </w:rPr>
              <w:t>(</w:t>
            </w:r>
            <w:r>
              <w:rPr>
                <w:rStyle w:val="IndexLink"/>
                <w:rtl w:val="true"/>
              </w:rPr>
              <w:t>الحكم</w:t>
            </w:r>
            <w:r>
              <w:rPr>
                <w:rStyle w:val="IndexLink"/>
                <w:rtl w:val="true"/>
              </w:rPr>
              <w:t>)</w:t>
              <w:tab/>
            </w:r>
            <w:r>
              <w:rPr>
                <w:rStyle w:val="IndexLink"/>
              </w:rPr>
              <w:t>111</w:t>
            </w:r>
          </w:hyperlink>
        </w:p>
        <w:p>
          <w:pPr>
            <w:pStyle w:val="Contents3"/>
            <w:tabs>
              <w:tab w:val="clear" w:pos="8459"/>
              <w:tab w:val="right" w:pos="9026" w:leader="dot"/>
            </w:tabs>
            <w:rPr/>
          </w:pPr>
          <w:hyperlink w:anchor="__RefHeading___Toc3959281_1051229030">
            <w:r>
              <w:rPr>
                <w:webHidden/>
                <w:rStyle w:val="IndexLink"/>
                <w:rtl w:val="true"/>
              </w:rPr>
              <w:t xml:space="preserve">انطباق أكثر معاني </w:t>
            </w:r>
            <w:r>
              <w:rPr>
                <w:rStyle w:val="IndexLink"/>
                <w:rtl w:val="true"/>
              </w:rPr>
              <w:t>(</w:t>
            </w:r>
            <w:r>
              <w:rPr>
                <w:rStyle w:val="IndexLink"/>
                <w:rtl w:val="true"/>
              </w:rPr>
              <w:t>الحكم</w:t>
            </w:r>
            <w:r>
              <w:rPr>
                <w:rStyle w:val="IndexLink"/>
                <w:rtl w:val="true"/>
              </w:rPr>
              <w:t xml:space="preserve">) </w:t>
            </w:r>
            <w:r>
              <w:rPr>
                <w:rStyle w:val="IndexLink"/>
                <w:rtl w:val="true"/>
              </w:rPr>
              <w:t xml:space="preserve">على </w:t>
            </w:r>
            <w:r>
              <w:rPr>
                <w:rStyle w:val="IndexLink"/>
                <w:rtl w:val="true"/>
              </w:rPr>
              <w:t>(</w:t>
            </w:r>
            <w:r>
              <w:rPr>
                <w:rStyle w:val="IndexLink"/>
                <w:rtl w:val="true"/>
              </w:rPr>
              <w:t>الحكم الإرشادي</w:t>
            </w:r>
            <w:r>
              <w:rPr>
                <w:rStyle w:val="IndexLink"/>
                <w:rtl w:val="true"/>
              </w:rPr>
              <w:t>)</w:t>
              <w:tab/>
            </w:r>
            <w:r>
              <w:rPr>
                <w:rStyle w:val="IndexLink"/>
              </w:rPr>
              <w:t>112</w:t>
            </w:r>
          </w:hyperlink>
        </w:p>
        <w:p>
          <w:pPr>
            <w:pStyle w:val="Contents3"/>
            <w:tabs>
              <w:tab w:val="clear" w:pos="8459"/>
              <w:tab w:val="right" w:pos="9026" w:leader="dot"/>
            </w:tabs>
            <w:rPr/>
          </w:pPr>
          <w:hyperlink w:anchor="__RefHeading___Toc3959283_1051229030">
            <w:r>
              <w:rPr>
                <w:webHidden/>
                <w:rStyle w:val="IndexLink"/>
                <w:rtl w:val="true"/>
              </w:rPr>
              <w:t>انطباق التعريف الأول للحكم</w:t>
            </w:r>
            <w:r>
              <w:rPr>
                <w:rStyle w:val="IndexLink"/>
                <w:rtl w:val="true"/>
              </w:rPr>
              <w:tab/>
            </w:r>
            <w:r>
              <w:rPr>
                <w:rStyle w:val="IndexLink"/>
              </w:rPr>
              <w:t>112</w:t>
            </w:r>
          </w:hyperlink>
        </w:p>
        <w:p>
          <w:pPr>
            <w:pStyle w:val="Contents3"/>
            <w:tabs>
              <w:tab w:val="clear" w:pos="8459"/>
              <w:tab w:val="right" w:pos="9026" w:leader="dot"/>
            </w:tabs>
            <w:rPr/>
          </w:pPr>
          <w:hyperlink w:anchor="__RefHeading___Toc3959285_1051229030">
            <w:r>
              <w:rPr>
                <w:webHidden/>
                <w:rStyle w:val="IndexLink"/>
                <w:rtl w:val="true"/>
              </w:rPr>
              <w:t>التمثيل بعشرات الآيات والروايات التي ينطبق عليها التعريف</w:t>
            </w:r>
            <w:r>
              <w:rPr>
                <w:rStyle w:val="IndexLink"/>
                <w:rtl w:val="true"/>
              </w:rPr>
              <w:t>:</w:t>
              <w:tab/>
            </w:r>
            <w:r>
              <w:rPr>
                <w:rStyle w:val="IndexLink"/>
              </w:rPr>
              <w:t>112</w:t>
            </w:r>
          </w:hyperlink>
        </w:p>
        <w:p>
          <w:pPr>
            <w:pStyle w:val="Contents3"/>
            <w:tabs>
              <w:tab w:val="clear" w:pos="8459"/>
              <w:tab w:val="right" w:pos="9026" w:leader="dot"/>
            </w:tabs>
            <w:rPr/>
          </w:pPr>
          <w:hyperlink w:anchor="__RefHeading___Toc3959287_1051229030">
            <w:r>
              <w:rPr>
                <w:webHidden/>
                <w:rStyle w:val="IndexLink"/>
                <w:rtl w:val="true"/>
              </w:rPr>
              <w:t>انطباق التعريف الثاني للحكم</w:t>
            </w:r>
            <w:r>
              <w:rPr>
                <w:rStyle w:val="IndexLink"/>
                <w:rtl w:val="true"/>
              </w:rPr>
              <w:tab/>
            </w:r>
            <w:r>
              <w:rPr>
                <w:rStyle w:val="IndexLink"/>
              </w:rPr>
              <w:t>117</w:t>
            </w:r>
          </w:hyperlink>
        </w:p>
        <w:p>
          <w:pPr>
            <w:pStyle w:val="Contents3"/>
            <w:tabs>
              <w:tab w:val="clear" w:pos="8459"/>
              <w:tab w:val="right" w:pos="9026" w:leader="dot"/>
            </w:tabs>
            <w:rPr/>
          </w:pPr>
          <w:hyperlink w:anchor="__RefHeading___Toc3959289_1051229030">
            <w:r>
              <w:rPr>
                <w:webHidden/>
                <w:rStyle w:val="IndexLink"/>
                <w:rtl w:val="true"/>
              </w:rPr>
              <w:t>انطباق التعريف الثالث للحكم</w:t>
            </w:r>
            <w:r>
              <w:rPr>
                <w:rStyle w:val="IndexLink"/>
                <w:rtl w:val="true"/>
              </w:rPr>
              <w:tab/>
            </w:r>
            <w:r>
              <w:rPr>
                <w:rStyle w:val="IndexLink"/>
              </w:rPr>
              <w:t>118</w:t>
            </w:r>
          </w:hyperlink>
        </w:p>
        <w:p>
          <w:pPr>
            <w:pStyle w:val="Contents3"/>
            <w:tabs>
              <w:tab w:val="clear" w:pos="8459"/>
              <w:tab w:val="right" w:pos="9026" w:leader="dot"/>
            </w:tabs>
            <w:rPr/>
          </w:pPr>
          <w:hyperlink w:anchor="__RefHeading___Toc3959291_1051229030">
            <w:r>
              <w:rPr>
                <w:webHidden/>
                <w:rStyle w:val="IndexLink"/>
                <w:rtl w:val="true"/>
              </w:rPr>
              <w:t>انطباق التعريف الرابع للحكم</w:t>
            </w:r>
            <w:r>
              <w:rPr>
                <w:rStyle w:val="IndexLink"/>
                <w:rtl w:val="true"/>
              </w:rPr>
              <w:tab/>
            </w:r>
            <w:r>
              <w:rPr>
                <w:rStyle w:val="IndexLink"/>
              </w:rPr>
              <w:t>120</w:t>
            </w:r>
          </w:hyperlink>
        </w:p>
        <w:p>
          <w:pPr>
            <w:pStyle w:val="Contents3"/>
            <w:tabs>
              <w:tab w:val="clear" w:pos="8459"/>
              <w:tab w:val="right" w:pos="9026" w:leader="dot"/>
            </w:tabs>
            <w:rPr/>
          </w:pPr>
          <w:hyperlink w:anchor="__RefHeading___Toc3959293_1051229030">
            <w:r>
              <w:rPr>
                <w:webHidden/>
                <w:rStyle w:val="IndexLink"/>
                <w:rtl w:val="true"/>
              </w:rPr>
              <w:t>انطباق التعريف الخامس</w:t>
            </w:r>
            <w:r>
              <w:rPr>
                <w:rStyle w:val="IndexLink"/>
                <w:rtl w:val="true"/>
              </w:rPr>
              <w:tab/>
            </w:r>
            <w:r>
              <w:rPr>
                <w:rStyle w:val="IndexLink"/>
              </w:rPr>
              <w:t>121</w:t>
            </w:r>
          </w:hyperlink>
        </w:p>
        <w:p>
          <w:pPr>
            <w:pStyle w:val="Contents3"/>
            <w:tabs>
              <w:tab w:val="clear" w:pos="8459"/>
              <w:tab w:val="right" w:pos="9026" w:leader="dot"/>
            </w:tabs>
            <w:rPr/>
          </w:pPr>
          <w:hyperlink w:anchor="__RefHeading___Toc3959295_1051229030">
            <w:r>
              <w:rPr>
                <w:webHidden/>
                <w:rStyle w:val="IndexLink"/>
                <w:rtl w:val="true"/>
              </w:rPr>
              <w:t>الحال في التعاريف السادسة إلى التاسعة</w:t>
            </w:r>
            <w:r>
              <w:rPr>
                <w:rStyle w:val="IndexLink"/>
                <w:rtl w:val="true"/>
              </w:rPr>
              <w:tab/>
            </w:r>
            <w:r>
              <w:rPr>
                <w:rStyle w:val="IndexLink"/>
              </w:rPr>
              <w:t>121</w:t>
            </w:r>
          </w:hyperlink>
        </w:p>
        <w:p>
          <w:pPr>
            <w:pStyle w:val="Contents3"/>
            <w:tabs>
              <w:tab w:val="clear" w:pos="8459"/>
              <w:tab w:val="right" w:pos="9026" w:leader="dot"/>
            </w:tabs>
            <w:rPr/>
          </w:pPr>
          <w:hyperlink w:anchor="__RefHeading___Toc3959297_1051229030">
            <w:r>
              <w:rPr>
                <w:webHidden/>
                <w:rStyle w:val="IndexLink"/>
                <w:rtl w:val="true"/>
              </w:rPr>
              <w:t>الاستدلال ب</w:t>
            </w:r>
            <w:r>
              <w:rPr>
                <w:rStyle w:val="IndexLink"/>
                <w:rtl w:val="true"/>
              </w:rPr>
              <w:t>(</w:t>
            </w:r>
            <w:r>
              <w:rPr>
                <w:rStyle w:val="IndexLink"/>
                <w:rtl w:val="true"/>
              </w:rPr>
              <w:t>موضوع علم الفقه</w:t>
            </w:r>
            <w:r>
              <w:rPr>
                <w:rStyle w:val="IndexLink"/>
                <w:rtl w:val="true"/>
              </w:rPr>
              <w:t>):</w:t>
              <w:tab/>
            </w:r>
            <w:r>
              <w:rPr>
                <w:rStyle w:val="IndexLink"/>
              </w:rPr>
              <w:t>123</w:t>
            </w:r>
          </w:hyperlink>
        </w:p>
        <w:p>
          <w:pPr>
            <w:pStyle w:val="Contents4"/>
            <w:tabs>
              <w:tab w:val="clear" w:pos="8176"/>
              <w:tab w:val="right" w:pos="9026" w:leader="dot"/>
            </w:tabs>
            <w:rPr/>
          </w:pPr>
          <w:hyperlink w:anchor="__RefHeading___Toc3959299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959301_1051229030">
            <w:r>
              <w:rPr>
                <w:webHidden/>
                <w:rStyle w:val="IndexLink"/>
                <w:rtl w:val="true"/>
              </w:rPr>
              <w:t>أولاً</w:t>
            </w:r>
            <w:r>
              <w:rPr>
                <w:rStyle w:val="IndexLink"/>
                <w:rtl w:val="true"/>
              </w:rPr>
              <w:t xml:space="preserve">: </w:t>
            </w:r>
            <w:r>
              <w:rPr>
                <w:rStyle w:val="IndexLink"/>
                <w:rtl w:val="true"/>
              </w:rPr>
              <w:t>الغرض أعم</w:t>
            </w:r>
            <w:r>
              <w:rPr>
                <w:rStyle w:val="IndexLink"/>
                <w:rtl w:val="true"/>
              </w:rPr>
              <w:tab/>
            </w:r>
            <w:r>
              <w:rPr>
                <w:rStyle w:val="IndexLink"/>
              </w:rPr>
              <w:t>124</w:t>
            </w:r>
          </w:hyperlink>
        </w:p>
        <w:p>
          <w:pPr>
            <w:pStyle w:val="Contents4"/>
            <w:tabs>
              <w:tab w:val="clear" w:pos="8176"/>
              <w:tab w:val="right" w:pos="9026" w:leader="dot"/>
            </w:tabs>
            <w:rPr/>
          </w:pPr>
          <w:hyperlink w:anchor="__RefHeading___Toc3959303_1051229030">
            <w:r>
              <w:rPr>
                <w:webHidden/>
                <w:rStyle w:val="IndexLink"/>
                <w:rtl w:val="true"/>
              </w:rPr>
              <w:t>ثانياً</w:t>
            </w:r>
            <w:r>
              <w:rPr>
                <w:rStyle w:val="IndexLink"/>
                <w:rtl w:val="true"/>
              </w:rPr>
              <w:t xml:space="preserve">: </w:t>
            </w:r>
            <w:r>
              <w:rPr>
                <w:rStyle w:val="IndexLink"/>
                <w:rtl w:val="true"/>
              </w:rPr>
              <w:t>الموضوع أعم من الفعل</w:t>
            </w:r>
            <w:r>
              <w:rPr>
                <w:rStyle w:val="IndexLink"/>
                <w:rtl w:val="true"/>
              </w:rPr>
              <w:tab/>
            </w:r>
            <w:r>
              <w:rPr>
                <w:rStyle w:val="IndexLink"/>
              </w:rPr>
              <w:t>125</w:t>
            </w:r>
          </w:hyperlink>
        </w:p>
        <w:p>
          <w:pPr>
            <w:pStyle w:val="Contents4"/>
            <w:tabs>
              <w:tab w:val="clear" w:pos="8176"/>
              <w:tab w:val="right" w:pos="9026" w:leader="dot"/>
            </w:tabs>
            <w:rPr/>
          </w:pPr>
          <w:hyperlink w:anchor="__RefHeading___Toc3959305_1051229030">
            <w:r>
              <w:rPr>
                <w:webHidden/>
                <w:rStyle w:val="IndexLink"/>
                <w:rtl w:val="true"/>
              </w:rPr>
              <w:t>ثالثاً</w:t>
            </w:r>
            <w:r>
              <w:rPr>
                <w:rStyle w:val="IndexLink"/>
                <w:rtl w:val="true"/>
              </w:rPr>
              <w:t xml:space="preserve">: </w:t>
            </w:r>
            <w:r>
              <w:rPr>
                <w:rStyle w:val="IndexLink"/>
                <w:rtl w:val="true"/>
              </w:rPr>
              <w:t>الأعمية من المكلف</w:t>
            </w:r>
            <w:r>
              <w:rPr>
                <w:rStyle w:val="IndexLink"/>
                <w:rtl w:val="true"/>
              </w:rPr>
              <w:tab/>
            </w:r>
            <w:r>
              <w:rPr>
                <w:rStyle w:val="IndexLink"/>
              </w:rPr>
              <w:t>128</w:t>
            </w:r>
          </w:hyperlink>
        </w:p>
        <w:p>
          <w:pPr>
            <w:pStyle w:val="Contents4"/>
            <w:tabs>
              <w:tab w:val="clear" w:pos="8176"/>
              <w:tab w:val="right" w:pos="9026" w:leader="dot"/>
            </w:tabs>
            <w:rPr/>
          </w:pPr>
          <w:hyperlink w:anchor="__RefHeading___Toc3959307_1051229030">
            <w:r>
              <w:rPr>
                <w:webHidden/>
                <w:rStyle w:val="IndexLink"/>
                <w:rtl w:val="true"/>
              </w:rPr>
              <w:t>رابعاً</w:t>
            </w:r>
            <w:r>
              <w:rPr>
                <w:rStyle w:val="IndexLink"/>
                <w:rtl w:val="true"/>
              </w:rPr>
              <w:t xml:space="preserve">: </w:t>
            </w:r>
            <w:r>
              <w:rPr>
                <w:rStyle w:val="IndexLink"/>
                <w:rtl w:val="true"/>
              </w:rPr>
              <w:t xml:space="preserve">وهو أعم من </w:t>
            </w:r>
            <w:r>
              <w:rPr>
                <w:rStyle w:val="IndexLink"/>
                <w:rtl w:val="true"/>
              </w:rPr>
              <w:t>(</w:t>
            </w:r>
            <w:r>
              <w:rPr>
                <w:rStyle w:val="IndexLink"/>
                <w:rtl w:val="true"/>
              </w:rPr>
              <w:t>الحكم</w:t>
            </w:r>
            <w:r>
              <w:rPr>
                <w:rStyle w:val="IndexLink"/>
                <w:rtl w:val="true"/>
              </w:rPr>
              <w:t xml:space="preserve">) </w:t>
            </w:r>
            <w:r>
              <w:rPr>
                <w:rStyle w:val="IndexLink"/>
                <w:rtl w:val="true"/>
              </w:rPr>
              <w:t xml:space="preserve">لشموله </w:t>
            </w:r>
            <w:r>
              <w:rPr>
                <w:rStyle w:val="IndexLink"/>
                <w:rtl w:val="true"/>
              </w:rPr>
              <w:t>(</w:t>
            </w:r>
            <w:r>
              <w:rPr>
                <w:rStyle w:val="IndexLink"/>
                <w:rtl w:val="true"/>
              </w:rPr>
              <w:t>الموضوع</w:t>
            </w:r>
            <w:r>
              <w:rPr>
                <w:rStyle w:val="IndexLink"/>
                <w:rtl w:val="true"/>
              </w:rPr>
              <w:t>)</w:t>
              <w:tab/>
            </w:r>
            <w:r>
              <w:rPr>
                <w:rStyle w:val="IndexLink"/>
              </w:rPr>
              <w:t>128</w:t>
            </w:r>
          </w:hyperlink>
        </w:p>
        <w:p>
          <w:pPr>
            <w:pStyle w:val="Contents4"/>
            <w:tabs>
              <w:tab w:val="clear" w:pos="8176"/>
              <w:tab w:val="right" w:pos="9026" w:leader="dot"/>
            </w:tabs>
            <w:rPr/>
          </w:pPr>
          <w:hyperlink w:anchor="__RefHeading___Toc3959309_1051229030">
            <w:r>
              <w:rPr>
                <w:webHidden/>
                <w:rStyle w:val="IndexLink"/>
                <w:rtl w:val="true"/>
              </w:rPr>
              <w:t>خامساً</w:t>
            </w:r>
            <w:r>
              <w:rPr>
                <w:rStyle w:val="IndexLink"/>
                <w:rtl w:val="true"/>
              </w:rPr>
              <w:t xml:space="preserve">: </w:t>
            </w:r>
            <w:r>
              <w:rPr>
                <w:rStyle w:val="IndexLink"/>
                <w:rtl w:val="true"/>
              </w:rPr>
              <w:t xml:space="preserve">ولشموله </w:t>
            </w:r>
            <w:r>
              <w:rPr>
                <w:rStyle w:val="IndexLink"/>
                <w:rtl w:val="true"/>
              </w:rPr>
              <w:t>(</w:t>
            </w:r>
            <w:r>
              <w:rPr>
                <w:rStyle w:val="IndexLink"/>
                <w:rtl w:val="true"/>
              </w:rPr>
              <w:t>الحقوق</w:t>
            </w:r>
            <w:r>
              <w:rPr>
                <w:rStyle w:val="IndexLink"/>
                <w:rtl w:val="true"/>
              </w:rPr>
              <w:t>)</w:t>
              <w:tab/>
            </w:r>
            <w:r>
              <w:rPr>
                <w:rStyle w:val="IndexLink"/>
              </w:rPr>
              <w:t>129</w:t>
            </w:r>
          </w:hyperlink>
        </w:p>
        <w:p>
          <w:pPr>
            <w:pStyle w:val="Contents3"/>
            <w:tabs>
              <w:tab w:val="clear" w:pos="8459"/>
              <w:tab w:val="right" w:pos="9026" w:leader="dot"/>
            </w:tabs>
            <w:rPr/>
          </w:pPr>
          <w:hyperlink w:anchor="__RefHeading___Toc3959311_1051229030">
            <w:r>
              <w:rPr>
                <w:webHidden/>
                <w:rStyle w:val="IndexLink"/>
                <w:rtl w:val="true"/>
              </w:rPr>
              <w:t>النتيجة</w:t>
            </w:r>
            <w:r>
              <w:rPr>
                <w:rStyle w:val="IndexLink"/>
                <w:rtl w:val="true"/>
              </w:rPr>
              <w:t>:</w:t>
              <w:tab/>
            </w:r>
            <w:r>
              <w:rPr>
                <w:rStyle w:val="IndexLink"/>
              </w:rPr>
              <w:t>130</w:t>
            </w:r>
          </w:hyperlink>
        </w:p>
        <w:p>
          <w:pPr>
            <w:pStyle w:val="Contents4"/>
            <w:tabs>
              <w:tab w:val="clear" w:pos="8176"/>
              <w:tab w:val="right" w:pos="9026" w:leader="dot"/>
            </w:tabs>
            <w:rPr/>
          </w:pPr>
          <w:hyperlink w:anchor="__RefHeading___Toc3959313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959315_1051229030">
            <w:r>
              <w:rPr>
                <w:webHidden/>
                <w:rStyle w:val="IndexLink"/>
                <w:rtl w:val="true"/>
              </w:rPr>
              <w:t>الاستناد إلى تعريف المشهور لعلم الفقه</w:t>
            </w:r>
            <w:r>
              <w:rPr>
                <w:rStyle w:val="IndexLink"/>
                <w:rtl w:val="true"/>
              </w:rPr>
              <w:tab/>
            </w:r>
            <w:r>
              <w:rPr>
                <w:rStyle w:val="IndexLink"/>
              </w:rPr>
              <w:t>132</w:t>
            </w:r>
          </w:hyperlink>
        </w:p>
        <w:p>
          <w:pPr>
            <w:pStyle w:val="Contents4"/>
            <w:tabs>
              <w:tab w:val="clear" w:pos="8176"/>
              <w:tab w:val="right" w:pos="9026" w:leader="dot"/>
            </w:tabs>
            <w:rPr/>
          </w:pPr>
          <w:hyperlink w:anchor="__RefHeading___Toc3959317_1051229030">
            <w:r>
              <w:rPr>
                <w:webHidden/>
                <w:rStyle w:val="IndexLink"/>
                <w:rtl w:val="true"/>
              </w:rPr>
              <w:t>وجه الإشكال على هذا التعريف</w:t>
            </w:r>
            <w:r>
              <w:rPr>
                <w:rStyle w:val="IndexLink"/>
                <w:rtl w:val="true"/>
              </w:rPr>
              <w:tab/>
            </w:r>
            <w:r>
              <w:rPr>
                <w:rStyle w:val="IndexLink"/>
              </w:rPr>
              <w:t>133</w:t>
            </w:r>
          </w:hyperlink>
        </w:p>
        <w:p>
          <w:pPr>
            <w:pStyle w:val="Contents4"/>
            <w:tabs>
              <w:tab w:val="clear" w:pos="8176"/>
              <w:tab w:val="right" w:pos="9026" w:leader="dot"/>
            </w:tabs>
            <w:rPr/>
          </w:pPr>
          <w:hyperlink w:anchor="__RefHeading___Toc3959319_1051229030">
            <w:r>
              <w:rPr>
                <w:webHidden/>
                <w:rStyle w:val="IndexLink"/>
                <w:rtl w:val="true"/>
              </w:rPr>
              <w:t>الاستناد للآيات لشمول الحكم ل</w:t>
            </w:r>
            <w:r>
              <w:rPr>
                <w:rStyle w:val="IndexLink"/>
                <w:rtl w:val="true"/>
              </w:rPr>
              <w:t>(</w:t>
            </w:r>
            <w:r>
              <w:rPr>
                <w:rStyle w:val="IndexLink"/>
                <w:rtl w:val="true"/>
              </w:rPr>
              <w:t>لإرشادي</w:t>
            </w:r>
            <w:r>
              <w:rPr>
                <w:rStyle w:val="IndexLink"/>
                <w:rtl w:val="true"/>
              </w:rPr>
              <w:t>)</w:t>
              <w:tab/>
            </w:r>
            <w:r>
              <w:rPr>
                <w:rStyle w:val="IndexLink"/>
              </w:rPr>
              <w:t>134</w:t>
            </w:r>
          </w:hyperlink>
        </w:p>
        <w:p>
          <w:pPr>
            <w:pStyle w:val="Contents4"/>
            <w:tabs>
              <w:tab w:val="clear" w:pos="8176"/>
              <w:tab w:val="right" w:pos="9026" w:leader="dot"/>
            </w:tabs>
            <w:rPr/>
          </w:pPr>
          <w:hyperlink w:anchor="__RefHeading___Toc3959321_1051229030">
            <w:r>
              <w:rPr>
                <w:webHidden/>
                <w:rStyle w:val="IndexLink"/>
                <w:rtl w:val="true"/>
              </w:rPr>
              <w:t>الاستناد للروايات لشمول الحكم ل</w:t>
            </w:r>
            <w:r>
              <w:rPr>
                <w:rStyle w:val="IndexLink"/>
                <w:rtl w:val="true"/>
              </w:rPr>
              <w:t>(</w:t>
            </w:r>
            <w:r>
              <w:rPr>
                <w:rStyle w:val="IndexLink"/>
                <w:rtl w:val="true"/>
              </w:rPr>
              <w:t>الإرشادي</w:t>
            </w:r>
            <w:r>
              <w:rPr>
                <w:rStyle w:val="IndexLink"/>
                <w:rtl w:val="true"/>
              </w:rPr>
              <w:t>)</w:t>
              <w:tab/>
            </w:r>
            <w:r>
              <w:rPr>
                <w:rStyle w:val="IndexLink"/>
              </w:rPr>
              <w:t>137</w:t>
            </w:r>
          </w:hyperlink>
        </w:p>
        <w:p>
          <w:pPr>
            <w:pStyle w:val="Contents4"/>
            <w:tabs>
              <w:tab w:val="clear" w:pos="8176"/>
              <w:tab w:val="right" w:pos="9026" w:leader="dot"/>
            </w:tabs>
            <w:rPr/>
          </w:pPr>
          <w:hyperlink w:anchor="__RefHeading___Toc3959323_1051229030">
            <w:r>
              <w:rPr>
                <w:webHidden/>
                <w:rStyle w:val="IndexLink"/>
                <w:rtl w:val="true"/>
              </w:rPr>
              <w:t>من أظهر مصاديق الأوامر الإرشادية من غير الشارع</w:t>
            </w:r>
            <w:r>
              <w:rPr>
                <w:rStyle w:val="IndexLink"/>
                <w:rtl w:val="true"/>
              </w:rPr>
              <w:tab/>
            </w:r>
            <w:r>
              <w:rPr>
                <w:rStyle w:val="IndexLink"/>
              </w:rPr>
              <w:t>140</w:t>
            </w:r>
          </w:hyperlink>
        </w:p>
        <w:p>
          <w:pPr>
            <w:pStyle w:val="Contents4"/>
            <w:tabs>
              <w:tab w:val="clear" w:pos="8176"/>
              <w:tab w:val="right" w:pos="9026" w:leader="dot"/>
            </w:tabs>
            <w:rPr/>
          </w:pPr>
          <w:hyperlink w:anchor="__RefHeading___Toc3959325_1051229030">
            <w:r>
              <w:rPr>
                <w:webHidden/>
                <w:rStyle w:val="IndexLink"/>
                <w:rtl w:val="true"/>
              </w:rPr>
              <w:t>وأما الأوامر الإرشادية الصادرة من الشارع</w:t>
            </w:r>
            <w:r>
              <w:rPr>
                <w:rStyle w:val="IndexLink"/>
                <w:rtl w:val="true"/>
              </w:rPr>
              <w:tab/>
            </w:r>
            <w:r>
              <w:rPr>
                <w:rStyle w:val="IndexLink"/>
              </w:rPr>
              <w:t>142</w:t>
            </w:r>
          </w:hyperlink>
        </w:p>
        <w:p>
          <w:pPr>
            <w:pStyle w:val="Contents4"/>
            <w:tabs>
              <w:tab w:val="clear" w:pos="8176"/>
              <w:tab w:val="right" w:pos="9026" w:leader="dot"/>
            </w:tabs>
            <w:rPr/>
          </w:pPr>
          <w:hyperlink w:anchor="__RefHeading___Toc3959327_1051229030">
            <w:r>
              <w:rPr>
                <w:webHidden/>
                <w:rStyle w:val="IndexLink"/>
                <w:rtl w:val="true"/>
              </w:rPr>
              <w:t>إشارة للبحث السندي</w:t>
            </w:r>
            <w:r>
              <w:rPr>
                <w:rStyle w:val="IndexLink"/>
                <w:rtl w:val="true"/>
              </w:rPr>
              <w:tab/>
            </w:r>
            <w:r>
              <w:rPr>
                <w:rStyle w:val="IndexLink"/>
              </w:rPr>
              <w:t>142</w:t>
            </w:r>
          </w:hyperlink>
        </w:p>
        <w:p>
          <w:pPr>
            <w:pStyle w:val="Contents4"/>
            <w:tabs>
              <w:tab w:val="clear" w:pos="8176"/>
              <w:tab w:val="right" w:pos="9026" w:leader="dot"/>
            </w:tabs>
            <w:rPr/>
          </w:pPr>
          <w:hyperlink w:anchor="__RefHeading___Toc3959329_1051229030">
            <w:r>
              <w:rPr>
                <w:webHidden/>
                <w:rStyle w:val="IndexLink"/>
                <w:rtl w:val="true"/>
              </w:rPr>
              <w:t>الوجوه والأقوال الستة في الألوف من الأوامر والنواهي المدعى كونها إرشادية</w:t>
            </w:r>
            <w:r>
              <w:rPr>
                <w:rStyle w:val="IndexLink"/>
                <w:rtl w:val="true"/>
              </w:rPr>
              <w:tab/>
            </w:r>
            <w:r>
              <w:rPr>
                <w:rStyle w:val="IndexLink"/>
              </w:rPr>
              <w:t>144</w:t>
            </w:r>
          </w:hyperlink>
        </w:p>
        <w:p>
          <w:pPr>
            <w:pStyle w:val="Contents2"/>
            <w:tabs>
              <w:tab w:val="clear" w:pos="8743"/>
              <w:tab w:val="right" w:pos="9026" w:leader="dot"/>
            </w:tabs>
            <w:rPr/>
          </w:pPr>
          <w:hyperlink w:anchor="__RefHeading___Toc3959331_1051229030">
            <w:r>
              <w:rPr>
                <w:webHidden/>
                <w:rStyle w:val="IndexLink"/>
                <w:rtl w:val="true"/>
              </w:rPr>
              <w:t>المبحث الرابع</w:t>
            </w:r>
            <w:r>
              <w:rPr>
                <w:rStyle w:val="IndexLink"/>
                <w:rtl w:val="true"/>
              </w:rPr>
              <w:t xml:space="preserve">: </w:t>
            </w:r>
            <w:r>
              <w:rPr>
                <w:rStyle w:val="IndexLink"/>
                <w:rtl w:val="true"/>
              </w:rPr>
              <w:t xml:space="preserve">هل مبحث </w:t>
            </w:r>
            <w:r>
              <w:rPr>
                <w:rStyle w:val="IndexLink"/>
                <w:rtl w:val="true"/>
              </w:rPr>
              <w:t>(</w:t>
            </w:r>
            <w:r>
              <w:rPr>
                <w:rStyle w:val="IndexLink"/>
                <w:rtl w:val="true"/>
              </w:rPr>
              <w:t>الأوامر الإرشادية</w:t>
            </w:r>
            <w:r>
              <w:rPr>
                <w:rStyle w:val="IndexLink"/>
                <w:rtl w:val="true"/>
              </w:rPr>
              <w:t xml:space="preserve">) </w:t>
            </w:r>
            <w:r>
              <w:rPr>
                <w:rStyle w:val="IndexLink"/>
                <w:rtl w:val="true"/>
              </w:rPr>
              <w:t>من المباحث الأصولية؟</w:t>
            </w:r>
            <w:r>
              <w:rPr>
                <w:rStyle w:val="IndexLink"/>
                <w:rtl w:val="true"/>
              </w:rPr>
              <w:tab/>
            </w:r>
            <w:r>
              <w:rPr>
                <w:rStyle w:val="IndexLink"/>
              </w:rPr>
              <w:t>147</w:t>
            </w:r>
          </w:hyperlink>
        </w:p>
        <w:p>
          <w:pPr>
            <w:pStyle w:val="Contents3"/>
            <w:tabs>
              <w:tab w:val="clear" w:pos="8459"/>
              <w:tab w:val="right" w:pos="9026" w:leader="dot"/>
            </w:tabs>
            <w:rPr/>
          </w:pPr>
          <w:hyperlink w:anchor="__RefHeading___Toc3959333_105122903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3959335_1051229030">
            <w:r>
              <w:rPr>
                <w:webHidden/>
                <w:rStyle w:val="IndexLink"/>
                <w:rtl w:val="true"/>
              </w:rPr>
              <w:t>أولاً</w:t>
            </w:r>
            <w:r>
              <w:rPr>
                <w:rStyle w:val="IndexLink"/>
                <w:rtl w:val="true"/>
              </w:rPr>
              <w:t xml:space="preserve">: </w:t>
            </w:r>
            <w:r>
              <w:rPr>
                <w:rStyle w:val="IndexLink"/>
                <w:rtl w:val="true"/>
              </w:rPr>
              <w:t>أجزاء العلوم</w:t>
            </w:r>
            <w:r>
              <w:rPr>
                <w:rStyle w:val="IndexLink"/>
                <w:rtl w:val="true"/>
              </w:rPr>
              <w:tab/>
            </w:r>
            <w:r>
              <w:rPr>
                <w:rStyle w:val="IndexLink"/>
              </w:rPr>
              <w:t>150</w:t>
            </w:r>
          </w:hyperlink>
        </w:p>
        <w:p>
          <w:pPr>
            <w:pStyle w:val="Contents4"/>
            <w:tabs>
              <w:tab w:val="clear" w:pos="8176"/>
              <w:tab w:val="right" w:pos="9026" w:leader="dot"/>
            </w:tabs>
            <w:rPr/>
          </w:pPr>
          <w:hyperlink w:anchor="__RefHeading___Toc3959337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959339_1051229030">
            <w:r>
              <w:rPr>
                <w:webHidden/>
                <w:rStyle w:val="IndexLink"/>
                <w:rtl w:val="true"/>
              </w:rPr>
              <w:t>أ</w:t>
            </w:r>
            <w:r>
              <w:rPr>
                <w:rStyle w:val="IndexLink"/>
                <w:rtl w:val="true"/>
              </w:rPr>
              <w:t xml:space="preserve">- </w:t>
            </w:r>
            <w:r>
              <w:rPr>
                <w:rStyle w:val="IndexLink"/>
                <w:rtl w:val="true"/>
              </w:rPr>
              <w:t>الضابط في الأمر المولوي والإرشادي</w:t>
            </w:r>
            <w:r>
              <w:rPr>
                <w:rStyle w:val="IndexLink"/>
                <w:rtl w:val="true"/>
              </w:rPr>
              <w:tab/>
            </w:r>
            <w:r>
              <w:rPr>
                <w:rStyle w:val="IndexLink"/>
              </w:rPr>
              <w:t>150</w:t>
            </w:r>
          </w:hyperlink>
        </w:p>
        <w:p>
          <w:pPr>
            <w:pStyle w:val="Contents4"/>
            <w:tabs>
              <w:tab w:val="clear" w:pos="8176"/>
              <w:tab w:val="right" w:pos="9026" w:leader="dot"/>
            </w:tabs>
            <w:rPr/>
          </w:pPr>
          <w:hyperlink w:anchor="__RefHeading___Toc3959341_1051229030">
            <w:r>
              <w:rPr>
                <w:webHidden/>
                <w:rStyle w:val="IndexLink"/>
                <w:rtl w:val="true"/>
              </w:rPr>
              <w:t>ب ـ هل الأمر ظاهر في المولوية؟</w:t>
            </w:r>
            <w:r>
              <w:rPr>
                <w:rStyle w:val="IndexLink"/>
                <w:rtl w:val="true"/>
              </w:rPr>
              <w:tab/>
            </w:r>
            <w:r>
              <w:rPr>
                <w:rStyle w:val="IndexLink"/>
              </w:rPr>
              <w:t>151</w:t>
            </w:r>
          </w:hyperlink>
        </w:p>
        <w:p>
          <w:pPr>
            <w:pStyle w:val="Contents4"/>
            <w:tabs>
              <w:tab w:val="clear" w:pos="8176"/>
              <w:tab w:val="right" w:pos="9026" w:leader="dot"/>
            </w:tabs>
            <w:rPr/>
          </w:pPr>
          <w:hyperlink w:anchor="__RefHeading___Toc3959343_1051229030">
            <w:r>
              <w:rPr>
                <w:webHidden/>
                <w:rStyle w:val="IndexLink"/>
                <w:rtl w:val="true"/>
              </w:rPr>
              <w:t xml:space="preserve">ج ـ هل </w:t>
            </w:r>
            <w:r>
              <w:rPr>
                <w:rStyle w:val="IndexLink"/>
                <w:rtl w:val="true"/>
              </w:rPr>
              <w:t>(</w:t>
            </w:r>
            <w:r>
              <w:rPr>
                <w:rStyle w:val="IndexLink"/>
                <w:rtl w:val="true"/>
              </w:rPr>
              <w:t>الإرشادي</w:t>
            </w:r>
            <w:r>
              <w:rPr>
                <w:rStyle w:val="IndexLink"/>
                <w:rtl w:val="true"/>
              </w:rPr>
              <w:t xml:space="preserve">) </w:t>
            </w:r>
            <w:r>
              <w:rPr>
                <w:rStyle w:val="IndexLink"/>
                <w:rtl w:val="true"/>
              </w:rPr>
              <w:t>ظاهر في الإلزام؟</w:t>
            </w:r>
            <w:r>
              <w:rPr>
                <w:rStyle w:val="IndexLink"/>
                <w:rtl w:val="true"/>
              </w:rPr>
              <w:tab/>
            </w:r>
            <w:r>
              <w:rPr>
                <w:rStyle w:val="IndexLink"/>
              </w:rPr>
              <w:t>151</w:t>
            </w:r>
          </w:hyperlink>
        </w:p>
        <w:p>
          <w:pPr>
            <w:pStyle w:val="Contents5"/>
            <w:tabs>
              <w:tab w:val="clear" w:pos="7892"/>
              <w:tab w:val="right" w:pos="9026" w:leader="dot"/>
            </w:tabs>
            <w:rPr/>
          </w:pPr>
          <w:hyperlink w:anchor="__RefHeading___Toc3959345_105122903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959347_1051229030">
            <w:r>
              <w:rPr>
                <w:webHidden/>
                <w:rStyle w:val="IndexLink"/>
                <w:rtl w:val="true"/>
              </w:rPr>
              <w:t>الدليل على مبنى القدماء</w:t>
            </w:r>
            <w:r>
              <w:rPr>
                <w:rStyle w:val="IndexLink"/>
                <w:rtl w:val="true"/>
              </w:rPr>
              <w:tab/>
            </w:r>
            <w:r>
              <w:rPr>
                <w:rStyle w:val="IndexLink"/>
              </w:rPr>
              <w:t>152</w:t>
            </w:r>
          </w:hyperlink>
        </w:p>
        <w:p>
          <w:pPr>
            <w:pStyle w:val="Contents3"/>
            <w:tabs>
              <w:tab w:val="clear" w:pos="8459"/>
              <w:tab w:val="right" w:pos="9026" w:leader="dot"/>
            </w:tabs>
            <w:rPr/>
          </w:pPr>
          <w:hyperlink w:anchor="__RefHeading___Toc3959349_1051229030">
            <w:r>
              <w:rPr>
                <w:webHidden/>
                <w:rStyle w:val="IndexLink"/>
                <w:rtl w:val="true"/>
              </w:rPr>
              <w:t>ثانياً</w:t>
            </w:r>
            <w:r>
              <w:rPr>
                <w:rStyle w:val="IndexLink"/>
                <w:rtl w:val="true"/>
              </w:rPr>
              <w:t xml:space="preserve">: </w:t>
            </w:r>
            <w:r>
              <w:rPr>
                <w:rStyle w:val="IndexLink"/>
                <w:rtl w:val="true"/>
              </w:rPr>
              <w:t>موضوع علم الأصول</w:t>
            </w:r>
            <w:r>
              <w:rPr>
                <w:rStyle w:val="IndexLink"/>
                <w:rtl w:val="true"/>
              </w:rPr>
              <w:tab/>
            </w:r>
            <w:r>
              <w:rPr>
                <w:rStyle w:val="IndexLink"/>
              </w:rPr>
              <w:t>154</w:t>
            </w:r>
          </w:hyperlink>
        </w:p>
        <w:p>
          <w:pPr>
            <w:pStyle w:val="Contents4"/>
            <w:tabs>
              <w:tab w:val="clear" w:pos="8176"/>
              <w:tab w:val="right" w:pos="9026" w:leader="dot"/>
            </w:tabs>
            <w:rPr/>
          </w:pPr>
          <w:hyperlink w:anchor="__RefHeading___Toc3959351_105122903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959353_1051229030">
            <w:r>
              <w:rPr>
                <w:webHidden/>
                <w:rStyle w:val="IndexLink"/>
                <w:rtl w:val="true"/>
              </w:rPr>
              <w:t>المباحث الثلاثة ينطبق عليها موضوع الأصول</w:t>
            </w:r>
            <w:r>
              <w:rPr>
                <w:rStyle w:val="IndexLink"/>
                <w:rtl w:val="true"/>
              </w:rPr>
              <w:tab/>
            </w:r>
            <w:r>
              <w:rPr>
                <w:rStyle w:val="IndexLink"/>
              </w:rPr>
              <w:t>155</w:t>
            </w:r>
          </w:hyperlink>
        </w:p>
        <w:p>
          <w:pPr>
            <w:pStyle w:val="Contents4"/>
            <w:tabs>
              <w:tab w:val="clear" w:pos="8176"/>
              <w:tab w:val="right" w:pos="9026" w:leader="dot"/>
            </w:tabs>
            <w:rPr/>
          </w:pPr>
          <w:hyperlink w:anchor="__RefHeading___Toc3959355_1051229030">
            <w:r>
              <w:rPr>
                <w:webHidden/>
                <w:rStyle w:val="IndexLink"/>
                <w:rtl w:val="true"/>
              </w:rPr>
              <w:t>بيان ذلك</w:t>
            </w:r>
            <w:r>
              <w:rPr>
                <w:rStyle w:val="IndexLink"/>
                <w:rtl w:val="true"/>
              </w:rPr>
              <w:t>:</w:t>
              <w:tab/>
            </w:r>
            <w:r>
              <w:rPr>
                <w:rStyle w:val="IndexLink"/>
              </w:rPr>
              <w:t>156</w:t>
            </w:r>
          </w:hyperlink>
        </w:p>
        <w:p>
          <w:pPr>
            <w:pStyle w:val="Contents4"/>
            <w:tabs>
              <w:tab w:val="clear" w:pos="8176"/>
              <w:tab w:val="right" w:pos="9026" w:leader="dot"/>
            </w:tabs>
            <w:rPr/>
          </w:pPr>
          <w:hyperlink w:anchor="__RefHeading___Toc3959357_1051229030">
            <w:r>
              <w:rPr>
                <w:webHidden/>
                <w:rStyle w:val="IndexLink"/>
                <w:rtl w:val="true"/>
              </w:rPr>
              <w:t>النقض بإندراج الطب والتاريخ في الفقه وجوابه</w:t>
            </w:r>
            <w:r>
              <w:rPr>
                <w:rStyle w:val="IndexLink"/>
                <w:rtl w:val="true"/>
              </w:rPr>
              <w:tab/>
            </w:r>
            <w:r>
              <w:rPr>
                <w:rStyle w:val="IndexLink"/>
              </w:rPr>
              <w:t>157</w:t>
            </w:r>
          </w:hyperlink>
        </w:p>
        <w:p>
          <w:pPr>
            <w:pStyle w:val="Contents4"/>
            <w:tabs>
              <w:tab w:val="clear" w:pos="8176"/>
              <w:tab w:val="right" w:pos="9026" w:leader="dot"/>
            </w:tabs>
            <w:rPr/>
          </w:pPr>
          <w:hyperlink w:anchor="__RefHeading___Toc3959359_1051229030">
            <w:r>
              <w:rPr>
                <w:webHidden/>
                <w:rStyle w:val="IndexLink"/>
                <w:rtl w:val="true"/>
              </w:rPr>
              <w:t>الإشكال بأن الحكم الإرشادي ليس عارضاً ذاتياً لموضوع الأصول</w:t>
            </w:r>
            <w:r>
              <w:rPr>
                <w:rStyle w:val="IndexLink"/>
                <w:rtl w:val="true"/>
              </w:rPr>
              <w:tab/>
            </w:r>
            <w:r>
              <w:rPr>
                <w:rStyle w:val="IndexLink"/>
              </w:rPr>
              <w:t>158</w:t>
            </w:r>
          </w:hyperlink>
        </w:p>
        <w:p>
          <w:pPr>
            <w:pStyle w:val="Contents5"/>
            <w:tabs>
              <w:tab w:val="clear" w:pos="7892"/>
              <w:tab w:val="right" w:pos="9026" w:leader="dot"/>
            </w:tabs>
            <w:rPr/>
          </w:pPr>
          <w:hyperlink w:anchor="__RefHeading___Toc3959361_105122903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959363_1051229030">
            <w:r>
              <w:rPr>
                <w:webHidden/>
                <w:rStyle w:val="IndexLink"/>
              </w:rPr>
              <w:t>1</w:t>
            </w:r>
            <w:r>
              <w:rPr>
                <w:rStyle w:val="IndexLink"/>
                <w:rtl w:val="true"/>
              </w:rPr>
              <w:t xml:space="preserve">- </w:t>
            </w:r>
            <w:r>
              <w:rPr>
                <w:rStyle w:val="IndexLink"/>
                <w:rtl w:val="true"/>
              </w:rPr>
              <w:t xml:space="preserve">البحث عن </w:t>
            </w:r>
            <w:r>
              <w:rPr>
                <w:rStyle w:val="IndexLink"/>
                <w:rtl w:val="true"/>
              </w:rPr>
              <w:t>(</w:t>
            </w:r>
            <w:r>
              <w:rPr>
                <w:rStyle w:val="IndexLink"/>
                <w:rtl w:val="true"/>
              </w:rPr>
              <w:t>الحجية</w:t>
            </w:r>
            <w:r>
              <w:rPr>
                <w:rStyle w:val="IndexLink"/>
                <w:rtl w:val="true"/>
              </w:rPr>
              <w:t xml:space="preserve">) </w:t>
            </w:r>
            <w:r>
              <w:rPr>
                <w:rStyle w:val="IndexLink"/>
                <w:rtl w:val="true"/>
              </w:rPr>
              <w:t>وهو عارض ذاتي</w:t>
            </w:r>
            <w:r>
              <w:rPr>
                <w:rStyle w:val="IndexLink"/>
                <w:rtl w:val="true"/>
              </w:rPr>
              <w:tab/>
            </w:r>
            <w:r>
              <w:rPr>
                <w:rStyle w:val="IndexLink"/>
              </w:rPr>
              <w:t>158</w:t>
            </w:r>
          </w:hyperlink>
        </w:p>
        <w:p>
          <w:pPr>
            <w:pStyle w:val="Contents5"/>
            <w:tabs>
              <w:tab w:val="clear" w:pos="7892"/>
              <w:tab w:val="right" w:pos="9026" w:leader="dot"/>
            </w:tabs>
            <w:rPr/>
          </w:pPr>
          <w:hyperlink w:anchor="__RefHeading___Toc3959365_1051229030">
            <w:r>
              <w:rPr>
                <w:webHidden/>
                <w:rStyle w:val="IndexLink"/>
              </w:rPr>
              <w:t>2</w:t>
            </w:r>
            <w:r>
              <w:rPr>
                <w:rStyle w:val="IndexLink"/>
                <w:rtl w:val="true"/>
              </w:rPr>
              <w:t xml:space="preserve">- </w:t>
            </w:r>
            <w:r>
              <w:rPr>
                <w:rStyle w:val="IndexLink"/>
                <w:rtl w:val="true"/>
              </w:rPr>
              <w:t xml:space="preserve">وعن </w:t>
            </w:r>
            <w:r>
              <w:rPr>
                <w:rStyle w:val="IndexLink"/>
                <w:rtl w:val="true"/>
              </w:rPr>
              <w:t>(</w:t>
            </w:r>
            <w:r>
              <w:rPr>
                <w:rStyle w:val="IndexLink"/>
                <w:rtl w:val="true"/>
              </w:rPr>
              <w:t>الظهور</w:t>
            </w:r>
            <w:r>
              <w:rPr>
                <w:rStyle w:val="IndexLink"/>
                <w:rtl w:val="true"/>
              </w:rPr>
              <w:t xml:space="preserve">) </w:t>
            </w:r>
            <w:r>
              <w:rPr>
                <w:rStyle w:val="IndexLink"/>
                <w:rtl w:val="true"/>
              </w:rPr>
              <w:t>وهو ذاتي</w:t>
            </w:r>
            <w:r>
              <w:rPr>
                <w:rStyle w:val="IndexLink"/>
                <w:rtl w:val="true"/>
              </w:rPr>
              <w:tab/>
            </w:r>
            <w:r>
              <w:rPr>
                <w:rStyle w:val="IndexLink"/>
              </w:rPr>
              <w:t>158</w:t>
            </w:r>
          </w:hyperlink>
        </w:p>
        <w:p>
          <w:pPr>
            <w:pStyle w:val="Contents5"/>
            <w:tabs>
              <w:tab w:val="clear" w:pos="7892"/>
              <w:tab w:val="right" w:pos="9026" w:leader="dot"/>
            </w:tabs>
            <w:rPr/>
          </w:pPr>
          <w:hyperlink w:anchor="__RefHeading___Toc3959367_1051229030">
            <w:r>
              <w:rPr>
                <w:webHidden/>
                <w:rStyle w:val="IndexLink"/>
              </w:rPr>
              <w:t>3</w:t>
            </w:r>
            <w:r>
              <w:rPr>
                <w:rStyle w:val="IndexLink"/>
                <w:rtl w:val="true"/>
              </w:rPr>
              <w:t xml:space="preserve">- </w:t>
            </w:r>
            <w:r>
              <w:rPr>
                <w:rStyle w:val="IndexLink"/>
                <w:rtl w:val="true"/>
              </w:rPr>
              <w:t>النقاش في الكبرى</w:t>
            </w:r>
            <w:r>
              <w:rPr>
                <w:rStyle w:val="IndexLink"/>
                <w:rtl w:val="true"/>
              </w:rPr>
              <w:tab/>
            </w:r>
            <w:r>
              <w:rPr>
                <w:rStyle w:val="IndexLink"/>
              </w:rPr>
              <w:t>159</w:t>
            </w:r>
          </w:hyperlink>
        </w:p>
        <w:p>
          <w:pPr>
            <w:pStyle w:val="Contents3"/>
            <w:tabs>
              <w:tab w:val="clear" w:pos="8459"/>
              <w:tab w:val="right" w:pos="9026" w:leader="dot"/>
            </w:tabs>
            <w:rPr/>
          </w:pPr>
          <w:hyperlink w:anchor="__RefHeading___Toc3959369_1051229030">
            <w:r>
              <w:rPr>
                <w:webHidden/>
                <w:rStyle w:val="IndexLink"/>
                <w:rtl w:val="true"/>
              </w:rPr>
              <w:t>ثالثاً</w:t>
            </w:r>
            <w:r>
              <w:rPr>
                <w:rStyle w:val="IndexLink"/>
                <w:rtl w:val="true"/>
              </w:rPr>
              <w:t xml:space="preserve">: </w:t>
            </w:r>
            <w:r>
              <w:rPr>
                <w:rStyle w:val="IndexLink"/>
                <w:rtl w:val="true"/>
              </w:rPr>
              <w:t>مسائل علم الأصول</w:t>
            </w:r>
            <w:r>
              <w:rPr>
                <w:rStyle w:val="IndexLink"/>
                <w:rtl w:val="true"/>
              </w:rPr>
              <w:tab/>
            </w:r>
            <w:r>
              <w:rPr>
                <w:rStyle w:val="IndexLink"/>
              </w:rPr>
              <w:t>161</w:t>
            </w:r>
          </w:hyperlink>
        </w:p>
        <w:p>
          <w:pPr>
            <w:pStyle w:val="Contents4"/>
            <w:tabs>
              <w:tab w:val="clear" w:pos="8176"/>
              <w:tab w:val="right" w:pos="9026" w:leader="dot"/>
            </w:tabs>
            <w:rPr/>
          </w:pPr>
          <w:hyperlink w:anchor="__RefHeading___Toc3959371_105122903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959373_1051229030">
            <w:r>
              <w:rPr>
                <w:webHidden/>
                <w:rStyle w:val="IndexLink"/>
                <w:rtl w:val="true"/>
              </w:rPr>
              <w:t>الميرزا النائيني</w:t>
            </w:r>
            <w:r>
              <w:rPr>
                <w:rStyle w:val="IndexLink"/>
                <w:rtl w:val="true"/>
              </w:rPr>
              <w:t>: (</w:t>
            </w:r>
            <w:r>
              <w:rPr>
                <w:rStyle w:val="IndexLink"/>
                <w:rtl w:val="true"/>
              </w:rPr>
              <w:t>مسائل الأصول ثلاثة أنواع</w:t>
            </w:r>
            <w:r>
              <w:rPr>
                <w:rStyle w:val="IndexLink"/>
                <w:rtl w:val="true"/>
              </w:rPr>
              <w:t>)</w:t>
              <w:tab/>
            </w:r>
            <w:r>
              <w:rPr>
                <w:rStyle w:val="IndexLink"/>
              </w:rPr>
              <w:t>161</w:t>
            </w:r>
          </w:hyperlink>
        </w:p>
        <w:p>
          <w:pPr>
            <w:pStyle w:val="Contents4"/>
            <w:tabs>
              <w:tab w:val="clear" w:pos="8176"/>
              <w:tab w:val="right" w:pos="9026" w:leader="dot"/>
            </w:tabs>
            <w:rPr/>
          </w:pPr>
          <w:hyperlink w:anchor="__RefHeading___Toc3959375_1051229030">
            <w:r>
              <w:rPr>
                <w:webHidden/>
                <w:rStyle w:val="IndexLink"/>
                <w:rtl w:val="true"/>
              </w:rPr>
              <w:t xml:space="preserve">أعمية </w:t>
            </w:r>
            <w:r>
              <w:rPr>
                <w:rStyle w:val="IndexLink"/>
                <w:rtl w:val="true"/>
              </w:rPr>
              <w:t>(</w:t>
            </w:r>
            <w:r>
              <w:rPr>
                <w:rStyle w:val="IndexLink"/>
                <w:rtl w:val="true"/>
              </w:rPr>
              <w:t>العارض</w:t>
            </w:r>
            <w:r>
              <w:rPr>
                <w:rStyle w:val="IndexLink"/>
                <w:rtl w:val="true"/>
              </w:rPr>
              <w:t xml:space="preserve">) </w:t>
            </w:r>
            <w:r>
              <w:rPr>
                <w:rStyle w:val="IndexLink"/>
                <w:rtl w:val="true"/>
              </w:rPr>
              <w:t>لا تخرج المسألة عن العلم</w:t>
            </w:r>
            <w:r>
              <w:rPr>
                <w:rStyle w:val="IndexLink"/>
                <w:rtl w:val="true"/>
              </w:rPr>
              <w:tab/>
            </w:r>
            <w:r>
              <w:rPr>
                <w:rStyle w:val="IndexLink"/>
              </w:rPr>
              <w:t>162</w:t>
            </w:r>
          </w:hyperlink>
        </w:p>
        <w:p>
          <w:pPr>
            <w:pStyle w:val="Contents3"/>
            <w:tabs>
              <w:tab w:val="clear" w:pos="8459"/>
              <w:tab w:val="right" w:pos="9026" w:leader="dot"/>
            </w:tabs>
            <w:rPr/>
          </w:pPr>
          <w:hyperlink w:anchor="__RefHeading___Toc3959377_1051229030">
            <w:r>
              <w:rPr>
                <w:webHidden/>
                <w:rStyle w:val="IndexLink"/>
                <w:rtl w:val="true"/>
              </w:rPr>
              <w:t>رابعاً</w:t>
            </w:r>
            <w:r>
              <w:rPr>
                <w:rStyle w:val="IndexLink"/>
                <w:rtl w:val="true"/>
              </w:rPr>
              <w:t xml:space="preserve">: </w:t>
            </w:r>
            <w:r>
              <w:rPr>
                <w:rStyle w:val="IndexLink"/>
                <w:rtl w:val="true"/>
              </w:rPr>
              <w:t>الغاية من علم الأصول</w:t>
            </w:r>
            <w:r>
              <w:rPr>
                <w:rStyle w:val="IndexLink"/>
                <w:rtl w:val="true"/>
              </w:rPr>
              <w:tab/>
            </w:r>
            <w:r>
              <w:rPr>
                <w:rStyle w:val="IndexLink"/>
              </w:rPr>
              <w:t>165</w:t>
            </w:r>
          </w:hyperlink>
        </w:p>
        <w:p>
          <w:pPr>
            <w:pStyle w:val="Contents4"/>
            <w:tabs>
              <w:tab w:val="clear" w:pos="8176"/>
              <w:tab w:val="right" w:pos="9026" w:leader="dot"/>
            </w:tabs>
            <w:rPr/>
          </w:pPr>
          <w:hyperlink w:anchor="__RefHeading___Toc3959379_105122903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959381_1051229030">
            <w:r>
              <w:rPr>
                <w:webHidden/>
                <w:rStyle w:val="IndexLink"/>
                <w:rtl w:val="true"/>
              </w:rPr>
              <w:t xml:space="preserve">الغاية هي </w:t>
            </w:r>
            <w:r>
              <w:rPr>
                <w:rStyle w:val="IndexLink"/>
                <w:rtl w:val="true"/>
              </w:rPr>
              <w:t>(</w:t>
            </w:r>
            <w:r>
              <w:rPr>
                <w:rStyle w:val="IndexLink"/>
                <w:rtl w:val="true"/>
              </w:rPr>
              <w:t>الإحتجاج</w:t>
            </w:r>
            <w:r>
              <w:rPr>
                <w:rStyle w:val="IndexLink"/>
                <w:rtl w:val="true"/>
              </w:rPr>
              <w:t>)</w:t>
            </w:r>
            <w:r>
              <w:rPr>
                <w:rStyle w:val="IndexLink"/>
                <w:rtl w:val="true"/>
              </w:rPr>
              <w:t xml:space="preserve">، </w:t>
            </w:r>
            <w:r>
              <w:rPr>
                <w:rStyle w:val="IndexLink"/>
                <w:rtl w:val="true"/>
              </w:rPr>
              <w:t>(</w:t>
            </w:r>
            <w:r>
              <w:rPr>
                <w:rStyle w:val="IndexLink"/>
                <w:rtl w:val="true"/>
              </w:rPr>
              <w:t>ومعاني الحجة</w:t>
            </w:r>
            <w:r>
              <w:rPr>
                <w:rStyle w:val="IndexLink"/>
                <w:rtl w:val="true"/>
              </w:rPr>
              <w:t>)</w:t>
              <w:tab/>
            </w:r>
            <w:r>
              <w:rPr>
                <w:rStyle w:val="IndexLink"/>
              </w:rPr>
              <w:t>165</w:t>
            </w:r>
          </w:hyperlink>
        </w:p>
        <w:p>
          <w:pPr>
            <w:pStyle w:val="Contents4"/>
            <w:tabs>
              <w:tab w:val="clear" w:pos="8176"/>
              <w:tab w:val="right" w:pos="9026" w:leader="dot"/>
            </w:tabs>
            <w:rPr/>
          </w:pPr>
          <w:hyperlink w:anchor="__RefHeading___Toc3959383_1051229030">
            <w:r>
              <w:rPr>
                <w:webHidden/>
                <w:rStyle w:val="IndexLink"/>
                <w:rtl w:val="true"/>
              </w:rPr>
              <w:t>الأحكام الإرشادية كثيرة ومبتلى بها</w:t>
            </w:r>
            <w:r>
              <w:rPr>
                <w:rStyle w:val="IndexLink"/>
                <w:rtl w:val="true"/>
              </w:rPr>
              <w:tab/>
            </w:r>
            <w:r>
              <w:rPr>
                <w:rStyle w:val="IndexLink"/>
              </w:rPr>
              <w:t>166</w:t>
            </w:r>
          </w:hyperlink>
        </w:p>
        <w:p>
          <w:pPr>
            <w:pStyle w:val="Contents4"/>
            <w:tabs>
              <w:tab w:val="clear" w:pos="8176"/>
              <w:tab w:val="right" w:pos="9026" w:leader="dot"/>
            </w:tabs>
            <w:rPr/>
          </w:pPr>
          <w:hyperlink w:anchor="__RefHeading___Toc3959385_1051229030">
            <w:r>
              <w:rPr>
                <w:webHidden/>
                <w:rStyle w:val="IndexLink"/>
                <w:rtl w:val="true"/>
              </w:rPr>
              <w:t xml:space="preserve">الغاية </w:t>
            </w:r>
            <w:r>
              <w:rPr>
                <w:rStyle w:val="IndexLink"/>
                <w:rtl w:val="true"/>
              </w:rPr>
              <w:t>(</w:t>
            </w:r>
            <w:r>
              <w:rPr>
                <w:rStyle w:val="IndexLink"/>
                <w:rtl w:val="true"/>
              </w:rPr>
              <w:t>الحجة</w:t>
            </w:r>
            <w:r>
              <w:rPr>
                <w:rStyle w:val="IndexLink"/>
                <w:rtl w:val="true"/>
              </w:rPr>
              <w:t xml:space="preserve">) </w:t>
            </w:r>
            <w:r>
              <w:rPr>
                <w:rStyle w:val="IndexLink"/>
                <w:rtl w:val="true"/>
              </w:rPr>
              <w:t xml:space="preserve">أو </w:t>
            </w:r>
            <w:r>
              <w:rPr>
                <w:rStyle w:val="IndexLink"/>
                <w:rtl w:val="true"/>
              </w:rPr>
              <w:t>(</w:t>
            </w:r>
            <w:r>
              <w:rPr>
                <w:rStyle w:val="IndexLink"/>
                <w:rtl w:val="true"/>
              </w:rPr>
              <w:t>المؤمن</w:t>
            </w:r>
            <w:r>
              <w:rPr>
                <w:rStyle w:val="IndexLink"/>
                <w:rtl w:val="true"/>
              </w:rPr>
              <w:t>)</w:t>
            </w:r>
            <w:r>
              <w:rPr>
                <w:rStyle w:val="IndexLink"/>
                <w:rtl w:val="true"/>
              </w:rPr>
              <w:t>؟</w:t>
            </w:r>
            <w:r>
              <w:rPr>
                <w:rStyle w:val="IndexLink"/>
                <w:rtl w:val="true"/>
              </w:rPr>
              <w:tab/>
            </w:r>
            <w:r>
              <w:rPr>
                <w:rStyle w:val="IndexLink"/>
              </w:rPr>
              <w:t>167</w:t>
            </w:r>
          </w:hyperlink>
        </w:p>
        <w:p>
          <w:pPr>
            <w:pStyle w:val="Contents3"/>
            <w:tabs>
              <w:tab w:val="clear" w:pos="8459"/>
              <w:tab w:val="right" w:pos="9026" w:leader="dot"/>
            </w:tabs>
            <w:rPr/>
          </w:pPr>
          <w:hyperlink w:anchor="__RefHeading___Toc3959387_1051229030">
            <w:r>
              <w:rPr>
                <w:webHidden/>
                <w:rStyle w:val="IndexLink"/>
                <w:rtl w:val="true"/>
              </w:rPr>
              <w:t>خامساً</w:t>
            </w:r>
            <w:r>
              <w:rPr>
                <w:rStyle w:val="IndexLink"/>
                <w:rtl w:val="true"/>
              </w:rPr>
              <w:t xml:space="preserve">: </w:t>
            </w:r>
            <w:r>
              <w:rPr>
                <w:rStyle w:val="IndexLink"/>
                <w:rtl w:val="true"/>
              </w:rPr>
              <w:t>تعريف علم الأصول</w:t>
            </w:r>
            <w:r>
              <w:rPr>
                <w:rStyle w:val="IndexLink"/>
                <w:rtl w:val="true"/>
              </w:rPr>
              <w:tab/>
            </w:r>
            <w:r>
              <w:rPr>
                <w:rStyle w:val="IndexLink"/>
              </w:rPr>
              <w:t>169</w:t>
            </w:r>
          </w:hyperlink>
        </w:p>
        <w:p>
          <w:pPr>
            <w:pStyle w:val="Contents4"/>
            <w:tabs>
              <w:tab w:val="clear" w:pos="8176"/>
              <w:tab w:val="right" w:pos="9026" w:leader="dot"/>
            </w:tabs>
            <w:rPr/>
          </w:pPr>
          <w:hyperlink w:anchor="__RefHeading___Toc3959389_105122903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3959391_1051229030">
            <w:r>
              <w:rPr>
                <w:webHidden/>
                <w:rStyle w:val="IndexLink"/>
                <w:rtl w:val="true"/>
              </w:rPr>
              <w:t xml:space="preserve">صدق </w:t>
            </w:r>
            <w:r>
              <w:rPr>
                <w:rStyle w:val="IndexLink"/>
                <w:rtl w:val="true"/>
              </w:rPr>
              <w:t>(</w:t>
            </w:r>
            <w:r>
              <w:rPr>
                <w:rStyle w:val="IndexLink"/>
                <w:rtl w:val="true"/>
              </w:rPr>
              <w:t>الحكم</w:t>
            </w:r>
            <w:r>
              <w:rPr>
                <w:rStyle w:val="IndexLink"/>
                <w:rtl w:val="true"/>
              </w:rPr>
              <w:t xml:space="preserve">) </w:t>
            </w:r>
            <w:r>
              <w:rPr>
                <w:rStyle w:val="IndexLink"/>
                <w:rtl w:val="true"/>
              </w:rPr>
              <w:t>لغة وعرفاً على الإرشادي</w:t>
            </w:r>
            <w:r>
              <w:rPr>
                <w:rStyle w:val="IndexLink"/>
                <w:rtl w:val="true"/>
              </w:rPr>
              <w:tab/>
            </w:r>
            <w:r>
              <w:rPr>
                <w:rStyle w:val="IndexLink"/>
              </w:rPr>
              <w:t>170</w:t>
            </w:r>
          </w:hyperlink>
        </w:p>
        <w:p>
          <w:pPr>
            <w:pStyle w:val="Contents4"/>
            <w:tabs>
              <w:tab w:val="clear" w:pos="8176"/>
              <w:tab w:val="right" w:pos="9026" w:leader="dot"/>
            </w:tabs>
            <w:rPr/>
          </w:pPr>
          <w:hyperlink w:anchor="__RefHeading___Toc3959393_1051229030">
            <w:r>
              <w:rPr>
                <w:webHidden/>
                <w:rStyle w:val="IndexLink"/>
                <w:rtl w:val="true"/>
              </w:rPr>
              <w:t>كافة البحوث الأصولية جارية في الأحكام الإرشادية</w:t>
            </w:r>
            <w:r>
              <w:rPr>
                <w:rStyle w:val="IndexLink"/>
                <w:rtl w:val="true"/>
              </w:rPr>
              <w:tab/>
            </w:r>
            <w:r>
              <w:rPr>
                <w:rStyle w:val="IndexLink"/>
              </w:rPr>
              <w:t>172</w:t>
            </w:r>
          </w:hyperlink>
        </w:p>
        <w:p>
          <w:pPr>
            <w:pStyle w:val="Contents4"/>
            <w:tabs>
              <w:tab w:val="clear" w:pos="8176"/>
              <w:tab w:val="right" w:pos="9026" w:leader="dot"/>
            </w:tabs>
            <w:rPr/>
          </w:pPr>
          <w:hyperlink w:anchor="__RefHeading___Toc3959395_1051229030">
            <w:r>
              <w:rPr>
                <w:webHidden/>
                <w:rStyle w:val="IndexLink"/>
                <w:rtl w:val="true"/>
              </w:rPr>
              <w:t>مباحث الأصول</w:t>
            </w:r>
            <w:r>
              <w:rPr>
                <w:rStyle w:val="IndexLink"/>
                <w:rtl w:val="true"/>
              </w:rPr>
              <w:t xml:space="preserve">: </w:t>
            </w:r>
            <w:r>
              <w:rPr>
                <w:rStyle w:val="IndexLink"/>
                <w:rtl w:val="true"/>
              </w:rPr>
              <w:t>خمسة أقسام</w:t>
            </w:r>
            <w:r>
              <w:rPr>
                <w:rStyle w:val="IndexLink"/>
                <w:rtl w:val="true"/>
              </w:rPr>
              <w:tab/>
            </w:r>
            <w:r>
              <w:rPr>
                <w:rStyle w:val="IndexLink"/>
              </w:rPr>
              <w:t>172</w:t>
            </w:r>
          </w:hyperlink>
        </w:p>
        <w:p>
          <w:pPr>
            <w:pStyle w:val="Contents4"/>
            <w:tabs>
              <w:tab w:val="clear" w:pos="8176"/>
              <w:tab w:val="right" w:pos="9026" w:leader="dot"/>
            </w:tabs>
            <w:rPr/>
          </w:pPr>
          <w:hyperlink w:anchor="__RefHeading___Toc3959397_1051229030">
            <w:r>
              <w:rPr>
                <w:webHidden/>
                <w:rStyle w:val="IndexLink"/>
                <w:rtl w:val="true"/>
              </w:rPr>
              <w:t>الإرشادية والمولوية، دواعي أو معاني أو</w:t>
            </w:r>
            <w:r>
              <w:rPr>
                <w:rStyle w:val="IndexLink"/>
                <w:rtl w:val="true"/>
              </w:rPr>
              <w:t>..</w:t>
            </w:r>
            <w:r>
              <w:rPr>
                <w:rStyle w:val="IndexLink"/>
                <w:rtl w:val="true"/>
              </w:rPr>
              <w:t>؟</w:t>
            </w:r>
            <w:r>
              <w:rPr>
                <w:rStyle w:val="IndexLink"/>
                <w:rtl w:val="true"/>
              </w:rPr>
              <w:tab/>
            </w:r>
            <w:r>
              <w:rPr>
                <w:rStyle w:val="IndexLink"/>
              </w:rPr>
              <w:t>174</w:t>
            </w:r>
          </w:hyperlink>
        </w:p>
        <w:p>
          <w:pPr>
            <w:pStyle w:val="Contents4"/>
            <w:tabs>
              <w:tab w:val="clear" w:pos="8176"/>
              <w:tab w:val="right" w:pos="9026" w:leader="dot"/>
            </w:tabs>
            <w:rPr/>
          </w:pPr>
          <w:hyperlink w:anchor="__RefHeading___Toc3959399_1051229030">
            <w:r>
              <w:rPr>
                <w:webHidden/>
                <w:rStyle w:val="IndexLink"/>
                <w:rtl w:val="true"/>
              </w:rPr>
              <w:t>جريان الأقسام الخمسة في الأوامر الإرشادية</w:t>
            </w:r>
            <w:r>
              <w:rPr>
                <w:rStyle w:val="IndexLink"/>
                <w:rtl w:val="true"/>
              </w:rPr>
              <w:tab/>
            </w:r>
            <w:r>
              <w:rPr>
                <w:rStyle w:val="IndexLink"/>
              </w:rPr>
              <w:t>175</w:t>
            </w:r>
          </w:hyperlink>
        </w:p>
        <w:p>
          <w:pPr>
            <w:pStyle w:val="Contents4"/>
            <w:tabs>
              <w:tab w:val="clear" w:pos="8176"/>
              <w:tab w:val="right" w:pos="9026" w:leader="dot"/>
            </w:tabs>
            <w:rPr/>
          </w:pPr>
          <w:hyperlink w:anchor="__RefHeading___Toc3959401_1051229030">
            <w:r>
              <w:rPr>
                <w:webHidden/>
                <w:rStyle w:val="IndexLink"/>
                <w:rtl w:val="true"/>
              </w:rPr>
              <w:t>وتوضيح الجريان</w:t>
            </w:r>
            <w:r>
              <w:rPr>
                <w:rStyle w:val="IndexLink"/>
                <w:rtl w:val="true"/>
              </w:rPr>
              <w:t>:</w:t>
              <w:tab/>
            </w:r>
            <w:r>
              <w:rPr>
                <w:rStyle w:val="IndexLink"/>
              </w:rPr>
              <w:t>175</w:t>
            </w:r>
          </w:hyperlink>
        </w:p>
        <w:p>
          <w:pPr>
            <w:pStyle w:val="Contents5"/>
            <w:tabs>
              <w:tab w:val="clear" w:pos="7892"/>
              <w:tab w:val="right" w:pos="9026" w:leader="dot"/>
            </w:tabs>
            <w:rPr/>
          </w:pPr>
          <w:hyperlink w:anchor="__RefHeading___Toc3959403_105122903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959405_1051229030">
            <w:r>
              <w:rPr>
                <w:webHidden/>
                <w:rStyle w:val="IndexLink"/>
              </w:rPr>
              <w:t>1</w:t>
            </w:r>
            <w:r>
              <w:rPr>
                <w:rStyle w:val="IndexLink"/>
                <w:rtl w:val="true"/>
              </w:rPr>
              <w:t xml:space="preserve">- </w:t>
            </w:r>
            <w:r>
              <w:rPr>
                <w:rStyle w:val="IndexLink"/>
                <w:rtl w:val="true"/>
              </w:rPr>
              <w:t>جريان مباحث الألفاظ</w:t>
            </w:r>
            <w:r>
              <w:rPr>
                <w:rStyle w:val="IndexLink"/>
                <w:rtl w:val="true"/>
              </w:rPr>
              <w:tab/>
            </w:r>
            <w:r>
              <w:rPr>
                <w:rStyle w:val="IndexLink"/>
              </w:rPr>
              <w:t>175</w:t>
            </w:r>
          </w:hyperlink>
        </w:p>
        <w:p>
          <w:pPr>
            <w:pStyle w:val="Contents5"/>
            <w:tabs>
              <w:tab w:val="clear" w:pos="7892"/>
              <w:tab w:val="right" w:pos="9026" w:leader="dot"/>
            </w:tabs>
            <w:rPr/>
          </w:pPr>
          <w:hyperlink w:anchor="__RefHeading___Toc3959407_1051229030">
            <w:r>
              <w:rPr>
                <w:webHidden/>
                <w:rStyle w:val="IndexLink"/>
              </w:rPr>
              <w:t>2</w:t>
            </w:r>
            <w:r>
              <w:rPr>
                <w:rStyle w:val="IndexLink"/>
                <w:rtl w:val="true"/>
              </w:rPr>
              <w:t xml:space="preserve">- </w:t>
            </w:r>
            <w:r>
              <w:rPr>
                <w:rStyle w:val="IndexLink"/>
                <w:rtl w:val="true"/>
              </w:rPr>
              <w:t>جريان مباحث الحجج اللفظية</w:t>
            </w:r>
            <w:r>
              <w:rPr>
                <w:rStyle w:val="IndexLink"/>
                <w:rtl w:val="true"/>
              </w:rPr>
              <w:tab/>
            </w:r>
            <w:r>
              <w:rPr>
                <w:rStyle w:val="IndexLink"/>
              </w:rPr>
              <w:t>176</w:t>
            </w:r>
          </w:hyperlink>
        </w:p>
        <w:p>
          <w:pPr>
            <w:pStyle w:val="Contents5"/>
            <w:tabs>
              <w:tab w:val="clear" w:pos="7892"/>
              <w:tab w:val="right" w:pos="9026" w:leader="dot"/>
            </w:tabs>
            <w:rPr/>
          </w:pPr>
          <w:hyperlink w:anchor="__RefHeading___Toc3959409_1051229030">
            <w:r>
              <w:rPr>
                <w:webHidden/>
                <w:rStyle w:val="IndexLink"/>
              </w:rPr>
              <w:t>3</w:t>
            </w:r>
            <w:r>
              <w:rPr>
                <w:rStyle w:val="IndexLink"/>
                <w:rtl w:val="true"/>
              </w:rPr>
              <w:t xml:space="preserve">- </w:t>
            </w:r>
            <w:r>
              <w:rPr>
                <w:rStyle w:val="IndexLink"/>
                <w:rtl w:val="true"/>
              </w:rPr>
              <w:t>جريان مباحث الاستلزامات</w:t>
            </w:r>
            <w:r>
              <w:rPr>
                <w:rStyle w:val="IndexLink"/>
                <w:rtl w:val="true"/>
              </w:rPr>
              <w:tab/>
            </w:r>
            <w:r>
              <w:rPr>
                <w:rStyle w:val="IndexLink"/>
              </w:rPr>
              <w:t>178</w:t>
            </w:r>
          </w:hyperlink>
        </w:p>
        <w:p>
          <w:pPr>
            <w:pStyle w:val="Contents5"/>
            <w:tabs>
              <w:tab w:val="clear" w:pos="7892"/>
              <w:tab w:val="right" w:pos="9026" w:leader="dot"/>
            </w:tabs>
            <w:rPr/>
          </w:pPr>
          <w:hyperlink w:anchor="__RefHeading___Toc3959411_1051229030">
            <w:r>
              <w:rPr>
                <w:webHidden/>
                <w:rStyle w:val="IndexLink"/>
              </w:rPr>
              <w:t>4</w:t>
            </w:r>
            <w:r>
              <w:rPr>
                <w:rStyle w:val="IndexLink"/>
                <w:rtl w:val="true"/>
              </w:rPr>
              <w:t xml:space="preserve">- </w:t>
            </w:r>
            <w:r>
              <w:rPr>
                <w:rStyle w:val="IndexLink"/>
                <w:rtl w:val="true"/>
              </w:rPr>
              <w:t>جريان مباحث الأصول الشرعية</w:t>
            </w:r>
            <w:r>
              <w:rPr>
                <w:rStyle w:val="IndexLink"/>
                <w:rtl w:val="true"/>
              </w:rPr>
              <w:tab/>
            </w:r>
            <w:r>
              <w:rPr>
                <w:rStyle w:val="IndexLink"/>
              </w:rPr>
              <w:t>179</w:t>
            </w:r>
          </w:hyperlink>
        </w:p>
        <w:p>
          <w:pPr>
            <w:pStyle w:val="Contents5"/>
            <w:tabs>
              <w:tab w:val="clear" w:pos="7892"/>
              <w:tab w:val="right" w:pos="9026" w:leader="dot"/>
            </w:tabs>
            <w:rPr/>
          </w:pPr>
          <w:hyperlink w:anchor="__RefHeading___Toc3959413_1051229030">
            <w:r>
              <w:rPr>
                <w:webHidden/>
                <w:rStyle w:val="IndexLink"/>
              </w:rPr>
              <w:t>5</w:t>
            </w:r>
            <w:r>
              <w:rPr>
                <w:rStyle w:val="IndexLink"/>
                <w:rtl w:val="true"/>
              </w:rPr>
              <w:t xml:space="preserve">- </w:t>
            </w:r>
            <w:r>
              <w:rPr>
                <w:rStyle w:val="IndexLink"/>
                <w:rtl w:val="true"/>
              </w:rPr>
              <w:t>جريان مباحث الأصول العقلية</w:t>
            </w:r>
            <w:r>
              <w:rPr>
                <w:rStyle w:val="IndexLink"/>
                <w:rtl w:val="true"/>
              </w:rPr>
              <w:tab/>
            </w:r>
            <w:r>
              <w:rPr>
                <w:rStyle w:val="IndexLink"/>
              </w:rPr>
              <w:t>181</w:t>
            </w:r>
          </w:hyperlink>
        </w:p>
        <w:p>
          <w:pPr>
            <w:pStyle w:val="Contents4"/>
            <w:tabs>
              <w:tab w:val="clear" w:pos="8176"/>
              <w:tab w:val="right" w:pos="9026" w:leader="dot"/>
            </w:tabs>
            <w:rPr/>
          </w:pPr>
          <w:hyperlink w:anchor="__RefHeading___Toc3959415_1051229030">
            <w:r>
              <w:rPr>
                <w:webHidden/>
                <w:rStyle w:val="IndexLink"/>
                <w:rtl w:val="true"/>
              </w:rPr>
              <w:t>تلخيص فيه تحصيل وتفصيل</w:t>
            </w:r>
            <w:r>
              <w:rPr>
                <w:rStyle w:val="IndexLink"/>
                <w:rtl w:val="true"/>
              </w:rPr>
              <w:tab/>
            </w:r>
            <w:r>
              <w:rPr>
                <w:rStyle w:val="IndexLink"/>
              </w:rPr>
              <w:t>182</w:t>
            </w:r>
          </w:hyperlink>
        </w:p>
        <w:p>
          <w:pPr>
            <w:pStyle w:val="Contents4"/>
            <w:tabs>
              <w:tab w:val="clear" w:pos="8176"/>
              <w:tab w:val="right" w:pos="9026" w:leader="dot"/>
            </w:tabs>
            <w:rPr/>
          </w:pPr>
          <w:hyperlink w:anchor="__RefHeading___Toc3959417_1051229030">
            <w:r>
              <w:rPr>
                <w:webHidden/>
                <w:rStyle w:val="IndexLink"/>
                <w:rtl w:val="true"/>
              </w:rPr>
              <w:t>والحاصل</w:t>
            </w:r>
            <w:r>
              <w:rPr>
                <w:rStyle w:val="IndexLink"/>
                <w:rtl w:val="true"/>
              </w:rPr>
              <w:t>:</w:t>
              <w:tab/>
            </w:r>
            <w:r>
              <w:rPr>
                <w:rStyle w:val="IndexLink"/>
              </w:rPr>
              <w:t>182</w:t>
            </w:r>
          </w:hyperlink>
        </w:p>
        <w:p>
          <w:pPr>
            <w:pStyle w:val="Contents4"/>
            <w:tabs>
              <w:tab w:val="clear" w:pos="8176"/>
              <w:tab w:val="right" w:pos="9026" w:leader="dot"/>
            </w:tabs>
            <w:rPr/>
          </w:pPr>
          <w:hyperlink w:anchor="__RefHeading___Toc3959419_1051229030">
            <w:r>
              <w:rPr>
                <w:webHidden/>
                <w:rStyle w:val="IndexLink"/>
                <w:rtl w:val="true"/>
              </w:rPr>
              <w:t>على القول باندراج الأحكام الإرشادية في الفقه</w:t>
            </w:r>
            <w:r>
              <w:rPr>
                <w:rStyle w:val="IndexLink"/>
                <w:rtl w:val="true"/>
              </w:rPr>
              <w:tab/>
            </w:r>
            <w:r>
              <w:rPr>
                <w:rStyle w:val="IndexLink"/>
              </w:rPr>
              <w:t>182</w:t>
            </w:r>
          </w:hyperlink>
        </w:p>
        <w:p>
          <w:pPr>
            <w:pStyle w:val="Contents4"/>
            <w:tabs>
              <w:tab w:val="clear" w:pos="8176"/>
              <w:tab w:val="right" w:pos="9026" w:leader="dot"/>
            </w:tabs>
            <w:rPr/>
          </w:pPr>
          <w:hyperlink w:anchor="__RefHeading___Toc3959421_1051229030">
            <w:r>
              <w:rPr>
                <w:webHidden/>
                <w:rStyle w:val="IndexLink"/>
                <w:rtl w:val="true"/>
              </w:rPr>
              <w:t>على القوم بعدم اندراجها في الفقه</w:t>
            </w:r>
            <w:r>
              <w:rPr>
                <w:rStyle w:val="IndexLink"/>
                <w:rtl w:val="true"/>
              </w:rPr>
              <w:tab/>
            </w:r>
            <w:r>
              <w:rPr>
                <w:rStyle w:val="IndexLink"/>
              </w:rPr>
              <w:t>183</w:t>
            </w:r>
          </w:hyperlink>
        </w:p>
        <w:p>
          <w:pPr>
            <w:pStyle w:val="Contents2"/>
            <w:tabs>
              <w:tab w:val="clear" w:pos="8743"/>
              <w:tab w:val="right" w:pos="9026" w:leader="dot"/>
            </w:tabs>
            <w:rPr/>
          </w:pPr>
          <w:hyperlink w:anchor="__RefHeading___Toc3959423_1051229030">
            <w:r>
              <w:rPr>
                <w:webHidden/>
                <w:rStyle w:val="IndexLink"/>
                <w:rtl w:val="true"/>
              </w:rPr>
              <w:t>المبحث الخامس</w:t>
            </w:r>
            <w:r>
              <w:rPr>
                <w:rStyle w:val="IndexLink"/>
                <w:rtl w:val="true"/>
              </w:rPr>
              <w:t xml:space="preserve">: </w:t>
            </w:r>
            <w:r>
              <w:rPr>
                <w:rStyle w:val="IndexLink"/>
                <w:rtl w:val="true"/>
              </w:rPr>
              <w:t xml:space="preserve">من موارد الابتلاء في </w:t>
            </w:r>
            <w:r>
              <w:rPr>
                <w:rStyle w:val="IndexLink"/>
                <w:rtl w:val="true"/>
              </w:rPr>
              <w:t>(</w:t>
            </w:r>
            <w:r>
              <w:rPr>
                <w:rStyle w:val="IndexLink"/>
                <w:rtl w:val="true"/>
              </w:rPr>
              <w:t>أصول الدين</w:t>
            </w:r>
            <w:r>
              <w:rPr>
                <w:rStyle w:val="IndexLink"/>
                <w:rtl w:val="true"/>
              </w:rPr>
              <w:t xml:space="preserve">) </w:t>
            </w:r>
            <w:r>
              <w:rPr>
                <w:rStyle w:val="IndexLink"/>
                <w:rtl w:val="true"/>
              </w:rPr>
              <w:t>و</w:t>
            </w:r>
            <w:r>
              <w:rPr>
                <w:rStyle w:val="IndexLink"/>
                <w:rtl w:val="true"/>
              </w:rPr>
              <w:t>(</w:t>
            </w:r>
            <w:r>
              <w:rPr>
                <w:rStyle w:val="IndexLink"/>
                <w:rtl w:val="true"/>
              </w:rPr>
              <w:t>أصول الفقه</w:t>
            </w:r>
            <w:r>
              <w:rPr>
                <w:rStyle w:val="IndexLink"/>
                <w:rtl w:val="true"/>
              </w:rPr>
              <w:t xml:space="preserve">) </w:t>
            </w:r>
            <w:r>
              <w:rPr>
                <w:rStyle w:val="IndexLink"/>
                <w:rtl w:val="true"/>
              </w:rPr>
              <w:t>و</w:t>
            </w:r>
            <w:r>
              <w:rPr>
                <w:rStyle w:val="IndexLink"/>
                <w:rtl w:val="true"/>
              </w:rPr>
              <w:t>(</w:t>
            </w:r>
            <w:r>
              <w:rPr>
                <w:rStyle w:val="IndexLink"/>
                <w:rtl w:val="true"/>
              </w:rPr>
              <w:t>القواعد الفقهية</w:t>
            </w:r>
            <w:r>
              <w:rPr>
                <w:rStyle w:val="IndexLink"/>
                <w:rtl w:val="true"/>
              </w:rPr>
              <w:t xml:space="preserve">) </w:t>
            </w:r>
            <w:r>
              <w:rPr>
                <w:rStyle w:val="IndexLink"/>
                <w:rtl w:val="true"/>
              </w:rPr>
              <w:t>و</w:t>
            </w:r>
            <w:r>
              <w:rPr>
                <w:rStyle w:val="IndexLink"/>
                <w:rtl w:val="true"/>
              </w:rPr>
              <w:t>(</w:t>
            </w:r>
            <w:r>
              <w:rPr>
                <w:rStyle w:val="IndexLink"/>
                <w:rtl w:val="true"/>
              </w:rPr>
              <w:t>الفقه</w:t>
            </w:r>
            <w:r>
              <w:rPr>
                <w:rStyle w:val="IndexLink"/>
                <w:rtl w:val="true"/>
              </w:rPr>
              <w:t>)</w:t>
              <w:tab/>
            </w:r>
            <w:r>
              <w:rPr>
                <w:rStyle w:val="IndexLink"/>
              </w:rPr>
              <w:t>187</w:t>
            </w:r>
          </w:hyperlink>
        </w:p>
        <w:p>
          <w:pPr>
            <w:pStyle w:val="Contents3"/>
            <w:tabs>
              <w:tab w:val="clear" w:pos="8459"/>
              <w:tab w:val="right" w:pos="9026" w:leader="dot"/>
            </w:tabs>
            <w:rPr/>
          </w:pPr>
          <w:hyperlink w:anchor="__RefHeading___Toc3959425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959427_1051229030">
            <w:r>
              <w:rPr>
                <w:webHidden/>
                <w:rStyle w:val="IndexLink"/>
                <w:rtl w:val="true"/>
              </w:rPr>
              <w:t>من موارد الابتلاء في أصول الدين</w:t>
            </w:r>
            <w:r>
              <w:rPr>
                <w:rStyle w:val="IndexLink"/>
                <w:rtl w:val="true"/>
              </w:rPr>
              <w:tab/>
            </w:r>
            <w:r>
              <w:rPr>
                <w:rStyle w:val="IndexLink"/>
              </w:rPr>
              <w:t>189</w:t>
            </w:r>
          </w:hyperlink>
        </w:p>
        <w:p>
          <w:pPr>
            <w:pStyle w:val="Contents3"/>
            <w:tabs>
              <w:tab w:val="clear" w:pos="8459"/>
              <w:tab w:val="right" w:pos="9026" w:leader="dot"/>
            </w:tabs>
            <w:rPr/>
          </w:pPr>
          <w:hyperlink w:anchor="__RefHeading___Toc3959429_1051229030">
            <w:r>
              <w:rPr>
                <w:webHidden/>
                <w:rStyle w:val="IndexLink"/>
                <w:rtl w:val="true"/>
              </w:rPr>
              <w:t xml:space="preserve">من موارد الابتلاء في </w:t>
            </w:r>
            <w:r>
              <w:rPr>
                <w:rStyle w:val="IndexLink"/>
                <w:rtl w:val="true"/>
              </w:rPr>
              <w:t>(</w:t>
            </w:r>
            <w:r>
              <w:rPr>
                <w:rStyle w:val="IndexLink"/>
                <w:rtl w:val="true"/>
              </w:rPr>
              <w:t>أصول الفقه</w:t>
            </w:r>
            <w:r>
              <w:rPr>
                <w:rStyle w:val="IndexLink"/>
                <w:rtl w:val="true"/>
              </w:rPr>
              <w:t>)</w:t>
              <w:tab/>
            </w:r>
            <w:r>
              <w:rPr>
                <w:rStyle w:val="IndexLink"/>
              </w:rPr>
              <w:t>190</w:t>
            </w:r>
          </w:hyperlink>
        </w:p>
        <w:p>
          <w:pPr>
            <w:pStyle w:val="Contents4"/>
            <w:tabs>
              <w:tab w:val="clear" w:pos="8176"/>
              <w:tab w:val="right" w:pos="9026" w:leader="dot"/>
            </w:tabs>
            <w:rPr/>
          </w:pPr>
          <w:hyperlink w:anchor="__RefHeading___Toc3959431_1051229030">
            <w:r>
              <w:rPr>
                <w:webHidden/>
                <w:rStyle w:val="IndexLink"/>
              </w:rPr>
              <w:t>1</w:t>
            </w:r>
            <w:r>
              <w:rPr>
                <w:rStyle w:val="IndexLink"/>
                <w:rtl w:val="true"/>
              </w:rPr>
              <w:t xml:space="preserve">- </w:t>
            </w:r>
            <w:r>
              <w:rPr>
                <w:rStyle w:val="IndexLink"/>
                <w:rtl w:val="true"/>
              </w:rPr>
              <w:t>البراءة العقلية</w:t>
            </w:r>
            <w:r>
              <w:rPr>
                <w:rStyle w:val="IndexLink"/>
                <w:rtl w:val="true"/>
              </w:rPr>
              <w:tab/>
            </w:r>
            <w:r>
              <w:rPr>
                <w:rStyle w:val="IndexLink"/>
              </w:rPr>
              <w:t>190</w:t>
            </w:r>
          </w:hyperlink>
        </w:p>
        <w:p>
          <w:pPr>
            <w:pStyle w:val="Contents5"/>
            <w:tabs>
              <w:tab w:val="clear" w:pos="7892"/>
              <w:tab w:val="right" w:pos="9026" w:leader="dot"/>
            </w:tabs>
            <w:rPr/>
          </w:pPr>
          <w:hyperlink w:anchor="__RefHeading___Toc3959433_105122903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959435_1051229030">
            <w:r>
              <w:rPr>
                <w:webHidden/>
                <w:rStyle w:val="IndexLink"/>
                <w:rtl w:val="true"/>
              </w:rPr>
              <w:t>التحقيق</w:t>
            </w:r>
            <w:r>
              <w:rPr>
                <w:rStyle w:val="IndexLink"/>
                <w:rtl w:val="true"/>
              </w:rPr>
              <w:t xml:space="preserve">: </w:t>
            </w:r>
            <w:r>
              <w:rPr>
                <w:rStyle w:val="IndexLink"/>
                <w:rtl w:val="true"/>
              </w:rPr>
              <w:t xml:space="preserve">الفرق بين الأقوال في معنى </w:t>
            </w:r>
            <w:r>
              <w:rPr>
                <w:rStyle w:val="IndexLink"/>
                <w:rtl w:val="true"/>
              </w:rPr>
              <w:t>(</w:t>
            </w:r>
            <w:r>
              <w:rPr>
                <w:rStyle w:val="IndexLink"/>
                <w:rtl w:val="true"/>
              </w:rPr>
              <w:t>الرفع</w:t>
            </w:r>
            <w:r>
              <w:rPr>
                <w:rStyle w:val="IndexLink"/>
                <w:rtl w:val="true"/>
              </w:rPr>
              <w:t>)</w:t>
              <w:tab/>
            </w:r>
            <w:r>
              <w:rPr>
                <w:rStyle w:val="IndexLink"/>
              </w:rPr>
              <w:t>191</w:t>
            </w:r>
          </w:hyperlink>
        </w:p>
        <w:p>
          <w:pPr>
            <w:pStyle w:val="Contents5"/>
            <w:tabs>
              <w:tab w:val="clear" w:pos="7892"/>
              <w:tab w:val="right" w:pos="9026" w:leader="dot"/>
            </w:tabs>
            <w:rPr/>
          </w:pPr>
          <w:hyperlink w:anchor="__RefHeading___Toc3959437_1051229030">
            <w:r>
              <w:rPr>
                <w:webHidden/>
                <w:rStyle w:val="IndexLink"/>
                <w:rtl w:val="true"/>
              </w:rPr>
              <w:t>وتحقيق ذلك</w:t>
            </w:r>
            <w:r>
              <w:rPr>
                <w:rStyle w:val="IndexLink"/>
                <w:rtl w:val="true"/>
              </w:rPr>
              <w:t>:</w:t>
              <w:tab/>
            </w:r>
            <w:r>
              <w:rPr>
                <w:rStyle w:val="IndexLink"/>
              </w:rPr>
              <w:t>191</w:t>
            </w:r>
          </w:hyperlink>
        </w:p>
        <w:p>
          <w:pPr>
            <w:pStyle w:val="Contents5"/>
            <w:tabs>
              <w:tab w:val="clear" w:pos="7892"/>
              <w:tab w:val="right" w:pos="9026" w:leader="dot"/>
            </w:tabs>
            <w:rPr/>
          </w:pPr>
          <w:hyperlink w:anchor="__RefHeading___Toc3959439_1051229030">
            <w:r>
              <w:rPr>
                <w:webHidden/>
                <w:rStyle w:val="IndexLink"/>
                <w:rtl w:val="true"/>
              </w:rPr>
              <w:t>المراد بالموصول في حديث الرفع</w:t>
            </w:r>
            <w:r>
              <w:rPr>
                <w:rStyle w:val="IndexLink"/>
                <w:rtl w:val="true"/>
              </w:rPr>
              <w:tab/>
            </w:r>
            <w:r>
              <w:rPr>
                <w:rStyle w:val="IndexLink"/>
              </w:rPr>
              <w:t>192</w:t>
            </w:r>
          </w:hyperlink>
        </w:p>
        <w:p>
          <w:pPr>
            <w:pStyle w:val="Contents5"/>
            <w:tabs>
              <w:tab w:val="clear" w:pos="7892"/>
              <w:tab w:val="right" w:pos="9026" w:leader="dot"/>
            </w:tabs>
            <w:rPr/>
          </w:pPr>
          <w:hyperlink w:anchor="__RefHeading___Toc3959441_1051229030">
            <w:r>
              <w:rPr>
                <w:webHidden/>
                <w:rStyle w:val="IndexLink"/>
                <w:rtl w:val="true"/>
              </w:rPr>
              <w:t>هل يشمل حديث الرفع، الدفعَ؟</w:t>
            </w:r>
            <w:r>
              <w:rPr>
                <w:rStyle w:val="IndexLink"/>
                <w:rtl w:val="true"/>
              </w:rPr>
              <w:tab/>
            </w:r>
            <w:r>
              <w:rPr>
                <w:rStyle w:val="IndexLink"/>
              </w:rPr>
              <w:t>193</w:t>
            </w:r>
          </w:hyperlink>
        </w:p>
        <w:p>
          <w:pPr>
            <w:pStyle w:val="Contents5"/>
            <w:tabs>
              <w:tab w:val="clear" w:pos="7892"/>
              <w:tab w:val="right" w:pos="9026" w:leader="dot"/>
            </w:tabs>
            <w:rPr/>
          </w:pPr>
          <w:hyperlink w:anchor="__RefHeading___Toc3959443_1051229030">
            <w:r>
              <w:rPr>
                <w:webHidden/>
                <w:rStyle w:val="IndexLink"/>
                <w:rtl w:val="true"/>
              </w:rPr>
              <w:t>اختلاف الحال في الأحكام التكليفية والوضعية</w:t>
            </w:r>
            <w:r>
              <w:rPr>
                <w:rStyle w:val="IndexLink"/>
                <w:rtl w:val="true"/>
              </w:rPr>
              <w:tab/>
            </w:r>
            <w:r>
              <w:rPr>
                <w:rStyle w:val="IndexLink"/>
              </w:rPr>
              <w:t>195</w:t>
            </w:r>
          </w:hyperlink>
        </w:p>
        <w:p>
          <w:pPr>
            <w:pStyle w:val="Contents5"/>
            <w:tabs>
              <w:tab w:val="clear" w:pos="7892"/>
              <w:tab w:val="right" w:pos="9026" w:leader="dot"/>
            </w:tabs>
            <w:rPr/>
          </w:pPr>
          <w:hyperlink w:anchor="__RefHeading___Toc3959445_1051229030">
            <w:r>
              <w:rPr>
                <w:webHidden/>
                <w:rStyle w:val="IndexLink"/>
                <w:rtl w:val="true"/>
              </w:rPr>
              <w:t>البراءة العقلية في التكاليف الإلزامية وغيرها</w:t>
            </w:r>
            <w:r>
              <w:rPr>
                <w:rStyle w:val="IndexLink"/>
                <w:rtl w:val="true"/>
              </w:rPr>
              <w:tab/>
            </w:r>
            <w:r>
              <w:rPr>
                <w:rStyle w:val="IndexLink"/>
              </w:rPr>
              <w:t>196</w:t>
            </w:r>
          </w:hyperlink>
        </w:p>
        <w:p>
          <w:pPr>
            <w:pStyle w:val="Contents5"/>
            <w:tabs>
              <w:tab w:val="clear" w:pos="7892"/>
              <w:tab w:val="right" w:pos="9026" w:leader="dot"/>
            </w:tabs>
            <w:rPr/>
          </w:pPr>
          <w:hyperlink w:anchor="__RefHeading___Toc3959447_1051229030">
            <w:r>
              <w:rPr>
                <w:webHidden/>
                <w:rStyle w:val="IndexLink"/>
                <w:rtl w:val="true"/>
              </w:rPr>
              <w:t>التفصيل بين الأقسام الثلاثة للحكم الوضعي</w:t>
            </w:r>
            <w:r>
              <w:rPr>
                <w:rStyle w:val="IndexLink"/>
                <w:rtl w:val="true"/>
              </w:rPr>
              <w:tab/>
            </w:r>
            <w:r>
              <w:rPr>
                <w:rStyle w:val="IndexLink"/>
              </w:rPr>
              <w:t>197</w:t>
            </w:r>
          </w:hyperlink>
        </w:p>
        <w:p>
          <w:pPr>
            <w:pStyle w:val="Contents4"/>
            <w:tabs>
              <w:tab w:val="clear" w:pos="8176"/>
              <w:tab w:val="right" w:pos="9026" w:leader="dot"/>
            </w:tabs>
            <w:rPr/>
          </w:pPr>
          <w:hyperlink w:anchor="__RefHeading___Toc3959449_1051229030">
            <w:r>
              <w:rPr>
                <w:webHidden/>
                <w:rStyle w:val="IndexLink"/>
              </w:rPr>
              <w:t>2</w:t>
            </w:r>
            <w:r>
              <w:rPr>
                <w:rStyle w:val="IndexLink"/>
                <w:rtl w:val="true"/>
              </w:rPr>
              <w:t>- (</w:t>
            </w:r>
            <w:r>
              <w:rPr>
                <w:rStyle w:val="IndexLink"/>
                <w:rtl w:val="true"/>
              </w:rPr>
              <w:t>التخيير</w:t>
            </w:r>
            <w:r>
              <w:rPr>
                <w:rStyle w:val="IndexLink"/>
                <w:rtl w:val="true"/>
              </w:rPr>
              <w:t>)</w:t>
              <w:tab/>
            </w:r>
            <w:r>
              <w:rPr>
                <w:rStyle w:val="IndexLink"/>
              </w:rPr>
              <w:t>199</w:t>
            </w:r>
          </w:hyperlink>
        </w:p>
        <w:p>
          <w:pPr>
            <w:pStyle w:val="Contents5"/>
            <w:tabs>
              <w:tab w:val="clear" w:pos="7892"/>
              <w:tab w:val="right" w:pos="9026" w:leader="dot"/>
            </w:tabs>
            <w:rPr/>
          </w:pPr>
          <w:hyperlink w:anchor="__RefHeading___Toc3959451_1051229030">
            <w:r>
              <w:rPr>
                <w:webHidden/>
                <w:rStyle w:val="IndexLink"/>
                <w:rtl w:val="true"/>
              </w:rPr>
              <w:t>الأقسام الثلاثة للتخيير</w:t>
            </w:r>
            <w:r>
              <w:rPr>
                <w:rStyle w:val="IndexLink"/>
                <w:rtl w:val="true"/>
              </w:rPr>
              <w:tab/>
            </w:r>
            <w:r>
              <w:rPr>
                <w:rStyle w:val="IndexLink"/>
              </w:rPr>
              <w:t>199</w:t>
            </w:r>
          </w:hyperlink>
        </w:p>
        <w:p>
          <w:pPr>
            <w:pStyle w:val="Contents5"/>
            <w:tabs>
              <w:tab w:val="clear" w:pos="7892"/>
              <w:tab w:val="right" w:pos="9026" w:leader="dot"/>
            </w:tabs>
            <w:rPr/>
          </w:pPr>
          <w:hyperlink w:anchor="__RefHeading___Toc3959453_1051229030">
            <w:r>
              <w:rPr>
                <w:webHidden/>
                <w:rStyle w:val="IndexLink"/>
                <w:rtl w:val="true"/>
              </w:rPr>
              <w:t>الدوران في التوصليات والتعبديات</w:t>
            </w:r>
            <w:r>
              <w:rPr>
                <w:rStyle w:val="IndexLink"/>
                <w:rtl w:val="true"/>
              </w:rPr>
              <w:tab/>
            </w:r>
            <w:r>
              <w:rPr>
                <w:rStyle w:val="IndexLink"/>
              </w:rPr>
              <w:t>200</w:t>
            </w:r>
          </w:hyperlink>
        </w:p>
        <w:p>
          <w:pPr>
            <w:pStyle w:val="Contents5"/>
            <w:tabs>
              <w:tab w:val="clear" w:pos="7892"/>
              <w:tab w:val="right" w:pos="9026" w:leader="dot"/>
            </w:tabs>
            <w:rPr/>
          </w:pPr>
          <w:hyperlink w:anchor="__RefHeading___Toc3959455_1051229030">
            <w:r>
              <w:rPr>
                <w:webHidden/>
                <w:rStyle w:val="IndexLink"/>
                <w:rtl w:val="true"/>
              </w:rPr>
              <w:t>من الثمرات</w:t>
            </w:r>
            <w:r>
              <w:rPr>
                <w:rStyle w:val="IndexLink"/>
                <w:rtl w:val="true"/>
              </w:rPr>
              <w:tab/>
            </w:r>
            <w:r>
              <w:rPr>
                <w:rStyle w:val="IndexLink"/>
              </w:rPr>
              <w:t>202</w:t>
            </w:r>
          </w:hyperlink>
        </w:p>
        <w:p>
          <w:pPr>
            <w:pStyle w:val="Contents4"/>
            <w:tabs>
              <w:tab w:val="clear" w:pos="8176"/>
              <w:tab w:val="right" w:pos="9026" w:leader="dot"/>
            </w:tabs>
            <w:rPr/>
          </w:pPr>
          <w:hyperlink w:anchor="__RefHeading___Toc3959457_1051229030">
            <w:r>
              <w:rPr>
                <w:webHidden/>
                <w:rStyle w:val="IndexLink"/>
              </w:rPr>
              <w:t>3</w:t>
            </w:r>
            <w:r>
              <w:rPr>
                <w:rStyle w:val="IndexLink"/>
                <w:rtl w:val="true"/>
              </w:rPr>
              <w:t>- (</w:t>
            </w:r>
            <w:r>
              <w:rPr>
                <w:rStyle w:val="IndexLink"/>
                <w:rtl w:val="true"/>
              </w:rPr>
              <w:t>الاحتياط</w:t>
            </w:r>
            <w:r>
              <w:rPr>
                <w:rStyle w:val="IndexLink"/>
                <w:rtl w:val="true"/>
              </w:rPr>
              <w:t>)</w:t>
              <w:tab/>
            </w:r>
            <w:r>
              <w:rPr>
                <w:rStyle w:val="IndexLink"/>
              </w:rPr>
              <w:t>202</w:t>
            </w:r>
          </w:hyperlink>
        </w:p>
        <w:p>
          <w:pPr>
            <w:pStyle w:val="Contents5"/>
            <w:tabs>
              <w:tab w:val="clear" w:pos="7892"/>
              <w:tab w:val="right" w:pos="9026" w:leader="dot"/>
            </w:tabs>
            <w:rPr/>
          </w:pPr>
          <w:hyperlink w:anchor="__RefHeading___Toc3959459_105122903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959461_1051229030">
            <w:r>
              <w:rPr>
                <w:webHidden/>
                <w:rStyle w:val="IndexLink"/>
                <w:rtl w:val="true"/>
              </w:rPr>
              <w:t>قبح الاحتياط بالجملة، وحسنه في الجملة</w:t>
            </w:r>
            <w:r>
              <w:rPr>
                <w:rStyle w:val="IndexLink"/>
                <w:rtl w:val="true"/>
              </w:rPr>
              <w:tab/>
            </w:r>
            <w:r>
              <w:rPr>
                <w:rStyle w:val="IndexLink"/>
              </w:rPr>
              <w:t>203</w:t>
            </w:r>
          </w:hyperlink>
        </w:p>
        <w:p>
          <w:pPr>
            <w:pStyle w:val="Contents5"/>
            <w:tabs>
              <w:tab w:val="clear" w:pos="7892"/>
              <w:tab w:val="right" w:pos="9026" w:leader="dot"/>
            </w:tabs>
            <w:rPr/>
          </w:pPr>
          <w:hyperlink w:anchor="__RefHeading___Toc3959463_1051229030">
            <w:r>
              <w:rPr>
                <w:webHidden/>
                <w:rStyle w:val="IndexLink"/>
                <w:rtl w:val="true"/>
              </w:rPr>
              <w:t>الاحتياط العلمي والاحتياط العرفي</w:t>
            </w:r>
            <w:r>
              <w:rPr>
                <w:rStyle w:val="IndexLink"/>
                <w:rtl w:val="true"/>
              </w:rPr>
              <w:tab/>
            </w:r>
            <w:r>
              <w:rPr>
                <w:rStyle w:val="IndexLink"/>
              </w:rPr>
              <w:t>204</w:t>
            </w:r>
          </w:hyperlink>
        </w:p>
        <w:p>
          <w:pPr>
            <w:pStyle w:val="Contents5"/>
            <w:tabs>
              <w:tab w:val="clear" w:pos="7892"/>
              <w:tab w:val="right" w:pos="9026" w:leader="dot"/>
            </w:tabs>
            <w:rPr/>
          </w:pPr>
          <w:hyperlink w:anchor="__RefHeading___Toc3959465_1051229030">
            <w:r>
              <w:rPr>
                <w:webHidden/>
                <w:rStyle w:val="IndexLink"/>
                <w:rtl w:val="true"/>
              </w:rPr>
              <w:t>الاحتياط في المتباينين والارتباطيين والاستقلاليين</w:t>
            </w:r>
            <w:r>
              <w:rPr>
                <w:rStyle w:val="IndexLink"/>
                <w:rtl w:val="true"/>
              </w:rPr>
              <w:tab/>
            </w:r>
            <w:r>
              <w:rPr>
                <w:rStyle w:val="IndexLink"/>
              </w:rPr>
              <w:t>205</w:t>
            </w:r>
          </w:hyperlink>
        </w:p>
        <w:p>
          <w:pPr>
            <w:pStyle w:val="Contents5"/>
            <w:tabs>
              <w:tab w:val="clear" w:pos="7892"/>
              <w:tab w:val="right" w:pos="9026" w:leader="dot"/>
            </w:tabs>
            <w:rPr/>
          </w:pPr>
          <w:hyperlink w:anchor="__RefHeading___Toc3959467_1051229030">
            <w:r>
              <w:rPr>
                <w:webHidden/>
                <w:rStyle w:val="IndexLink"/>
                <w:rtl w:val="true"/>
              </w:rPr>
              <w:t>جريان البحث في التدريجية وغير المحصورة و</w:t>
            </w:r>
            <w:r>
              <w:rPr>
                <w:rStyle w:val="IndexLink"/>
                <w:rtl w:val="true"/>
              </w:rPr>
              <w:t>...</w:t>
              <w:tab/>
            </w:r>
            <w:r>
              <w:rPr>
                <w:rStyle w:val="IndexLink"/>
              </w:rPr>
              <w:t>207</w:t>
            </w:r>
          </w:hyperlink>
        </w:p>
        <w:p>
          <w:pPr>
            <w:pStyle w:val="Contents5"/>
            <w:tabs>
              <w:tab w:val="clear" w:pos="7892"/>
              <w:tab w:val="right" w:pos="9026" w:leader="dot"/>
            </w:tabs>
            <w:rPr/>
          </w:pPr>
          <w:hyperlink w:anchor="__RefHeading___Toc3959469_1051229030">
            <w:r>
              <w:rPr>
                <w:webHidden/>
                <w:rStyle w:val="IndexLink"/>
                <w:rtl w:val="true"/>
              </w:rPr>
              <w:t>وفي الأجزاء الخارجية والتحليلية</w:t>
            </w:r>
            <w:r>
              <w:rPr>
                <w:rStyle w:val="IndexLink"/>
                <w:rtl w:val="true"/>
              </w:rPr>
              <w:tab/>
            </w:r>
            <w:r>
              <w:rPr>
                <w:rStyle w:val="IndexLink"/>
              </w:rPr>
              <w:t>207</w:t>
            </w:r>
          </w:hyperlink>
        </w:p>
        <w:p>
          <w:pPr>
            <w:pStyle w:val="Contents4"/>
            <w:tabs>
              <w:tab w:val="clear" w:pos="8176"/>
              <w:tab w:val="right" w:pos="9026" w:leader="dot"/>
            </w:tabs>
            <w:rPr/>
          </w:pPr>
          <w:hyperlink w:anchor="__RefHeading___Toc3959471_1051229030">
            <w:r>
              <w:rPr>
                <w:webHidden/>
                <w:rStyle w:val="IndexLink"/>
              </w:rPr>
              <w:t>4</w:t>
            </w:r>
            <w:r>
              <w:rPr>
                <w:rStyle w:val="IndexLink"/>
                <w:rtl w:val="true"/>
              </w:rPr>
              <w:t>- (</w:t>
            </w:r>
            <w:r>
              <w:rPr>
                <w:rStyle w:val="IndexLink"/>
                <w:rtl w:val="true"/>
              </w:rPr>
              <w:t>الاستصحاب</w:t>
            </w:r>
            <w:r>
              <w:rPr>
                <w:rStyle w:val="IndexLink"/>
                <w:rtl w:val="true"/>
              </w:rPr>
              <w:t>)</w:t>
              <w:tab/>
            </w:r>
            <w:r>
              <w:rPr>
                <w:rStyle w:val="IndexLink"/>
              </w:rPr>
              <w:t>209</w:t>
            </w:r>
          </w:hyperlink>
        </w:p>
        <w:p>
          <w:pPr>
            <w:pStyle w:val="Contents4"/>
            <w:tabs>
              <w:tab w:val="clear" w:pos="8176"/>
              <w:tab w:val="right" w:pos="9026" w:leader="dot"/>
            </w:tabs>
            <w:rPr/>
          </w:pPr>
          <w:hyperlink w:anchor="__RefHeading___Toc3959473_1051229030">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 xml:space="preserve">مباحث </w:t>
            </w:r>
            <w:r>
              <w:rPr>
                <w:rStyle w:val="IndexLink"/>
                <w:rtl w:val="true"/>
              </w:rPr>
              <w:t>(</w:t>
            </w:r>
            <w:r>
              <w:rPr>
                <w:rStyle w:val="IndexLink"/>
                <w:rtl w:val="true"/>
              </w:rPr>
              <w:t>الاستلزامات</w:t>
            </w:r>
            <w:r>
              <w:rPr>
                <w:rStyle w:val="IndexLink"/>
                <w:rtl w:val="true"/>
              </w:rPr>
              <w:t>)</w:t>
              <w:tab/>
            </w:r>
            <w:r>
              <w:rPr>
                <w:rStyle w:val="IndexLink"/>
              </w:rPr>
              <w:t>210</w:t>
            </w:r>
          </w:hyperlink>
        </w:p>
        <w:p>
          <w:pPr>
            <w:pStyle w:val="Contents5"/>
            <w:tabs>
              <w:tab w:val="clear" w:pos="7892"/>
              <w:tab w:val="right" w:pos="9026" w:leader="dot"/>
            </w:tabs>
            <w:rPr/>
          </w:pPr>
          <w:hyperlink w:anchor="__RefHeading___Toc3959475_105122903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959477_1051229030">
            <w:r>
              <w:rPr>
                <w:webHidden/>
                <w:rStyle w:val="IndexLink"/>
              </w:rPr>
              <w:t>5</w:t>
            </w:r>
            <w:r>
              <w:rPr>
                <w:rStyle w:val="IndexLink"/>
                <w:rtl w:val="true"/>
              </w:rPr>
              <w:t xml:space="preserve">- </w:t>
            </w:r>
            <w:r>
              <w:rPr>
                <w:rStyle w:val="IndexLink"/>
                <w:rtl w:val="true"/>
              </w:rPr>
              <w:t>هل الأمر بالمقدمة مولوي أو إرشادي؟</w:t>
            </w:r>
            <w:r>
              <w:rPr>
                <w:rStyle w:val="IndexLink"/>
                <w:rtl w:val="true"/>
              </w:rPr>
              <w:tab/>
            </w:r>
            <w:r>
              <w:rPr>
                <w:rStyle w:val="IndexLink"/>
              </w:rPr>
              <w:t>210</w:t>
            </w:r>
          </w:hyperlink>
        </w:p>
        <w:p>
          <w:pPr>
            <w:pStyle w:val="Contents6"/>
            <w:tabs>
              <w:tab w:val="clear" w:pos="7609"/>
              <w:tab w:val="right" w:pos="9026" w:leader="dot"/>
            </w:tabs>
            <w:rPr/>
          </w:pPr>
          <w:hyperlink w:anchor="__RefHeading___Toc3959479_105122903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959481_1051229030">
            <w:r>
              <w:rPr>
                <w:webHidden/>
                <w:rStyle w:val="IndexLink"/>
                <w:rtl w:val="true"/>
              </w:rPr>
              <w:t>رأي الآخوند فيما لو أمر الشارع بالمقدمات</w:t>
            </w:r>
            <w:r>
              <w:rPr>
                <w:rStyle w:val="IndexLink"/>
                <w:rtl w:val="true"/>
              </w:rPr>
              <w:tab/>
            </w:r>
            <w:r>
              <w:rPr>
                <w:rStyle w:val="IndexLink"/>
              </w:rPr>
              <w:t>211</w:t>
            </w:r>
          </w:hyperlink>
        </w:p>
        <w:p>
          <w:pPr>
            <w:pStyle w:val="Contents6"/>
            <w:tabs>
              <w:tab w:val="clear" w:pos="7609"/>
              <w:tab w:val="right" w:pos="9026" w:leader="dot"/>
            </w:tabs>
            <w:rPr/>
          </w:pPr>
          <w:hyperlink w:anchor="__RefHeading___Toc3959483_1051229030">
            <w:r>
              <w:rPr>
                <w:webHidden/>
                <w:rStyle w:val="IndexLink"/>
                <w:rtl w:val="true"/>
              </w:rPr>
              <w:t>المصباح</w:t>
            </w:r>
            <w:r>
              <w:rPr>
                <w:rStyle w:val="IndexLink"/>
                <w:rtl w:val="true"/>
              </w:rPr>
              <w:t xml:space="preserve">: </w:t>
            </w:r>
            <w:r>
              <w:rPr>
                <w:rStyle w:val="IndexLink"/>
                <w:rtl w:val="true"/>
              </w:rPr>
              <w:t>هي أوامر إرشادية</w:t>
            </w:r>
            <w:r>
              <w:rPr>
                <w:rStyle w:val="IndexLink"/>
                <w:rtl w:val="true"/>
              </w:rPr>
              <w:tab/>
            </w:r>
            <w:r>
              <w:rPr>
                <w:rStyle w:val="IndexLink"/>
              </w:rPr>
              <w:t>211</w:t>
            </w:r>
          </w:hyperlink>
        </w:p>
        <w:p>
          <w:pPr>
            <w:pStyle w:val="Contents6"/>
            <w:tabs>
              <w:tab w:val="clear" w:pos="7609"/>
              <w:tab w:val="right" w:pos="9026" w:leader="dot"/>
            </w:tabs>
            <w:rPr/>
          </w:pPr>
          <w:hyperlink w:anchor="__RefHeading___Toc3959485_1051229030">
            <w:r>
              <w:rPr>
                <w:webHidden/>
                <w:rStyle w:val="IndexLink"/>
                <w:rtl w:val="true"/>
              </w:rPr>
              <w:t>الظاهر صحة رأي الآخوند</w:t>
            </w:r>
            <w:r>
              <w:rPr>
                <w:rStyle w:val="IndexLink"/>
                <w:rtl w:val="true"/>
              </w:rPr>
              <w:tab/>
            </w:r>
            <w:r>
              <w:rPr>
                <w:rStyle w:val="IndexLink"/>
              </w:rPr>
              <w:t>212</w:t>
            </w:r>
          </w:hyperlink>
        </w:p>
        <w:p>
          <w:pPr>
            <w:pStyle w:val="Contents6"/>
            <w:tabs>
              <w:tab w:val="clear" w:pos="7609"/>
              <w:tab w:val="right" w:pos="9026" w:leader="dot"/>
            </w:tabs>
            <w:rPr/>
          </w:pPr>
          <w:hyperlink w:anchor="__RefHeading___Toc3959487_1051229030">
            <w:r>
              <w:rPr>
                <w:webHidden/>
                <w:rStyle w:val="IndexLink"/>
                <w:rtl w:val="true"/>
              </w:rPr>
              <w:t>الأوامر في المعاملات وغيرها ليست ظاهرة في الإرشادية</w:t>
            </w:r>
            <w:r>
              <w:rPr>
                <w:rStyle w:val="IndexLink"/>
                <w:rtl w:val="true"/>
              </w:rPr>
              <w:tab/>
            </w:r>
            <w:r>
              <w:rPr>
                <w:rStyle w:val="IndexLink"/>
              </w:rPr>
              <w:t>213</w:t>
            </w:r>
          </w:hyperlink>
        </w:p>
        <w:p>
          <w:pPr>
            <w:pStyle w:val="Contents6"/>
            <w:tabs>
              <w:tab w:val="clear" w:pos="7609"/>
              <w:tab w:val="right" w:pos="9026" w:leader="dot"/>
            </w:tabs>
            <w:rPr/>
          </w:pPr>
          <w:hyperlink w:anchor="__RefHeading___Toc3959489_1051229030">
            <w:r>
              <w:rPr>
                <w:webHidden/>
                <w:rStyle w:val="IndexLink"/>
                <w:rtl w:val="true"/>
              </w:rPr>
              <w:t>أقسام مقدمة الحرام</w:t>
            </w:r>
            <w:r>
              <w:rPr>
                <w:rStyle w:val="IndexLink"/>
                <w:rtl w:val="true"/>
              </w:rPr>
              <w:tab/>
            </w:r>
            <w:r>
              <w:rPr>
                <w:rStyle w:val="IndexLink"/>
              </w:rPr>
              <w:t>214</w:t>
            </w:r>
          </w:hyperlink>
        </w:p>
        <w:p>
          <w:pPr>
            <w:pStyle w:val="Contents5"/>
            <w:tabs>
              <w:tab w:val="clear" w:pos="7892"/>
              <w:tab w:val="right" w:pos="9026" w:leader="dot"/>
            </w:tabs>
            <w:rPr/>
          </w:pPr>
          <w:hyperlink w:anchor="__RefHeading___Toc3959491_1051229030">
            <w:r>
              <w:rPr>
                <w:webHidden/>
                <w:rStyle w:val="IndexLink"/>
              </w:rPr>
              <w:t>6</w:t>
            </w:r>
            <w:r>
              <w:rPr>
                <w:rStyle w:val="IndexLink"/>
                <w:rtl w:val="true"/>
              </w:rPr>
              <w:t xml:space="preserve">- </w:t>
            </w:r>
            <w:r>
              <w:rPr>
                <w:rStyle w:val="IndexLink"/>
                <w:rtl w:val="true"/>
              </w:rPr>
              <w:t xml:space="preserve">هل النهي عن </w:t>
            </w:r>
            <w:r>
              <w:rPr>
                <w:rStyle w:val="IndexLink"/>
                <w:rtl w:val="true"/>
              </w:rPr>
              <w:t>(</w:t>
            </w:r>
            <w:r>
              <w:rPr>
                <w:rStyle w:val="IndexLink"/>
                <w:rtl w:val="true"/>
              </w:rPr>
              <w:t>الضد</w:t>
            </w:r>
            <w:r>
              <w:rPr>
                <w:rStyle w:val="IndexLink"/>
                <w:rtl w:val="true"/>
              </w:rPr>
              <w:t xml:space="preserve">) </w:t>
            </w:r>
            <w:r>
              <w:rPr>
                <w:rStyle w:val="IndexLink"/>
                <w:rtl w:val="true"/>
              </w:rPr>
              <w:t>مولوي أو إرشادي؟</w:t>
            </w:r>
            <w:r>
              <w:rPr>
                <w:rStyle w:val="IndexLink"/>
                <w:rtl w:val="true"/>
              </w:rPr>
              <w:tab/>
            </w:r>
            <w:r>
              <w:rPr>
                <w:rStyle w:val="IndexLink"/>
              </w:rPr>
              <w:t>216</w:t>
            </w:r>
          </w:hyperlink>
        </w:p>
        <w:p>
          <w:pPr>
            <w:pStyle w:val="Contents6"/>
            <w:tabs>
              <w:tab w:val="clear" w:pos="7609"/>
              <w:tab w:val="right" w:pos="9026" w:leader="dot"/>
            </w:tabs>
            <w:rPr/>
          </w:pPr>
          <w:hyperlink w:anchor="__RefHeading___Toc3959493_105122903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959495_1051229030">
            <w:r>
              <w:rPr>
                <w:webHidden/>
                <w:rStyle w:val="IndexLink"/>
                <w:rtl w:val="true"/>
              </w:rPr>
              <w:t>المباني الثلاثة في معنى الاقتضاء</w:t>
            </w:r>
            <w:r>
              <w:rPr>
                <w:rStyle w:val="IndexLink"/>
                <w:rtl w:val="true"/>
              </w:rPr>
              <w:tab/>
            </w:r>
            <w:r>
              <w:rPr>
                <w:rStyle w:val="IndexLink"/>
              </w:rPr>
              <w:t>216</w:t>
            </w:r>
          </w:hyperlink>
        </w:p>
        <w:p>
          <w:pPr>
            <w:pStyle w:val="Contents5"/>
            <w:tabs>
              <w:tab w:val="clear" w:pos="7892"/>
              <w:tab w:val="right" w:pos="9026" w:leader="dot"/>
            </w:tabs>
            <w:rPr/>
          </w:pPr>
          <w:hyperlink w:anchor="__RefHeading___Toc3959497_1051229030">
            <w:r>
              <w:rPr>
                <w:webHidden/>
                <w:rStyle w:val="IndexLink"/>
              </w:rPr>
              <w:t>7</w:t>
            </w:r>
            <w:r>
              <w:rPr>
                <w:rStyle w:val="IndexLink"/>
                <w:rtl w:val="true"/>
              </w:rPr>
              <w:t xml:space="preserve">- </w:t>
            </w:r>
            <w:r>
              <w:rPr>
                <w:rStyle w:val="IndexLink"/>
                <w:rtl w:val="true"/>
              </w:rPr>
              <w:t xml:space="preserve">وحسن أو وجوب </w:t>
            </w:r>
            <w:r>
              <w:rPr>
                <w:rStyle w:val="IndexLink"/>
                <w:rtl w:val="true"/>
              </w:rPr>
              <w:t>(</w:t>
            </w:r>
            <w:r>
              <w:rPr>
                <w:rStyle w:val="IndexLink"/>
                <w:rtl w:val="true"/>
              </w:rPr>
              <w:t>رفع التكليف لدى العجز</w:t>
            </w:r>
            <w:r>
              <w:rPr>
                <w:rStyle w:val="IndexLink"/>
                <w:rtl w:val="true"/>
              </w:rPr>
              <w:t>)</w:t>
            </w:r>
            <w:r>
              <w:rPr>
                <w:rStyle w:val="IndexLink"/>
                <w:rtl w:val="true"/>
              </w:rPr>
              <w:t>، والمراد بالرفع هنا الأعم من الرفع والدفع</w:t>
            </w:r>
            <w:r>
              <w:rPr>
                <w:rStyle w:val="IndexLink"/>
                <w:rtl w:val="true"/>
              </w:rPr>
              <w:t>.</w:t>
              <w:tab/>
            </w:r>
            <w:r>
              <w:rPr>
                <w:rStyle w:val="IndexLink"/>
              </w:rPr>
              <w:t>219</w:t>
            </w:r>
          </w:hyperlink>
        </w:p>
        <w:p>
          <w:pPr>
            <w:pStyle w:val="Contents5"/>
            <w:tabs>
              <w:tab w:val="clear" w:pos="7892"/>
              <w:tab w:val="right" w:pos="9026" w:leader="dot"/>
            </w:tabs>
            <w:rPr/>
          </w:pPr>
          <w:hyperlink w:anchor="__RefHeading___Toc3959499_1051229030">
            <w:r>
              <w:rPr>
                <w:webHidden/>
                <w:rStyle w:val="IndexLink"/>
              </w:rPr>
              <w:t>8</w:t>
            </w:r>
            <w:r>
              <w:rPr>
                <w:rStyle w:val="IndexLink"/>
                <w:rtl w:val="true"/>
              </w:rPr>
              <w:t xml:space="preserve">- </w:t>
            </w:r>
            <w:r>
              <w:rPr>
                <w:rStyle w:val="IndexLink"/>
                <w:rtl w:val="true"/>
              </w:rPr>
              <w:t xml:space="preserve">وحسن ووجوب </w:t>
            </w:r>
            <w:r>
              <w:rPr>
                <w:rStyle w:val="IndexLink"/>
                <w:rtl w:val="true"/>
              </w:rPr>
              <w:t>(</w:t>
            </w:r>
            <w:r>
              <w:rPr>
                <w:rStyle w:val="IndexLink"/>
                <w:rtl w:val="true"/>
              </w:rPr>
              <w:t>رفع التكليف بالإكراه</w:t>
            </w:r>
            <w:r>
              <w:rPr>
                <w:rStyle w:val="IndexLink"/>
                <w:rtl w:val="true"/>
              </w:rPr>
              <w:t>).</w:t>
              <w:tab/>
            </w:r>
            <w:r>
              <w:rPr>
                <w:rStyle w:val="IndexLink"/>
              </w:rPr>
              <w:t>219</w:t>
            </w:r>
          </w:hyperlink>
        </w:p>
        <w:p>
          <w:pPr>
            <w:pStyle w:val="Contents5"/>
            <w:tabs>
              <w:tab w:val="clear" w:pos="7892"/>
              <w:tab w:val="right" w:pos="9026" w:leader="dot"/>
            </w:tabs>
            <w:rPr/>
          </w:pPr>
          <w:hyperlink w:anchor="__RefHeading___Toc3959501_1051229030">
            <w:r>
              <w:rPr>
                <w:webHidden/>
                <w:rStyle w:val="IndexLink"/>
              </w:rPr>
              <w:t>9</w:t>
            </w:r>
            <w:r>
              <w:rPr>
                <w:rStyle w:val="IndexLink"/>
                <w:rtl w:val="true"/>
              </w:rPr>
              <w:t xml:space="preserve">- </w:t>
            </w:r>
            <w:r>
              <w:rPr>
                <w:rStyle w:val="IndexLink"/>
                <w:rtl w:val="true"/>
              </w:rPr>
              <w:t>وحجية مطلق الظن الانسدادي على الحكومة</w:t>
            </w:r>
            <w:r>
              <w:rPr>
                <w:rStyle w:val="IndexLink"/>
                <w:rtl w:val="true"/>
              </w:rPr>
              <w:tab/>
            </w:r>
            <w:r>
              <w:rPr>
                <w:rStyle w:val="IndexLink"/>
              </w:rPr>
              <w:t>219</w:t>
            </w:r>
          </w:hyperlink>
        </w:p>
        <w:p>
          <w:pPr>
            <w:pStyle w:val="Contents5"/>
            <w:tabs>
              <w:tab w:val="clear" w:pos="7892"/>
              <w:tab w:val="right" w:pos="9026" w:leader="dot"/>
            </w:tabs>
            <w:rPr/>
          </w:pPr>
          <w:hyperlink w:anchor="__RefHeading___Toc3959503_1051229030">
            <w:r>
              <w:rPr>
                <w:webHidden/>
                <w:rStyle w:val="IndexLink"/>
              </w:rPr>
              <w:t>10</w:t>
            </w:r>
            <w:r>
              <w:rPr>
                <w:rStyle w:val="IndexLink"/>
                <w:rtl w:val="true"/>
              </w:rPr>
              <w:t xml:space="preserve">- </w:t>
            </w:r>
            <w:r>
              <w:rPr>
                <w:rStyle w:val="IndexLink"/>
                <w:rtl w:val="true"/>
              </w:rPr>
              <w:t>عدم حجية الظن على الانفتاح</w:t>
            </w:r>
            <w:r>
              <w:rPr>
                <w:rStyle w:val="IndexLink"/>
                <w:rtl w:val="true"/>
              </w:rPr>
              <w:tab/>
            </w:r>
            <w:r>
              <w:rPr>
                <w:rStyle w:val="IndexLink"/>
              </w:rPr>
              <w:t>222</w:t>
            </w:r>
          </w:hyperlink>
        </w:p>
        <w:p>
          <w:pPr>
            <w:pStyle w:val="Contents3"/>
            <w:tabs>
              <w:tab w:val="clear" w:pos="8459"/>
              <w:tab w:val="right" w:pos="9026" w:leader="dot"/>
            </w:tabs>
            <w:rPr/>
          </w:pPr>
          <w:hyperlink w:anchor="__RefHeading___Toc3959505_1051229030">
            <w:r>
              <w:rPr>
                <w:webHidden/>
                <w:rStyle w:val="IndexLink"/>
                <w:rtl w:val="true"/>
              </w:rPr>
              <w:t xml:space="preserve">ومن موارد الإبتلاء في </w:t>
            </w:r>
            <w:r>
              <w:rPr>
                <w:rStyle w:val="IndexLink"/>
                <w:rtl w:val="true"/>
              </w:rPr>
              <w:t>(</w:t>
            </w:r>
            <w:r>
              <w:rPr>
                <w:rStyle w:val="IndexLink"/>
                <w:rtl w:val="true"/>
              </w:rPr>
              <w:t>القواعد الفقهية</w:t>
            </w:r>
            <w:r>
              <w:rPr>
                <w:rStyle w:val="IndexLink"/>
                <w:rtl w:val="true"/>
              </w:rPr>
              <w:t>)</w:t>
              <w:tab/>
            </w:r>
            <w:r>
              <w:rPr>
                <w:rStyle w:val="IndexLink"/>
              </w:rPr>
              <w:t>223</w:t>
            </w:r>
          </w:hyperlink>
        </w:p>
        <w:p>
          <w:pPr>
            <w:pStyle w:val="Contents3"/>
            <w:tabs>
              <w:tab w:val="clear" w:pos="8459"/>
              <w:tab w:val="right" w:pos="9026" w:leader="dot"/>
            </w:tabs>
            <w:rPr/>
          </w:pPr>
          <w:hyperlink w:anchor="__RefHeading___Toc3959507_1051229030">
            <w:r>
              <w:rPr>
                <w:webHidden/>
                <w:rStyle w:val="IndexLink"/>
                <w:rtl w:val="true"/>
              </w:rPr>
              <w:t xml:space="preserve">قاعدة </w:t>
            </w:r>
            <w:r>
              <w:rPr>
                <w:rStyle w:val="IndexLink"/>
                <w:rtl w:val="true"/>
              </w:rPr>
              <w:t>(</w:t>
            </w:r>
            <w:r>
              <w:rPr>
                <w:rStyle w:val="IndexLink"/>
                <w:rtl w:val="true"/>
              </w:rPr>
              <w:t>لا ضرر</w:t>
            </w:r>
            <w:r>
              <w:rPr>
                <w:rStyle w:val="IndexLink"/>
                <w:rtl w:val="true"/>
              </w:rPr>
              <w:t>)</w:t>
              <w:tab/>
            </w:r>
            <w:r>
              <w:rPr>
                <w:rStyle w:val="IndexLink"/>
              </w:rPr>
              <w:t>223</w:t>
            </w:r>
          </w:hyperlink>
        </w:p>
        <w:p>
          <w:pPr>
            <w:pStyle w:val="Contents3"/>
            <w:tabs>
              <w:tab w:val="clear" w:pos="8459"/>
              <w:tab w:val="right" w:pos="9026" w:leader="dot"/>
            </w:tabs>
            <w:rPr/>
          </w:pPr>
          <w:hyperlink w:anchor="__RefHeading___Toc3959509_1051229030">
            <w:r>
              <w:rPr>
                <w:webHidden/>
                <w:rStyle w:val="IndexLink"/>
                <w:rtl w:val="true"/>
              </w:rPr>
              <w:t xml:space="preserve">المباني الخمسة في معنى </w:t>
            </w:r>
            <w:r>
              <w:rPr>
                <w:rStyle w:val="IndexLink"/>
                <w:rtl w:val="true"/>
              </w:rPr>
              <w:t>(</w:t>
            </w:r>
            <w:r>
              <w:rPr>
                <w:rStyle w:val="IndexLink"/>
                <w:rtl w:val="true"/>
              </w:rPr>
              <w:t>لا ضرر</w:t>
            </w:r>
            <w:r>
              <w:rPr>
                <w:rStyle w:val="IndexLink"/>
                <w:rtl w:val="true"/>
              </w:rPr>
              <w:t>)</w:t>
              <w:tab/>
            </w:r>
            <w:r>
              <w:rPr>
                <w:rStyle w:val="IndexLink"/>
              </w:rPr>
              <w:t>224</w:t>
            </w:r>
          </w:hyperlink>
        </w:p>
        <w:p>
          <w:pPr>
            <w:pStyle w:val="Contents4"/>
            <w:tabs>
              <w:tab w:val="clear" w:pos="8176"/>
              <w:tab w:val="right" w:pos="9026" w:leader="dot"/>
            </w:tabs>
            <w:rPr/>
          </w:pPr>
          <w:hyperlink w:anchor="__RefHeading___Toc3959511_105122903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3959513_1051229030">
            <w:r>
              <w:rPr>
                <w:webHidden/>
                <w:rStyle w:val="IndexLink"/>
              </w:rPr>
              <w:t>1</w:t>
            </w:r>
            <w:r>
              <w:rPr>
                <w:rStyle w:val="IndexLink"/>
                <w:rtl w:val="true"/>
              </w:rPr>
              <w:t xml:space="preserve">- </w:t>
            </w:r>
            <w:r>
              <w:rPr>
                <w:rStyle w:val="IndexLink"/>
                <w:rtl w:val="true"/>
              </w:rPr>
              <w:t>منبى الشيخ</w:t>
            </w:r>
            <w:r>
              <w:rPr>
                <w:rStyle w:val="IndexLink"/>
                <w:rtl w:val="true"/>
              </w:rPr>
              <w:t xml:space="preserve">: </w:t>
            </w:r>
            <w:r>
              <w:rPr>
                <w:rStyle w:val="IndexLink"/>
                <w:rtl w:val="true"/>
              </w:rPr>
              <w:t>نفي الحكم الضرري</w:t>
            </w:r>
            <w:r>
              <w:rPr>
                <w:rStyle w:val="IndexLink"/>
                <w:rtl w:val="true"/>
              </w:rPr>
              <w:tab/>
            </w:r>
            <w:r>
              <w:rPr>
                <w:rStyle w:val="IndexLink"/>
              </w:rPr>
              <w:t>224</w:t>
            </w:r>
          </w:hyperlink>
        </w:p>
        <w:p>
          <w:pPr>
            <w:pStyle w:val="Contents4"/>
            <w:tabs>
              <w:tab w:val="clear" w:pos="8176"/>
              <w:tab w:val="right" w:pos="9026" w:leader="dot"/>
            </w:tabs>
            <w:rPr/>
          </w:pPr>
          <w:hyperlink w:anchor="__RefHeading___Toc3959515_1051229030">
            <w:r>
              <w:rPr>
                <w:webHidden/>
                <w:rStyle w:val="IndexLink"/>
              </w:rPr>
              <w:t>2</w:t>
            </w:r>
            <w:r>
              <w:rPr>
                <w:rStyle w:val="IndexLink"/>
                <w:rtl w:val="true"/>
              </w:rPr>
              <w:t xml:space="preserve">- </w:t>
            </w:r>
            <w:r>
              <w:rPr>
                <w:rStyle w:val="IndexLink"/>
                <w:rtl w:val="true"/>
              </w:rPr>
              <w:t>نفي الضرر غير المتدارك</w:t>
            </w:r>
            <w:r>
              <w:rPr>
                <w:rStyle w:val="IndexLink"/>
                <w:rtl w:val="true"/>
              </w:rPr>
              <w:tab/>
            </w:r>
            <w:r>
              <w:rPr>
                <w:rStyle w:val="IndexLink"/>
              </w:rPr>
              <w:t>225</w:t>
            </w:r>
          </w:hyperlink>
        </w:p>
        <w:p>
          <w:pPr>
            <w:pStyle w:val="Contents4"/>
            <w:tabs>
              <w:tab w:val="clear" w:pos="8176"/>
              <w:tab w:val="right" w:pos="9026" w:leader="dot"/>
            </w:tabs>
            <w:rPr/>
          </w:pPr>
          <w:hyperlink w:anchor="__RefHeading___Toc3959517_1051229030">
            <w:r>
              <w:rPr>
                <w:webHidden/>
                <w:rStyle w:val="IndexLink"/>
              </w:rPr>
              <w:t>3</w:t>
            </w:r>
            <w:r>
              <w:rPr>
                <w:rStyle w:val="IndexLink"/>
                <w:rtl w:val="true"/>
              </w:rPr>
              <w:t xml:space="preserve">- </w:t>
            </w:r>
            <w:r>
              <w:rPr>
                <w:rStyle w:val="IndexLink"/>
                <w:rtl w:val="true"/>
              </w:rPr>
              <w:t>مبنى الأصفهاني</w:t>
            </w:r>
            <w:r>
              <w:rPr>
                <w:rStyle w:val="IndexLink"/>
                <w:rtl w:val="true"/>
              </w:rPr>
              <w:t xml:space="preserve">: </w:t>
            </w:r>
            <w:r>
              <w:rPr>
                <w:rStyle w:val="IndexLink"/>
                <w:rtl w:val="true"/>
              </w:rPr>
              <w:t>نفيٌ أريد به النهي</w:t>
            </w:r>
            <w:r>
              <w:rPr>
                <w:rStyle w:val="IndexLink"/>
                <w:rtl w:val="true"/>
              </w:rPr>
              <w:tab/>
            </w:r>
            <w:r>
              <w:rPr>
                <w:rStyle w:val="IndexLink"/>
              </w:rPr>
              <w:t>226</w:t>
            </w:r>
          </w:hyperlink>
        </w:p>
        <w:p>
          <w:pPr>
            <w:pStyle w:val="Contents4"/>
            <w:tabs>
              <w:tab w:val="clear" w:pos="8176"/>
              <w:tab w:val="right" w:pos="9026" w:leader="dot"/>
            </w:tabs>
            <w:rPr/>
          </w:pPr>
          <w:hyperlink w:anchor="__RefHeading___Toc3959519_1051229030">
            <w:r>
              <w:rPr>
                <w:webHidden/>
                <w:rStyle w:val="IndexLink"/>
              </w:rPr>
              <w:t>4</w:t>
            </w:r>
            <w:r>
              <w:rPr>
                <w:rStyle w:val="IndexLink"/>
                <w:rtl w:val="true"/>
              </w:rPr>
              <w:t xml:space="preserve">- </w:t>
            </w:r>
            <w:r>
              <w:rPr>
                <w:rStyle w:val="IndexLink"/>
                <w:rtl w:val="true"/>
              </w:rPr>
              <w:t>مبنى الآخوند</w:t>
            </w:r>
            <w:r>
              <w:rPr>
                <w:rStyle w:val="IndexLink"/>
                <w:rtl w:val="true"/>
              </w:rPr>
              <w:t xml:space="preserve">: </w:t>
            </w:r>
            <w:r>
              <w:rPr>
                <w:rStyle w:val="IndexLink"/>
                <w:rtl w:val="true"/>
              </w:rPr>
              <w:t>نفي الحكم بلسان نفي الموضوع</w:t>
            </w:r>
            <w:r>
              <w:rPr>
                <w:rStyle w:val="IndexLink"/>
                <w:rtl w:val="true"/>
              </w:rPr>
              <w:tab/>
            </w:r>
            <w:r>
              <w:rPr>
                <w:rStyle w:val="IndexLink"/>
              </w:rPr>
              <w:t>227</w:t>
            </w:r>
          </w:hyperlink>
        </w:p>
        <w:p>
          <w:pPr>
            <w:pStyle w:val="Contents4"/>
            <w:tabs>
              <w:tab w:val="clear" w:pos="8176"/>
              <w:tab w:val="right" w:pos="9026" w:leader="dot"/>
            </w:tabs>
            <w:rPr/>
          </w:pPr>
          <w:hyperlink w:anchor="__RefHeading___Toc3959521_1051229030">
            <w:r>
              <w:rPr>
                <w:webHidden/>
                <w:rStyle w:val="IndexLink"/>
              </w:rPr>
              <w:t>5</w:t>
            </w:r>
            <w:r>
              <w:rPr>
                <w:rStyle w:val="IndexLink"/>
                <w:rtl w:val="true"/>
              </w:rPr>
              <w:t xml:space="preserve">- </w:t>
            </w:r>
            <w:r>
              <w:rPr>
                <w:rStyle w:val="IndexLink"/>
                <w:rtl w:val="true"/>
              </w:rPr>
              <w:t>مبنى الوالد</w:t>
            </w:r>
            <w:r>
              <w:rPr>
                <w:rStyle w:val="IndexLink"/>
                <w:rtl w:val="true"/>
              </w:rPr>
              <w:t xml:space="preserve">: </w:t>
            </w:r>
            <w:r>
              <w:rPr>
                <w:rStyle w:val="IndexLink"/>
                <w:rtl w:val="true"/>
              </w:rPr>
              <w:t xml:space="preserve">شمول </w:t>
            </w:r>
            <w:r>
              <w:rPr>
                <w:rStyle w:val="IndexLink"/>
                <w:rtl w:val="true"/>
              </w:rPr>
              <w:t>(</w:t>
            </w:r>
            <w:r>
              <w:rPr>
                <w:rStyle w:val="IndexLink"/>
                <w:rtl w:val="true"/>
              </w:rPr>
              <w:t>لا ضرر</w:t>
            </w:r>
            <w:r>
              <w:rPr>
                <w:rStyle w:val="IndexLink"/>
                <w:rtl w:val="true"/>
              </w:rPr>
              <w:t xml:space="preserve">) </w:t>
            </w:r>
            <w:r>
              <w:rPr>
                <w:rStyle w:val="IndexLink"/>
                <w:rtl w:val="true"/>
              </w:rPr>
              <w:t>لها جميعاً</w:t>
            </w:r>
            <w:r>
              <w:rPr>
                <w:rStyle w:val="IndexLink"/>
                <w:rtl w:val="true"/>
              </w:rPr>
              <w:tab/>
            </w:r>
            <w:r>
              <w:rPr>
                <w:rStyle w:val="IndexLink"/>
              </w:rPr>
              <w:t>228</w:t>
            </w:r>
          </w:hyperlink>
        </w:p>
        <w:p>
          <w:pPr>
            <w:pStyle w:val="Contents3"/>
            <w:tabs>
              <w:tab w:val="clear" w:pos="8459"/>
              <w:tab w:val="right" w:pos="9026" w:leader="dot"/>
            </w:tabs>
            <w:rPr/>
          </w:pPr>
          <w:hyperlink w:anchor="__RefHeading___Toc3959523_1051229030">
            <w:r>
              <w:rPr>
                <w:webHidden/>
                <w:rStyle w:val="IndexLink"/>
                <w:rtl w:val="true"/>
              </w:rPr>
              <w:t xml:space="preserve">قاعدة </w:t>
            </w:r>
            <w:r>
              <w:rPr>
                <w:rStyle w:val="IndexLink"/>
                <w:rtl w:val="true"/>
              </w:rPr>
              <w:t>(</w:t>
            </w:r>
            <w:r>
              <w:rPr>
                <w:rStyle w:val="IndexLink"/>
                <w:rtl w:val="true"/>
              </w:rPr>
              <w:t>اليد</w:t>
            </w:r>
            <w:r>
              <w:rPr>
                <w:rStyle w:val="IndexLink"/>
                <w:rtl w:val="true"/>
              </w:rPr>
              <w:t xml:space="preserve">) </w:t>
            </w:r>
            <w:r>
              <w:rPr>
                <w:rStyle w:val="IndexLink"/>
                <w:rtl w:val="true"/>
              </w:rPr>
              <w:t xml:space="preserve">و </w:t>
            </w:r>
            <w:r>
              <w:rPr>
                <w:rStyle w:val="IndexLink"/>
                <w:rtl w:val="true"/>
              </w:rPr>
              <w:t>(</w:t>
            </w:r>
            <w:r>
              <w:rPr>
                <w:rStyle w:val="IndexLink"/>
                <w:rtl w:val="true"/>
              </w:rPr>
              <w:t>سوق المسلمين</w:t>
            </w:r>
            <w:r>
              <w:rPr>
                <w:rStyle w:val="IndexLink"/>
                <w:rtl w:val="true"/>
              </w:rPr>
              <w:t xml:space="preserve">) </w:t>
            </w:r>
            <w:r>
              <w:rPr>
                <w:rStyle w:val="IndexLink"/>
                <w:rtl w:val="true"/>
              </w:rPr>
              <w:t xml:space="preserve">و </w:t>
            </w:r>
            <w:r>
              <w:rPr>
                <w:rStyle w:val="IndexLink"/>
                <w:rtl w:val="true"/>
              </w:rPr>
              <w:t>(</w:t>
            </w:r>
            <w:r>
              <w:rPr>
                <w:rStyle w:val="IndexLink"/>
                <w:rtl w:val="true"/>
              </w:rPr>
              <w:t>الإقرار</w:t>
            </w:r>
            <w:r>
              <w:rPr>
                <w:rStyle w:val="IndexLink"/>
                <w:rtl w:val="true"/>
              </w:rPr>
              <w:t>)</w:t>
              <w:tab/>
            </w:r>
            <w:r>
              <w:rPr>
                <w:rStyle w:val="IndexLink"/>
              </w:rPr>
              <w:t>229</w:t>
            </w:r>
          </w:hyperlink>
        </w:p>
        <w:p>
          <w:pPr>
            <w:pStyle w:val="Contents3"/>
            <w:tabs>
              <w:tab w:val="clear" w:pos="8459"/>
              <w:tab w:val="right" w:pos="9026" w:leader="dot"/>
            </w:tabs>
            <w:rPr/>
          </w:pPr>
          <w:hyperlink w:anchor="__RefHeading___Toc3959525_1051229030">
            <w:r>
              <w:rPr>
                <w:webHidden/>
                <w:rStyle w:val="IndexLink"/>
                <w:rtl w:val="true"/>
              </w:rPr>
              <w:t xml:space="preserve">ومن موارد الابتلاء في </w:t>
            </w:r>
            <w:r>
              <w:rPr>
                <w:rStyle w:val="IndexLink"/>
                <w:rtl w:val="true"/>
              </w:rPr>
              <w:t>(</w:t>
            </w:r>
            <w:r>
              <w:rPr>
                <w:rStyle w:val="IndexLink"/>
                <w:rtl w:val="true"/>
              </w:rPr>
              <w:t>الفقه</w:t>
            </w:r>
            <w:r>
              <w:rPr>
                <w:rStyle w:val="IndexLink"/>
                <w:rtl w:val="true"/>
              </w:rPr>
              <w:t>)</w:t>
              <w:tab/>
            </w:r>
            <w:r>
              <w:rPr>
                <w:rStyle w:val="IndexLink"/>
              </w:rPr>
              <w:t>231</w:t>
            </w:r>
          </w:hyperlink>
        </w:p>
        <w:p>
          <w:pPr>
            <w:pStyle w:val="Contents3"/>
            <w:tabs>
              <w:tab w:val="clear" w:pos="8459"/>
              <w:tab w:val="right" w:pos="9026" w:leader="dot"/>
            </w:tabs>
            <w:rPr/>
          </w:pPr>
          <w:hyperlink w:anchor="__RefHeading___Toc3959527_1051229030">
            <w:r>
              <w:rPr>
                <w:webHidden/>
                <w:rStyle w:val="IndexLink"/>
                <w:rtl w:val="true"/>
              </w:rPr>
              <w:t>حفظ الأمانة وردّ الوديعة</w:t>
            </w:r>
            <w:r>
              <w:rPr>
                <w:rStyle w:val="IndexLink"/>
                <w:rtl w:val="true"/>
              </w:rPr>
              <w:tab/>
            </w:r>
            <w:r>
              <w:rPr>
                <w:rStyle w:val="IndexLink"/>
              </w:rPr>
              <w:t>231</w:t>
            </w:r>
          </w:hyperlink>
        </w:p>
        <w:p>
          <w:pPr>
            <w:pStyle w:val="Contents3"/>
            <w:tabs>
              <w:tab w:val="clear" w:pos="8459"/>
              <w:tab w:val="right" w:pos="9026" w:leader="dot"/>
            </w:tabs>
            <w:rPr/>
          </w:pPr>
          <w:hyperlink w:anchor="__RefHeading___Toc3959529_1051229030">
            <w:r>
              <w:rPr>
                <w:webHidden/>
                <w:rStyle w:val="IndexLink"/>
                <w:rtl w:val="true"/>
              </w:rPr>
              <w:t>البحث جار في مادة الأمر وصيغته</w:t>
            </w:r>
            <w:r>
              <w:rPr>
                <w:rStyle w:val="IndexLink"/>
                <w:rtl w:val="true"/>
              </w:rPr>
              <w:tab/>
            </w:r>
            <w:r>
              <w:rPr>
                <w:rStyle w:val="IndexLink"/>
              </w:rPr>
              <w:t>231</w:t>
            </w:r>
          </w:hyperlink>
        </w:p>
        <w:p>
          <w:pPr>
            <w:pStyle w:val="Contents3"/>
            <w:tabs>
              <w:tab w:val="clear" w:pos="8459"/>
              <w:tab w:val="right" w:pos="9026" w:leader="dot"/>
            </w:tabs>
            <w:rPr/>
          </w:pPr>
          <w:hyperlink w:anchor="__RefHeading___Toc3959531_1051229030">
            <w:r>
              <w:rPr>
                <w:webHidden/>
                <w:rStyle w:val="IndexLink"/>
                <w:rtl w:val="true"/>
              </w:rPr>
              <w:t>بيان ذلك</w:t>
            </w:r>
            <w:r>
              <w:rPr>
                <w:rStyle w:val="IndexLink"/>
                <w:rtl w:val="true"/>
              </w:rPr>
              <w:t>:</w:t>
              <w:tab/>
            </w:r>
            <w:r>
              <w:rPr>
                <w:rStyle w:val="IndexLink"/>
              </w:rPr>
              <w:t>232</w:t>
            </w:r>
          </w:hyperlink>
        </w:p>
        <w:p>
          <w:pPr>
            <w:pStyle w:val="Contents3"/>
            <w:tabs>
              <w:tab w:val="clear" w:pos="8459"/>
              <w:tab w:val="right" w:pos="9026" w:leader="dot"/>
            </w:tabs>
            <w:rPr/>
          </w:pPr>
          <w:hyperlink w:anchor="__RefHeading___Toc3959533_1051229030">
            <w:r>
              <w:rPr>
                <w:webHidden/>
                <w:rStyle w:val="IndexLink"/>
                <w:rtl w:val="true"/>
              </w:rPr>
              <w:t xml:space="preserve">صلة الرحم ومعنى </w:t>
            </w:r>
            <w:r>
              <w:rPr>
                <w:rStyle w:val="IndexLink"/>
                <w:rtl w:val="true"/>
              </w:rPr>
              <w:t>(</w:t>
            </w:r>
            <w:r>
              <w:rPr>
                <w:rStyle w:val="IndexLink"/>
                <w:rtl w:val="true"/>
              </w:rPr>
              <w:t>أولى</w:t>
            </w:r>
            <w:r>
              <w:rPr>
                <w:rStyle w:val="IndexLink"/>
                <w:rtl w:val="true"/>
              </w:rPr>
              <w:t>)</w:t>
              <w:tab/>
            </w:r>
            <w:r>
              <w:rPr>
                <w:rStyle w:val="IndexLink"/>
              </w:rPr>
              <w:t>233</w:t>
            </w:r>
          </w:hyperlink>
        </w:p>
        <w:p>
          <w:pPr>
            <w:pStyle w:val="Contents3"/>
            <w:tabs>
              <w:tab w:val="clear" w:pos="8459"/>
              <w:tab w:val="right" w:pos="9026" w:leader="dot"/>
            </w:tabs>
            <w:rPr/>
          </w:pPr>
          <w:hyperlink w:anchor="__RefHeading___Toc3959535_1051229030">
            <w:r>
              <w:rPr>
                <w:webHidden/>
                <w:rStyle w:val="IndexLink"/>
                <w:rtl w:val="true"/>
              </w:rPr>
              <w:t>قطع الأرحام</w:t>
            </w:r>
            <w:r>
              <w:rPr>
                <w:rStyle w:val="IndexLink"/>
                <w:rtl w:val="true"/>
              </w:rPr>
              <w:tab/>
            </w:r>
            <w:r>
              <w:rPr>
                <w:rStyle w:val="IndexLink"/>
              </w:rPr>
              <w:t>234</w:t>
            </w:r>
          </w:hyperlink>
        </w:p>
        <w:p>
          <w:pPr>
            <w:pStyle w:val="Contents3"/>
            <w:tabs>
              <w:tab w:val="clear" w:pos="8459"/>
              <w:tab w:val="right" w:pos="9026" w:leader="dot"/>
            </w:tabs>
            <w:rPr/>
          </w:pPr>
          <w:hyperlink w:anchor="__RefHeading___Toc3959537_1051229030">
            <w:r>
              <w:rPr>
                <w:webHidden/>
                <w:rStyle w:val="IndexLink"/>
                <w:rtl w:val="true"/>
              </w:rPr>
              <w:t>الإنفاق</w:t>
            </w:r>
            <w:r>
              <w:rPr>
                <w:rStyle w:val="IndexLink"/>
                <w:rtl w:val="true"/>
              </w:rPr>
              <w:tab/>
            </w:r>
            <w:r>
              <w:rPr>
                <w:rStyle w:val="IndexLink"/>
              </w:rPr>
              <w:t>235</w:t>
            </w:r>
          </w:hyperlink>
        </w:p>
        <w:p>
          <w:pPr>
            <w:pStyle w:val="Contents3"/>
            <w:tabs>
              <w:tab w:val="clear" w:pos="8459"/>
              <w:tab w:val="right" w:pos="9026" w:leader="dot"/>
            </w:tabs>
            <w:rPr/>
          </w:pPr>
          <w:hyperlink w:anchor="__RefHeading___Toc3959539_1051229030">
            <w:r>
              <w:rPr>
                <w:webHidden/>
                <w:rStyle w:val="IndexLink"/>
                <w:rtl w:val="true"/>
              </w:rPr>
              <w:t>استباق الخيرات</w:t>
            </w:r>
            <w:r>
              <w:rPr>
                <w:rStyle w:val="IndexLink"/>
                <w:rtl w:val="true"/>
              </w:rPr>
              <w:tab/>
            </w:r>
            <w:r>
              <w:rPr>
                <w:rStyle w:val="IndexLink"/>
              </w:rPr>
              <w:t>237</w:t>
            </w:r>
          </w:hyperlink>
        </w:p>
        <w:p>
          <w:pPr>
            <w:pStyle w:val="Contents3"/>
            <w:tabs>
              <w:tab w:val="clear" w:pos="8459"/>
              <w:tab w:val="right" w:pos="9026" w:leader="dot"/>
            </w:tabs>
            <w:rPr/>
          </w:pPr>
          <w:hyperlink w:anchor="__RefHeading___Toc3959541_1051229030">
            <w:r>
              <w:rPr>
                <w:webHidden/>
                <w:rStyle w:val="IndexLink"/>
                <w:rtl w:val="true"/>
              </w:rPr>
              <w:t>ذكر الله سبحانه</w:t>
            </w:r>
            <w:r>
              <w:rPr>
                <w:rStyle w:val="IndexLink"/>
                <w:rtl w:val="true"/>
              </w:rPr>
              <w:tab/>
            </w:r>
            <w:r>
              <w:rPr>
                <w:rStyle w:val="IndexLink"/>
              </w:rPr>
              <w:t>238</w:t>
            </w:r>
          </w:hyperlink>
        </w:p>
        <w:p>
          <w:pPr>
            <w:pStyle w:val="Contents3"/>
            <w:tabs>
              <w:tab w:val="clear" w:pos="8459"/>
              <w:tab w:val="right" w:pos="9026" w:leader="dot"/>
            </w:tabs>
            <w:rPr/>
          </w:pPr>
          <w:hyperlink w:anchor="__RefHeading___Toc3959543_1051229030">
            <w:r>
              <w:rPr>
                <w:webHidden/>
                <w:rStyle w:val="IndexLink"/>
                <w:rtl w:val="true"/>
              </w:rPr>
              <w:t>الدعاء</w:t>
            </w:r>
            <w:r>
              <w:rPr>
                <w:rStyle w:val="IndexLink"/>
                <w:rtl w:val="true"/>
              </w:rPr>
              <w:tab/>
            </w:r>
            <w:r>
              <w:rPr>
                <w:rStyle w:val="IndexLink"/>
              </w:rPr>
              <w:t>238</w:t>
            </w:r>
          </w:hyperlink>
        </w:p>
        <w:p>
          <w:pPr>
            <w:pStyle w:val="Contents3"/>
            <w:tabs>
              <w:tab w:val="clear" w:pos="8459"/>
              <w:tab w:val="right" w:pos="9026" w:leader="dot"/>
            </w:tabs>
            <w:rPr/>
          </w:pPr>
          <w:hyperlink w:anchor="__RefHeading___Toc3959545_1051229030">
            <w:r>
              <w:rPr>
                <w:webHidden/>
                <w:rStyle w:val="IndexLink"/>
                <w:rtl w:val="true"/>
              </w:rPr>
              <w:t>حرمة التبذير ومسائل أخرى</w:t>
            </w:r>
            <w:r>
              <w:rPr>
                <w:rStyle w:val="IndexLink"/>
                <w:rtl w:val="true"/>
              </w:rPr>
              <w:tab/>
            </w:r>
            <w:r>
              <w:rPr>
                <w:rStyle w:val="IndexLink"/>
              </w:rPr>
              <w:t>239</w:t>
            </w:r>
          </w:hyperlink>
        </w:p>
        <w:p>
          <w:pPr>
            <w:pStyle w:val="Contents3"/>
            <w:tabs>
              <w:tab w:val="clear" w:pos="8459"/>
              <w:tab w:val="right" w:pos="9026" w:leader="dot"/>
            </w:tabs>
            <w:rPr/>
          </w:pPr>
          <w:hyperlink w:anchor="__RefHeading___Toc3959547_1051229030">
            <w:r>
              <w:rPr>
                <w:webHidden/>
                <w:rStyle w:val="IndexLink"/>
                <w:rtl w:val="true"/>
              </w:rPr>
              <w:t>الغيبة والجهر بالسوء</w:t>
            </w:r>
            <w:r>
              <w:rPr>
                <w:rStyle w:val="IndexLink"/>
                <w:rtl w:val="true"/>
              </w:rPr>
              <w:tab/>
            </w:r>
            <w:r>
              <w:rPr>
                <w:rStyle w:val="IndexLink"/>
              </w:rPr>
              <w:t>239</w:t>
            </w:r>
          </w:hyperlink>
        </w:p>
        <w:p>
          <w:pPr>
            <w:pStyle w:val="Contents3"/>
            <w:tabs>
              <w:tab w:val="clear" w:pos="8459"/>
              <w:tab w:val="right" w:pos="9026" w:leader="dot"/>
            </w:tabs>
            <w:rPr/>
          </w:pPr>
          <w:hyperlink w:anchor="__RefHeading___Toc3959549_1051229030">
            <w:r>
              <w:rPr>
                <w:webHidden/>
                <w:rStyle w:val="IndexLink"/>
                <w:rtl w:val="true"/>
              </w:rPr>
              <w:t>مولوية النهي عن الغيبة تدل على بطلان الضابط الخامس</w:t>
            </w:r>
            <w:r>
              <w:rPr>
                <w:rStyle w:val="IndexLink"/>
                <w:rtl w:val="true"/>
              </w:rPr>
              <w:tab/>
            </w:r>
            <w:r>
              <w:rPr>
                <w:rStyle w:val="IndexLink"/>
              </w:rPr>
              <w:t>240</w:t>
            </w:r>
          </w:hyperlink>
        </w:p>
        <w:p>
          <w:pPr>
            <w:pStyle w:val="Contents3"/>
            <w:tabs>
              <w:tab w:val="clear" w:pos="8459"/>
              <w:tab w:val="right" w:pos="9026" w:leader="dot"/>
            </w:tabs>
            <w:rPr/>
          </w:pPr>
          <w:hyperlink w:anchor="__RefHeading___Toc3959551_1051229030">
            <w:r>
              <w:rPr>
                <w:webHidden/>
                <w:rStyle w:val="IndexLink"/>
                <w:rtl w:val="true"/>
              </w:rPr>
              <w:t>آيات أخرى</w:t>
            </w:r>
            <w:r>
              <w:rPr>
                <w:rStyle w:val="IndexLink"/>
                <w:rtl w:val="true"/>
              </w:rPr>
              <w:tab/>
            </w:r>
            <w:r>
              <w:rPr>
                <w:rStyle w:val="IndexLink"/>
              </w:rPr>
              <w:t>242</w:t>
            </w:r>
          </w:hyperlink>
        </w:p>
        <w:p>
          <w:pPr>
            <w:pStyle w:val="Contents3"/>
            <w:tabs>
              <w:tab w:val="clear" w:pos="8459"/>
              <w:tab w:val="right" w:pos="9026" w:leader="dot"/>
            </w:tabs>
            <w:rPr/>
          </w:pPr>
          <w:hyperlink w:anchor="__RefHeading___Toc3959553_1051229030">
            <w:r>
              <w:rPr>
                <w:webHidden/>
                <w:rStyle w:val="IndexLink"/>
                <w:rtl w:val="true"/>
              </w:rPr>
              <w:t>النميمة</w:t>
            </w:r>
            <w:r>
              <w:rPr>
                <w:rStyle w:val="IndexLink"/>
                <w:rtl w:val="true"/>
              </w:rPr>
              <w:tab/>
            </w:r>
            <w:r>
              <w:rPr>
                <w:rStyle w:val="IndexLink"/>
              </w:rPr>
              <w:t>242</w:t>
            </w:r>
          </w:hyperlink>
        </w:p>
        <w:p>
          <w:pPr>
            <w:pStyle w:val="Contents3"/>
            <w:tabs>
              <w:tab w:val="clear" w:pos="8459"/>
              <w:tab w:val="right" w:pos="9026" w:leader="dot"/>
            </w:tabs>
            <w:rPr/>
          </w:pPr>
          <w:hyperlink w:anchor="__RefHeading___Toc3959555_1051229030">
            <w:r>
              <w:rPr>
                <w:webHidden/>
                <w:rStyle w:val="IndexLink"/>
                <w:rtl w:val="true"/>
              </w:rPr>
              <w:t>اليأس من روح الله تعالى</w:t>
            </w:r>
            <w:r>
              <w:rPr>
                <w:rStyle w:val="IndexLink"/>
                <w:rtl w:val="true"/>
              </w:rPr>
              <w:tab/>
            </w:r>
            <w:r>
              <w:rPr>
                <w:rStyle w:val="IndexLink"/>
              </w:rPr>
              <w:t>243</w:t>
            </w:r>
          </w:hyperlink>
        </w:p>
        <w:p>
          <w:pPr>
            <w:pStyle w:val="Contents3"/>
            <w:tabs>
              <w:tab w:val="clear" w:pos="8459"/>
              <w:tab w:val="right" w:pos="9026" w:leader="dot"/>
            </w:tabs>
            <w:rPr/>
          </w:pPr>
          <w:hyperlink w:anchor="__RefHeading___Toc3959557_1051229030">
            <w:r>
              <w:rPr>
                <w:webHidden/>
                <w:rStyle w:val="IndexLink"/>
                <w:rtl w:val="true"/>
              </w:rPr>
              <w:t>التصرف دون رضى المالك</w:t>
            </w:r>
            <w:r>
              <w:rPr>
                <w:rStyle w:val="IndexLink"/>
                <w:rtl w:val="true"/>
              </w:rPr>
              <w:tab/>
            </w:r>
            <w:r>
              <w:rPr>
                <w:rStyle w:val="IndexLink"/>
              </w:rPr>
              <w:t>243</w:t>
            </w:r>
          </w:hyperlink>
        </w:p>
        <w:p>
          <w:pPr>
            <w:pStyle w:val="Contents3"/>
            <w:tabs>
              <w:tab w:val="clear" w:pos="8459"/>
              <w:tab w:val="right" w:pos="9026" w:leader="dot"/>
            </w:tabs>
            <w:rPr/>
          </w:pPr>
          <w:hyperlink w:anchor="__RefHeading___Toc3959559_1051229030">
            <w:r>
              <w:rPr>
                <w:webHidden/>
                <w:rStyle w:val="IndexLink"/>
                <w:rtl w:val="true"/>
              </w:rPr>
              <w:t>كتمان الحق والهدى</w:t>
            </w:r>
            <w:r>
              <w:rPr>
                <w:rStyle w:val="IndexLink"/>
                <w:rtl w:val="true"/>
              </w:rPr>
              <w:tab/>
            </w:r>
            <w:r>
              <w:rPr>
                <w:rStyle w:val="IndexLink"/>
              </w:rPr>
              <w:t>244</w:t>
            </w:r>
          </w:hyperlink>
        </w:p>
        <w:p>
          <w:pPr>
            <w:pStyle w:val="Contents3"/>
            <w:tabs>
              <w:tab w:val="clear" w:pos="8459"/>
              <w:tab w:val="right" w:pos="9026" w:leader="dot"/>
            </w:tabs>
            <w:rPr/>
          </w:pPr>
          <w:hyperlink w:anchor="__RefHeading___Toc3959561_1051229030">
            <w:r>
              <w:rPr>
                <w:webHidden/>
                <w:rStyle w:val="IndexLink"/>
                <w:rtl w:val="true"/>
              </w:rPr>
              <w:t>الإفساد في الأرض</w:t>
            </w:r>
            <w:r>
              <w:rPr>
                <w:rStyle w:val="IndexLink"/>
                <w:rtl w:val="true"/>
              </w:rPr>
              <w:tab/>
            </w:r>
            <w:r>
              <w:rPr>
                <w:rStyle w:val="IndexLink"/>
              </w:rPr>
              <w:t>245</w:t>
            </w:r>
          </w:hyperlink>
        </w:p>
        <w:p>
          <w:pPr>
            <w:pStyle w:val="Contents3"/>
            <w:tabs>
              <w:tab w:val="clear" w:pos="8459"/>
              <w:tab w:val="right" w:pos="9026" w:leader="dot"/>
            </w:tabs>
            <w:rPr/>
          </w:pPr>
          <w:hyperlink w:anchor="__RefHeading___Toc3959563_1051229030">
            <w:r>
              <w:rPr>
                <w:webHidden/>
                <w:rStyle w:val="IndexLink"/>
                <w:rtl w:val="true"/>
              </w:rPr>
              <w:t>الكذب وقول الزور</w:t>
            </w:r>
            <w:r>
              <w:rPr>
                <w:rStyle w:val="IndexLink"/>
                <w:rtl w:val="true"/>
              </w:rPr>
              <w:tab/>
            </w:r>
            <w:r>
              <w:rPr>
                <w:rStyle w:val="IndexLink"/>
              </w:rPr>
              <w:t>246</w:t>
            </w:r>
          </w:hyperlink>
        </w:p>
        <w:p>
          <w:pPr>
            <w:pStyle w:val="Contents3"/>
            <w:tabs>
              <w:tab w:val="clear" w:pos="8459"/>
              <w:tab w:val="right" w:pos="9026" w:leader="dot"/>
            </w:tabs>
            <w:rPr/>
          </w:pPr>
          <w:hyperlink w:anchor="__RefHeading___Toc3959565_1051229030">
            <w:r>
              <w:rPr>
                <w:webHidden/>
                <w:rStyle w:val="IndexLink"/>
                <w:rtl w:val="true"/>
              </w:rPr>
              <w:t>تحميل الآخرين غير أوزارهم</w:t>
            </w:r>
            <w:r>
              <w:rPr>
                <w:rStyle w:val="IndexLink"/>
                <w:rtl w:val="true"/>
              </w:rPr>
              <w:tab/>
            </w:r>
            <w:r>
              <w:rPr>
                <w:rStyle w:val="IndexLink"/>
              </w:rPr>
              <w:t>247</w:t>
            </w:r>
          </w:hyperlink>
        </w:p>
        <w:p>
          <w:pPr>
            <w:pStyle w:val="Contents3"/>
            <w:tabs>
              <w:tab w:val="clear" w:pos="8459"/>
              <w:tab w:val="right" w:pos="9026" w:leader="dot"/>
            </w:tabs>
            <w:rPr/>
          </w:pPr>
          <w:hyperlink w:anchor="__RefHeading___Toc3959567_1051229030">
            <w:r>
              <w:rPr>
                <w:webHidden/>
                <w:rStyle w:val="IndexLink"/>
                <w:rtl w:val="true"/>
              </w:rPr>
              <w:t xml:space="preserve">هل </w:t>
            </w:r>
            <w:r>
              <w:rPr>
                <w:rStyle w:val="IndexLink"/>
                <w:rtl w:val="true"/>
              </w:rPr>
              <w:t>«</w:t>
            </w:r>
            <w:r>
              <w:rPr>
                <w:rStyle w:val="IndexLink"/>
                <w:rtl w:val="true"/>
              </w:rPr>
              <w:t>لا تزر</w:t>
            </w:r>
            <w:r>
              <w:rPr>
                <w:rStyle w:val="IndexLink"/>
                <w:rtl w:val="true"/>
              </w:rPr>
              <w:t xml:space="preserve">» </w:t>
            </w:r>
            <w:r>
              <w:rPr>
                <w:rStyle w:val="IndexLink"/>
                <w:rtl w:val="true"/>
              </w:rPr>
              <w:t>نفي أريد به النهي؟</w:t>
            </w:r>
            <w:r>
              <w:rPr>
                <w:rStyle w:val="IndexLink"/>
                <w:rtl w:val="true"/>
              </w:rPr>
              <w:tab/>
            </w:r>
            <w:r>
              <w:rPr>
                <w:rStyle w:val="IndexLink"/>
              </w:rPr>
              <w:t>248</w:t>
            </w:r>
          </w:hyperlink>
        </w:p>
        <w:p>
          <w:pPr>
            <w:pStyle w:val="Contents3"/>
            <w:tabs>
              <w:tab w:val="clear" w:pos="8459"/>
              <w:tab w:val="right" w:pos="9026" w:leader="dot"/>
            </w:tabs>
            <w:rPr/>
          </w:pPr>
          <w:hyperlink w:anchor="__RefHeading___Toc3959569_1051229030">
            <w:r>
              <w:rPr>
                <w:webHidden/>
                <w:rStyle w:val="IndexLink"/>
                <w:rtl w:val="true"/>
              </w:rPr>
              <w:t>قهر اليتيم</w:t>
            </w:r>
            <w:r>
              <w:rPr>
                <w:rStyle w:val="IndexLink"/>
                <w:rtl w:val="true"/>
              </w:rPr>
              <w:tab/>
            </w:r>
            <w:r>
              <w:rPr>
                <w:rStyle w:val="IndexLink"/>
              </w:rPr>
              <w:t>249</w:t>
            </w:r>
          </w:hyperlink>
        </w:p>
        <w:p>
          <w:pPr>
            <w:pStyle w:val="Contents3"/>
            <w:tabs>
              <w:tab w:val="clear" w:pos="8459"/>
              <w:tab w:val="right" w:pos="9026" w:leader="dot"/>
            </w:tabs>
            <w:rPr/>
          </w:pPr>
          <w:hyperlink w:anchor="__RefHeading___Toc3959571_1051229030">
            <w:r>
              <w:rPr>
                <w:webHidden/>
                <w:rStyle w:val="IndexLink"/>
                <w:rtl w:val="true"/>
              </w:rPr>
              <w:t>حسن اللعن واستحبابه أو وجوبه</w:t>
            </w:r>
            <w:r>
              <w:rPr>
                <w:rStyle w:val="IndexLink"/>
                <w:rtl w:val="true"/>
              </w:rPr>
              <w:tab/>
            </w:r>
            <w:r>
              <w:rPr>
                <w:rStyle w:val="IndexLink"/>
              </w:rPr>
              <w:t>250</w:t>
            </w:r>
          </w:hyperlink>
        </w:p>
        <w:p>
          <w:pPr>
            <w:pStyle w:val="Contents3"/>
            <w:tabs>
              <w:tab w:val="clear" w:pos="8459"/>
              <w:tab w:val="right" w:pos="9026" w:leader="dot"/>
            </w:tabs>
            <w:rPr/>
          </w:pPr>
          <w:hyperlink w:anchor="__RefHeading___Toc3959573_1051229030">
            <w:r>
              <w:rPr>
                <w:webHidden/>
                <w:rStyle w:val="IndexLink"/>
                <w:rtl w:val="true"/>
              </w:rPr>
              <w:t>هل بغض الإمام عليه السلام لشخص، سبب للعنة الله له أو كاشف عنها؟</w:t>
            </w:r>
            <w:r>
              <w:rPr>
                <w:rStyle w:val="IndexLink"/>
                <w:rtl w:val="true"/>
              </w:rPr>
              <w:tab/>
            </w:r>
            <w:r>
              <w:rPr>
                <w:rStyle w:val="IndexLink"/>
              </w:rPr>
              <w:t>251</w:t>
            </w:r>
          </w:hyperlink>
        </w:p>
        <w:p>
          <w:pPr>
            <w:pStyle w:val="Contents3"/>
            <w:tabs>
              <w:tab w:val="clear" w:pos="8459"/>
              <w:tab w:val="right" w:pos="9026" w:leader="dot"/>
            </w:tabs>
            <w:rPr/>
          </w:pPr>
          <w:hyperlink w:anchor="__RefHeading___Toc3959575_1051229030">
            <w:r>
              <w:rPr>
                <w:webHidden/>
                <w:rStyle w:val="IndexLink"/>
                <w:rtl w:val="true"/>
              </w:rPr>
              <w:t>هل هم كفرة أم مشركون؟</w:t>
            </w:r>
            <w:r>
              <w:rPr>
                <w:rStyle w:val="IndexLink"/>
                <w:rtl w:val="true"/>
              </w:rPr>
              <w:tab/>
            </w:r>
            <w:r>
              <w:rPr>
                <w:rStyle w:val="IndexLink"/>
              </w:rPr>
              <w:t>252</w:t>
            </w:r>
          </w:hyperlink>
        </w:p>
        <w:p>
          <w:pPr>
            <w:pStyle w:val="Contents3"/>
            <w:tabs>
              <w:tab w:val="clear" w:pos="8459"/>
              <w:tab w:val="right" w:pos="9026" w:leader="dot"/>
            </w:tabs>
            <w:rPr/>
          </w:pPr>
          <w:hyperlink w:anchor="__RefHeading___Toc3959577_1051229030">
            <w:r>
              <w:rPr>
                <w:webHidden/>
                <w:rStyle w:val="IndexLink"/>
                <w:rtl w:val="true"/>
              </w:rPr>
              <w:t>لعن رسول الله صلى الله عليه وآله من الخمر عشرة</w:t>
            </w:r>
            <w:r>
              <w:rPr>
                <w:rStyle w:val="IndexLink"/>
                <w:rtl w:val="true"/>
              </w:rPr>
              <w:tab/>
            </w:r>
            <w:r>
              <w:rPr>
                <w:rStyle w:val="IndexLink"/>
              </w:rPr>
              <w:t>253</w:t>
            </w:r>
          </w:hyperlink>
        </w:p>
        <w:p>
          <w:pPr>
            <w:pStyle w:val="Contents3"/>
            <w:tabs>
              <w:tab w:val="clear" w:pos="8459"/>
              <w:tab w:val="right" w:pos="9026" w:leader="dot"/>
            </w:tabs>
            <w:rPr/>
          </w:pPr>
          <w:hyperlink w:anchor="__RefHeading___Toc3959579_1051229030">
            <w:r>
              <w:rPr>
                <w:webHidden/>
                <w:rStyle w:val="IndexLink"/>
                <w:rtl w:val="true"/>
              </w:rPr>
              <w:t>حسن الشفاعة</w:t>
            </w:r>
            <w:r>
              <w:rPr>
                <w:rStyle w:val="IndexLink"/>
                <w:rtl w:val="true"/>
              </w:rPr>
              <w:tab/>
            </w:r>
            <w:r>
              <w:rPr>
                <w:rStyle w:val="IndexLink"/>
              </w:rPr>
              <w:t>255</w:t>
            </w:r>
          </w:hyperlink>
        </w:p>
        <w:p>
          <w:pPr>
            <w:pStyle w:val="Contents3"/>
            <w:tabs>
              <w:tab w:val="clear" w:pos="8459"/>
              <w:tab w:val="right" w:pos="9026" w:leader="dot"/>
            </w:tabs>
            <w:rPr/>
          </w:pPr>
          <w:hyperlink w:anchor="__RefHeading___Toc3959581_1051229030">
            <w:r>
              <w:rPr>
                <w:webHidden/>
                <w:rStyle w:val="IndexLink"/>
                <w:rtl w:val="true"/>
              </w:rPr>
              <w:t>مسائل أخرى</w:t>
            </w:r>
            <w:r>
              <w:rPr>
                <w:rStyle w:val="IndexLink"/>
                <w:rtl w:val="true"/>
              </w:rPr>
              <w:tab/>
            </w:r>
            <w:r>
              <w:rPr>
                <w:rStyle w:val="IndexLink"/>
              </w:rPr>
              <w:t>256</w:t>
            </w:r>
          </w:hyperlink>
        </w:p>
        <w:p>
          <w:pPr>
            <w:pStyle w:val="Contents2"/>
            <w:tabs>
              <w:tab w:val="clear" w:pos="8743"/>
              <w:tab w:val="right" w:pos="9026" w:leader="dot"/>
            </w:tabs>
            <w:rPr/>
          </w:pPr>
          <w:hyperlink w:anchor="__RefHeading___Toc3959583_1051229030">
            <w:r>
              <w:rPr>
                <w:webHidden/>
                <w:rStyle w:val="IndexLink"/>
                <w:rtl w:val="true"/>
              </w:rPr>
              <w:t>المبحث السادس</w:t>
            </w:r>
            <w:r>
              <w:rPr>
                <w:rStyle w:val="IndexLink"/>
                <w:rtl w:val="true"/>
              </w:rPr>
              <w:t xml:space="preserve">: </w:t>
            </w:r>
            <w:r>
              <w:rPr>
                <w:rStyle w:val="IndexLink"/>
                <w:rtl w:val="true"/>
              </w:rPr>
              <w:t>أصناف الأوامر المحتمل أو المدعى كونها إرشادية</w:t>
            </w:r>
            <w:r>
              <w:rPr>
                <w:rStyle w:val="IndexLink"/>
                <w:rtl w:val="true"/>
              </w:rPr>
              <w:tab/>
            </w:r>
            <w:r>
              <w:rPr>
                <w:rStyle w:val="IndexLink"/>
              </w:rPr>
              <w:t>259</w:t>
            </w:r>
          </w:hyperlink>
        </w:p>
        <w:p>
          <w:pPr>
            <w:pStyle w:val="Contents3"/>
            <w:tabs>
              <w:tab w:val="clear" w:pos="8459"/>
              <w:tab w:val="right" w:pos="9026" w:leader="dot"/>
            </w:tabs>
            <w:rPr/>
          </w:pPr>
          <w:hyperlink w:anchor="__RefHeading___Toc3959585_105122903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3959587_1051229030">
            <w:r>
              <w:rPr>
                <w:webHidden/>
                <w:rStyle w:val="IndexLink"/>
              </w:rPr>
              <w:t>1</w:t>
            </w:r>
            <w:r>
              <w:rPr>
                <w:rStyle w:val="IndexLink"/>
                <w:rtl w:val="true"/>
              </w:rPr>
              <w:t xml:space="preserve">- </w:t>
            </w:r>
            <w:r>
              <w:rPr>
                <w:rStyle w:val="IndexLink"/>
                <w:rtl w:val="true"/>
              </w:rPr>
              <w:t>ما يتعلق بالتجارة</w:t>
            </w:r>
            <w:r>
              <w:rPr>
                <w:rStyle w:val="IndexLink"/>
                <w:rtl w:val="true"/>
              </w:rPr>
              <w:tab/>
            </w:r>
            <w:r>
              <w:rPr>
                <w:rStyle w:val="IndexLink"/>
              </w:rPr>
              <w:t>262</w:t>
            </w:r>
          </w:hyperlink>
        </w:p>
        <w:p>
          <w:pPr>
            <w:pStyle w:val="Contents4"/>
            <w:tabs>
              <w:tab w:val="clear" w:pos="8176"/>
              <w:tab w:val="right" w:pos="9026" w:leader="dot"/>
            </w:tabs>
            <w:rPr/>
          </w:pPr>
          <w:hyperlink w:anchor="__RefHeading___Toc3959589_105122903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959591_1051229030">
            <w:r>
              <w:rPr>
                <w:webHidden/>
                <w:rStyle w:val="IndexLink"/>
                <w:rtl w:val="true"/>
              </w:rPr>
              <w:t>(</w:t>
            </w:r>
            <w:r>
              <w:rPr>
                <w:rStyle w:val="IndexLink"/>
                <w:rtl w:val="true"/>
              </w:rPr>
              <w:t>زيادة العقل</w:t>
            </w:r>
            <w:r>
              <w:rPr>
                <w:rStyle w:val="IndexLink"/>
                <w:rtl w:val="true"/>
              </w:rPr>
              <w:t>)</w:t>
            </w:r>
            <w:r>
              <w:rPr>
                <w:rStyle w:val="IndexLink"/>
                <w:rtl w:val="true"/>
              </w:rPr>
              <w:t>، محبوبة للمولى بما هو مولى</w:t>
            </w:r>
            <w:r>
              <w:rPr>
                <w:rStyle w:val="IndexLink"/>
                <w:rtl w:val="true"/>
              </w:rPr>
              <w:tab/>
            </w:r>
            <w:r>
              <w:rPr>
                <w:rStyle w:val="IndexLink"/>
              </w:rPr>
              <w:t>263</w:t>
            </w:r>
          </w:hyperlink>
        </w:p>
        <w:p>
          <w:pPr>
            <w:pStyle w:val="Contents4"/>
            <w:tabs>
              <w:tab w:val="clear" w:pos="8176"/>
              <w:tab w:val="right" w:pos="9026" w:leader="dot"/>
            </w:tabs>
            <w:rPr/>
          </w:pPr>
          <w:hyperlink w:anchor="__RefHeading___Toc3959593_1051229030">
            <w:r>
              <w:rPr>
                <w:webHidden/>
                <w:rStyle w:val="IndexLink"/>
                <w:rtl w:val="true"/>
              </w:rPr>
              <w:t>شواهد على أن أوامر التجارة مولوية</w:t>
            </w:r>
            <w:r>
              <w:rPr>
                <w:rStyle w:val="IndexLink"/>
                <w:rtl w:val="true"/>
              </w:rPr>
              <w:tab/>
            </w:r>
            <w:r>
              <w:rPr>
                <w:rStyle w:val="IndexLink"/>
              </w:rPr>
              <w:t>265</w:t>
            </w:r>
          </w:hyperlink>
        </w:p>
        <w:p>
          <w:pPr>
            <w:pStyle w:val="Contents3"/>
            <w:tabs>
              <w:tab w:val="clear" w:pos="8459"/>
              <w:tab w:val="right" w:pos="9026" w:leader="dot"/>
            </w:tabs>
            <w:rPr/>
          </w:pPr>
          <w:hyperlink w:anchor="__RefHeading___Toc3959595_1051229030">
            <w:r>
              <w:rPr>
                <w:webHidden/>
                <w:rStyle w:val="IndexLink"/>
              </w:rPr>
              <w:t>2</w:t>
            </w:r>
            <w:r>
              <w:rPr>
                <w:rStyle w:val="IndexLink"/>
                <w:rtl w:val="true"/>
              </w:rPr>
              <w:t xml:space="preserve">- </w:t>
            </w:r>
            <w:r>
              <w:rPr>
                <w:rStyle w:val="IndexLink"/>
                <w:rtl w:val="true"/>
              </w:rPr>
              <w:t>الأوامر في الصنائع والحرف</w:t>
            </w:r>
            <w:r>
              <w:rPr>
                <w:rStyle w:val="IndexLink"/>
                <w:rtl w:val="true"/>
              </w:rPr>
              <w:tab/>
            </w:r>
            <w:r>
              <w:rPr>
                <w:rStyle w:val="IndexLink"/>
              </w:rPr>
              <w:t>268</w:t>
            </w:r>
          </w:hyperlink>
        </w:p>
        <w:p>
          <w:pPr>
            <w:pStyle w:val="Contents4"/>
            <w:tabs>
              <w:tab w:val="clear" w:pos="8176"/>
              <w:tab w:val="right" w:pos="9026" w:leader="dot"/>
            </w:tabs>
            <w:rPr/>
          </w:pPr>
          <w:hyperlink w:anchor="__RefHeading___Toc3959597_105122903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3959599_1051229030">
            <w:r>
              <w:rPr>
                <w:webHidden/>
                <w:rStyle w:val="IndexLink"/>
                <w:rtl w:val="true"/>
              </w:rPr>
              <w:t>من شواهد مولوية أوامر الصناعات</w:t>
            </w:r>
            <w:r>
              <w:rPr>
                <w:rStyle w:val="IndexLink"/>
                <w:rtl w:val="true"/>
              </w:rPr>
              <w:tab/>
            </w:r>
            <w:r>
              <w:rPr>
                <w:rStyle w:val="IndexLink"/>
              </w:rPr>
              <w:t>268</w:t>
            </w:r>
          </w:hyperlink>
        </w:p>
        <w:p>
          <w:pPr>
            <w:pStyle w:val="Contents4"/>
            <w:tabs>
              <w:tab w:val="clear" w:pos="8176"/>
              <w:tab w:val="right" w:pos="9026" w:leader="dot"/>
            </w:tabs>
            <w:rPr/>
          </w:pPr>
          <w:hyperlink w:anchor="__RefHeading___Toc3959601_1051229030">
            <w:r>
              <w:rPr>
                <w:webHidden/>
                <w:rStyle w:val="IndexLink"/>
                <w:rtl w:val="true"/>
              </w:rPr>
              <w:t xml:space="preserve">من أدلة مطلوبية </w:t>
            </w:r>
            <w:r>
              <w:rPr>
                <w:rStyle w:val="IndexLink"/>
                <w:rtl w:val="true"/>
              </w:rPr>
              <w:t>(</w:t>
            </w:r>
            <w:r>
              <w:rPr>
                <w:rStyle w:val="IndexLink"/>
                <w:rtl w:val="true"/>
              </w:rPr>
              <w:t>العمل</w:t>
            </w:r>
            <w:r>
              <w:rPr>
                <w:rStyle w:val="IndexLink"/>
                <w:rtl w:val="true"/>
              </w:rPr>
              <w:t xml:space="preserve">) </w:t>
            </w:r>
            <w:r>
              <w:rPr>
                <w:rStyle w:val="IndexLink"/>
                <w:rtl w:val="true"/>
              </w:rPr>
              <w:t>بكل أشكاله</w:t>
            </w:r>
            <w:r>
              <w:rPr>
                <w:rStyle w:val="IndexLink"/>
                <w:rtl w:val="true"/>
              </w:rPr>
              <w:tab/>
            </w:r>
            <w:r>
              <w:rPr>
                <w:rStyle w:val="IndexLink"/>
              </w:rPr>
              <w:t>270</w:t>
            </w:r>
          </w:hyperlink>
        </w:p>
        <w:p>
          <w:pPr>
            <w:pStyle w:val="Contents3"/>
            <w:tabs>
              <w:tab w:val="clear" w:pos="8459"/>
              <w:tab w:val="right" w:pos="9026" w:leader="dot"/>
            </w:tabs>
            <w:rPr/>
          </w:pPr>
          <w:hyperlink w:anchor="__RefHeading___Toc3959603_1051229030">
            <w:r>
              <w:rPr>
                <w:webHidden/>
                <w:rStyle w:val="IndexLink"/>
              </w:rPr>
              <w:t>3</w:t>
            </w:r>
            <w:r>
              <w:rPr>
                <w:rStyle w:val="IndexLink"/>
                <w:rtl w:val="true"/>
              </w:rPr>
              <w:t xml:space="preserve">- </w:t>
            </w:r>
            <w:r>
              <w:rPr>
                <w:rStyle w:val="IndexLink"/>
                <w:rtl w:val="true"/>
              </w:rPr>
              <w:t>ما يتعلق بالمعاش والحياة الشخصية</w:t>
            </w:r>
            <w:r>
              <w:rPr>
                <w:rStyle w:val="IndexLink"/>
                <w:rtl w:val="true"/>
              </w:rPr>
              <w:tab/>
            </w:r>
            <w:r>
              <w:rPr>
                <w:rStyle w:val="IndexLink"/>
              </w:rPr>
              <w:t>272</w:t>
            </w:r>
          </w:hyperlink>
        </w:p>
        <w:p>
          <w:pPr>
            <w:pStyle w:val="Contents4"/>
            <w:tabs>
              <w:tab w:val="clear" w:pos="8176"/>
              <w:tab w:val="right" w:pos="9026" w:leader="dot"/>
            </w:tabs>
            <w:rPr/>
          </w:pPr>
          <w:hyperlink w:anchor="__RefHeading___Toc3959605_1051229030">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959607_1051229030">
            <w:r>
              <w:rPr>
                <w:webHidden/>
                <w:rStyle w:val="IndexLink"/>
                <w:rtl w:val="true"/>
              </w:rPr>
              <w:t xml:space="preserve">هل النهي عن </w:t>
            </w:r>
            <w:r>
              <w:rPr>
                <w:rStyle w:val="IndexLink"/>
                <w:rtl w:val="true"/>
              </w:rPr>
              <w:t>(</w:t>
            </w:r>
            <w:r>
              <w:rPr>
                <w:rStyle w:val="IndexLink"/>
                <w:rtl w:val="true"/>
              </w:rPr>
              <w:t>مخالطة من لم ينشأ في الخير</w:t>
            </w:r>
            <w:r>
              <w:rPr>
                <w:rStyle w:val="IndexLink"/>
                <w:rtl w:val="true"/>
              </w:rPr>
              <w:t xml:space="preserve">) </w:t>
            </w:r>
            <w:r>
              <w:rPr>
                <w:rStyle w:val="IndexLink"/>
                <w:rtl w:val="true"/>
              </w:rPr>
              <w:t>تنزيهي؟</w:t>
            </w:r>
            <w:r>
              <w:rPr>
                <w:rStyle w:val="IndexLink"/>
                <w:rtl w:val="true"/>
              </w:rPr>
              <w:tab/>
            </w:r>
            <w:r>
              <w:rPr>
                <w:rStyle w:val="IndexLink"/>
              </w:rPr>
              <w:t>272</w:t>
            </w:r>
          </w:hyperlink>
        </w:p>
        <w:p>
          <w:pPr>
            <w:pStyle w:val="Contents4"/>
            <w:tabs>
              <w:tab w:val="clear" w:pos="8176"/>
              <w:tab w:val="right" w:pos="9026" w:leader="dot"/>
            </w:tabs>
            <w:rPr/>
          </w:pPr>
          <w:hyperlink w:anchor="__RefHeading___Toc3959609_1051229030">
            <w:r>
              <w:rPr>
                <w:webHidden/>
                <w:rStyle w:val="IndexLink"/>
                <w:rtl w:val="true"/>
              </w:rPr>
              <w:t xml:space="preserve">الأمر بسؤال الله </w:t>
            </w:r>
            <w:r>
              <w:rPr>
                <w:rStyle w:val="IndexLink"/>
                <w:rtl w:val="true"/>
              </w:rPr>
              <w:t>(</w:t>
            </w:r>
            <w:r>
              <w:rPr>
                <w:rStyle w:val="IndexLink"/>
                <w:rtl w:val="true"/>
              </w:rPr>
              <w:t>الغنى في الدنيا</w:t>
            </w:r>
            <w:r>
              <w:rPr>
                <w:rStyle w:val="IndexLink"/>
                <w:rtl w:val="true"/>
              </w:rPr>
              <w:t>)</w:t>
            </w:r>
            <w:r>
              <w:rPr>
                <w:rStyle w:val="IndexLink"/>
                <w:rtl w:val="true"/>
              </w:rPr>
              <w:t>، مولوي أو إرشادي؟</w:t>
            </w:r>
            <w:r>
              <w:rPr>
                <w:rStyle w:val="IndexLink"/>
                <w:rtl w:val="true"/>
              </w:rPr>
              <w:tab/>
            </w:r>
            <w:r>
              <w:rPr>
                <w:rStyle w:val="IndexLink"/>
              </w:rPr>
              <w:t>273</w:t>
            </w:r>
          </w:hyperlink>
        </w:p>
        <w:p>
          <w:pPr>
            <w:pStyle w:val="Contents4"/>
            <w:tabs>
              <w:tab w:val="clear" w:pos="8176"/>
              <w:tab w:val="right" w:pos="9026" w:leader="dot"/>
            </w:tabs>
            <w:rPr/>
          </w:pPr>
          <w:hyperlink w:anchor="__RefHeading___Toc3959611_1051229030">
            <w:r>
              <w:rPr>
                <w:webHidden/>
                <w:rStyle w:val="IndexLink"/>
                <w:rtl w:val="true"/>
              </w:rPr>
              <w:t>شأن المولى إصلاح شؤون العبد لكلا الدارين</w:t>
            </w:r>
            <w:r>
              <w:rPr>
                <w:rStyle w:val="IndexLink"/>
                <w:rtl w:val="true"/>
              </w:rPr>
              <w:tab/>
            </w:r>
            <w:r>
              <w:rPr>
                <w:rStyle w:val="IndexLink"/>
              </w:rPr>
              <w:t>274</w:t>
            </w:r>
          </w:hyperlink>
        </w:p>
        <w:p>
          <w:pPr>
            <w:pStyle w:val="Contents4"/>
            <w:tabs>
              <w:tab w:val="clear" w:pos="8176"/>
              <w:tab w:val="right" w:pos="9026" w:leader="dot"/>
            </w:tabs>
            <w:rPr/>
          </w:pPr>
          <w:hyperlink w:anchor="__RefHeading___Toc3959613_1051229030">
            <w:r>
              <w:rPr>
                <w:webHidden/>
                <w:rStyle w:val="IndexLink"/>
                <w:rtl w:val="true"/>
              </w:rPr>
              <w:t>الغنى وسؤاله مطلوبان طريقياً أو موضوعياً؟</w:t>
            </w:r>
            <w:r>
              <w:rPr>
                <w:rStyle w:val="IndexLink"/>
                <w:rtl w:val="true"/>
              </w:rPr>
              <w:tab/>
            </w:r>
            <w:r>
              <w:rPr>
                <w:rStyle w:val="IndexLink"/>
              </w:rPr>
              <w:t>275</w:t>
            </w:r>
          </w:hyperlink>
        </w:p>
        <w:p>
          <w:pPr>
            <w:pStyle w:val="Contents4"/>
            <w:tabs>
              <w:tab w:val="clear" w:pos="8176"/>
              <w:tab w:val="right" w:pos="9026" w:leader="dot"/>
            </w:tabs>
            <w:rPr/>
          </w:pPr>
          <w:hyperlink w:anchor="__RefHeading___Toc3959615_1051229030">
            <w:r>
              <w:rPr>
                <w:webHidden/>
                <w:rStyle w:val="IndexLink"/>
                <w:rtl w:val="true"/>
              </w:rPr>
              <w:t>الانفاق بإقتصاد</w:t>
            </w:r>
            <w:r>
              <w:rPr>
                <w:rStyle w:val="IndexLink"/>
                <w:rtl w:val="true"/>
              </w:rPr>
              <w:tab/>
            </w:r>
            <w:r>
              <w:rPr>
                <w:rStyle w:val="IndexLink"/>
              </w:rPr>
              <w:t>276</w:t>
            </w:r>
          </w:hyperlink>
        </w:p>
        <w:p>
          <w:pPr>
            <w:pStyle w:val="Contents4"/>
            <w:tabs>
              <w:tab w:val="clear" w:pos="8176"/>
              <w:tab w:val="right" w:pos="9026" w:leader="dot"/>
            </w:tabs>
            <w:rPr/>
          </w:pPr>
          <w:hyperlink w:anchor="__RefHeading___Toc3959617_1051229030">
            <w:r>
              <w:rPr>
                <w:webHidden/>
                <w:rStyle w:val="IndexLink"/>
                <w:rtl w:val="true"/>
              </w:rPr>
              <w:t>الأمر بالذهاب للسوق لأنه عزة، مولوي</w:t>
            </w:r>
            <w:r>
              <w:rPr>
                <w:rStyle w:val="IndexLink"/>
                <w:rtl w:val="true"/>
              </w:rPr>
              <w:tab/>
            </w:r>
            <w:r>
              <w:rPr>
                <w:rStyle w:val="IndexLink"/>
              </w:rPr>
              <w:t>277</w:t>
            </w:r>
          </w:hyperlink>
        </w:p>
        <w:p>
          <w:pPr>
            <w:pStyle w:val="Contents3"/>
            <w:tabs>
              <w:tab w:val="clear" w:pos="8459"/>
              <w:tab w:val="right" w:pos="9026" w:leader="dot"/>
            </w:tabs>
            <w:rPr/>
          </w:pPr>
          <w:hyperlink w:anchor="__RefHeading___Toc3959619_1051229030">
            <w:r>
              <w:rPr>
                <w:webHidden/>
                <w:rStyle w:val="IndexLink"/>
              </w:rPr>
              <w:t>4</w:t>
            </w:r>
            <w:r>
              <w:rPr>
                <w:rStyle w:val="IndexLink"/>
                <w:rtl w:val="true"/>
              </w:rPr>
              <w:t xml:space="preserve">- </w:t>
            </w:r>
            <w:r>
              <w:rPr>
                <w:rStyle w:val="IndexLink"/>
                <w:rtl w:val="true"/>
              </w:rPr>
              <w:t>ما يتعلق بمكارم الأخلاق</w:t>
            </w:r>
            <w:r>
              <w:rPr>
                <w:rStyle w:val="IndexLink"/>
                <w:rtl w:val="true"/>
              </w:rPr>
              <w:tab/>
            </w:r>
            <w:r>
              <w:rPr>
                <w:rStyle w:val="IndexLink"/>
              </w:rPr>
              <w:t>279</w:t>
            </w:r>
          </w:hyperlink>
        </w:p>
        <w:p>
          <w:pPr>
            <w:pStyle w:val="Contents4"/>
            <w:tabs>
              <w:tab w:val="clear" w:pos="8176"/>
              <w:tab w:val="right" w:pos="9026" w:leader="dot"/>
            </w:tabs>
            <w:rPr/>
          </w:pPr>
          <w:hyperlink w:anchor="__RefHeading___Toc3959621_105122903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959623_1051229030">
            <w:r>
              <w:rPr>
                <w:webHidden/>
                <w:rStyle w:val="IndexLink"/>
                <w:rtl w:val="true"/>
              </w:rPr>
              <w:t>تحصين الأعراض بالأموال</w:t>
            </w:r>
            <w:r>
              <w:rPr>
                <w:rStyle w:val="IndexLink"/>
                <w:rtl w:val="true"/>
              </w:rPr>
              <w:tab/>
            </w:r>
            <w:r>
              <w:rPr>
                <w:rStyle w:val="IndexLink"/>
              </w:rPr>
              <w:t>279</w:t>
            </w:r>
          </w:hyperlink>
        </w:p>
        <w:p>
          <w:pPr>
            <w:pStyle w:val="Contents4"/>
            <w:tabs>
              <w:tab w:val="clear" w:pos="8176"/>
              <w:tab w:val="right" w:pos="9026" w:leader="dot"/>
            </w:tabs>
            <w:rPr/>
          </w:pPr>
          <w:hyperlink w:anchor="__RefHeading___Toc3959625_1051229030">
            <w:r>
              <w:rPr>
                <w:webHidden/>
                <w:rStyle w:val="IndexLink"/>
                <w:rtl w:val="true"/>
              </w:rPr>
              <w:t>هل الحدود تعطل مؤقتاً؟</w:t>
            </w:r>
            <w:r>
              <w:rPr>
                <w:rStyle w:val="IndexLink"/>
                <w:rtl w:val="true"/>
              </w:rPr>
              <w:tab/>
            </w:r>
            <w:r>
              <w:rPr>
                <w:rStyle w:val="IndexLink"/>
              </w:rPr>
              <w:t>280</w:t>
            </w:r>
          </w:hyperlink>
        </w:p>
        <w:p>
          <w:pPr>
            <w:pStyle w:val="Contents4"/>
            <w:tabs>
              <w:tab w:val="clear" w:pos="8176"/>
              <w:tab w:val="right" w:pos="9026" w:leader="dot"/>
            </w:tabs>
            <w:rPr/>
          </w:pPr>
          <w:hyperlink w:anchor="__RefHeading___Toc3959627_1051229030">
            <w:r>
              <w:rPr>
                <w:webHidden/>
                <w:rStyle w:val="IndexLink"/>
                <w:rtl w:val="true"/>
              </w:rPr>
              <w:t xml:space="preserve">هل النهي عن </w:t>
            </w:r>
            <w:r>
              <w:rPr>
                <w:rStyle w:val="IndexLink"/>
                <w:rtl w:val="true"/>
              </w:rPr>
              <w:t>(</w:t>
            </w:r>
            <w:r>
              <w:rPr>
                <w:rStyle w:val="IndexLink"/>
                <w:rtl w:val="true"/>
              </w:rPr>
              <w:t>فضول المطعم</w:t>
            </w:r>
            <w:r>
              <w:rPr>
                <w:rStyle w:val="IndexLink"/>
                <w:rtl w:val="true"/>
              </w:rPr>
              <w:t xml:space="preserve">) </w:t>
            </w:r>
            <w:r>
              <w:rPr>
                <w:rStyle w:val="IndexLink"/>
                <w:rtl w:val="true"/>
              </w:rPr>
              <w:t>مولوي؟</w:t>
            </w:r>
            <w:r>
              <w:rPr>
                <w:rStyle w:val="IndexLink"/>
                <w:rtl w:val="true"/>
              </w:rPr>
              <w:tab/>
            </w:r>
            <w:r>
              <w:rPr>
                <w:rStyle w:val="IndexLink"/>
              </w:rPr>
              <w:t>281</w:t>
            </w:r>
          </w:hyperlink>
        </w:p>
        <w:p>
          <w:pPr>
            <w:pStyle w:val="Contents4"/>
            <w:tabs>
              <w:tab w:val="clear" w:pos="8176"/>
              <w:tab w:val="right" w:pos="9026" w:leader="dot"/>
            </w:tabs>
            <w:rPr/>
          </w:pPr>
          <w:hyperlink w:anchor="__RefHeading___Toc3959629_1051229030">
            <w:r>
              <w:rPr>
                <w:webHidden/>
                <w:rStyle w:val="IndexLink"/>
                <w:rtl w:val="true"/>
              </w:rPr>
              <w:t>(</w:t>
            </w:r>
            <w:r>
              <w:rPr>
                <w:rStyle w:val="IndexLink"/>
                <w:rtl w:val="true"/>
              </w:rPr>
              <w:t>التواضع</w:t>
            </w:r>
            <w:r>
              <w:rPr>
                <w:rStyle w:val="IndexLink"/>
                <w:rtl w:val="true"/>
              </w:rPr>
              <w:t xml:space="preserve">) </w:t>
            </w:r>
            <w:r>
              <w:rPr>
                <w:rStyle w:val="IndexLink"/>
                <w:rtl w:val="true"/>
              </w:rPr>
              <w:t>من المستقلات العقلية والأمر به مولوي؟</w:t>
            </w:r>
            <w:r>
              <w:rPr>
                <w:rStyle w:val="IndexLink"/>
                <w:rtl w:val="true"/>
              </w:rPr>
              <w:tab/>
            </w:r>
            <w:r>
              <w:rPr>
                <w:rStyle w:val="IndexLink"/>
              </w:rPr>
              <w:t>282</w:t>
            </w:r>
          </w:hyperlink>
        </w:p>
        <w:p>
          <w:pPr>
            <w:pStyle w:val="Contents3"/>
            <w:tabs>
              <w:tab w:val="clear" w:pos="8459"/>
              <w:tab w:val="right" w:pos="9026" w:leader="dot"/>
            </w:tabs>
            <w:rPr/>
          </w:pPr>
          <w:hyperlink w:anchor="__RefHeading___Toc3959631_1051229030">
            <w:r>
              <w:rPr>
                <w:webHidden/>
                <w:rStyle w:val="IndexLink"/>
              </w:rPr>
              <w:t>5</w:t>
            </w:r>
            <w:r>
              <w:rPr>
                <w:rStyle w:val="IndexLink"/>
                <w:rtl w:val="true"/>
              </w:rPr>
              <w:t xml:space="preserve">- </w:t>
            </w:r>
            <w:r>
              <w:rPr>
                <w:rStyle w:val="IndexLink"/>
                <w:rtl w:val="true"/>
              </w:rPr>
              <w:t>الأوامر والنواهي في الشؤون الإدارية وشؤون النظم أو السعادة</w:t>
            </w:r>
            <w:r>
              <w:rPr>
                <w:rStyle w:val="IndexLink"/>
                <w:rtl w:val="true"/>
              </w:rPr>
              <w:tab/>
            </w:r>
            <w:r>
              <w:rPr>
                <w:rStyle w:val="IndexLink"/>
              </w:rPr>
              <w:t>284</w:t>
            </w:r>
          </w:hyperlink>
        </w:p>
        <w:p>
          <w:pPr>
            <w:pStyle w:val="Contents4"/>
            <w:tabs>
              <w:tab w:val="clear" w:pos="8176"/>
              <w:tab w:val="right" w:pos="9026" w:leader="dot"/>
            </w:tabs>
            <w:rPr/>
          </w:pPr>
          <w:hyperlink w:anchor="__RefHeading___Toc3959633_105122903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3959635_1051229030">
            <w:r>
              <w:rPr>
                <w:webHidden/>
                <w:rStyle w:val="IndexLink"/>
                <w:rtl w:val="true"/>
              </w:rPr>
              <w:t>من روايات النظم والنظام</w:t>
            </w:r>
            <w:r>
              <w:rPr>
                <w:rStyle w:val="IndexLink"/>
                <w:rtl w:val="true"/>
              </w:rPr>
              <w:tab/>
            </w:r>
            <w:r>
              <w:rPr>
                <w:rStyle w:val="IndexLink"/>
              </w:rPr>
              <w:t>285</w:t>
            </w:r>
          </w:hyperlink>
        </w:p>
        <w:p>
          <w:pPr>
            <w:pStyle w:val="Contents4"/>
            <w:tabs>
              <w:tab w:val="clear" w:pos="8176"/>
              <w:tab w:val="right" w:pos="9026" w:leader="dot"/>
            </w:tabs>
            <w:rPr/>
          </w:pPr>
          <w:hyperlink w:anchor="__RefHeading___Toc3959637_1051229030">
            <w:r>
              <w:rPr>
                <w:webHidden/>
                <w:rStyle w:val="IndexLink"/>
                <w:rtl w:val="true"/>
              </w:rPr>
              <w:t>(</w:t>
            </w:r>
            <w:r>
              <w:rPr>
                <w:rStyle w:val="IndexLink"/>
                <w:rtl w:val="true"/>
              </w:rPr>
              <w:t>الوصية</w:t>
            </w:r>
            <w:r>
              <w:rPr>
                <w:rStyle w:val="IndexLink"/>
                <w:rtl w:val="true"/>
              </w:rPr>
              <w:t xml:space="preserve">) </w:t>
            </w:r>
            <w:r>
              <w:rPr>
                <w:rStyle w:val="IndexLink"/>
                <w:rtl w:val="true"/>
              </w:rPr>
              <w:t>تنقسم للإرشادية والمولوية</w:t>
            </w:r>
            <w:r>
              <w:rPr>
                <w:rStyle w:val="IndexLink"/>
                <w:rtl w:val="true"/>
              </w:rPr>
              <w:tab/>
            </w:r>
            <w:r>
              <w:rPr>
                <w:rStyle w:val="IndexLink"/>
              </w:rPr>
              <w:t>287</w:t>
            </w:r>
          </w:hyperlink>
        </w:p>
        <w:p>
          <w:pPr>
            <w:pStyle w:val="Contents4"/>
            <w:tabs>
              <w:tab w:val="clear" w:pos="8176"/>
              <w:tab w:val="right" w:pos="9026" w:leader="dot"/>
            </w:tabs>
            <w:rPr/>
          </w:pPr>
          <w:hyperlink w:anchor="__RefHeading___Toc3959639_1051229030">
            <w:r>
              <w:rPr>
                <w:webHidden/>
                <w:rStyle w:val="IndexLink"/>
                <w:rtl w:val="true"/>
              </w:rPr>
              <w:t xml:space="preserve">الأقوال في </w:t>
            </w:r>
            <w:r>
              <w:rPr>
                <w:rStyle w:val="IndexLink"/>
                <w:rtl w:val="true"/>
              </w:rPr>
              <w:t>(</w:t>
            </w:r>
            <w:r>
              <w:rPr>
                <w:rStyle w:val="IndexLink"/>
                <w:rtl w:val="true"/>
              </w:rPr>
              <w:t>الوصية</w:t>
            </w:r>
            <w:r>
              <w:rPr>
                <w:rStyle w:val="IndexLink"/>
                <w:rtl w:val="true"/>
              </w:rPr>
              <w:t xml:space="preserve">) </w:t>
            </w:r>
            <w:r>
              <w:rPr>
                <w:rStyle w:val="IndexLink"/>
                <w:rtl w:val="true"/>
              </w:rPr>
              <w:t>ومعانيها</w:t>
            </w:r>
            <w:r>
              <w:rPr>
                <w:rStyle w:val="IndexLink"/>
                <w:rtl w:val="true"/>
              </w:rPr>
              <w:tab/>
            </w:r>
            <w:r>
              <w:rPr>
                <w:rStyle w:val="IndexLink"/>
              </w:rPr>
              <w:t>288</w:t>
            </w:r>
          </w:hyperlink>
        </w:p>
        <w:p>
          <w:pPr>
            <w:pStyle w:val="Contents4"/>
            <w:tabs>
              <w:tab w:val="clear" w:pos="8176"/>
              <w:tab w:val="right" w:pos="9026" w:leader="dot"/>
            </w:tabs>
            <w:rPr/>
          </w:pPr>
          <w:hyperlink w:anchor="__RefHeading___Toc3959641_1051229030">
            <w:r>
              <w:rPr>
                <w:webHidden/>
                <w:rStyle w:val="IndexLink"/>
                <w:rtl w:val="true"/>
              </w:rPr>
              <w:t>الوصية بالنظم مولوية، على كل معانيها</w:t>
            </w:r>
            <w:r>
              <w:rPr>
                <w:rStyle w:val="IndexLink"/>
                <w:rtl w:val="true"/>
              </w:rPr>
              <w:tab/>
            </w:r>
            <w:r>
              <w:rPr>
                <w:rStyle w:val="IndexLink"/>
              </w:rPr>
              <w:t>290</w:t>
            </w:r>
          </w:hyperlink>
        </w:p>
        <w:p>
          <w:pPr>
            <w:pStyle w:val="Contents4"/>
            <w:tabs>
              <w:tab w:val="clear" w:pos="8176"/>
              <w:tab w:val="right" w:pos="9026" w:leader="dot"/>
            </w:tabs>
            <w:rPr/>
          </w:pPr>
          <w:hyperlink w:anchor="__RefHeading___Toc3959643_1051229030">
            <w:r>
              <w:rPr>
                <w:webHidden/>
                <w:rStyle w:val="IndexLink"/>
                <w:rtl w:val="true"/>
              </w:rPr>
              <w:t xml:space="preserve">ضوابط المولوية منطبقة على </w:t>
            </w:r>
            <w:r>
              <w:rPr>
                <w:rStyle w:val="IndexLink"/>
                <w:rtl w:val="true"/>
              </w:rPr>
              <w:t>(</w:t>
            </w:r>
            <w:r>
              <w:rPr>
                <w:rStyle w:val="IndexLink"/>
                <w:rtl w:val="true"/>
              </w:rPr>
              <w:t>الوصية</w:t>
            </w:r>
            <w:r>
              <w:rPr>
                <w:rStyle w:val="IndexLink"/>
                <w:rtl w:val="true"/>
              </w:rPr>
              <w:t>)</w:t>
              <w:tab/>
            </w:r>
            <w:r>
              <w:rPr>
                <w:rStyle w:val="IndexLink"/>
              </w:rPr>
              <w:t>291</w:t>
            </w:r>
          </w:hyperlink>
        </w:p>
        <w:p>
          <w:pPr>
            <w:pStyle w:val="Contents4"/>
            <w:tabs>
              <w:tab w:val="clear" w:pos="8176"/>
              <w:tab w:val="right" w:pos="9026" w:leader="dot"/>
            </w:tabs>
            <w:rPr/>
          </w:pPr>
          <w:hyperlink w:anchor="__RefHeading___Toc3959645_1051229030">
            <w:r>
              <w:rPr>
                <w:webHidden/>
                <w:rStyle w:val="IndexLink"/>
                <w:rtl w:val="true"/>
              </w:rPr>
              <w:t xml:space="preserve">العموم في </w:t>
            </w:r>
            <w:r>
              <w:rPr>
                <w:rStyle w:val="IndexLink"/>
                <w:rtl w:val="true"/>
              </w:rPr>
              <w:t>(</w:t>
            </w:r>
            <w:r>
              <w:rPr>
                <w:rStyle w:val="IndexLink"/>
                <w:rtl w:val="true"/>
              </w:rPr>
              <w:t>نظم أمركم</w:t>
            </w:r>
            <w:r>
              <w:rPr>
                <w:rStyle w:val="IndexLink"/>
                <w:rtl w:val="true"/>
              </w:rPr>
              <w:t>)</w:t>
              <w:tab/>
            </w:r>
            <w:r>
              <w:rPr>
                <w:rStyle w:val="IndexLink"/>
              </w:rPr>
              <w:t>292</w:t>
            </w:r>
          </w:hyperlink>
        </w:p>
        <w:p>
          <w:pPr>
            <w:pStyle w:val="Contents4"/>
            <w:tabs>
              <w:tab w:val="clear" w:pos="8176"/>
              <w:tab w:val="right" w:pos="9026" w:leader="dot"/>
            </w:tabs>
            <w:rPr/>
          </w:pPr>
          <w:hyperlink w:anchor="__RefHeading___Toc3959647_1051229030">
            <w:r>
              <w:rPr>
                <w:webHidden/>
                <w:rStyle w:val="IndexLink"/>
                <w:rtl w:val="true"/>
              </w:rPr>
              <w:t>(</w:t>
            </w:r>
            <w:r>
              <w:rPr>
                <w:rStyle w:val="IndexLink"/>
                <w:rtl w:val="true"/>
              </w:rPr>
              <w:t>نظام الأمة</w:t>
            </w:r>
            <w:r>
              <w:rPr>
                <w:rStyle w:val="IndexLink"/>
                <w:rtl w:val="true"/>
              </w:rPr>
              <w:t xml:space="preserve">) </w:t>
            </w:r>
            <w:r>
              <w:rPr>
                <w:rStyle w:val="IndexLink"/>
                <w:rtl w:val="true"/>
              </w:rPr>
              <w:t>غاية وعلة للإمامة والأمانة، أو حكمة؟</w:t>
            </w:r>
            <w:r>
              <w:rPr>
                <w:rStyle w:val="IndexLink"/>
                <w:rtl w:val="true"/>
              </w:rPr>
              <w:tab/>
            </w:r>
            <w:r>
              <w:rPr>
                <w:rStyle w:val="IndexLink"/>
              </w:rPr>
              <w:t>292</w:t>
            </w:r>
          </w:hyperlink>
        </w:p>
        <w:p>
          <w:pPr>
            <w:pStyle w:val="Contents4"/>
            <w:tabs>
              <w:tab w:val="clear" w:pos="8176"/>
              <w:tab w:val="right" w:pos="9026" w:leader="dot"/>
            </w:tabs>
            <w:rPr/>
          </w:pPr>
          <w:hyperlink w:anchor="__RefHeading___Toc3959649_1051229030">
            <w:r>
              <w:rPr>
                <w:webHidden/>
                <w:rStyle w:val="IndexLink"/>
                <w:rtl w:val="true"/>
              </w:rPr>
              <w:t>(</w:t>
            </w:r>
            <w:r>
              <w:rPr>
                <w:rStyle w:val="IndexLink"/>
                <w:rtl w:val="true"/>
              </w:rPr>
              <w:t>التدبير في المعيشة</w:t>
            </w:r>
            <w:r>
              <w:rPr>
                <w:rStyle w:val="IndexLink"/>
                <w:rtl w:val="true"/>
              </w:rPr>
              <w:t>)</w:t>
              <w:tab/>
            </w:r>
            <w:r>
              <w:rPr>
                <w:rStyle w:val="IndexLink"/>
              </w:rPr>
              <w:t>294</w:t>
            </w:r>
          </w:hyperlink>
        </w:p>
        <w:p>
          <w:pPr>
            <w:pStyle w:val="Contents4"/>
            <w:tabs>
              <w:tab w:val="clear" w:pos="8176"/>
              <w:tab w:val="right" w:pos="9026" w:leader="dot"/>
            </w:tabs>
            <w:rPr/>
          </w:pPr>
          <w:hyperlink w:anchor="__RefHeading___Toc3959651_1051229030">
            <w:r>
              <w:rPr>
                <w:webHidden/>
                <w:rStyle w:val="IndexLink"/>
                <w:rtl w:val="true"/>
              </w:rPr>
              <w:t>روايات يستفاد منها</w:t>
            </w:r>
            <w:r>
              <w:rPr>
                <w:rStyle w:val="IndexLink"/>
                <w:rtl w:val="true"/>
              </w:rPr>
              <w:t xml:space="preserve">: </w:t>
            </w:r>
            <w:r>
              <w:rPr>
                <w:rStyle w:val="IndexLink"/>
                <w:rtl w:val="true"/>
              </w:rPr>
              <w:t xml:space="preserve">مولوية </w:t>
            </w:r>
            <w:r>
              <w:rPr>
                <w:rStyle w:val="IndexLink"/>
                <w:rtl w:val="true"/>
              </w:rPr>
              <w:t>(</w:t>
            </w:r>
            <w:r>
              <w:rPr>
                <w:rStyle w:val="IndexLink"/>
                <w:rtl w:val="true"/>
              </w:rPr>
              <w:t>التدبير في المعيشة</w:t>
            </w:r>
            <w:r>
              <w:rPr>
                <w:rStyle w:val="IndexLink"/>
                <w:rtl w:val="true"/>
              </w:rPr>
              <w:t>)</w:t>
              <w:tab/>
            </w:r>
            <w:r>
              <w:rPr>
                <w:rStyle w:val="IndexLink"/>
              </w:rPr>
              <w:t>294</w:t>
            </w:r>
          </w:hyperlink>
        </w:p>
        <w:p>
          <w:pPr>
            <w:pStyle w:val="Contents4"/>
            <w:tabs>
              <w:tab w:val="clear" w:pos="8176"/>
              <w:tab w:val="right" w:pos="9026" w:leader="dot"/>
            </w:tabs>
            <w:rPr/>
          </w:pPr>
          <w:hyperlink w:anchor="__RefHeading___Toc3959653_1051229030">
            <w:r>
              <w:rPr>
                <w:webHidden/>
                <w:rStyle w:val="IndexLink"/>
                <w:rtl w:val="true"/>
              </w:rPr>
              <w:t xml:space="preserve">احتمالا المولوية والإرشادية في أوامر </w:t>
            </w:r>
            <w:r>
              <w:rPr>
                <w:rStyle w:val="IndexLink"/>
                <w:rtl w:val="true"/>
              </w:rPr>
              <w:t>(</w:t>
            </w:r>
            <w:r>
              <w:rPr>
                <w:rStyle w:val="IndexLink"/>
                <w:rtl w:val="true"/>
              </w:rPr>
              <w:t>التدبير</w:t>
            </w:r>
            <w:r>
              <w:rPr>
                <w:rStyle w:val="IndexLink"/>
                <w:rtl w:val="true"/>
              </w:rPr>
              <w:t>)</w:t>
              <w:tab/>
            </w:r>
            <w:r>
              <w:rPr>
                <w:rStyle w:val="IndexLink"/>
              </w:rPr>
              <w:t>296</w:t>
            </w:r>
          </w:hyperlink>
        </w:p>
        <w:p>
          <w:pPr>
            <w:pStyle w:val="Contents4"/>
            <w:tabs>
              <w:tab w:val="clear" w:pos="8176"/>
              <w:tab w:val="right" w:pos="9026" w:leader="dot"/>
            </w:tabs>
            <w:rPr/>
          </w:pPr>
          <w:hyperlink w:anchor="__RefHeading___Toc3959655_1051229030">
            <w:r>
              <w:rPr>
                <w:webHidden/>
                <w:rStyle w:val="IndexLink"/>
                <w:rtl w:val="true"/>
              </w:rPr>
              <w:t xml:space="preserve">الأوامر والنواهي في </w:t>
            </w:r>
            <w:r>
              <w:rPr>
                <w:rStyle w:val="IndexLink"/>
                <w:rtl w:val="true"/>
              </w:rPr>
              <w:t>(</w:t>
            </w:r>
            <w:r>
              <w:rPr>
                <w:rStyle w:val="IndexLink"/>
                <w:rtl w:val="true"/>
              </w:rPr>
              <w:t>الحدود</w:t>
            </w:r>
            <w:r>
              <w:rPr>
                <w:rStyle w:val="IndexLink"/>
                <w:rtl w:val="true"/>
              </w:rPr>
              <w:t xml:space="preserve">) </w:t>
            </w:r>
            <w:r>
              <w:rPr>
                <w:rStyle w:val="IndexLink"/>
                <w:rtl w:val="true"/>
              </w:rPr>
              <w:t>بالمعنى الأعم</w:t>
            </w:r>
            <w:r>
              <w:rPr>
                <w:rStyle w:val="IndexLink"/>
                <w:rtl w:val="true"/>
              </w:rPr>
              <w:tab/>
            </w:r>
            <w:r>
              <w:rPr>
                <w:rStyle w:val="IndexLink"/>
              </w:rPr>
              <w:t>297</w:t>
            </w:r>
          </w:hyperlink>
        </w:p>
        <w:p>
          <w:pPr>
            <w:pStyle w:val="Contents4"/>
            <w:tabs>
              <w:tab w:val="clear" w:pos="8176"/>
              <w:tab w:val="right" w:pos="9026" w:leader="dot"/>
            </w:tabs>
            <w:rPr/>
          </w:pPr>
          <w:hyperlink w:anchor="__RefHeading___Toc3959657_1051229030">
            <w:r>
              <w:rPr>
                <w:webHidden/>
                <w:rStyle w:val="IndexLink"/>
                <w:rtl w:val="true"/>
              </w:rPr>
              <w:t>هل هي مولوية أم إرشادية؟</w:t>
            </w:r>
            <w:r>
              <w:rPr>
                <w:rStyle w:val="IndexLink"/>
                <w:rtl w:val="true"/>
              </w:rPr>
              <w:tab/>
            </w:r>
            <w:r>
              <w:rPr>
                <w:rStyle w:val="IndexLink"/>
              </w:rPr>
              <w:t>299</w:t>
            </w:r>
          </w:hyperlink>
        </w:p>
        <w:p>
          <w:pPr>
            <w:pStyle w:val="Contents4"/>
            <w:tabs>
              <w:tab w:val="clear" w:pos="8176"/>
              <w:tab w:val="right" w:pos="9026" w:leader="dot"/>
            </w:tabs>
            <w:rPr/>
          </w:pPr>
          <w:hyperlink w:anchor="__RefHeading___Toc3959659_1051229030">
            <w:r>
              <w:rPr>
                <w:webHidden/>
                <w:rStyle w:val="IndexLink"/>
                <w:rtl w:val="true"/>
              </w:rPr>
              <w:t>(</w:t>
            </w:r>
            <w:r>
              <w:rPr>
                <w:rStyle w:val="IndexLink"/>
                <w:rtl w:val="true"/>
              </w:rPr>
              <w:t>الحدود</w:t>
            </w:r>
            <w:r>
              <w:rPr>
                <w:rStyle w:val="IndexLink"/>
                <w:rtl w:val="true"/>
              </w:rPr>
              <w:t xml:space="preserve">) </w:t>
            </w:r>
            <w:r>
              <w:rPr>
                <w:rStyle w:val="IndexLink"/>
                <w:rtl w:val="true"/>
              </w:rPr>
              <w:t>بالمعنى الأخص</w:t>
            </w:r>
            <w:r>
              <w:rPr>
                <w:rStyle w:val="IndexLink"/>
                <w:rtl w:val="true"/>
              </w:rPr>
              <w:tab/>
            </w:r>
            <w:r>
              <w:rPr>
                <w:rStyle w:val="IndexLink"/>
              </w:rPr>
              <w:t>299</w:t>
            </w:r>
          </w:hyperlink>
        </w:p>
        <w:p>
          <w:pPr>
            <w:pStyle w:val="Contents4"/>
            <w:tabs>
              <w:tab w:val="clear" w:pos="8176"/>
              <w:tab w:val="right" w:pos="9026" w:leader="dot"/>
            </w:tabs>
            <w:rPr/>
          </w:pPr>
          <w:hyperlink w:anchor="__RefHeading___Toc3959661_1051229030">
            <w:r>
              <w:rPr>
                <w:webHidden/>
                <w:rStyle w:val="IndexLink"/>
                <w:rtl w:val="true"/>
              </w:rPr>
              <w:t>(</w:t>
            </w:r>
            <w:r>
              <w:rPr>
                <w:rStyle w:val="IndexLink"/>
                <w:rtl w:val="true"/>
              </w:rPr>
              <w:t>الحدود</w:t>
            </w:r>
            <w:r>
              <w:rPr>
                <w:rStyle w:val="IndexLink"/>
                <w:rtl w:val="true"/>
              </w:rPr>
              <w:t xml:space="preserve">) </w:t>
            </w:r>
            <w:r>
              <w:rPr>
                <w:rStyle w:val="IndexLink"/>
                <w:rtl w:val="true"/>
              </w:rPr>
              <w:t>أعم من التكليفية والوضعية</w:t>
            </w:r>
            <w:r>
              <w:rPr>
                <w:rStyle w:val="IndexLink"/>
                <w:rtl w:val="true"/>
              </w:rPr>
              <w:tab/>
            </w:r>
            <w:r>
              <w:rPr>
                <w:rStyle w:val="IndexLink"/>
              </w:rPr>
              <w:t>300</w:t>
            </w:r>
          </w:hyperlink>
        </w:p>
        <w:p>
          <w:pPr>
            <w:pStyle w:val="Contents4"/>
            <w:tabs>
              <w:tab w:val="clear" w:pos="8176"/>
              <w:tab w:val="right" w:pos="9026" w:leader="dot"/>
            </w:tabs>
            <w:rPr/>
          </w:pPr>
          <w:hyperlink w:anchor="__RefHeading___Toc3959663_1051229030">
            <w:r>
              <w:rPr>
                <w:webHidden/>
                <w:rStyle w:val="IndexLink"/>
                <w:rtl w:val="true"/>
              </w:rPr>
              <w:t>متى تعطل الحدود؟</w:t>
            </w:r>
            <w:r>
              <w:rPr>
                <w:rStyle w:val="IndexLink"/>
                <w:rtl w:val="true"/>
              </w:rPr>
              <w:tab/>
            </w:r>
            <w:r>
              <w:rPr>
                <w:rStyle w:val="IndexLink"/>
              </w:rPr>
              <w:t>302</w:t>
            </w:r>
          </w:hyperlink>
        </w:p>
        <w:p>
          <w:pPr>
            <w:pStyle w:val="Contents4"/>
            <w:tabs>
              <w:tab w:val="clear" w:pos="8176"/>
              <w:tab w:val="right" w:pos="9026" w:leader="dot"/>
            </w:tabs>
            <w:rPr/>
          </w:pPr>
          <w:hyperlink w:anchor="__RefHeading___Toc3959665_1051229030">
            <w:r>
              <w:rPr>
                <w:webHidden/>
                <w:rStyle w:val="IndexLink"/>
                <w:rtl w:val="true"/>
              </w:rPr>
              <w:t xml:space="preserve">هل </w:t>
            </w:r>
            <w:r>
              <w:rPr>
                <w:rStyle w:val="IndexLink"/>
                <w:rtl w:val="true"/>
              </w:rPr>
              <w:t>(</w:t>
            </w:r>
            <w:r>
              <w:rPr>
                <w:rStyle w:val="IndexLink"/>
                <w:rtl w:val="true"/>
              </w:rPr>
              <w:t>عظوهن واهجروهن</w:t>
            </w:r>
            <w:r>
              <w:rPr>
                <w:rStyle w:val="IndexLink"/>
                <w:rtl w:val="true"/>
              </w:rPr>
              <w:t xml:space="preserve">) </w:t>
            </w:r>
            <w:r>
              <w:rPr>
                <w:rStyle w:val="IndexLink"/>
                <w:rtl w:val="true"/>
              </w:rPr>
              <w:t>مولوي أو إرشادي؟</w:t>
            </w:r>
            <w:r>
              <w:rPr>
                <w:rStyle w:val="IndexLink"/>
                <w:rtl w:val="true"/>
              </w:rPr>
              <w:tab/>
            </w:r>
            <w:r>
              <w:rPr>
                <w:rStyle w:val="IndexLink"/>
              </w:rPr>
              <w:t>304</w:t>
            </w:r>
          </w:hyperlink>
        </w:p>
        <w:p>
          <w:pPr>
            <w:pStyle w:val="Contents4"/>
            <w:tabs>
              <w:tab w:val="clear" w:pos="8176"/>
              <w:tab w:val="right" w:pos="9026" w:leader="dot"/>
            </w:tabs>
            <w:rPr/>
          </w:pPr>
          <w:hyperlink w:anchor="__RefHeading___Toc3959667_1051229030">
            <w:r>
              <w:rPr>
                <w:webHidden/>
                <w:rStyle w:val="IndexLink"/>
                <w:rtl w:val="true"/>
              </w:rPr>
              <w:t>فلسفة الضرب التأديبي وشروطه</w:t>
            </w:r>
            <w:r>
              <w:rPr>
                <w:rStyle w:val="IndexLink"/>
                <w:rtl w:val="true"/>
              </w:rPr>
              <w:tab/>
            </w:r>
            <w:r>
              <w:rPr>
                <w:rStyle w:val="IndexLink"/>
              </w:rPr>
              <w:t>307</w:t>
            </w:r>
          </w:hyperlink>
        </w:p>
        <w:p>
          <w:pPr>
            <w:pStyle w:val="Contents3"/>
            <w:tabs>
              <w:tab w:val="clear" w:pos="8459"/>
              <w:tab w:val="right" w:pos="9026" w:leader="dot"/>
            </w:tabs>
            <w:rPr/>
          </w:pPr>
          <w:hyperlink w:anchor="__RefHeading___Toc3959669_1051229030">
            <w:r>
              <w:rPr>
                <w:webHidden/>
                <w:rStyle w:val="IndexLink"/>
              </w:rPr>
              <w:t>6</w:t>
            </w:r>
            <w:r>
              <w:rPr>
                <w:rStyle w:val="IndexLink"/>
                <w:rtl w:val="true"/>
              </w:rPr>
              <w:t xml:space="preserve">- </w:t>
            </w:r>
            <w:r>
              <w:rPr>
                <w:rStyle w:val="IndexLink"/>
                <w:rtl w:val="true"/>
              </w:rPr>
              <w:t>الأوامر والنواهي في الشؤون الاقتصادية</w:t>
            </w:r>
            <w:r>
              <w:rPr>
                <w:rStyle w:val="IndexLink"/>
                <w:rtl w:val="true"/>
              </w:rPr>
              <w:tab/>
            </w:r>
            <w:r>
              <w:rPr>
                <w:rStyle w:val="IndexLink"/>
              </w:rPr>
              <w:t>312</w:t>
            </w:r>
          </w:hyperlink>
        </w:p>
        <w:p>
          <w:pPr>
            <w:pStyle w:val="Contents4"/>
            <w:tabs>
              <w:tab w:val="clear" w:pos="8176"/>
              <w:tab w:val="right" w:pos="9026" w:leader="dot"/>
            </w:tabs>
            <w:rPr/>
          </w:pPr>
          <w:hyperlink w:anchor="__RefHeading___Toc3959671_105122903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959673_1051229030">
            <w:r>
              <w:rPr>
                <w:webHidden/>
                <w:rStyle w:val="IndexLink"/>
                <w:rtl w:val="true"/>
              </w:rPr>
              <w:t xml:space="preserve">هل </w:t>
            </w:r>
            <w:r>
              <w:rPr>
                <w:rStyle w:val="IndexLink"/>
                <w:rtl w:val="true"/>
              </w:rPr>
              <w:t>(</w:t>
            </w:r>
            <w:r>
              <w:rPr>
                <w:rStyle w:val="IndexLink"/>
                <w:rtl w:val="true"/>
              </w:rPr>
              <w:t>لكم</w:t>
            </w:r>
            <w:r>
              <w:rPr>
                <w:rStyle w:val="IndexLink"/>
                <w:rtl w:val="true"/>
              </w:rPr>
              <w:t xml:space="preserve">) </w:t>
            </w:r>
            <w:r>
              <w:rPr>
                <w:rStyle w:val="IndexLink"/>
                <w:rtl w:val="true"/>
              </w:rPr>
              <w:t>في الآية، مولوي أم إرشادي؟</w:t>
            </w:r>
            <w:r>
              <w:rPr>
                <w:rStyle w:val="IndexLink"/>
                <w:rtl w:val="true"/>
              </w:rPr>
              <w:tab/>
            </w:r>
            <w:r>
              <w:rPr>
                <w:rStyle w:val="IndexLink"/>
              </w:rPr>
              <w:t>313</w:t>
            </w:r>
          </w:hyperlink>
        </w:p>
        <w:p>
          <w:pPr>
            <w:pStyle w:val="Contents4"/>
            <w:tabs>
              <w:tab w:val="clear" w:pos="8176"/>
              <w:tab w:val="right" w:pos="9026" w:leader="dot"/>
            </w:tabs>
            <w:rPr/>
          </w:pPr>
          <w:hyperlink w:anchor="__RefHeading___Toc3959675_1051229030">
            <w:r>
              <w:rPr>
                <w:webHidden/>
                <w:rStyle w:val="IndexLink"/>
                <w:rtl w:val="true"/>
              </w:rPr>
              <w:t>شأن النزول لا يخصص الوارد</w:t>
            </w:r>
            <w:r>
              <w:rPr>
                <w:rStyle w:val="IndexLink"/>
                <w:rtl w:val="true"/>
              </w:rPr>
              <w:tab/>
            </w:r>
            <w:r>
              <w:rPr>
                <w:rStyle w:val="IndexLink"/>
              </w:rPr>
              <w:t>313</w:t>
            </w:r>
          </w:hyperlink>
        </w:p>
        <w:p>
          <w:pPr>
            <w:pStyle w:val="Contents4"/>
            <w:tabs>
              <w:tab w:val="clear" w:pos="8176"/>
              <w:tab w:val="right" w:pos="9026" w:leader="dot"/>
            </w:tabs>
            <w:rPr/>
          </w:pPr>
          <w:hyperlink w:anchor="__RefHeading___Toc3959677_1051229030">
            <w:r>
              <w:rPr>
                <w:webHidden/>
                <w:rStyle w:val="IndexLink"/>
                <w:rtl w:val="true"/>
              </w:rPr>
              <w:t xml:space="preserve">قاعدة </w:t>
            </w:r>
            <w:r>
              <w:rPr>
                <w:rStyle w:val="IndexLink"/>
                <w:rtl w:val="true"/>
              </w:rPr>
              <w:t>«</w:t>
            </w:r>
            <w:r>
              <w:rPr>
                <w:rStyle w:val="IndexLink"/>
                <w:rtl w:val="true"/>
              </w:rPr>
              <w:t>لا تَظلمون ولا تُظلمون</w:t>
            </w:r>
            <w:r>
              <w:rPr>
                <w:rStyle w:val="IndexLink"/>
                <w:rtl w:val="true"/>
              </w:rPr>
              <w:t>»</w:t>
              <w:tab/>
            </w:r>
            <w:r>
              <w:rPr>
                <w:rStyle w:val="IndexLink"/>
              </w:rPr>
              <w:t>314</w:t>
            </w:r>
          </w:hyperlink>
        </w:p>
        <w:p>
          <w:pPr>
            <w:pStyle w:val="Contents4"/>
            <w:tabs>
              <w:tab w:val="clear" w:pos="8176"/>
              <w:tab w:val="right" w:pos="9026" w:leader="dot"/>
            </w:tabs>
            <w:rPr/>
          </w:pPr>
          <w:hyperlink w:anchor="__RefHeading___Toc3959679_1051229030">
            <w:r>
              <w:rPr>
                <w:webHidden/>
                <w:rStyle w:val="IndexLink"/>
                <w:rtl w:val="true"/>
              </w:rPr>
              <w:t>شواهد على كون النهي مولوياً</w:t>
            </w:r>
            <w:r>
              <w:rPr>
                <w:rStyle w:val="IndexLink"/>
                <w:rtl w:val="true"/>
              </w:rPr>
              <w:tab/>
            </w:r>
            <w:r>
              <w:rPr>
                <w:rStyle w:val="IndexLink"/>
              </w:rPr>
              <w:t>315</w:t>
            </w:r>
          </w:hyperlink>
        </w:p>
        <w:p>
          <w:pPr>
            <w:pStyle w:val="Contents4"/>
            <w:tabs>
              <w:tab w:val="clear" w:pos="8176"/>
              <w:tab w:val="right" w:pos="9026" w:leader="dot"/>
            </w:tabs>
            <w:rPr/>
          </w:pPr>
          <w:hyperlink w:anchor="__RefHeading___Toc3959681_1051229030">
            <w:r>
              <w:rPr>
                <w:webHidden/>
                <w:rStyle w:val="IndexLink"/>
                <w:rtl w:val="true"/>
              </w:rPr>
              <w:t>الإرشادية، على المسالك الأخرى</w:t>
            </w:r>
            <w:r>
              <w:rPr>
                <w:rStyle w:val="IndexLink"/>
                <w:rtl w:val="true"/>
              </w:rPr>
              <w:tab/>
            </w:r>
            <w:r>
              <w:rPr>
                <w:rStyle w:val="IndexLink"/>
              </w:rPr>
              <w:t>316</w:t>
            </w:r>
          </w:hyperlink>
        </w:p>
        <w:p>
          <w:pPr>
            <w:pStyle w:val="Contents4"/>
            <w:tabs>
              <w:tab w:val="clear" w:pos="8176"/>
              <w:tab w:val="right" w:pos="9026" w:leader="dot"/>
            </w:tabs>
            <w:rPr/>
          </w:pPr>
          <w:hyperlink w:anchor="__RefHeading___Toc3959683_1051229030">
            <w:r>
              <w:rPr>
                <w:webHidden/>
                <w:rStyle w:val="IndexLink"/>
                <w:rtl w:val="true"/>
              </w:rPr>
              <w:t>ومن الإشكالات عليها</w:t>
            </w:r>
            <w:r>
              <w:rPr>
                <w:rStyle w:val="IndexLink"/>
                <w:rtl w:val="true"/>
              </w:rPr>
              <w:tab/>
            </w:r>
            <w:r>
              <w:rPr>
                <w:rStyle w:val="IndexLink"/>
              </w:rPr>
              <w:t>317</w:t>
            </w:r>
          </w:hyperlink>
        </w:p>
        <w:p>
          <w:pPr>
            <w:pStyle w:val="Contents4"/>
            <w:tabs>
              <w:tab w:val="clear" w:pos="8176"/>
              <w:tab w:val="right" w:pos="9026" w:leader="dot"/>
            </w:tabs>
            <w:rPr/>
          </w:pPr>
          <w:hyperlink w:anchor="__RefHeading___Toc3959685_1051229030">
            <w:r>
              <w:rPr>
                <w:webHidden/>
                <w:rStyle w:val="IndexLink"/>
                <w:rtl w:val="true"/>
              </w:rPr>
              <w:t xml:space="preserve">شمول </w:t>
            </w:r>
            <w:r>
              <w:rPr>
                <w:rStyle w:val="IndexLink"/>
                <w:rtl w:val="true"/>
              </w:rPr>
              <w:t>(</w:t>
            </w:r>
            <w:r>
              <w:rPr>
                <w:rStyle w:val="IndexLink"/>
                <w:rtl w:val="true"/>
              </w:rPr>
              <w:t>الأكل بالباطل</w:t>
            </w:r>
            <w:r>
              <w:rPr>
                <w:rStyle w:val="IndexLink"/>
                <w:rtl w:val="true"/>
              </w:rPr>
              <w:t xml:space="preserve">) </w:t>
            </w:r>
            <w:r>
              <w:rPr>
                <w:rStyle w:val="IndexLink"/>
                <w:rtl w:val="true"/>
              </w:rPr>
              <w:t>للدولة</w:t>
            </w:r>
            <w:r>
              <w:rPr>
                <w:rStyle w:val="IndexLink"/>
                <w:rtl w:val="true"/>
              </w:rPr>
              <w:tab/>
            </w:r>
            <w:r>
              <w:rPr>
                <w:rStyle w:val="IndexLink"/>
              </w:rPr>
              <w:t>318</w:t>
            </w:r>
          </w:hyperlink>
        </w:p>
        <w:p>
          <w:pPr>
            <w:pStyle w:val="Contents4"/>
            <w:tabs>
              <w:tab w:val="clear" w:pos="8176"/>
              <w:tab w:val="right" w:pos="9026" w:leader="dot"/>
            </w:tabs>
            <w:rPr/>
          </w:pPr>
          <w:hyperlink w:anchor="__RefHeading___Toc3959687_1051229030">
            <w:r>
              <w:rPr>
                <w:webHidden/>
                <w:rStyle w:val="IndexLink"/>
                <w:rtl w:val="true"/>
              </w:rPr>
              <w:t xml:space="preserve">لماذا سمي </w:t>
            </w:r>
            <w:r>
              <w:rPr>
                <w:rStyle w:val="IndexLink"/>
                <w:rtl w:val="true"/>
              </w:rPr>
              <w:t>(</w:t>
            </w:r>
            <w:r>
              <w:rPr>
                <w:rStyle w:val="IndexLink"/>
                <w:rtl w:val="true"/>
              </w:rPr>
              <w:t>المال</w:t>
            </w:r>
            <w:r>
              <w:rPr>
                <w:rStyle w:val="IndexLink"/>
                <w:rtl w:val="true"/>
              </w:rPr>
              <w:t xml:space="preserve">) </w:t>
            </w:r>
            <w:r>
              <w:rPr>
                <w:rStyle w:val="IndexLink"/>
                <w:rtl w:val="true"/>
              </w:rPr>
              <w:t>مالاً؟</w:t>
            </w:r>
            <w:r>
              <w:rPr>
                <w:rStyle w:val="IndexLink"/>
                <w:rtl w:val="true"/>
              </w:rPr>
              <w:tab/>
            </w:r>
            <w:r>
              <w:rPr>
                <w:rStyle w:val="IndexLink"/>
              </w:rPr>
              <w:t>318</w:t>
            </w:r>
          </w:hyperlink>
        </w:p>
        <w:p>
          <w:pPr>
            <w:pStyle w:val="Contents4"/>
            <w:tabs>
              <w:tab w:val="clear" w:pos="8176"/>
              <w:tab w:val="right" w:pos="9026" w:leader="dot"/>
            </w:tabs>
            <w:rPr/>
          </w:pPr>
          <w:hyperlink w:anchor="__RefHeading___Toc3959689_1051229030">
            <w:r>
              <w:rPr>
                <w:webHidden/>
                <w:rStyle w:val="IndexLink"/>
                <w:rtl w:val="true"/>
              </w:rPr>
              <w:t>«</w:t>
            </w:r>
            <w:r>
              <w:rPr>
                <w:rStyle w:val="IndexLink"/>
                <w:rtl w:val="true"/>
              </w:rPr>
              <w:t>لا تؤتوا السفهاء أموالكم</w:t>
            </w:r>
            <w:r>
              <w:rPr>
                <w:rStyle w:val="IndexLink"/>
                <w:rtl w:val="true"/>
              </w:rPr>
              <w:t>»</w:t>
              <w:tab/>
            </w:r>
            <w:r>
              <w:rPr>
                <w:rStyle w:val="IndexLink"/>
              </w:rPr>
              <w:t>319</w:t>
            </w:r>
          </w:hyperlink>
        </w:p>
        <w:p>
          <w:pPr>
            <w:pStyle w:val="Contents4"/>
            <w:tabs>
              <w:tab w:val="clear" w:pos="8176"/>
              <w:tab w:val="right" w:pos="9026" w:leader="dot"/>
            </w:tabs>
            <w:rPr/>
          </w:pPr>
          <w:hyperlink w:anchor="__RefHeading___Toc3959691_1051229030">
            <w:r>
              <w:rPr>
                <w:webHidden/>
                <w:rStyle w:val="IndexLink"/>
                <w:rtl w:val="true"/>
              </w:rPr>
              <w:t>حرام نفسي أم غيري؟</w:t>
            </w:r>
            <w:r>
              <w:rPr>
                <w:rStyle w:val="IndexLink"/>
                <w:rtl w:val="true"/>
              </w:rPr>
              <w:tab/>
            </w:r>
            <w:r>
              <w:rPr>
                <w:rStyle w:val="IndexLink"/>
              </w:rPr>
              <w:t>320</w:t>
            </w:r>
          </w:hyperlink>
        </w:p>
        <w:p>
          <w:pPr>
            <w:pStyle w:val="Contents4"/>
            <w:tabs>
              <w:tab w:val="clear" w:pos="8176"/>
              <w:tab w:val="right" w:pos="9026" w:leader="dot"/>
            </w:tabs>
            <w:rPr/>
          </w:pPr>
          <w:hyperlink w:anchor="__RefHeading___Toc3959693_1051229030">
            <w:r>
              <w:rPr>
                <w:webHidden/>
                <w:rStyle w:val="IndexLink"/>
                <w:rtl w:val="true"/>
              </w:rPr>
              <w:t>هل الآية تشمل الحكومات والشركات؟</w:t>
            </w:r>
            <w:r>
              <w:rPr>
                <w:rStyle w:val="IndexLink"/>
                <w:rtl w:val="true"/>
              </w:rPr>
              <w:tab/>
            </w:r>
            <w:r>
              <w:rPr>
                <w:rStyle w:val="IndexLink"/>
              </w:rPr>
              <w:t>320</w:t>
            </w:r>
          </w:hyperlink>
        </w:p>
        <w:p>
          <w:pPr>
            <w:pStyle w:val="Contents4"/>
            <w:tabs>
              <w:tab w:val="clear" w:pos="8176"/>
              <w:tab w:val="right" w:pos="9026" w:leader="dot"/>
            </w:tabs>
            <w:rPr/>
          </w:pPr>
          <w:hyperlink w:anchor="__RefHeading___Toc3959695_1051229030">
            <w:r>
              <w:rPr>
                <w:webHidden/>
                <w:rStyle w:val="IndexLink"/>
                <w:rtl w:val="true"/>
              </w:rPr>
              <w:t>هل المخاطَب المجتمع أيضاً؟</w:t>
            </w:r>
            <w:r>
              <w:rPr>
                <w:rStyle w:val="IndexLink"/>
                <w:rtl w:val="true"/>
              </w:rPr>
              <w:tab/>
            </w:r>
            <w:r>
              <w:rPr>
                <w:rStyle w:val="IndexLink"/>
              </w:rPr>
              <w:t>321</w:t>
            </w:r>
          </w:hyperlink>
        </w:p>
        <w:p>
          <w:pPr>
            <w:pStyle w:val="Contents4"/>
            <w:tabs>
              <w:tab w:val="clear" w:pos="8176"/>
              <w:tab w:val="right" w:pos="9026" w:leader="dot"/>
            </w:tabs>
            <w:rPr/>
          </w:pPr>
          <w:hyperlink w:anchor="__RefHeading___Toc3959697_1051229030">
            <w:r>
              <w:rPr>
                <w:webHidden/>
                <w:rStyle w:val="IndexLink"/>
                <w:rtl w:val="true"/>
              </w:rPr>
              <w:t>«</w:t>
            </w:r>
            <w:r>
              <w:rPr>
                <w:rStyle w:val="IndexLink"/>
                <w:rtl w:val="true"/>
              </w:rPr>
              <w:t>لا تنقصوا المكيال والميزان</w:t>
            </w:r>
            <w:r>
              <w:rPr>
                <w:rStyle w:val="IndexLink"/>
                <w:rtl w:val="true"/>
              </w:rPr>
              <w:t>»</w:t>
              <w:tab/>
            </w:r>
            <w:r>
              <w:rPr>
                <w:rStyle w:val="IndexLink"/>
              </w:rPr>
              <w:t>322</w:t>
            </w:r>
          </w:hyperlink>
        </w:p>
        <w:p>
          <w:pPr>
            <w:pStyle w:val="Contents4"/>
            <w:tabs>
              <w:tab w:val="clear" w:pos="8176"/>
              <w:tab w:val="right" w:pos="9026" w:leader="dot"/>
            </w:tabs>
            <w:rPr/>
          </w:pPr>
          <w:hyperlink w:anchor="__RefHeading___Toc3959699_1051229030">
            <w:r>
              <w:rPr>
                <w:webHidden/>
                <w:rStyle w:val="IndexLink"/>
                <w:rtl w:val="true"/>
              </w:rPr>
              <w:t>الآية دليل نفي الضابط الخامس</w:t>
            </w:r>
            <w:r>
              <w:rPr>
                <w:rStyle w:val="IndexLink"/>
                <w:rtl w:val="true"/>
              </w:rPr>
              <w:tab/>
            </w:r>
            <w:r>
              <w:rPr>
                <w:rStyle w:val="IndexLink"/>
              </w:rPr>
              <w:t>323</w:t>
            </w:r>
          </w:hyperlink>
        </w:p>
        <w:p>
          <w:pPr>
            <w:pStyle w:val="Contents4"/>
            <w:tabs>
              <w:tab w:val="clear" w:pos="8176"/>
              <w:tab w:val="right" w:pos="9026" w:leader="dot"/>
            </w:tabs>
            <w:rPr/>
          </w:pPr>
          <w:hyperlink w:anchor="__RefHeading___Toc3959701_1051229030">
            <w:r>
              <w:rPr>
                <w:webHidden/>
                <w:rStyle w:val="IndexLink"/>
                <w:rtl w:val="true"/>
              </w:rPr>
              <w:t>«</w:t>
            </w:r>
            <w:r>
              <w:rPr>
                <w:rStyle w:val="IndexLink"/>
                <w:rtl w:val="true"/>
              </w:rPr>
              <w:t>أوفوا المكيال والميزان بالقسط</w:t>
            </w:r>
            <w:r>
              <w:rPr>
                <w:rStyle w:val="IndexLink"/>
                <w:rtl w:val="true"/>
              </w:rPr>
              <w:t>»</w:t>
              <w:tab/>
            </w:r>
            <w:r>
              <w:rPr>
                <w:rStyle w:val="IndexLink"/>
              </w:rPr>
              <w:t>323</w:t>
            </w:r>
          </w:hyperlink>
        </w:p>
        <w:p>
          <w:pPr>
            <w:pStyle w:val="Contents4"/>
            <w:tabs>
              <w:tab w:val="clear" w:pos="8176"/>
              <w:tab w:val="right" w:pos="9026" w:leader="dot"/>
            </w:tabs>
            <w:rPr/>
          </w:pPr>
          <w:hyperlink w:anchor="__RefHeading___Toc3959703_1051229030">
            <w:r>
              <w:rPr>
                <w:webHidden/>
                <w:rStyle w:val="IndexLink"/>
                <w:rtl w:val="true"/>
              </w:rPr>
              <w:t xml:space="preserve">وأما </w:t>
            </w:r>
            <w:r>
              <w:rPr>
                <w:rStyle w:val="IndexLink"/>
                <w:rtl w:val="true"/>
              </w:rPr>
              <w:t>(</w:t>
            </w:r>
            <w:r>
              <w:rPr>
                <w:rStyle w:val="IndexLink"/>
                <w:rtl w:val="true"/>
              </w:rPr>
              <w:t>أوفوا المكيال والميزان بالقسط</w:t>
            </w:r>
            <w:r>
              <w:rPr>
                <w:rStyle w:val="IndexLink"/>
                <w:rtl w:val="true"/>
              </w:rPr>
              <w:t>):</w:t>
              <w:tab/>
            </w:r>
            <w:r>
              <w:rPr>
                <w:rStyle w:val="IndexLink"/>
              </w:rPr>
              <w:t>323</w:t>
            </w:r>
          </w:hyperlink>
        </w:p>
        <w:p>
          <w:pPr>
            <w:pStyle w:val="Contents4"/>
            <w:tabs>
              <w:tab w:val="clear" w:pos="8176"/>
              <w:tab w:val="right" w:pos="9026" w:leader="dot"/>
            </w:tabs>
            <w:rPr/>
          </w:pPr>
          <w:hyperlink w:anchor="__RefHeading___Toc3959705_1051229030">
            <w:r>
              <w:rPr>
                <w:webHidden/>
                <w:rStyle w:val="IndexLink"/>
                <w:rtl w:val="true"/>
              </w:rPr>
              <w:t>«</w:t>
            </w:r>
            <w:r>
              <w:rPr>
                <w:rStyle w:val="IndexLink"/>
                <w:rtl w:val="true"/>
              </w:rPr>
              <w:t>لا تبخسوا الناس أشياءهم</w:t>
            </w:r>
            <w:r>
              <w:rPr>
                <w:rStyle w:val="IndexLink"/>
                <w:rtl w:val="true"/>
              </w:rPr>
              <w:t>»</w:t>
              <w:tab/>
            </w:r>
            <w:r>
              <w:rPr>
                <w:rStyle w:val="IndexLink"/>
              </w:rPr>
              <w:t>324</w:t>
            </w:r>
          </w:hyperlink>
        </w:p>
        <w:p>
          <w:pPr>
            <w:pStyle w:val="Contents4"/>
            <w:tabs>
              <w:tab w:val="clear" w:pos="8176"/>
              <w:tab w:val="right" w:pos="9026" w:leader="dot"/>
            </w:tabs>
            <w:rPr/>
          </w:pPr>
          <w:hyperlink w:anchor="__RefHeading___Toc3959707_1051229030">
            <w:r>
              <w:rPr>
                <w:webHidden/>
                <w:rStyle w:val="IndexLink"/>
                <w:rtl w:val="true"/>
              </w:rPr>
              <w:t>«</w:t>
            </w:r>
            <w:r>
              <w:rPr>
                <w:rStyle w:val="IndexLink"/>
                <w:rtl w:val="true"/>
              </w:rPr>
              <w:t>والذين يكنزون الذهب والفضة</w:t>
            </w:r>
            <w:r>
              <w:rPr>
                <w:rStyle w:val="IndexLink"/>
                <w:rtl w:val="true"/>
              </w:rPr>
              <w:t>»</w:t>
              <w:tab/>
            </w:r>
            <w:r>
              <w:rPr>
                <w:rStyle w:val="IndexLink"/>
              </w:rPr>
              <w:t>325</w:t>
            </w:r>
          </w:hyperlink>
        </w:p>
        <w:p>
          <w:pPr>
            <w:pStyle w:val="Contents4"/>
            <w:tabs>
              <w:tab w:val="clear" w:pos="8176"/>
              <w:tab w:val="right" w:pos="9026" w:leader="dot"/>
            </w:tabs>
            <w:rPr/>
          </w:pPr>
          <w:hyperlink w:anchor="__RefHeading___Toc3959709_1051229030">
            <w:r>
              <w:rPr>
                <w:webHidden/>
                <w:rStyle w:val="IndexLink"/>
                <w:rtl w:val="true"/>
              </w:rPr>
              <w:t xml:space="preserve">أنواع </w:t>
            </w:r>
            <w:r>
              <w:rPr>
                <w:rStyle w:val="IndexLink"/>
                <w:rtl w:val="true"/>
              </w:rPr>
              <w:t>(</w:t>
            </w:r>
            <w:r>
              <w:rPr>
                <w:rStyle w:val="IndexLink"/>
                <w:rtl w:val="true"/>
              </w:rPr>
              <w:t>الكنز المحرم</w:t>
            </w:r>
            <w:r>
              <w:rPr>
                <w:rStyle w:val="IndexLink"/>
                <w:rtl w:val="true"/>
              </w:rPr>
              <w:t>)</w:t>
              <w:tab/>
            </w:r>
            <w:r>
              <w:rPr>
                <w:rStyle w:val="IndexLink"/>
              </w:rPr>
              <w:t>326</w:t>
            </w:r>
          </w:hyperlink>
        </w:p>
        <w:p>
          <w:pPr>
            <w:pStyle w:val="Contents4"/>
            <w:tabs>
              <w:tab w:val="clear" w:pos="8176"/>
              <w:tab w:val="right" w:pos="9026" w:leader="dot"/>
            </w:tabs>
            <w:rPr/>
          </w:pPr>
          <w:hyperlink w:anchor="__RefHeading___Toc3959711_1051229030">
            <w:r>
              <w:rPr>
                <w:webHidden/>
                <w:rStyle w:val="IndexLink"/>
                <w:rtl w:val="true"/>
              </w:rPr>
              <w:t xml:space="preserve">تحديد </w:t>
            </w:r>
            <w:r>
              <w:rPr>
                <w:rStyle w:val="IndexLink"/>
                <w:rtl w:val="true"/>
              </w:rPr>
              <w:t>(</w:t>
            </w:r>
            <w:r>
              <w:rPr>
                <w:rStyle w:val="IndexLink"/>
                <w:rtl w:val="true"/>
              </w:rPr>
              <w:t>الكنز</w:t>
            </w:r>
            <w:r>
              <w:rPr>
                <w:rStyle w:val="IndexLink"/>
                <w:rtl w:val="true"/>
              </w:rPr>
              <w:t xml:space="preserve">) </w:t>
            </w:r>
            <w:r>
              <w:rPr>
                <w:rStyle w:val="IndexLink"/>
                <w:rtl w:val="true"/>
              </w:rPr>
              <w:t>في الروايات ووجه الجمع بينها</w:t>
            </w:r>
            <w:r>
              <w:rPr>
                <w:rStyle w:val="IndexLink"/>
                <w:rtl w:val="true"/>
              </w:rPr>
              <w:tab/>
            </w:r>
            <w:r>
              <w:rPr>
                <w:rStyle w:val="IndexLink"/>
              </w:rPr>
              <w:t>327</w:t>
            </w:r>
          </w:hyperlink>
        </w:p>
        <w:p>
          <w:pPr>
            <w:pStyle w:val="Contents4"/>
            <w:tabs>
              <w:tab w:val="clear" w:pos="8176"/>
              <w:tab w:val="right" w:pos="9026" w:leader="dot"/>
            </w:tabs>
            <w:rPr/>
          </w:pPr>
          <w:hyperlink w:anchor="__RefHeading___Toc3959713_1051229030">
            <w:r>
              <w:rPr>
                <w:webHidden/>
                <w:rStyle w:val="IndexLink"/>
                <w:rtl w:val="true"/>
              </w:rPr>
              <w:t>لا حقيقة شرعية للكنز</w:t>
            </w:r>
            <w:r>
              <w:rPr>
                <w:rStyle w:val="IndexLink"/>
                <w:rtl w:val="true"/>
              </w:rPr>
              <w:tab/>
            </w:r>
            <w:r>
              <w:rPr>
                <w:rStyle w:val="IndexLink"/>
              </w:rPr>
              <w:t>328</w:t>
            </w:r>
          </w:hyperlink>
        </w:p>
        <w:p>
          <w:pPr>
            <w:pStyle w:val="Contents4"/>
            <w:tabs>
              <w:tab w:val="clear" w:pos="8176"/>
              <w:tab w:val="right" w:pos="9026" w:leader="dot"/>
            </w:tabs>
            <w:rPr/>
          </w:pPr>
          <w:hyperlink w:anchor="__RefHeading___Toc3959715_1051229030">
            <w:r>
              <w:rPr>
                <w:webHidden/>
                <w:rStyle w:val="IndexLink"/>
                <w:rtl w:val="true"/>
              </w:rPr>
              <w:t>جمع آخر</w:t>
            </w:r>
            <w:r>
              <w:rPr>
                <w:rStyle w:val="IndexLink"/>
                <w:rtl w:val="true"/>
              </w:rPr>
              <w:tab/>
            </w:r>
            <w:r>
              <w:rPr>
                <w:rStyle w:val="IndexLink"/>
              </w:rPr>
              <w:t>328</w:t>
            </w:r>
          </w:hyperlink>
        </w:p>
        <w:p>
          <w:pPr>
            <w:pStyle w:val="Contents4"/>
            <w:tabs>
              <w:tab w:val="clear" w:pos="8176"/>
              <w:tab w:val="right" w:pos="9026" w:leader="dot"/>
            </w:tabs>
            <w:rPr/>
          </w:pPr>
          <w:hyperlink w:anchor="__RefHeading___Toc3959717_1051229030">
            <w:r>
              <w:rPr>
                <w:webHidden/>
                <w:rStyle w:val="IndexLink"/>
                <w:rtl w:val="true"/>
              </w:rPr>
              <w:t xml:space="preserve">قبح </w:t>
            </w:r>
            <w:r>
              <w:rPr>
                <w:rStyle w:val="IndexLink"/>
                <w:rtl w:val="true"/>
              </w:rPr>
              <w:t>(</w:t>
            </w:r>
            <w:r>
              <w:rPr>
                <w:rStyle w:val="IndexLink"/>
                <w:rtl w:val="true"/>
              </w:rPr>
              <w:t>الكنز</w:t>
            </w:r>
            <w:r>
              <w:rPr>
                <w:rStyle w:val="IndexLink"/>
                <w:rtl w:val="true"/>
              </w:rPr>
              <w:t xml:space="preserve">) </w:t>
            </w:r>
            <w:r>
              <w:rPr>
                <w:rStyle w:val="IndexLink"/>
                <w:rtl w:val="true"/>
              </w:rPr>
              <w:t>مستقل عقلي، لا حدوده</w:t>
            </w:r>
            <w:r>
              <w:rPr>
                <w:rStyle w:val="IndexLink"/>
                <w:rtl w:val="true"/>
              </w:rPr>
              <w:tab/>
            </w:r>
            <w:r>
              <w:rPr>
                <w:rStyle w:val="IndexLink"/>
              </w:rPr>
              <w:t>329</w:t>
            </w:r>
          </w:hyperlink>
        </w:p>
        <w:p>
          <w:pPr>
            <w:pStyle w:val="Contents4"/>
            <w:tabs>
              <w:tab w:val="clear" w:pos="8176"/>
              <w:tab w:val="right" w:pos="9026" w:leader="dot"/>
            </w:tabs>
            <w:rPr/>
          </w:pPr>
          <w:hyperlink w:anchor="__RefHeading___Toc3959719_1051229030">
            <w:r>
              <w:rPr>
                <w:webHidden/>
                <w:rStyle w:val="IndexLink"/>
                <w:rtl w:val="true"/>
              </w:rPr>
              <w:t>«</w:t>
            </w:r>
            <w:r>
              <w:rPr>
                <w:rStyle w:val="IndexLink"/>
                <w:rtl w:val="true"/>
              </w:rPr>
              <w:t>أوفوا بالعقود</w:t>
            </w:r>
            <w:r>
              <w:rPr>
                <w:rStyle w:val="IndexLink"/>
                <w:rtl w:val="true"/>
              </w:rPr>
              <w:t>»</w:t>
              <w:tab/>
            </w:r>
            <w:r>
              <w:rPr>
                <w:rStyle w:val="IndexLink"/>
              </w:rPr>
              <w:t>330</w:t>
            </w:r>
          </w:hyperlink>
        </w:p>
        <w:p>
          <w:pPr>
            <w:pStyle w:val="Contents4"/>
            <w:tabs>
              <w:tab w:val="clear" w:pos="8176"/>
              <w:tab w:val="right" w:pos="9026" w:leader="dot"/>
            </w:tabs>
            <w:rPr/>
          </w:pPr>
          <w:hyperlink w:anchor="__RefHeading___Toc3959721_1051229030">
            <w:r>
              <w:rPr>
                <w:webHidden/>
                <w:rStyle w:val="IndexLink"/>
                <w:rtl w:val="true"/>
              </w:rPr>
              <w:t xml:space="preserve">مولوية </w:t>
            </w:r>
            <w:r>
              <w:rPr>
                <w:rStyle w:val="IndexLink"/>
                <w:rtl w:val="true"/>
              </w:rPr>
              <w:t>«</w:t>
            </w:r>
            <w:r>
              <w:rPr>
                <w:rStyle w:val="IndexLink"/>
                <w:rtl w:val="true"/>
              </w:rPr>
              <w:t>أوفوا بالعقود</w:t>
            </w:r>
            <w:r>
              <w:rPr>
                <w:rStyle w:val="IndexLink"/>
                <w:rtl w:val="true"/>
              </w:rPr>
              <w:t xml:space="preserve">» </w:t>
            </w:r>
            <w:r>
              <w:rPr>
                <w:rStyle w:val="IndexLink"/>
                <w:rtl w:val="true"/>
              </w:rPr>
              <w:t>حسب الضوابط التسعة</w:t>
            </w:r>
            <w:r>
              <w:rPr>
                <w:rStyle w:val="IndexLink"/>
                <w:rtl w:val="true"/>
              </w:rPr>
              <w:tab/>
            </w:r>
            <w:r>
              <w:rPr>
                <w:rStyle w:val="IndexLink"/>
              </w:rPr>
              <w:t>330</w:t>
            </w:r>
          </w:hyperlink>
        </w:p>
        <w:p>
          <w:pPr>
            <w:pStyle w:val="Contents4"/>
            <w:tabs>
              <w:tab w:val="clear" w:pos="8176"/>
              <w:tab w:val="right" w:pos="9026" w:leader="dot"/>
            </w:tabs>
            <w:rPr/>
          </w:pPr>
          <w:hyperlink w:anchor="__RefHeading___Toc3959723_1051229030">
            <w:r>
              <w:rPr>
                <w:webHidden/>
                <w:rStyle w:val="IndexLink"/>
                <w:rtl w:val="true"/>
              </w:rPr>
              <w:t xml:space="preserve">دعوى </w:t>
            </w:r>
            <w:r>
              <w:rPr>
                <w:rStyle w:val="IndexLink"/>
                <w:rtl w:val="true"/>
              </w:rPr>
              <w:t>(</w:t>
            </w:r>
            <w:r>
              <w:rPr>
                <w:rStyle w:val="IndexLink"/>
                <w:rtl w:val="true"/>
              </w:rPr>
              <w:t>التنقيح</w:t>
            </w:r>
            <w:r>
              <w:rPr>
                <w:rStyle w:val="IndexLink"/>
                <w:rtl w:val="true"/>
              </w:rPr>
              <w:t xml:space="preserve">) </w:t>
            </w:r>
            <w:r>
              <w:rPr>
                <w:rStyle w:val="IndexLink"/>
                <w:rtl w:val="true"/>
              </w:rPr>
              <w:t xml:space="preserve">عدم حرمة </w:t>
            </w:r>
            <w:r>
              <w:rPr>
                <w:rStyle w:val="IndexLink"/>
                <w:rtl w:val="true"/>
              </w:rPr>
              <w:t>(</w:t>
            </w:r>
            <w:r>
              <w:rPr>
                <w:rStyle w:val="IndexLink"/>
                <w:rtl w:val="true"/>
              </w:rPr>
              <w:t>الفسخ</w:t>
            </w:r>
            <w:r>
              <w:rPr>
                <w:rStyle w:val="IndexLink"/>
                <w:rtl w:val="true"/>
              </w:rPr>
              <w:t xml:space="preserve">) </w:t>
            </w:r>
            <w:r>
              <w:rPr>
                <w:rStyle w:val="IndexLink"/>
                <w:rtl w:val="true"/>
              </w:rPr>
              <w:t>شرعاً</w:t>
            </w:r>
            <w:r>
              <w:rPr>
                <w:rStyle w:val="IndexLink"/>
                <w:rtl w:val="true"/>
              </w:rPr>
              <w:tab/>
            </w:r>
            <w:r>
              <w:rPr>
                <w:rStyle w:val="IndexLink"/>
              </w:rPr>
              <w:t>330</w:t>
            </w:r>
          </w:hyperlink>
        </w:p>
        <w:p>
          <w:pPr>
            <w:pStyle w:val="Contents4"/>
            <w:tabs>
              <w:tab w:val="clear" w:pos="8176"/>
              <w:tab w:val="right" w:pos="9026" w:leader="dot"/>
            </w:tabs>
            <w:rPr/>
          </w:pPr>
          <w:hyperlink w:anchor="__RefHeading___Toc3959725_1051229030">
            <w:r>
              <w:rPr>
                <w:webHidden/>
                <w:rStyle w:val="IndexLink"/>
                <w:rtl w:val="true"/>
              </w:rPr>
              <w:t>إشكالات عديدة على كلام التنقيح</w:t>
            </w:r>
            <w:r>
              <w:rPr>
                <w:rStyle w:val="IndexLink"/>
                <w:rtl w:val="true"/>
              </w:rPr>
              <w:tab/>
            </w:r>
            <w:r>
              <w:rPr>
                <w:rStyle w:val="IndexLink"/>
              </w:rPr>
              <w:t>331</w:t>
            </w:r>
          </w:hyperlink>
        </w:p>
        <w:p>
          <w:pPr>
            <w:pStyle w:val="Contents4"/>
            <w:tabs>
              <w:tab w:val="clear" w:pos="8176"/>
              <w:tab w:val="right" w:pos="9026" w:leader="dot"/>
            </w:tabs>
            <w:rPr/>
          </w:pPr>
          <w:hyperlink w:anchor="__RefHeading___Toc3959727_1051229030">
            <w:r>
              <w:rPr>
                <w:webHidden/>
                <w:rStyle w:val="IndexLink"/>
                <w:rtl w:val="true"/>
              </w:rPr>
              <w:t>ونهي الحائض عن الصلاة مولوي لا إرشادي</w:t>
            </w:r>
            <w:r>
              <w:rPr>
                <w:rStyle w:val="IndexLink"/>
                <w:rtl w:val="true"/>
              </w:rPr>
              <w:tab/>
            </w:r>
            <w:r>
              <w:rPr>
                <w:rStyle w:val="IndexLink"/>
              </w:rPr>
              <w:t>332</w:t>
            </w:r>
          </w:hyperlink>
        </w:p>
        <w:p>
          <w:pPr>
            <w:pStyle w:val="Contents4"/>
            <w:tabs>
              <w:tab w:val="clear" w:pos="8176"/>
              <w:tab w:val="right" w:pos="9026" w:leader="dot"/>
            </w:tabs>
            <w:rPr/>
          </w:pPr>
          <w:hyperlink w:anchor="__RefHeading___Toc3959729_1051229030">
            <w:r>
              <w:rPr>
                <w:webHidden/>
                <w:rStyle w:val="IndexLink"/>
                <w:rtl w:val="true"/>
              </w:rPr>
              <w:t>«</w:t>
            </w:r>
            <w:r>
              <w:rPr>
                <w:rStyle w:val="IndexLink"/>
                <w:rtl w:val="true"/>
              </w:rPr>
              <w:t>أحل الله البيع</w:t>
            </w:r>
            <w:r>
              <w:rPr>
                <w:rStyle w:val="IndexLink"/>
                <w:rtl w:val="true"/>
              </w:rPr>
              <w:t>»</w:t>
              <w:tab/>
            </w:r>
            <w:r>
              <w:rPr>
                <w:rStyle w:val="IndexLink"/>
              </w:rPr>
              <w:t>334</w:t>
            </w:r>
          </w:hyperlink>
        </w:p>
        <w:p>
          <w:pPr>
            <w:pStyle w:val="Contents4"/>
            <w:tabs>
              <w:tab w:val="clear" w:pos="8176"/>
              <w:tab w:val="right" w:pos="9026" w:leader="dot"/>
            </w:tabs>
            <w:rPr/>
          </w:pPr>
          <w:hyperlink w:anchor="__RefHeading___Toc3959731_1051229030">
            <w:r>
              <w:rPr>
                <w:webHidden/>
                <w:rStyle w:val="IndexLink"/>
                <w:rtl w:val="true"/>
              </w:rPr>
              <w:t xml:space="preserve">هل المراد ب </w:t>
            </w:r>
            <w:r>
              <w:rPr>
                <w:rStyle w:val="IndexLink"/>
                <w:rtl w:val="true"/>
              </w:rPr>
              <w:t>«</w:t>
            </w:r>
            <w:r>
              <w:rPr>
                <w:rStyle w:val="IndexLink"/>
                <w:rtl w:val="true"/>
              </w:rPr>
              <w:t>أحل</w:t>
            </w:r>
            <w:r>
              <w:rPr>
                <w:rStyle w:val="IndexLink"/>
                <w:rtl w:val="true"/>
              </w:rPr>
              <w:t xml:space="preserve">» </w:t>
            </w:r>
            <w:r>
              <w:rPr>
                <w:rStyle w:val="IndexLink"/>
                <w:rtl w:val="true"/>
              </w:rPr>
              <w:t>الحكم الوضعي أم التكليفي؟</w:t>
            </w:r>
            <w:r>
              <w:rPr>
                <w:rStyle w:val="IndexLink"/>
                <w:rtl w:val="true"/>
              </w:rPr>
              <w:tab/>
            </w:r>
            <w:r>
              <w:rPr>
                <w:rStyle w:val="IndexLink"/>
              </w:rPr>
              <w:t>334</w:t>
            </w:r>
          </w:hyperlink>
        </w:p>
        <w:p>
          <w:pPr>
            <w:pStyle w:val="Contents4"/>
            <w:tabs>
              <w:tab w:val="clear" w:pos="8176"/>
              <w:tab w:val="right" w:pos="9026" w:leader="dot"/>
            </w:tabs>
            <w:rPr/>
          </w:pPr>
          <w:hyperlink w:anchor="__RefHeading___Toc3959733_1051229030">
            <w:r>
              <w:rPr>
                <w:webHidden/>
                <w:rStyle w:val="IndexLink"/>
                <w:rtl w:val="true"/>
              </w:rPr>
              <w:t>هل حلية البيع مستقل عقلي؟</w:t>
            </w:r>
            <w:r>
              <w:rPr>
                <w:rStyle w:val="IndexLink"/>
                <w:rtl w:val="true"/>
              </w:rPr>
              <w:tab/>
            </w:r>
            <w:r>
              <w:rPr>
                <w:rStyle w:val="IndexLink"/>
              </w:rPr>
              <w:t>335</w:t>
            </w:r>
          </w:hyperlink>
        </w:p>
        <w:p>
          <w:pPr>
            <w:pStyle w:val="Contents4"/>
            <w:tabs>
              <w:tab w:val="clear" w:pos="8176"/>
              <w:tab w:val="right" w:pos="9026" w:leader="dot"/>
            </w:tabs>
            <w:rPr/>
          </w:pPr>
          <w:hyperlink w:anchor="__RefHeading___Toc3959735_1051229030">
            <w:r>
              <w:rPr>
                <w:webHidden/>
                <w:rStyle w:val="IndexLink"/>
                <w:rtl w:val="true"/>
              </w:rPr>
              <w:t>روايات دالة على كلي محبوبية العمل الاقتصادي وهل هي مولوية؟</w:t>
            </w:r>
            <w:r>
              <w:rPr>
                <w:rStyle w:val="IndexLink"/>
                <w:rtl w:val="true"/>
              </w:rPr>
              <w:tab/>
            </w:r>
            <w:r>
              <w:rPr>
                <w:rStyle w:val="IndexLink"/>
              </w:rPr>
              <w:t>336</w:t>
            </w:r>
          </w:hyperlink>
        </w:p>
        <w:p>
          <w:pPr>
            <w:pStyle w:val="Contents4"/>
            <w:tabs>
              <w:tab w:val="clear" w:pos="8176"/>
              <w:tab w:val="right" w:pos="9026" w:leader="dot"/>
            </w:tabs>
            <w:rPr/>
          </w:pPr>
          <w:hyperlink w:anchor="__RefHeading___Toc3959737_1051229030">
            <w:r>
              <w:rPr>
                <w:webHidden/>
                <w:rStyle w:val="IndexLink"/>
                <w:rtl w:val="true"/>
              </w:rPr>
              <w:t>التأذي بحرِّ الشمس للرزق</w:t>
            </w:r>
            <w:r>
              <w:rPr>
                <w:rStyle w:val="IndexLink"/>
                <w:rtl w:val="true"/>
              </w:rPr>
              <w:tab/>
            </w:r>
            <w:r>
              <w:rPr>
                <w:rStyle w:val="IndexLink"/>
              </w:rPr>
              <w:t>336</w:t>
            </w:r>
          </w:hyperlink>
        </w:p>
        <w:p>
          <w:pPr>
            <w:pStyle w:val="Contents4"/>
            <w:tabs>
              <w:tab w:val="clear" w:pos="8176"/>
              <w:tab w:val="right" w:pos="9026" w:leader="dot"/>
            </w:tabs>
            <w:rPr/>
          </w:pPr>
          <w:hyperlink w:anchor="__RefHeading___Toc3959739_1051229030">
            <w:r>
              <w:rPr>
                <w:webHidden/>
                <w:rStyle w:val="IndexLink"/>
                <w:rtl w:val="true"/>
              </w:rPr>
              <w:t xml:space="preserve">رواية </w:t>
            </w:r>
            <w:r>
              <w:rPr>
                <w:rStyle w:val="IndexLink"/>
                <w:rtl w:val="true"/>
              </w:rPr>
              <w:t>(</w:t>
            </w:r>
            <w:r>
              <w:rPr>
                <w:rStyle w:val="IndexLink"/>
                <w:rtl w:val="true"/>
              </w:rPr>
              <w:t>إصلاح المال من الإيمان</w:t>
            </w:r>
            <w:r>
              <w:rPr>
                <w:rStyle w:val="IndexLink"/>
                <w:rtl w:val="true"/>
              </w:rPr>
              <w:t>)</w:t>
              <w:tab/>
            </w:r>
            <w:r>
              <w:rPr>
                <w:rStyle w:val="IndexLink"/>
              </w:rPr>
              <w:t>338</w:t>
            </w:r>
          </w:hyperlink>
        </w:p>
        <w:p>
          <w:pPr>
            <w:pStyle w:val="Contents4"/>
            <w:tabs>
              <w:tab w:val="clear" w:pos="8176"/>
              <w:tab w:val="right" w:pos="9026" w:leader="dot"/>
            </w:tabs>
            <w:rPr/>
          </w:pPr>
          <w:hyperlink w:anchor="__RefHeading___Toc3959741_1051229030">
            <w:r>
              <w:rPr>
                <w:webHidden/>
                <w:rStyle w:val="IndexLink"/>
                <w:rtl w:val="true"/>
              </w:rPr>
              <w:t>طلب الرزق أجره أعظم من الجهاد</w:t>
            </w:r>
            <w:r>
              <w:rPr>
                <w:rStyle w:val="IndexLink"/>
                <w:rtl w:val="true"/>
              </w:rPr>
              <w:tab/>
            </w:r>
            <w:r>
              <w:rPr>
                <w:rStyle w:val="IndexLink"/>
              </w:rPr>
              <w:t>338</w:t>
            </w:r>
          </w:hyperlink>
        </w:p>
        <w:p>
          <w:pPr>
            <w:pStyle w:val="Contents3"/>
            <w:tabs>
              <w:tab w:val="clear" w:pos="8459"/>
              <w:tab w:val="right" w:pos="9026" w:leader="dot"/>
            </w:tabs>
            <w:rPr/>
          </w:pPr>
          <w:hyperlink w:anchor="__RefHeading___Toc3959743_1051229030">
            <w:r>
              <w:rPr>
                <w:webHidden/>
                <w:rStyle w:val="IndexLink"/>
              </w:rPr>
              <w:t>7</w:t>
            </w:r>
            <w:r>
              <w:rPr>
                <w:rStyle w:val="IndexLink"/>
                <w:rtl w:val="true"/>
              </w:rPr>
              <w:t xml:space="preserve">- </w:t>
            </w:r>
            <w:r>
              <w:rPr>
                <w:rStyle w:val="IndexLink"/>
                <w:rtl w:val="true"/>
              </w:rPr>
              <w:t>الأوامر والنواهي في الشؤون السياسية</w:t>
            </w:r>
            <w:r>
              <w:rPr>
                <w:rStyle w:val="IndexLink"/>
                <w:rtl w:val="true"/>
              </w:rPr>
              <w:tab/>
            </w:r>
            <w:r>
              <w:rPr>
                <w:rStyle w:val="IndexLink"/>
              </w:rPr>
              <w:t>340</w:t>
            </w:r>
          </w:hyperlink>
        </w:p>
        <w:p>
          <w:pPr>
            <w:pStyle w:val="Contents4"/>
            <w:tabs>
              <w:tab w:val="clear" w:pos="8176"/>
              <w:tab w:val="right" w:pos="9026" w:leader="dot"/>
            </w:tabs>
            <w:rPr/>
          </w:pPr>
          <w:hyperlink w:anchor="__RefHeading___Toc3959745_105122903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959747_1051229030">
            <w:r>
              <w:rPr>
                <w:webHidden/>
                <w:rStyle w:val="IndexLink"/>
                <w:rtl w:val="true"/>
              </w:rPr>
              <w:t>«</w:t>
            </w:r>
            <w:r>
              <w:rPr>
                <w:rStyle w:val="IndexLink"/>
                <w:rtl w:val="true"/>
              </w:rPr>
              <w:t>يضع عنهم إصرهم والأغلال</w:t>
            </w:r>
            <w:r>
              <w:rPr>
                <w:rStyle w:val="IndexLink"/>
                <w:rtl w:val="true"/>
              </w:rPr>
              <w:t>»</w:t>
              <w:tab/>
            </w:r>
            <w:r>
              <w:rPr>
                <w:rStyle w:val="IndexLink"/>
              </w:rPr>
              <w:t>340</w:t>
            </w:r>
          </w:hyperlink>
        </w:p>
        <w:p>
          <w:pPr>
            <w:pStyle w:val="Contents4"/>
            <w:tabs>
              <w:tab w:val="clear" w:pos="8176"/>
              <w:tab w:val="right" w:pos="9026" w:leader="dot"/>
            </w:tabs>
            <w:rPr/>
          </w:pPr>
          <w:hyperlink w:anchor="__RefHeading___Toc3959749_1051229030">
            <w:r>
              <w:rPr>
                <w:webHidden/>
                <w:rStyle w:val="IndexLink"/>
                <w:rtl w:val="true"/>
              </w:rPr>
              <w:t>الوضع التشريعي والتكويني للإصر</w:t>
            </w:r>
            <w:r>
              <w:rPr>
                <w:rStyle w:val="IndexLink"/>
                <w:rtl w:val="true"/>
              </w:rPr>
              <w:tab/>
            </w:r>
            <w:r>
              <w:rPr>
                <w:rStyle w:val="IndexLink"/>
              </w:rPr>
              <w:t>340</w:t>
            </w:r>
          </w:hyperlink>
        </w:p>
        <w:p>
          <w:pPr>
            <w:pStyle w:val="Contents4"/>
            <w:tabs>
              <w:tab w:val="clear" w:pos="8176"/>
              <w:tab w:val="right" w:pos="9026" w:leader="dot"/>
            </w:tabs>
            <w:rPr/>
          </w:pPr>
          <w:hyperlink w:anchor="__RefHeading___Toc3959751_1051229030">
            <w:r>
              <w:rPr>
                <w:webHidden/>
                <w:rStyle w:val="IndexLink"/>
                <w:rtl w:val="true"/>
              </w:rPr>
              <w:t>أنواع ومصاديق الإصر والأغلال</w:t>
            </w:r>
            <w:r>
              <w:rPr>
                <w:rStyle w:val="IndexLink"/>
                <w:rtl w:val="true"/>
              </w:rPr>
              <w:tab/>
            </w:r>
            <w:r>
              <w:rPr>
                <w:rStyle w:val="IndexLink"/>
              </w:rPr>
              <w:t>341</w:t>
            </w:r>
          </w:hyperlink>
        </w:p>
        <w:p>
          <w:pPr>
            <w:pStyle w:val="Contents4"/>
            <w:tabs>
              <w:tab w:val="clear" w:pos="8176"/>
              <w:tab w:val="right" w:pos="9026" w:leader="dot"/>
            </w:tabs>
            <w:rPr/>
          </w:pPr>
          <w:hyperlink w:anchor="__RefHeading___Toc3959753_1051229030">
            <w:r>
              <w:rPr>
                <w:webHidden/>
                <w:rStyle w:val="IndexLink"/>
                <w:rtl w:val="true"/>
              </w:rPr>
              <w:t>المولوية أو الإرشادية على الضوابط التسعة</w:t>
            </w:r>
            <w:r>
              <w:rPr>
                <w:rStyle w:val="IndexLink"/>
                <w:rtl w:val="true"/>
              </w:rPr>
              <w:tab/>
            </w:r>
            <w:r>
              <w:rPr>
                <w:rStyle w:val="IndexLink"/>
              </w:rPr>
              <w:t>345</w:t>
            </w:r>
          </w:hyperlink>
        </w:p>
        <w:p>
          <w:pPr>
            <w:pStyle w:val="Contents4"/>
            <w:tabs>
              <w:tab w:val="clear" w:pos="8176"/>
              <w:tab w:val="right" w:pos="9026" w:leader="dot"/>
            </w:tabs>
            <w:rPr/>
          </w:pPr>
          <w:hyperlink w:anchor="__RefHeading___Toc3959755_1051229030">
            <w:r>
              <w:rPr>
                <w:webHidden/>
                <w:rStyle w:val="IndexLink"/>
                <w:rtl w:val="true"/>
              </w:rPr>
              <w:t>«</w:t>
            </w:r>
            <w:r>
              <w:rPr>
                <w:rStyle w:val="IndexLink"/>
                <w:rtl w:val="true"/>
              </w:rPr>
              <w:t>ولا تركنوا إلى الذين ظلموا</w:t>
            </w:r>
            <w:r>
              <w:rPr>
                <w:rStyle w:val="IndexLink"/>
                <w:rtl w:val="true"/>
              </w:rPr>
              <w:t>»</w:t>
              <w:tab/>
            </w:r>
            <w:r>
              <w:rPr>
                <w:rStyle w:val="IndexLink"/>
              </w:rPr>
              <w:t>345</w:t>
            </w:r>
          </w:hyperlink>
        </w:p>
        <w:p>
          <w:pPr>
            <w:pStyle w:val="Contents4"/>
            <w:tabs>
              <w:tab w:val="clear" w:pos="8176"/>
              <w:tab w:val="right" w:pos="9026" w:leader="dot"/>
            </w:tabs>
            <w:rPr/>
          </w:pPr>
          <w:hyperlink w:anchor="__RefHeading___Toc3959757_1051229030">
            <w:r>
              <w:rPr>
                <w:webHidden/>
                <w:rStyle w:val="IndexLink"/>
                <w:rtl w:val="true"/>
              </w:rPr>
              <w:t>مصاديق هامة للركون للظالم</w:t>
            </w:r>
            <w:r>
              <w:rPr>
                <w:rStyle w:val="IndexLink"/>
                <w:rtl w:val="true"/>
              </w:rPr>
              <w:tab/>
            </w:r>
            <w:r>
              <w:rPr>
                <w:rStyle w:val="IndexLink"/>
              </w:rPr>
              <w:t>346</w:t>
            </w:r>
          </w:hyperlink>
        </w:p>
        <w:p>
          <w:pPr>
            <w:pStyle w:val="Contents4"/>
            <w:tabs>
              <w:tab w:val="clear" w:pos="8176"/>
              <w:tab w:val="right" w:pos="9026" w:leader="dot"/>
            </w:tabs>
            <w:rPr/>
          </w:pPr>
          <w:hyperlink w:anchor="__RefHeading___Toc3959759_1051229030">
            <w:r>
              <w:rPr>
                <w:webHidden/>
                <w:rStyle w:val="IndexLink"/>
                <w:rtl w:val="true"/>
              </w:rPr>
              <w:t>حرمة الركون للظالم سواء في الأمور الدينية أم الدنيوية</w:t>
            </w:r>
            <w:r>
              <w:rPr>
                <w:rStyle w:val="IndexLink"/>
                <w:rtl w:val="true"/>
              </w:rPr>
              <w:tab/>
            </w:r>
            <w:r>
              <w:rPr>
                <w:rStyle w:val="IndexLink"/>
              </w:rPr>
              <w:t>348</w:t>
            </w:r>
          </w:hyperlink>
        </w:p>
        <w:p>
          <w:pPr>
            <w:pStyle w:val="Contents4"/>
            <w:tabs>
              <w:tab w:val="clear" w:pos="8176"/>
              <w:tab w:val="right" w:pos="9026" w:leader="dot"/>
            </w:tabs>
            <w:rPr/>
          </w:pPr>
          <w:hyperlink w:anchor="__RefHeading___Toc3959761_1051229030">
            <w:r>
              <w:rPr>
                <w:webHidden/>
                <w:rStyle w:val="IndexLink"/>
                <w:rtl w:val="true"/>
              </w:rPr>
              <w:t xml:space="preserve">شمول </w:t>
            </w:r>
            <w:r>
              <w:rPr>
                <w:rStyle w:val="IndexLink"/>
                <w:rtl w:val="true"/>
              </w:rPr>
              <w:t>(</w:t>
            </w:r>
            <w:r>
              <w:rPr>
                <w:rStyle w:val="IndexLink"/>
                <w:rtl w:val="true"/>
              </w:rPr>
              <w:t>الذين ظلموا</w:t>
            </w:r>
            <w:r>
              <w:rPr>
                <w:rStyle w:val="IndexLink"/>
                <w:rtl w:val="true"/>
              </w:rPr>
              <w:t xml:space="preserve">) </w:t>
            </w:r>
            <w:r>
              <w:rPr>
                <w:rStyle w:val="IndexLink"/>
                <w:rtl w:val="true"/>
              </w:rPr>
              <w:t>للحاكم والحزبي والعالم</w:t>
            </w:r>
            <w:r>
              <w:rPr>
                <w:rStyle w:val="IndexLink"/>
                <w:rtl w:val="true"/>
              </w:rPr>
              <w:tab/>
            </w:r>
            <w:r>
              <w:rPr>
                <w:rStyle w:val="IndexLink"/>
              </w:rPr>
              <w:t>349</w:t>
            </w:r>
          </w:hyperlink>
        </w:p>
        <w:p>
          <w:pPr>
            <w:pStyle w:val="Contents4"/>
            <w:tabs>
              <w:tab w:val="clear" w:pos="8176"/>
              <w:tab w:val="right" w:pos="9026" w:leader="dot"/>
            </w:tabs>
            <w:rPr/>
          </w:pPr>
          <w:hyperlink w:anchor="__RefHeading___Toc3959763_1051229030">
            <w:r>
              <w:rPr>
                <w:webHidden/>
                <w:rStyle w:val="IndexLink"/>
                <w:rtl w:val="true"/>
              </w:rPr>
              <w:t>«</w:t>
            </w:r>
            <w:r>
              <w:rPr>
                <w:rStyle w:val="IndexLink"/>
                <w:rtl w:val="true"/>
              </w:rPr>
              <w:t>الذين إذا أصابهم البغي هم ينتصرون</w:t>
            </w:r>
            <w:r>
              <w:rPr>
                <w:rStyle w:val="IndexLink"/>
                <w:rtl w:val="true"/>
              </w:rPr>
              <w:t>»</w:t>
              <w:tab/>
            </w:r>
            <w:r>
              <w:rPr>
                <w:rStyle w:val="IndexLink"/>
              </w:rPr>
              <w:t>350</w:t>
            </w:r>
          </w:hyperlink>
        </w:p>
        <w:p>
          <w:pPr>
            <w:pStyle w:val="Contents4"/>
            <w:tabs>
              <w:tab w:val="clear" w:pos="8176"/>
              <w:tab w:val="right" w:pos="9026" w:leader="dot"/>
            </w:tabs>
            <w:rPr/>
          </w:pPr>
          <w:hyperlink w:anchor="__RefHeading___Toc3959765_1051229030">
            <w:r>
              <w:rPr>
                <w:webHidden/>
                <w:rStyle w:val="IndexLink"/>
                <w:rtl w:val="true"/>
              </w:rPr>
              <w:t>«</w:t>
            </w:r>
            <w:r>
              <w:rPr>
                <w:rStyle w:val="IndexLink"/>
                <w:rtl w:val="true"/>
              </w:rPr>
              <w:t>وأمرهم شورى بينهم</w:t>
            </w:r>
            <w:r>
              <w:rPr>
                <w:rStyle w:val="IndexLink"/>
                <w:rtl w:val="true"/>
              </w:rPr>
              <w:t>»</w:t>
              <w:tab/>
            </w:r>
            <w:r>
              <w:rPr>
                <w:rStyle w:val="IndexLink"/>
              </w:rPr>
              <w:t>352</w:t>
            </w:r>
          </w:hyperlink>
        </w:p>
        <w:p>
          <w:pPr>
            <w:pStyle w:val="Contents4"/>
            <w:tabs>
              <w:tab w:val="clear" w:pos="8176"/>
              <w:tab w:val="right" w:pos="9026" w:leader="dot"/>
            </w:tabs>
            <w:rPr/>
          </w:pPr>
          <w:hyperlink w:anchor="__RefHeading___Toc3959767_1051229030">
            <w:r>
              <w:rPr>
                <w:webHidden/>
                <w:rStyle w:val="IndexLink"/>
                <w:rtl w:val="true"/>
              </w:rPr>
              <w:t>الدليل الأول على إفادة الآية، وجوب الشورى</w:t>
            </w:r>
            <w:r>
              <w:rPr>
                <w:rStyle w:val="IndexLink"/>
                <w:rtl w:val="true"/>
              </w:rPr>
              <w:tab/>
            </w:r>
            <w:r>
              <w:rPr>
                <w:rStyle w:val="IndexLink"/>
              </w:rPr>
              <w:t>353</w:t>
            </w:r>
          </w:hyperlink>
        </w:p>
        <w:p>
          <w:pPr>
            <w:pStyle w:val="Contents4"/>
            <w:tabs>
              <w:tab w:val="clear" w:pos="8176"/>
              <w:tab w:val="right" w:pos="9026" w:leader="dot"/>
            </w:tabs>
            <w:rPr/>
          </w:pPr>
          <w:hyperlink w:anchor="__RefHeading___Toc3959769_1051229030">
            <w:r>
              <w:rPr>
                <w:webHidden/>
                <w:rStyle w:val="IndexLink"/>
                <w:rtl w:val="true"/>
              </w:rPr>
              <w:t>الدليل الثاني</w:t>
            </w:r>
            <w:r>
              <w:rPr>
                <w:rStyle w:val="IndexLink"/>
                <w:rtl w:val="true"/>
              </w:rPr>
              <w:tab/>
            </w:r>
            <w:r>
              <w:rPr>
                <w:rStyle w:val="IndexLink"/>
              </w:rPr>
              <w:t>355</w:t>
            </w:r>
          </w:hyperlink>
        </w:p>
        <w:p>
          <w:pPr>
            <w:pStyle w:val="Contents3"/>
            <w:tabs>
              <w:tab w:val="clear" w:pos="8459"/>
              <w:tab w:val="right" w:pos="9026" w:leader="dot"/>
            </w:tabs>
            <w:rPr/>
          </w:pPr>
          <w:hyperlink w:anchor="__RefHeading___Toc3959771_1051229030">
            <w:r>
              <w:rPr>
                <w:webHidden/>
                <w:rStyle w:val="IndexLink"/>
              </w:rPr>
              <w:t>8</w:t>
            </w:r>
            <w:r>
              <w:rPr>
                <w:rStyle w:val="IndexLink"/>
                <w:rtl w:val="true"/>
              </w:rPr>
              <w:t>ـ الأوامر والنواهي في الشؤون الاجتماعية</w:t>
            </w:r>
            <w:r>
              <w:rPr>
                <w:rStyle w:val="IndexLink"/>
                <w:rtl w:val="true"/>
              </w:rPr>
              <w:tab/>
            </w:r>
            <w:r>
              <w:rPr>
                <w:rStyle w:val="IndexLink"/>
              </w:rPr>
              <w:t>357</w:t>
            </w:r>
          </w:hyperlink>
        </w:p>
        <w:p>
          <w:pPr>
            <w:pStyle w:val="Contents4"/>
            <w:tabs>
              <w:tab w:val="clear" w:pos="8176"/>
              <w:tab w:val="right" w:pos="9026" w:leader="dot"/>
            </w:tabs>
            <w:rPr/>
          </w:pPr>
          <w:hyperlink w:anchor="__RefHeading___Toc3959773_1051229030">
            <w:r>
              <w:rPr>
                <w:webHidden/>
                <w:rStyle w:val="IndexLink"/>
                <w:rtl w:val="true"/>
              </w:rPr>
              <w:t>«</w:t>
            </w:r>
            <w:r>
              <w:rPr>
                <w:rStyle w:val="IndexLink"/>
                <w:rtl w:val="true"/>
              </w:rPr>
              <w:t>امسكوهن بمعروف</w:t>
            </w:r>
            <w:r>
              <w:rPr>
                <w:rStyle w:val="IndexLink"/>
                <w:rtl w:val="true"/>
              </w:rPr>
              <w:t>»</w:t>
              <w:tab/>
            </w:r>
            <w:r>
              <w:rPr>
                <w:rStyle w:val="IndexLink"/>
              </w:rPr>
              <w:t>357</w:t>
            </w:r>
          </w:hyperlink>
        </w:p>
        <w:p>
          <w:pPr>
            <w:pStyle w:val="Contents4"/>
            <w:tabs>
              <w:tab w:val="clear" w:pos="8176"/>
              <w:tab w:val="right" w:pos="9026" w:leader="dot"/>
            </w:tabs>
            <w:rPr/>
          </w:pPr>
          <w:hyperlink w:anchor="__RefHeading___Toc3959775_1051229030">
            <w:r>
              <w:rPr>
                <w:webHidden/>
                <w:rStyle w:val="IndexLink"/>
                <w:rtl w:val="true"/>
              </w:rPr>
              <w:t>الاحتمالات في المراد ب</w:t>
            </w:r>
            <w:r>
              <w:rPr>
                <w:rStyle w:val="IndexLink"/>
                <w:rtl w:val="true"/>
              </w:rPr>
              <w:t>(</w:t>
            </w:r>
            <w:r>
              <w:rPr>
                <w:rStyle w:val="IndexLink"/>
                <w:rtl w:val="true"/>
              </w:rPr>
              <w:t>المعروف</w:t>
            </w:r>
            <w:r>
              <w:rPr>
                <w:rStyle w:val="IndexLink"/>
                <w:rtl w:val="true"/>
              </w:rPr>
              <w:t>)</w:t>
              <w:tab/>
            </w:r>
            <w:r>
              <w:rPr>
                <w:rStyle w:val="IndexLink"/>
              </w:rPr>
              <w:t>358</w:t>
            </w:r>
          </w:hyperlink>
        </w:p>
        <w:p>
          <w:pPr>
            <w:pStyle w:val="Contents4"/>
            <w:tabs>
              <w:tab w:val="clear" w:pos="8176"/>
              <w:tab w:val="right" w:pos="9026" w:leader="dot"/>
            </w:tabs>
            <w:rPr/>
          </w:pPr>
          <w:hyperlink w:anchor="__RefHeading___Toc3959777_1051229030">
            <w:r>
              <w:rPr>
                <w:webHidden/>
                <w:rStyle w:val="IndexLink"/>
                <w:rtl w:val="true"/>
              </w:rPr>
              <w:t>هل المراد المعروف العرفي أم الأعم؟</w:t>
            </w:r>
            <w:r>
              <w:rPr>
                <w:rStyle w:val="IndexLink"/>
                <w:rtl w:val="true"/>
              </w:rPr>
              <w:tab/>
            </w:r>
            <w:r>
              <w:rPr>
                <w:rStyle w:val="IndexLink"/>
              </w:rPr>
              <w:t>360</w:t>
            </w:r>
          </w:hyperlink>
        </w:p>
        <w:p>
          <w:pPr>
            <w:pStyle w:val="Contents4"/>
            <w:tabs>
              <w:tab w:val="clear" w:pos="8176"/>
              <w:tab w:val="right" w:pos="9026" w:leader="dot"/>
            </w:tabs>
            <w:rPr/>
          </w:pPr>
          <w:hyperlink w:anchor="__RefHeading___Toc3959779_1051229030">
            <w:r>
              <w:rPr>
                <w:webHidden/>
                <w:rStyle w:val="IndexLink"/>
                <w:rtl w:val="true"/>
              </w:rPr>
              <w:t>«</w:t>
            </w:r>
            <w:r>
              <w:rPr>
                <w:rStyle w:val="IndexLink"/>
                <w:rtl w:val="true"/>
              </w:rPr>
              <w:t>كونوا قوامين بالقسط</w:t>
            </w:r>
            <w:r>
              <w:rPr>
                <w:rStyle w:val="IndexLink"/>
                <w:rtl w:val="true"/>
              </w:rPr>
              <w:t>»</w:t>
              <w:tab/>
            </w:r>
            <w:r>
              <w:rPr>
                <w:rStyle w:val="IndexLink"/>
              </w:rPr>
              <w:t>361</w:t>
            </w:r>
          </w:hyperlink>
        </w:p>
        <w:p>
          <w:pPr>
            <w:pStyle w:val="Contents4"/>
            <w:tabs>
              <w:tab w:val="clear" w:pos="8176"/>
              <w:tab w:val="right" w:pos="9026" w:leader="dot"/>
            </w:tabs>
            <w:rPr/>
          </w:pPr>
          <w:hyperlink w:anchor="__RefHeading___Toc3959781_1051229030">
            <w:r>
              <w:rPr>
                <w:webHidden/>
                <w:rStyle w:val="IndexLink"/>
                <w:rtl w:val="true"/>
              </w:rPr>
              <w:t>الشهادة لله</w:t>
            </w:r>
            <w:r>
              <w:rPr>
                <w:rStyle w:val="IndexLink"/>
                <w:rtl w:val="true"/>
              </w:rPr>
              <w:tab/>
            </w:r>
            <w:r>
              <w:rPr>
                <w:rStyle w:val="IndexLink"/>
              </w:rPr>
              <w:t>363</w:t>
            </w:r>
          </w:hyperlink>
        </w:p>
        <w:p>
          <w:pPr>
            <w:pStyle w:val="Contents4"/>
            <w:tabs>
              <w:tab w:val="clear" w:pos="8176"/>
              <w:tab w:val="right" w:pos="9026" w:leader="dot"/>
            </w:tabs>
            <w:rPr/>
          </w:pPr>
          <w:hyperlink w:anchor="__RefHeading___Toc3959783_1051229030">
            <w:r>
              <w:rPr>
                <w:webHidden/>
                <w:rStyle w:val="IndexLink"/>
                <w:rtl w:val="true"/>
              </w:rPr>
              <w:t>قاعدة الحمل على الصحة</w:t>
            </w:r>
            <w:r>
              <w:rPr>
                <w:rStyle w:val="IndexLink"/>
                <w:rtl w:val="true"/>
              </w:rPr>
              <w:tab/>
            </w:r>
            <w:r>
              <w:rPr>
                <w:rStyle w:val="IndexLink"/>
              </w:rPr>
              <w:t>363</w:t>
            </w:r>
          </w:hyperlink>
        </w:p>
        <w:p>
          <w:pPr>
            <w:pStyle w:val="Contents3"/>
            <w:tabs>
              <w:tab w:val="clear" w:pos="8459"/>
              <w:tab w:val="right" w:pos="9026" w:leader="dot"/>
            </w:tabs>
            <w:rPr/>
          </w:pPr>
          <w:hyperlink w:anchor="__RefHeading___Toc3959785_1051229030">
            <w:r>
              <w:rPr>
                <w:webHidden/>
                <w:rStyle w:val="IndexLink"/>
              </w:rPr>
              <w:t>9</w:t>
            </w:r>
            <w:r>
              <w:rPr>
                <w:rStyle w:val="IndexLink"/>
                <w:rtl w:val="true"/>
              </w:rPr>
              <w:t xml:space="preserve">- </w:t>
            </w:r>
            <w:r>
              <w:rPr>
                <w:rStyle w:val="IndexLink"/>
                <w:rtl w:val="true"/>
              </w:rPr>
              <w:t>ما يتعلق بالطب والصحة</w:t>
            </w:r>
            <w:r>
              <w:rPr>
                <w:rStyle w:val="IndexLink"/>
                <w:rtl w:val="true"/>
              </w:rPr>
              <w:tab/>
            </w:r>
            <w:r>
              <w:rPr>
                <w:rStyle w:val="IndexLink"/>
              </w:rPr>
              <w:t>365</w:t>
            </w:r>
          </w:hyperlink>
        </w:p>
        <w:p>
          <w:pPr>
            <w:pStyle w:val="Contents4"/>
            <w:tabs>
              <w:tab w:val="clear" w:pos="8176"/>
              <w:tab w:val="right" w:pos="9026" w:leader="dot"/>
            </w:tabs>
            <w:rPr/>
          </w:pPr>
          <w:hyperlink w:anchor="__RefHeading___Toc3959787_1051229030">
            <w:r>
              <w:rPr>
                <w:webHidden/>
                <w:rStyle w:val="IndexLink"/>
                <w:rtl w:val="true"/>
              </w:rPr>
              <w:t xml:space="preserve">دليل إرشادية </w:t>
            </w:r>
            <w:r>
              <w:rPr>
                <w:rStyle w:val="IndexLink"/>
                <w:rtl w:val="true"/>
              </w:rPr>
              <w:t>(</w:t>
            </w:r>
            <w:r>
              <w:rPr>
                <w:rStyle w:val="IndexLink"/>
                <w:rtl w:val="true"/>
              </w:rPr>
              <w:t>الأوامر الطبية</w:t>
            </w:r>
            <w:r>
              <w:rPr>
                <w:rStyle w:val="IndexLink"/>
                <w:rtl w:val="true"/>
              </w:rPr>
              <w:t xml:space="preserve">) </w:t>
            </w:r>
            <w:r>
              <w:rPr>
                <w:rStyle w:val="IndexLink"/>
                <w:rtl w:val="true"/>
              </w:rPr>
              <w:t>ومولويتها</w:t>
            </w:r>
            <w:r>
              <w:rPr>
                <w:rStyle w:val="IndexLink"/>
                <w:rtl w:val="true"/>
              </w:rPr>
              <w:tab/>
            </w:r>
            <w:r>
              <w:rPr>
                <w:rStyle w:val="IndexLink"/>
              </w:rPr>
              <w:t>365</w:t>
            </w:r>
          </w:hyperlink>
        </w:p>
        <w:p>
          <w:pPr>
            <w:pStyle w:val="Contents4"/>
            <w:tabs>
              <w:tab w:val="clear" w:pos="8176"/>
              <w:tab w:val="right" w:pos="9026" w:leader="dot"/>
            </w:tabs>
            <w:rPr/>
          </w:pPr>
          <w:hyperlink w:anchor="__RefHeading___Toc3959789_1051229030">
            <w:r>
              <w:rPr>
                <w:webHidden/>
                <w:rStyle w:val="IndexLink"/>
                <w:rtl w:val="true"/>
              </w:rPr>
              <w:t>تعلم السباحة والرماية</w:t>
            </w:r>
            <w:r>
              <w:rPr>
                <w:rStyle w:val="IndexLink"/>
                <w:rtl w:val="true"/>
              </w:rPr>
              <w:tab/>
            </w:r>
            <w:r>
              <w:rPr>
                <w:rStyle w:val="IndexLink"/>
              </w:rPr>
              <w:t>366</w:t>
            </w:r>
          </w:hyperlink>
        </w:p>
        <w:p>
          <w:pPr>
            <w:pStyle w:val="Contents4"/>
            <w:tabs>
              <w:tab w:val="clear" w:pos="8176"/>
              <w:tab w:val="right" w:pos="9026" w:leader="dot"/>
            </w:tabs>
            <w:rPr/>
          </w:pPr>
          <w:hyperlink w:anchor="__RefHeading___Toc3959791_1051229030">
            <w:r>
              <w:rPr>
                <w:webHidden/>
                <w:rStyle w:val="IndexLink"/>
                <w:rtl w:val="true"/>
              </w:rPr>
              <w:t>السفر</w:t>
            </w:r>
            <w:r>
              <w:rPr>
                <w:rStyle w:val="IndexLink"/>
                <w:rtl w:val="true"/>
              </w:rPr>
              <w:tab/>
            </w:r>
            <w:r>
              <w:rPr>
                <w:rStyle w:val="IndexLink"/>
              </w:rPr>
              <w:t>367</w:t>
            </w:r>
          </w:hyperlink>
        </w:p>
        <w:p>
          <w:pPr>
            <w:pStyle w:val="Contents4"/>
            <w:tabs>
              <w:tab w:val="clear" w:pos="8176"/>
              <w:tab w:val="right" w:pos="9026" w:leader="dot"/>
            </w:tabs>
            <w:rPr/>
          </w:pPr>
          <w:hyperlink w:anchor="__RefHeading___Toc3959793_1051229030">
            <w:r>
              <w:rPr>
                <w:webHidden/>
                <w:rStyle w:val="IndexLink"/>
                <w:rtl w:val="true"/>
              </w:rPr>
              <w:t>من الأدلة على أن منافع الدنيا محبوبة للمولى بما هو مولى</w:t>
            </w:r>
            <w:r>
              <w:rPr>
                <w:rStyle w:val="IndexLink"/>
                <w:rtl w:val="true"/>
              </w:rPr>
              <w:tab/>
            </w:r>
            <w:r>
              <w:rPr>
                <w:rStyle w:val="IndexLink"/>
              </w:rPr>
              <w:t>368</w:t>
            </w:r>
          </w:hyperlink>
        </w:p>
        <w:p>
          <w:pPr>
            <w:pStyle w:val="Contents4"/>
            <w:tabs>
              <w:tab w:val="clear" w:pos="8176"/>
              <w:tab w:val="right" w:pos="9026" w:leader="dot"/>
            </w:tabs>
            <w:rPr/>
          </w:pPr>
          <w:hyperlink w:anchor="__RefHeading___Toc3959795_1051229030">
            <w:r>
              <w:rPr>
                <w:webHidden/>
                <w:rStyle w:val="IndexLink"/>
                <w:rtl w:val="true"/>
              </w:rPr>
              <w:t>حكمة مبغوضية السفر منفرداً ومولوية النهي</w:t>
            </w:r>
            <w:r>
              <w:rPr>
                <w:rStyle w:val="IndexLink"/>
                <w:rtl w:val="true"/>
              </w:rPr>
              <w:tab/>
            </w:r>
            <w:r>
              <w:rPr>
                <w:rStyle w:val="IndexLink"/>
              </w:rPr>
              <w:t>369</w:t>
            </w:r>
          </w:hyperlink>
        </w:p>
        <w:p>
          <w:pPr>
            <w:pStyle w:val="Contents4"/>
            <w:tabs>
              <w:tab w:val="clear" w:pos="8176"/>
              <w:tab w:val="right" w:pos="9026" w:leader="dot"/>
            </w:tabs>
            <w:rPr/>
          </w:pPr>
          <w:hyperlink w:anchor="__RefHeading___Toc3959797_1051229030">
            <w:r>
              <w:rPr>
                <w:webHidden/>
                <w:rStyle w:val="IndexLink"/>
                <w:rtl w:val="true"/>
              </w:rPr>
              <w:t>إطعام الحامل</w:t>
            </w:r>
            <w:r>
              <w:rPr>
                <w:rStyle w:val="IndexLink"/>
                <w:rtl w:val="true"/>
              </w:rPr>
              <w:t xml:space="preserve">: </w:t>
            </w:r>
            <w:r>
              <w:rPr>
                <w:rStyle w:val="IndexLink"/>
                <w:rtl w:val="true"/>
              </w:rPr>
              <w:t>التمرَ</w:t>
            </w:r>
            <w:r>
              <w:rPr>
                <w:rStyle w:val="IndexLink"/>
                <w:rtl w:val="true"/>
              </w:rPr>
              <w:tab/>
            </w:r>
            <w:r>
              <w:rPr>
                <w:rStyle w:val="IndexLink"/>
              </w:rPr>
              <w:t>370</w:t>
            </w:r>
          </w:hyperlink>
        </w:p>
        <w:p>
          <w:pPr>
            <w:pStyle w:val="Contents4"/>
            <w:tabs>
              <w:tab w:val="clear" w:pos="8176"/>
              <w:tab w:val="right" w:pos="9026" w:leader="dot"/>
            </w:tabs>
            <w:rPr/>
          </w:pPr>
          <w:hyperlink w:anchor="__RefHeading___Toc3959799_1051229030">
            <w:r>
              <w:rPr>
                <w:webHidden/>
                <w:rStyle w:val="IndexLink"/>
                <w:rtl w:val="true"/>
              </w:rPr>
              <w:t xml:space="preserve">فوائد </w:t>
            </w:r>
            <w:r>
              <w:rPr>
                <w:rStyle w:val="IndexLink"/>
                <w:rtl w:val="true"/>
              </w:rPr>
              <w:t>(</w:t>
            </w:r>
            <w:r>
              <w:rPr>
                <w:rStyle w:val="IndexLink"/>
                <w:rtl w:val="true"/>
              </w:rPr>
              <w:t>الحلم</w:t>
            </w:r>
            <w:r>
              <w:rPr>
                <w:rStyle w:val="IndexLink"/>
                <w:rtl w:val="true"/>
              </w:rPr>
              <w:t xml:space="preserve">) </w:t>
            </w:r>
            <w:r>
              <w:rPr>
                <w:rStyle w:val="IndexLink"/>
                <w:rtl w:val="true"/>
              </w:rPr>
              <w:t>ومولوية أوامره</w:t>
            </w:r>
            <w:r>
              <w:rPr>
                <w:rStyle w:val="IndexLink"/>
                <w:rtl w:val="true"/>
              </w:rPr>
              <w:tab/>
            </w:r>
            <w:r>
              <w:rPr>
                <w:rStyle w:val="IndexLink"/>
              </w:rPr>
              <w:t>370</w:t>
            </w:r>
          </w:hyperlink>
        </w:p>
        <w:p>
          <w:pPr>
            <w:pStyle w:val="Contents4"/>
            <w:tabs>
              <w:tab w:val="clear" w:pos="8176"/>
              <w:tab w:val="right" w:pos="9026" w:leader="dot"/>
            </w:tabs>
            <w:rPr/>
          </w:pPr>
          <w:hyperlink w:anchor="__RefHeading___Toc3959801_1051229030">
            <w:r>
              <w:rPr>
                <w:webHidden/>
                <w:rStyle w:val="IndexLink"/>
                <w:rtl w:val="true"/>
              </w:rPr>
              <w:t>بيان ذلك</w:t>
            </w:r>
            <w:r>
              <w:rPr>
                <w:rStyle w:val="IndexLink"/>
                <w:rtl w:val="true"/>
              </w:rPr>
              <w:t>:</w:t>
            </w:r>
            <w:r>
              <w:rPr>
                <w:rStyle w:val="IndexLink"/>
                <w:rtl w:val="true"/>
              </w:rPr>
              <w:t xml:space="preserve">إن </w:t>
            </w:r>
            <w:r>
              <w:rPr>
                <w:rStyle w:val="IndexLink"/>
                <w:rtl w:val="true"/>
              </w:rPr>
              <w:t>(</w:t>
            </w:r>
            <w:r>
              <w:rPr>
                <w:rStyle w:val="IndexLink"/>
                <w:rtl w:val="true"/>
              </w:rPr>
              <w:t>الحلم</w:t>
            </w:r>
            <w:r>
              <w:rPr>
                <w:rStyle w:val="IndexLink"/>
                <w:rtl w:val="true"/>
              </w:rPr>
              <w:t xml:space="preserve">) </w:t>
            </w:r>
            <w:r>
              <w:rPr>
                <w:rStyle w:val="IndexLink"/>
                <w:rtl w:val="true"/>
              </w:rPr>
              <w:t>مما تعمر به الآخرة ومما يغفر الله به الذنوب</w:t>
            </w:r>
            <w:r>
              <w:rPr>
                <w:rStyle w:val="IndexLink"/>
                <w:rtl w:val="true"/>
              </w:rPr>
              <w:t>.</w:t>
              <w:tab/>
            </w:r>
            <w:r>
              <w:rPr>
                <w:rStyle w:val="IndexLink"/>
              </w:rPr>
              <w:t>371</w:t>
            </w:r>
          </w:hyperlink>
        </w:p>
        <w:p>
          <w:pPr>
            <w:pStyle w:val="Contents4"/>
            <w:tabs>
              <w:tab w:val="clear" w:pos="8176"/>
              <w:tab w:val="right" w:pos="9026" w:leader="dot"/>
            </w:tabs>
            <w:rPr/>
          </w:pPr>
          <w:hyperlink w:anchor="__RefHeading___Toc3959803_1051229030">
            <w:r>
              <w:rPr>
                <w:webHidden/>
                <w:rStyle w:val="IndexLink"/>
                <w:rtl w:val="true"/>
              </w:rPr>
              <w:t>العلاج والتداوي</w:t>
            </w:r>
            <w:r>
              <w:rPr>
                <w:rStyle w:val="IndexLink"/>
                <w:rtl w:val="true"/>
              </w:rPr>
              <w:tab/>
            </w:r>
            <w:r>
              <w:rPr>
                <w:rStyle w:val="IndexLink"/>
              </w:rPr>
              <w:t>372</w:t>
            </w:r>
          </w:hyperlink>
        </w:p>
        <w:p>
          <w:pPr>
            <w:pStyle w:val="Contents4"/>
            <w:tabs>
              <w:tab w:val="clear" w:pos="8176"/>
              <w:tab w:val="right" w:pos="9026" w:leader="dot"/>
            </w:tabs>
            <w:rPr/>
          </w:pPr>
          <w:hyperlink w:anchor="__RefHeading___Toc3959805_1051229030">
            <w:r>
              <w:rPr>
                <w:webHidden/>
                <w:rStyle w:val="IndexLink"/>
                <w:rtl w:val="true"/>
              </w:rPr>
              <w:t>استظهار مولوية الأمر بالتداوي</w:t>
            </w:r>
            <w:r>
              <w:rPr>
                <w:rStyle w:val="IndexLink"/>
                <w:rtl w:val="true"/>
              </w:rPr>
              <w:tab/>
            </w:r>
            <w:r>
              <w:rPr>
                <w:rStyle w:val="IndexLink"/>
              </w:rPr>
              <w:t>373</w:t>
            </w:r>
          </w:hyperlink>
        </w:p>
        <w:p>
          <w:pPr>
            <w:pStyle w:val="Contents4"/>
            <w:tabs>
              <w:tab w:val="clear" w:pos="8176"/>
              <w:tab w:val="right" w:pos="9026" w:leader="dot"/>
            </w:tabs>
            <w:rPr/>
          </w:pPr>
          <w:hyperlink w:anchor="__RefHeading___Toc3959807_1051229030">
            <w:r>
              <w:rPr>
                <w:webHidden/>
                <w:rStyle w:val="IndexLink"/>
                <w:rtl w:val="true"/>
              </w:rPr>
              <w:t>التداوي عند الضرورة فقط من المستقلات العقلية</w:t>
            </w:r>
            <w:r>
              <w:rPr>
                <w:rStyle w:val="IndexLink"/>
                <w:rtl w:val="true"/>
              </w:rPr>
              <w:tab/>
            </w:r>
            <w:r>
              <w:rPr>
                <w:rStyle w:val="IndexLink"/>
              </w:rPr>
              <w:t>374</w:t>
            </w:r>
          </w:hyperlink>
        </w:p>
        <w:p>
          <w:pPr>
            <w:pStyle w:val="Contents4"/>
            <w:tabs>
              <w:tab w:val="clear" w:pos="8176"/>
              <w:tab w:val="right" w:pos="9026" w:leader="dot"/>
            </w:tabs>
            <w:rPr/>
          </w:pPr>
          <w:hyperlink w:anchor="__RefHeading___Toc3959809_1051229030">
            <w:r>
              <w:rPr>
                <w:webHidden/>
                <w:rStyle w:val="IndexLink"/>
                <w:rtl w:val="true"/>
              </w:rPr>
              <w:t>الحجامة</w:t>
            </w:r>
            <w:r>
              <w:rPr>
                <w:rStyle w:val="IndexLink"/>
                <w:rtl w:val="true"/>
              </w:rPr>
              <w:tab/>
            </w:r>
            <w:r>
              <w:rPr>
                <w:rStyle w:val="IndexLink"/>
              </w:rPr>
              <w:t>375</w:t>
            </w:r>
          </w:hyperlink>
        </w:p>
        <w:p>
          <w:pPr>
            <w:pStyle w:val="Contents4"/>
            <w:tabs>
              <w:tab w:val="clear" w:pos="8176"/>
              <w:tab w:val="right" w:pos="9026" w:leader="dot"/>
            </w:tabs>
            <w:rPr/>
          </w:pPr>
          <w:hyperlink w:anchor="__RefHeading___Toc3959811_1051229030">
            <w:r>
              <w:rPr>
                <w:webHidden/>
                <w:rStyle w:val="IndexLink"/>
                <w:rtl w:val="true"/>
              </w:rPr>
              <w:t>مولوية الأمر بالحجامة</w:t>
            </w:r>
            <w:r>
              <w:rPr>
                <w:rStyle w:val="IndexLink"/>
                <w:rtl w:val="true"/>
              </w:rPr>
              <w:tab/>
            </w:r>
            <w:r>
              <w:rPr>
                <w:rStyle w:val="IndexLink"/>
              </w:rPr>
              <w:t>375</w:t>
            </w:r>
          </w:hyperlink>
        </w:p>
        <w:p>
          <w:pPr>
            <w:pStyle w:val="Contents3"/>
            <w:tabs>
              <w:tab w:val="clear" w:pos="8459"/>
              <w:tab w:val="right" w:pos="9026" w:leader="dot"/>
            </w:tabs>
            <w:rPr/>
          </w:pPr>
          <w:hyperlink w:anchor="__RefHeading___Toc3959813_1051229030">
            <w:r>
              <w:rPr>
                <w:webHidden/>
                <w:rStyle w:val="IndexLink"/>
              </w:rPr>
              <w:t>10</w:t>
            </w:r>
            <w:r>
              <w:rPr>
                <w:rStyle w:val="IndexLink"/>
                <w:rtl w:val="true"/>
              </w:rPr>
              <w:t xml:space="preserve">- </w:t>
            </w:r>
            <w:r>
              <w:rPr>
                <w:rStyle w:val="IndexLink"/>
                <w:rtl w:val="true"/>
              </w:rPr>
              <w:t>ما يتعلق بالأكل وخصوصيات الأطعمة</w:t>
            </w:r>
            <w:r>
              <w:rPr>
                <w:rStyle w:val="IndexLink"/>
                <w:rtl w:val="true"/>
              </w:rPr>
              <w:tab/>
            </w:r>
            <w:r>
              <w:rPr>
                <w:rStyle w:val="IndexLink"/>
              </w:rPr>
              <w:t>377</w:t>
            </w:r>
          </w:hyperlink>
        </w:p>
        <w:p>
          <w:pPr>
            <w:pStyle w:val="Contents4"/>
            <w:tabs>
              <w:tab w:val="clear" w:pos="8176"/>
              <w:tab w:val="right" w:pos="9026" w:leader="dot"/>
            </w:tabs>
            <w:rPr/>
          </w:pPr>
          <w:hyperlink w:anchor="__RefHeading___Toc3959815_105122903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3959817_1051229030">
            <w:r>
              <w:rPr>
                <w:webHidden/>
                <w:rStyle w:val="IndexLink"/>
                <w:rtl w:val="true"/>
              </w:rPr>
              <w:t>الأمر بالأنواع والخصوصيات مولوي أم إرشادي؟</w:t>
            </w:r>
            <w:r>
              <w:rPr>
                <w:rStyle w:val="IndexLink"/>
                <w:rtl w:val="true"/>
              </w:rPr>
              <w:tab/>
            </w:r>
            <w:r>
              <w:rPr>
                <w:rStyle w:val="IndexLink"/>
              </w:rPr>
              <w:t>378</w:t>
            </w:r>
          </w:hyperlink>
        </w:p>
        <w:p>
          <w:pPr>
            <w:pStyle w:val="Contents4"/>
            <w:tabs>
              <w:tab w:val="clear" w:pos="8176"/>
              <w:tab w:val="right" w:pos="9026" w:leader="dot"/>
            </w:tabs>
            <w:rPr/>
          </w:pPr>
          <w:hyperlink w:anchor="__RefHeading___Toc3959819_1051229030">
            <w:r>
              <w:rPr>
                <w:webHidden/>
                <w:rStyle w:val="IndexLink"/>
                <w:rtl w:val="true"/>
              </w:rPr>
              <w:t>نموذج للأمر الطبي</w:t>
            </w:r>
            <w:r>
              <w:rPr>
                <w:rStyle w:val="IndexLink"/>
                <w:rtl w:val="true"/>
              </w:rPr>
              <w:tab/>
            </w:r>
            <w:r>
              <w:rPr>
                <w:rStyle w:val="IndexLink"/>
              </w:rPr>
              <w:t>378</w:t>
            </w:r>
          </w:hyperlink>
        </w:p>
        <w:p>
          <w:pPr>
            <w:pStyle w:val="Contents4"/>
            <w:tabs>
              <w:tab w:val="clear" w:pos="8176"/>
              <w:tab w:val="right" w:pos="9026" w:leader="dot"/>
            </w:tabs>
            <w:rPr/>
          </w:pPr>
          <w:hyperlink w:anchor="__RefHeading___Toc3959821_1051229030">
            <w:r>
              <w:rPr>
                <w:webHidden/>
                <w:rStyle w:val="IndexLink"/>
                <w:rtl w:val="true"/>
              </w:rPr>
              <w:t>مصاديق لأطعمة يستحب أكلها ويثاب عليها، على المولوية</w:t>
            </w:r>
            <w:r>
              <w:rPr>
                <w:rStyle w:val="IndexLink"/>
                <w:rtl w:val="true"/>
              </w:rPr>
              <w:tab/>
            </w:r>
            <w:r>
              <w:rPr>
                <w:rStyle w:val="IndexLink"/>
              </w:rPr>
              <w:t>379</w:t>
            </w:r>
          </w:hyperlink>
        </w:p>
        <w:p>
          <w:pPr>
            <w:pStyle w:val="Contents4"/>
            <w:tabs>
              <w:tab w:val="clear" w:pos="8176"/>
              <w:tab w:val="right" w:pos="9026" w:leader="dot"/>
            </w:tabs>
            <w:rPr/>
          </w:pPr>
          <w:hyperlink w:anchor="__RefHeading___Toc3959823_1051229030">
            <w:r>
              <w:rPr>
                <w:webHidden/>
                <w:rStyle w:val="IndexLink"/>
                <w:rtl w:val="true"/>
              </w:rPr>
              <w:t>(</w:t>
            </w:r>
            <w:r>
              <w:rPr>
                <w:rStyle w:val="IndexLink"/>
                <w:rtl w:val="true"/>
              </w:rPr>
              <w:t>أكل الرمان يطرد الشيطان</w:t>
            </w:r>
            <w:r>
              <w:rPr>
                <w:rStyle w:val="IndexLink"/>
                <w:rtl w:val="true"/>
              </w:rPr>
              <w:t>)</w:t>
            </w:r>
            <w:r>
              <w:rPr>
                <w:rStyle w:val="IndexLink"/>
                <w:rtl w:val="true"/>
              </w:rPr>
              <w:t>، وهل الجملة الخبرية هنا، إنشائية؟</w:t>
            </w:r>
            <w:r>
              <w:rPr>
                <w:rStyle w:val="IndexLink"/>
                <w:rtl w:val="true"/>
              </w:rPr>
              <w:tab/>
            </w:r>
            <w:r>
              <w:rPr>
                <w:rStyle w:val="IndexLink"/>
              </w:rPr>
              <w:t>381</w:t>
            </w:r>
          </w:hyperlink>
        </w:p>
        <w:p>
          <w:pPr>
            <w:pStyle w:val="Contents4"/>
            <w:tabs>
              <w:tab w:val="clear" w:pos="8176"/>
              <w:tab w:val="right" w:pos="9026" w:leader="dot"/>
            </w:tabs>
            <w:rPr/>
          </w:pPr>
          <w:hyperlink w:anchor="__RefHeading___Toc3959825_1051229030">
            <w:r>
              <w:rPr>
                <w:webHidden/>
                <w:rStyle w:val="IndexLink"/>
                <w:rtl w:val="true"/>
              </w:rPr>
              <w:t>الحاصل</w:t>
            </w:r>
            <w:r>
              <w:rPr>
                <w:rStyle w:val="IndexLink"/>
                <w:rtl w:val="true"/>
              </w:rPr>
              <w:t xml:space="preserve">: </w:t>
            </w:r>
            <w:r>
              <w:rPr>
                <w:rStyle w:val="IndexLink"/>
                <w:rtl w:val="true"/>
              </w:rPr>
              <w:t>على المولوية، لأكل العسل والتمر وشبههما ثواب، دون الإرشادية</w:t>
            </w:r>
            <w:r>
              <w:rPr>
                <w:rStyle w:val="IndexLink"/>
                <w:rtl w:val="true"/>
              </w:rPr>
              <w:tab/>
            </w:r>
            <w:r>
              <w:rPr>
                <w:rStyle w:val="IndexLink"/>
              </w:rPr>
              <w:t>383</w:t>
            </w:r>
          </w:hyperlink>
        </w:p>
        <w:p>
          <w:pPr>
            <w:pStyle w:val="Contents3"/>
            <w:tabs>
              <w:tab w:val="clear" w:pos="8459"/>
              <w:tab w:val="right" w:pos="9026" w:leader="dot"/>
            </w:tabs>
            <w:rPr/>
          </w:pPr>
          <w:hyperlink w:anchor="__RefHeading___Toc3959827_1051229030">
            <w:r>
              <w:rPr>
                <w:webHidden/>
                <w:rStyle w:val="IndexLink"/>
              </w:rPr>
              <w:t>11</w:t>
            </w:r>
            <w:r>
              <w:rPr>
                <w:rStyle w:val="IndexLink"/>
                <w:rtl w:val="true"/>
              </w:rPr>
              <w:t xml:space="preserve">- </w:t>
            </w:r>
            <w:r>
              <w:rPr>
                <w:rStyle w:val="IndexLink"/>
                <w:rtl w:val="true"/>
              </w:rPr>
              <w:t>ما يتعلق بالوعظ والنصح</w:t>
            </w:r>
            <w:r>
              <w:rPr>
                <w:rStyle w:val="IndexLink"/>
                <w:rtl w:val="true"/>
              </w:rPr>
              <w:tab/>
            </w:r>
            <w:r>
              <w:rPr>
                <w:rStyle w:val="IndexLink"/>
              </w:rPr>
              <w:t>384</w:t>
            </w:r>
          </w:hyperlink>
        </w:p>
        <w:p>
          <w:pPr>
            <w:pStyle w:val="Contents4"/>
            <w:tabs>
              <w:tab w:val="clear" w:pos="8176"/>
              <w:tab w:val="right" w:pos="9026" w:leader="dot"/>
            </w:tabs>
            <w:rPr/>
          </w:pPr>
          <w:hyperlink w:anchor="__RefHeading___Toc3959829_1051229030">
            <w:r>
              <w:rPr>
                <w:webHidden/>
                <w:rStyle w:val="IndexLink"/>
                <w:rtl w:val="true"/>
              </w:rPr>
              <w:t>الفرق بين الوعظ والنصح</w:t>
            </w:r>
            <w:r>
              <w:rPr>
                <w:rStyle w:val="IndexLink"/>
                <w:rtl w:val="true"/>
              </w:rPr>
              <w:tab/>
            </w:r>
            <w:r>
              <w:rPr>
                <w:rStyle w:val="IndexLink"/>
              </w:rPr>
              <w:t>384</w:t>
            </w:r>
          </w:hyperlink>
        </w:p>
        <w:p>
          <w:pPr>
            <w:pStyle w:val="Contents4"/>
            <w:tabs>
              <w:tab w:val="clear" w:pos="8176"/>
              <w:tab w:val="right" w:pos="9026" w:leader="dot"/>
            </w:tabs>
            <w:rPr/>
          </w:pPr>
          <w:hyperlink w:anchor="__RefHeading___Toc3959831_1051229030">
            <w:r>
              <w:rPr>
                <w:webHidden/>
                <w:rStyle w:val="IndexLink"/>
                <w:rtl w:val="true"/>
              </w:rPr>
              <w:t xml:space="preserve">معنى </w:t>
            </w:r>
            <w:r>
              <w:rPr>
                <w:rStyle w:val="IndexLink"/>
                <w:rtl w:val="true"/>
              </w:rPr>
              <w:t>(</w:t>
            </w:r>
            <w:r>
              <w:rPr>
                <w:rStyle w:val="IndexLink"/>
                <w:rtl w:val="true"/>
              </w:rPr>
              <w:t>النصيحة لأئمة المسلمين</w:t>
            </w:r>
            <w:r>
              <w:rPr>
                <w:rStyle w:val="IndexLink"/>
                <w:rtl w:val="true"/>
              </w:rPr>
              <w:t>)</w:t>
              <w:tab/>
            </w:r>
            <w:r>
              <w:rPr>
                <w:rStyle w:val="IndexLink"/>
              </w:rPr>
              <w:t>386</w:t>
            </w:r>
          </w:hyperlink>
        </w:p>
        <w:p>
          <w:pPr>
            <w:pStyle w:val="Contents4"/>
            <w:tabs>
              <w:tab w:val="clear" w:pos="8176"/>
              <w:tab w:val="right" w:pos="9026" w:leader="dot"/>
            </w:tabs>
            <w:rPr/>
          </w:pPr>
          <w:hyperlink w:anchor="__RefHeading___Toc3959833_1051229030">
            <w:r>
              <w:rPr>
                <w:webHidden/>
                <w:rStyle w:val="IndexLink"/>
                <w:rtl w:val="true"/>
              </w:rPr>
              <w:t xml:space="preserve">معنى </w:t>
            </w:r>
            <w:r>
              <w:rPr>
                <w:rStyle w:val="IndexLink"/>
                <w:rtl w:val="true"/>
              </w:rPr>
              <w:t>(</w:t>
            </w:r>
            <w:r>
              <w:rPr>
                <w:rStyle w:val="IndexLink"/>
                <w:rtl w:val="true"/>
              </w:rPr>
              <w:t>النصح</w:t>
            </w:r>
            <w:r>
              <w:rPr>
                <w:rStyle w:val="IndexLink"/>
                <w:rtl w:val="true"/>
              </w:rPr>
              <w:t>)</w:t>
              <w:tab/>
            </w:r>
            <w:r>
              <w:rPr>
                <w:rStyle w:val="IndexLink"/>
              </w:rPr>
              <w:t>389</w:t>
            </w:r>
          </w:hyperlink>
        </w:p>
        <w:p>
          <w:pPr>
            <w:pStyle w:val="Contents3"/>
            <w:tabs>
              <w:tab w:val="clear" w:pos="8459"/>
              <w:tab w:val="right" w:pos="9026" w:leader="dot"/>
            </w:tabs>
            <w:rPr/>
          </w:pPr>
          <w:hyperlink w:anchor="__RefHeading___Toc3959835_1051229030">
            <w:r>
              <w:rPr>
                <w:webHidden/>
                <w:rStyle w:val="IndexLink"/>
              </w:rPr>
              <w:t>12</w:t>
            </w:r>
            <w:r>
              <w:rPr>
                <w:rStyle w:val="IndexLink"/>
                <w:rtl w:val="true"/>
              </w:rPr>
              <w:t xml:space="preserve">- </w:t>
            </w:r>
            <w:r>
              <w:rPr>
                <w:rStyle w:val="IndexLink"/>
                <w:rtl w:val="true"/>
              </w:rPr>
              <w:t>أوامر ونواهي العقود والإيقاعات</w:t>
            </w:r>
            <w:r>
              <w:rPr>
                <w:rStyle w:val="IndexLink"/>
                <w:rtl w:val="true"/>
              </w:rPr>
              <w:tab/>
            </w:r>
            <w:r>
              <w:rPr>
                <w:rStyle w:val="IndexLink"/>
              </w:rPr>
              <w:t>391</w:t>
            </w:r>
          </w:hyperlink>
        </w:p>
        <w:p>
          <w:pPr>
            <w:pStyle w:val="Contents3"/>
            <w:tabs>
              <w:tab w:val="clear" w:pos="8459"/>
              <w:tab w:val="right" w:pos="9026" w:leader="dot"/>
            </w:tabs>
            <w:rPr/>
          </w:pPr>
          <w:hyperlink w:anchor="__RefHeading___Toc3959837_1051229030">
            <w:r>
              <w:rPr>
                <w:webHidden/>
                <w:rStyle w:val="IndexLink"/>
              </w:rPr>
              <w:t>13-14</w:t>
            </w:r>
            <w:r>
              <w:rPr>
                <w:rStyle w:val="IndexLink"/>
                <w:rtl w:val="true"/>
              </w:rPr>
              <w:t xml:space="preserve">- </w:t>
            </w:r>
            <w:r>
              <w:rPr>
                <w:rStyle w:val="IndexLink"/>
                <w:rtl w:val="true"/>
              </w:rPr>
              <w:t>مصاديق أخرى</w:t>
            </w:r>
            <w:r>
              <w:rPr>
                <w:rStyle w:val="IndexLink"/>
                <w:rtl w:val="true"/>
              </w:rPr>
              <w:tab/>
            </w:r>
            <w:r>
              <w:rPr>
                <w:rStyle w:val="IndexLink"/>
              </w:rPr>
              <w:t>392</w:t>
            </w:r>
          </w:hyperlink>
        </w:p>
        <w:p>
          <w:pPr>
            <w:pStyle w:val="Contents2"/>
            <w:tabs>
              <w:tab w:val="clear" w:pos="8743"/>
              <w:tab w:val="right" w:pos="9026" w:leader="dot"/>
            </w:tabs>
            <w:rPr/>
          </w:pPr>
          <w:hyperlink w:anchor="__RefHeading___Toc3959839_1051229030">
            <w:r>
              <w:rPr>
                <w:webHidden/>
                <w:rStyle w:val="IndexLink"/>
                <w:rtl w:val="true"/>
              </w:rPr>
              <w:t>المبحث السابع</w:t>
            </w:r>
            <w:r>
              <w:rPr>
                <w:rStyle w:val="IndexLink"/>
                <w:rtl w:val="true"/>
              </w:rPr>
              <w:t xml:space="preserve">: </w:t>
            </w:r>
            <w:r>
              <w:rPr>
                <w:rStyle w:val="IndexLink"/>
                <w:rtl w:val="true"/>
              </w:rPr>
              <w:t>الضابط والملاك في الأوامر والنواهي الإرشادية</w:t>
            </w:r>
            <w:r>
              <w:rPr>
                <w:rStyle w:val="IndexLink"/>
                <w:rtl w:val="true"/>
              </w:rPr>
              <w:tab/>
            </w:r>
            <w:r>
              <w:rPr>
                <w:rStyle w:val="IndexLink"/>
              </w:rPr>
              <w:t>393</w:t>
            </w:r>
          </w:hyperlink>
        </w:p>
        <w:p>
          <w:pPr>
            <w:pStyle w:val="Contents3"/>
            <w:tabs>
              <w:tab w:val="clear" w:pos="8459"/>
              <w:tab w:val="right" w:pos="9026" w:leader="dot"/>
            </w:tabs>
            <w:rPr/>
          </w:pPr>
          <w:hyperlink w:anchor="__RefHeading___Toc3959841_1051229030">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3959843_1051229030">
            <w:r>
              <w:rPr>
                <w:webHidden/>
                <w:rStyle w:val="IndexLink"/>
              </w:rPr>
              <w:t>1</w:t>
            </w:r>
            <w:r>
              <w:rPr>
                <w:rStyle w:val="IndexLink"/>
                <w:rtl w:val="true"/>
              </w:rPr>
              <w:t xml:space="preserve">- </w:t>
            </w:r>
            <w:r>
              <w:rPr>
                <w:rStyle w:val="IndexLink"/>
                <w:rtl w:val="true"/>
              </w:rPr>
              <w:t>ما صدر من المولى مُعمِلاً مقامه</w:t>
            </w:r>
            <w:r>
              <w:rPr>
                <w:rStyle w:val="IndexLink"/>
                <w:rtl w:val="true"/>
              </w:rPr>
              <w:tab/>
            </w:r>
            <w:r>
              <w:rPr>
                <w:rStyle w:val="IndexLink"/>
              </w:rPr>
              <w:t>395</w:t>
            </w:r>
          </w:hyperlink>
        </w:p>
        <w:p>
          <w:pPr>
            <w:pStyle w:val="Contents4"/>
            <w:tabs>
              <w:tab w:val="clear" w:pos="8176"/>
              <w:tab w:val="right" w:pos="9026" w:leader="dot"/>
            </w:tabs>
            <w:rPr/>
          </w:pPr>
          <w:hyperlink w:anchor="__RefHeading___Toc3959845_105122903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3959847_1051229030">
            <w:r>
              <w:rPr>
                <w:webHidden/>
                <w:rStyle w:val="IndexLink"/>
                <w:rtl w:val="true"/>
              </w:rPr>
              <w:t>هل البعث في الإرشادي، حقيقي؟</w:t>
            </w:r>
            <w:r>
              <w:rPr>
                <w:rStyle w:val="IndexLink"/>
                <w:rtl w:val="true"/>
              </w:rPr>
              <w:tab/>
            </w:r>
            <w:r>
              <w:rPr>
                <w:rStyle w:val="IndexLink"/>
              </w:rPr>
              <w:t>397</w:t>
            </w:r>
          </w:hyperlink>
        </w:p>
        <w:p>
          <w:pPr>
            <w:pStyle w:val="Contents4"/>
            <w:tabs>
              <w:tab w:val="clear" w:pos="8176"/>
              <w:tab w:val="right" w:pos="9026" w:leader="dot"/>
            </w:tabs>
            <w:rPr/>
          </w:pPr>
          <w:hyperlink w:anchor="__RefHeading___Toc3959849_1051229030">
            <w:r>
              <w:rPr>
                <w:webHidden/>
                <w:rStyle w:val="IndexLink"/>
                <w:rtl w:val="true"/>
              </w:rPr>
              <w:t>الأقسام الثلاثة للنصح</w:t>
            </w:r>
            <w:r>
              <w:rPr>
                <w:rStyle w:val="IndexLink"/>
                <w:rtl w:val="true"/>
              </w:rPr>
              <w:tab/>
            </w:r>
            <w:r>
              <w:rPr>
                <w:rStyle w:val="IndexLink"/>
              </w:rPr>
              <w:t>398</w:t>
            </w:r>
          </w:hyperlink>
        </w:p>
        <w:p>
          <w:pPr>
            <w:pStyle w:val="Contents4"/>
            <w:tabs>
              <w:tab w:val="clear" w:pos="8176"/>
              <w:tab w:val="right" w:pos="9026" w:leader="dot"/>
            </w:tabs>
            <w:rPr/>
          </w:pPr>
          <w:hyperlink w:anchor="__RefHeading___Toc3959851_1051229030">
            <w:r>
              <w:rPr>
                <w:webHidden/>
                <w:rStyle w:val="IndexLink"/>
                <w:rtl w:val="true"/>
              </w:rPr>
              <w:t>ما الفرق بين الأمرين المولويين؟</w:t>
            </w:r>
            <w:r>
              <w:rPr>
                <w:rStyle w:val="IndexLink"/>
                <w:rtl w:val="true"/>
              </w:rPr>
              <w:tab/>
            </w:r>
            <w:r>
              <w:rPr>
                <w:rStyle w:val="IndexLink"/>
              </w:rPr>
              <w:t>399</w:t>
            </w:r>
          </w:hyperlink>
        </w:p>
        <w:p>
          <w:pPr>
            <w:pStyle w:val="Contents4"/>
            <w:tabs>
              <w:tab w:val="clear" w:pos="8176"/>
              <w:tab w:val="right" w:pos="9026" w:leader="dot"/>
            </w:tabs>
            <w:rPr/>
          </w:pPr>
          <w:hyperlink w:anchor="__RefHeading___Toc3959853_1051229030">
            <w:r>
              <w:rPr>
                <w:webHidden/>
                <w:rStyle w:val="IndexLink"/>
                <w:rtl w:val="true"/>
              </w:rPr>
              <w:t>وجه الفرق بين المولويين</w:t>
            </w:r>
            <w:r>
              <w:rPr>
                <w:rStyle w:val="IndexLink"/>
                <w:rtl w:val="true"/>
              </w:rPr>
              <w:t xml:space="preserve">: </w:t>
            </w:r>
            <w:r>
              <w:rPr>
                <w:rStyle w:val="IndexLink"/>
                <w:rtl w:val="true"/>
              </w:rPr>
              <w:t>التشريعي والنصحي</w:t>
            </w:r>
            <w:r>
              <w:rPr>
                <w:rStyle w:val="IndexLink"/>
                <w:rtl w:val="true"/>
              </w:rPr>
              <w:tab/>
            </w:r>
            <w:r>
              <w:rPr>
                <w:rStyle w:val="IndexLink"/>
              </w:rPr>
              <w:t>399</w:t>
            </w:r>
          </w:hyperlink>
        </w:p>
        <w:p>
          <w:pPr>
            <w:pStyle w:val="Contents4"/>
            <w:tabs>
              <w:tab w:val="clear" w:pos="8176"/>
              <w:tab w:val="right" w:pos="9026" w:leader="dot"/>
            </w:tabs>
            <w:rPr/>
          </w:pPr>
          <w:hyperlink w:anchor="__RefHeading___Toc3959855_1051229030">
            <w:r>
              <w:rPr>
                <w:webHidden/>
                <w:rStyle w:val="IndexLink"/>
                <w:rtl w:val="true"/>
              </w:rPr>
              <w:t>الأقسام الخمسة للمولوي والنصحي</w:t>
            </w:r>
            <w:r>
              <w:rPr>
                <w:rStyle w:val="IndexLink"/>
                <w:rtl w:val="true"/>
              </w:rPr>
              <w:tab/>
            </w:r>
            <w:r>
              <w:rPr>
                <w:rStyle w:val="IndexLink"/>
              </w:rPr>
              <w:t>401</w:t>
            </w:r>
          </w:hyperlink>
        </w:p>
        <w:p>
          <w:pPr>
            <w:pStyle w:val="Contents3"/>
            <w:tabs>
              <w:tab w:val="clear" w:pos="8459"/>
              <w:tab w:val="right" w:pos="9026" w:leader="dot"/>
            </w:tabs>
            <w:rPr/>
          </w:pPr>
          <w:hyperlink w:anchor="__RefHeading___Toc3959857_1051229030">
            <w:r>
              <w:rPr>
                <w:webHidden/>
                <w:rStyle w:val="IndexLink"/>
              </w:rPr>
              <w:t>2</w:t>
            </w:r>
            <w:r>
              <w:rPr>
                <w:rStyle w:val="IndexLink"/>
                <w:rtl w:val="true"/>
              </w:rPr>
              <w:t xml:space="preserve">- </w:t>
            </w:r>
            <w:r>
              <w:rPr>
                <w:rStyle w:val="IndexLink"/>
                <w:rtl w:val="true"/>
              </w:rPr>
              <w:t>ما أنشأ بلحاظ مصلحة الآخرة</w:t>
            </w:r>
            <w:r>
              <w:rPr>
                <w:rStyle w:val="IndexLink"/>
                <w:rtl w:val="true"/>
              </w:rPr>
              <w:tab/>
            </w:r>
            <w:r>
              <w:rPr>
                <w:rStyle w:val="IndexLink"/>
              </w:rPr>
              <w:t>402</w:t>
            </w:r>
          </w:hyperlink>
        </w:p>
        <w:p>
          <w:pPr>
            <w:pStyle w:val="Contents4"/>
            <w:tabs>
              <w:tab w:val="clear" w:pos="8176"/>
              <w:tab w:val="right" w:pos="9026" w:leader="dot"/>
            </w:tabs>
            <w:rPr/>
          </w:pPr>
          <w:hyperlink w:anchor="__RefHeading___Toc3959859_105122903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3959861_1051229030">
            <w:r>
              <w:rPr>
                <w:webHidden/>
                <w:rStyle w:val="IndexLink"/>
                <w:rtl w:val="true"/>
              </w:rPr>
              <w:t>وجه عدم تمامية هذا الضابط</w:t>
            </w:r>
            <w:r>
              <w:rPr>
                <w:rStyle w:val="IndexLink"/>
                <w:rtl w:val="true"/>
              </w:rPr>
              <w:tab/>
            </w:r>
            <w:r>
              <w:rPr>
                <w:rStyle w:val="IndexLink"/>
              </w:rPr>
              <w:t>403</w:t>
            </w:r>
          </w:hyperlink>
        </w:p>
        <w:p>
          <w:pPr>
            <w:pStyle w:val="Contents4"/>
            <w:tabs>
              <w:tab w:val="clear" w:pos="8176"/>
              <w:tab w:val="right" w:pos="9026" w:leader="dot"/>
            </w:tabs>
            <w:rPr/>
          </w:pPr>
          <w:hyperlink w:anchor="__RefHeading___Toc3959863_1051229030">
            <w:r>
              <w:rPr>
                <w:webHidden/>
                <w:rStyle w:val="IndexLink"/>
              </w:rPr>
              <w:t>1</w:t>
            </w:r>
            <w:r>
              <w:rPr>
                <w:rStyle w:val="IndexLink"/>
                <w:rtl w:val="true"/>
              </w:rPr>
              <w:t xml:space="preserve">- </w:t>
            </w:r>
            <w:r>
              <w:rPr>
                <w:rStyle w:val="IndexLink"/>
                <w:rtl w:val="true"/>
              </w:rPr>
              <w:t>النهي مولوياً عن ما فيه مفسدة دنيوية</w:t>
            </w:r>
            <w:r>
              <w:rPr>
                <w:rStyle w:val="IndexLink"/>
                <w:rtl w:val="true"/>
              </w:rPr>
              <w:tab/>
            </w:r>
            <w:r>
              <w:rPr>
                <w:rStyle w:val="IndexLink"/>
              </w:rPr>
              <w:t>403</w:t>
            </w:r>
          </w:hyperlink>
        </w:p>
        <w:p>
          <w:pPr>
            <w:pStyle w:val="Contents5"/>
            <w:tabs>
              <w:tab w:val="clear" w:pos="7892"/>
              <w:tab w:val="right" w:pos="9026" w:leader="dot"/>
            </w:tabs>
            <w:rPr/>
          </w:pPr>
          <w:hyperlink w:anchor="__RefHeading___Toc3959865_105122903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959867_1051229030">
            <w:r>
              <w:rPr>
                <w:webHidden/>
                <w:rStyle w:val="IndexLink"/>
                <w:rtl w:val="true"/>
              </w:rPr>
              <w:t>هل رعاية المصالح الدنيوية من شأن المولى؟</w:t>
            </w:r>
            <w:r>
              <w:rPr>
                <w:rStyle w:val="IndexLink"/>
                <w:rtl w:val="true"/>
              </w:rPr>
              <w:tab/>
            </w:r>
            <w:r>
              <w:rPr>
                <w:rStyle w:val="IndexLink"/>
              </w:rPr>
              <w:t>404</w:t>
            </w:r>
          </w:hyperlink>
        </w:p>
        <w:p>
          <w:pPr>
            <w:pStyle w:val="Contents4"/>
            <w:tabs>
              <w:tab w:val="clear" w:pos="8176"/>
              <w:tab w:val="right" w:pos="9026" w:leader="dot"/>
            </w:tabs>
            <w:rPr/>
          </w:pPr>
          <w:hyperlink w:anchor="__RefHeading___Toc3959869_1051229030">
            <w:r>
              <w:rPr>
                <w:webHidden/>
                <w:rStyle w:val="IndexLink"/>
              </w:rPr>
              <w:t>2</w:t>
            </w:r>
            <w:r>
              <w:rPr>
                <w:rStyle w:val="IndexLink"/>
                <w:rtl w:val="true"/>
              </w:rPr>
              <w:t xml:space="preserve">- </w:t>
            </w:r>
            <w:r>
              <w:rPr>
                <w:rStyle w:val="IndexLink"/>
                <w:rtl w:val="true"/>
              </w:rPr>
              <w:t>النقض بوجود المولوي في العرف</w:t>
            </w:r>
            <w:r>
              <w:rPr>
                <w:rStyle w:val="IndexLink"/>
                <w:rtl w:val="true"/>
              </w:rPr>
              <w:tab/>
            </w:r>
            <w:r>
              <w:rPr>
                <w:rStyle w:val="IndexLink"/>
              </w:rPr>
              <w:t>406</w:t>
            </w:r>
          </w:hyperlink>
        </w:p>
        <w:p>
          <w:pPr>
            <w:pStyle w:val="Contents4"/>
            <w:tabs>
              <w:tab w:val="clear" w:pos="8176"/>
              <w:tab w:val="right" w:pos="9026" w:leader="dot"/>
            </w:tabs>
            <w:rPr/>
          </w:pPr>
          <w:hyperlink w:anchor="__RefHeading___Toc3959871_1051229030">
            <w:r>
              <w:rPr>
                <w:webHidden/>
                <w:rStyle w:val="IndexLink"/>
              </w:rPr>
              <w:t>3</w:t>
            </w:r>
            <w:r>
              <w:rPr>
                <w:rStyle w:val="IndexLink"/>
                <w:rtl w:val="true"/>
              </w:rPr>
              <w:t xml:space="preserve">- </w:t>
            </w:r>
            <w:r>
              <w:rPr>
                <w:rStyle w:val="IndexLink"/>
                <w:rtl w:val="true"/>
              </w:rPr>
              <w:t>النقض بلزوم كون أمر الإطاعة، مولوياً</w:t>
            </w:r>
            <w:r>
              <w:rPr>
                <w:rStyle w:val="IndexLink"/>
                <w:rtl w:val="true"/>
              </w:rPr>
              <w:tab/>
            </w:r>
            <w:r>
              <w:rPr>
                <w:rStyle w:val="IndexLink"/>
              </w:rPr>
              <w:t>408</w:t>
            </w:r>
          </w:hyperlink>
        </w:p>
        <w:p>
          <w:pPr>
            <w:pStyle w:val="Contents5"/>
            <w:tabs>
              <w:tab w:val="clear" w:pos="7892"/>
              <w:tab w:val="right" w:pos="9026" w:leader="dot"/>
            </w:tabs>
            <w:rPr/>
          </w:pPr>
          <w:hyperlink w:anchor="__RefHeading___Toc3959873_105122903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959875_1051229030">
            <w:r>
              <w:rPr>
                <w:webHidden/>
                <w:rStyle w:val="IndexLink"/>
                <w:rtl w:val="true"/>
              </w:rPr>
              <w:t>الشيرازي</w:t>
            </w:r>
            <w:r>
              <w:rPr>
                <w:rStyle w:val="IndexLink"/>
                <w:rtl w:val="true"/>
              </w:rPr>
              <w:t>: (</w:t>
            </w:r>
            <w:r>
              <w:rPr>
                <w:rStyle w:val="IndexLink"/>
                <w:rtl w:val="true"/>
              </w:rPr>
              <w:t>أمر الإطاعة</w:t>
            </w:r>
            <w:r>
              <w:rPr>
                <w:rStyle w:val="IndexLink"/>
                <w:rtl w:val="true"/>
              </w:rPr>
              <w:t xml:space="preserve">) </w:t>
            </w:r>
            <w:r>
              <w:rPr>
                <w:rStyle w:val="IndexLink"/>
                <w:rtl w:val="true"/>
              </w:rPr>
              <w:t>إرشادي، والمصلحة دنيوية</w:t>
            </w:r>
            <w:r>
              <w:rPr>
                <w:rStyle w:val="IndexLink"/>
                <w:rtl w:val="true"/>
              </w:rPr>
              <w:tab/>
            </w:r>
            <w:r>
              <w:rPr>
                <w:rStyle w:val="IndexLink"/>
              </w:rPr>
              <w:t>410</w:t>
            </w:r>
          </w:hyperlink>
        </w:p>
        <w:p>
          <w:pPr>
            <w:pStyle w:val="Contents5"/>
            <w:tabs>
              <w:tab w:val="clear" w:pos="7892"/>
              <w:tab w:val="right" w:pos="9026" w:leader="dot"/>
            </w:tabs>
            <w:rPr/>
          </w:pPr>
          <w:hyperlink w:anchor="__RefHeading___Toc3959877_1051229030">
            <w:r>
              <w:rPr>
                <w:webHidden/>
                <w:rStyle w:val="IndexLink"/>
                <w:rtl w:val="true"/>
              </w:rPr>
              <w:t>أجوبة ثلاثة</w:t>
            </w:r>
            <w:r>
              <w:rPr>
                <w:rStyle w:val="IndexLink"/>
                <w:rtl w:val="true"/>
              </w:rPr>
              <w:tab/>
            </w:r>
            <w:r>
              <w:rPr>
                <w:rStyle w:val="IndexLink"/>
              </w:rPr>
              <w:t>410</w:t>
            </w:r>
          </w:hyperlink>
        </w:p>
        <w:p>
          <w:pPr>
            <w:pStyle w:val="Contents4"/>
            <w:tabs>
              <w:tab w:val="clear" w:pos="8176"/>
              <w:tab w:val="right" w:pos="9026" w:leader="dot"/>
            </w:tabs>
            <w:rPr/>
          </w:pPr>
          <w:hyperlink w:anchor="__RefHeading___Toc3959879_1051229030">
            <w:r>
              <w:rPr>
                <w:webHidden/>
                <w:rStyle w:val="IndexLink"/>
              </w:rPr>
              <w:t>4</w:t>
            </w:r>
            <w:r>
              <w:rPr>
                <w:rStyle w:val="IndexLink"/>
                <w:rtl w:val="true"/>
              </w:rPr>
              <w:t xml:space="preserve">- </w:t>
            </w:r>
            <w:r>
              <w:rPr>
                <w:rStyle w:val="IndexLink"/>
                <w:rtl w:val="true"/>
              </w:rPr>
              <w:t>نقض الشيرازي بالسواك وغسل الجمعة</w:t>
            </w:r>
            <w:r>
              <w:rPr>
                <w:rStyle w:val="IndexLink"/>
                <w:rtl w:val="true"/>
              </w:rPr>
              <w:tab/>
            </w:r>
            <w:r>
              <w:rPr>
                <w:rStyle w:val="IndexLink"/>
              </w:rPr>
              <w:t>412</w:t>
            </w:r>
          </w:hyperlink>
        </w:p>
        <w:p>
          <w:pPr>
            <w:pStyle w:val="Contents5"/>
            <w:tabs>
              <w:tab w:val="clear" w:pos="7892"/>
              <w:tab w:val="right" w:pos="9026" w:leader="dot"/>
            </w:tabs>
            <w:rPr/>
          </w:pPr>
          <w:hyperlink w:anchor="__RefHeading___Toc3959881_105122903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959883_1051229030">
            <w:r>
              <w:rPr>
                <w:webHidden/>
                <w:rStyle w:val="IndexLink"/>
                <w:rtl w:val="true"/>
              </w:rPr>
              <w:t>أولاً</w:t>
            </w:r>
            <w:r>
              <w:rPr>
                <w:rStyle w:val="IndexLink"/>
                <w:rtl w:val="true"/>
              </w:rPr>
              <w:t xml:space="preserve">: </w:t>
            </w:r>
            <w:r>
              <w:rPr>
                <w:rStyle w:val="IndexLink"/>
                <w:rtl w:val="true"/>
              </w:rPr>
              <w:t>الأمر بالغسل والسواك، مولوي لمصالحهما الأخروية</w:t>
            </w:r>
            <w:r>
              <w:rPr>
                <w:rStyle w:val="IndexLink"/>
                <w:rtl w:val="true"/>
              </w:rPr>
              <w:tab/>
            </w:r>
            <w:r>
              <w:rPr>
                <w:rStyle w:val="IndexLink"/>
              </w:rPr>
              <w:t>413</w:t>
            </w:r>
          </w:hyperlink>
        </w:p>
        <w:p>
          <w:pPr>
            <w:pStyle w:val="Contents5"/>
            <w:tabs>
              <w:tab w:val="clear" w:pos="7892"/>
              <w:tab w:val="right" w:pos="9026" w:leader="dot"/>
            </w:tabs>
            <w:rPr/>
          </w:pPr>
          <w:hyperlink w:anchor="__RefHeading___Toc3959885_1051229030">
            <w:r>
              <w:rPr>
                <w:webHidden/>
                <w:rStyle w:val="IndexLink"/>
                <w:rtl w:val="true"/>
              </w:rPr>
              <w:t>ثانياً</w:t>
            </w:r>
            <w:r>
              <w:rPr>
                <w:rStyle w:val="IndexLink"/>
                <w:rtl w:val="true"/>
              </w:rPr>
              <w:t xml:space="preserve">: </w:t>
            </w:r>
            <w:r>
              <w:rPr>
                <w:rStyle w:val="IndexLink"/>
                <w:rtl w:val="true"/>
              </w:rPr>
              <w:t>أ</w:t>
            </w:r>
            <w:r>
              <w:rPr>
                <w:rStyle w:val="IndexLink"/>
                <w:rtl w:val="true"/>
              </w:rPr>
              <w:t>- (</w:t>
            </w:r>
            <w:r>
              <w:rPr>
                <w:rStyle w:val="IndexLink"/>
                <w:rtl w:val="true"/>
              </w:rPr>
              <w:t>السواك</w:t>
            </w:r>
            <w:r>
              <w:rPr>
                <w:rStyle w:val="IndexLink"/>
                <w:rtl w:val="true"/>
              </w:rPr>
              <w:t xml:space="preserve">) </w:t>
            </w:r>
            <w:r>
              <w:rPr>
                <w:rStyle w:val="IndexLink"/>
                <w:rtl w:val="true"/>
              </w:rPr>
              <w:t>ليس لصرف المصالح الدنيوية، وأدلته</w:t>
            </w:r>
            <w:r>
              <w:rPr>
                <w:rStyle w:val="IndexLink"/>
                <w:rtl w:val="true"/>
              </w:rPr>
              <w:tab/>
            </w:r>
            <w:r>
              <w:rPr>
                <w:rStyle w:val="IndexLink"/>
              </w:rPr>
              <w:t>413</w:t>
            </w:r>
          </w:hyperlink>
        </w:p>
        <w:p>
          <w:pPr>
            <w:pStyle w:val="Contents6"/>
            <w:tabs>
              <w:tab w:val="clear" w:pos="7609"/>
              <w:tab w:val="right" w:pos="9026" w:leader="dot"/>
            </w:tabs>
            <w:rPr/>
          </w:pPr>
          <w:hyperlink w:anchor="__RefHeading___Toc3959887_1051229030">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3959889_1051229030">
            <w:r>
              <w:rPr>
                <w:webHidden/>
                <w:rStyle w:val="IndexLink"/>
                <w:rtl w:val="true"/>
              </w:rPr>
              <w:t>الوجه في كون أوامر الصناعات والتجارة والأخلاق والطب، مولوية</w:t>
            </w:r>
            <w:r>
              <w:rPr>
                <w:rStyle w:val="IndexLink"/>
                <w:rtl w:val="true"/>
              </w:rPr>
              <w:tab/>
            </w:r>
            <w:r>
              <w:rPr>
                <w:rStyle w:val="IndexLink"/>
              </w:rPr>
              <w:t>416</w:t>
            </w:r>
          </w:hyperlink>
        </w:p>
        <w:p>
          <w:pPr>
            <w:pStyle w:val="Contents5"/>
            <w:tabs>
              <w:tab w:val="clear" w:pos="7892"/>
              <w:tab w:val="right" w:pos="9026" w:leader="dot"/>
            </w:tabs>
            <w:rPr/>
          </w:pPr>
          <w:hyperlink w:anchor="__RefHeading___Toc3959891_1051229030">
            <w:r>
              <w:rPr>
                <w:webHidden/>
                <w:rStyle w:val="IndexLink"/>
                <w:rtl w:val="true"/>
              </w:rPr>
              <w:t>ثانياً</w:t>
            </w:r>
            <w:r>
              <w:rPr>
                <w:rStyle w:val="IndexLink"/>
                <w:rtl w:val="true"/>
              </w:rPr>
              <w:t xml:space="preserve">: </w:t>
            </w:r>
            <w:r>
              <w:rPr>
                <w:rStyle w:val="IndexLink"/>
                <w:rtl w:val="true"/>
              </w:rPr>
              <w:t>ب</w:t>
            </w:r>
            <w:r>
              <w:rPr>
                <w:rStyle w:val="IndexLink"/>
                <w:rtl w:val="true"/>
              </w:rPr>
              <w:t>- (</w:t>
            </w:r>
            <w:r>
              <w:rPr>
                <w:rStyle w:val="IndexLink"/>
                <w:rtl w:val="true"/>
              </w:rPr>
              <w:t>غسل الجمعة</w:t>
            </w:r>
            <w:r>
              <w:rPr>
                <w:rStyle w:val="IndexLink"/>
                <w:rtl w:val="true"/>
              </w:rPr>
              <w:t xml:space="preserve">) </w:t>
            </w:r>
            <w:r>
              <w:rPr>
                <w:rStyle w:val="IndexLink"/>
                <w:rtl w:val="true"/>
              </w:rPr>
              <w:t>شرّع للمصالح الأخروية</w:t>
            </w:r>
            <w:r>
              <w:rPr>
                <w:rStyle w:val="IndexLink"/>
                <w:rtl w:val="true"/>
              </w:rPr>
              <w:tab/>
            </w:r>
            <w:r>
              <w:rPr>
                <w:rStyle w:val="IndexLink"/>
              </w:rPr>
              <w:t>417</w:t>
            </w:r>
          </w:hyperlink>
        </w:p>
        <w:p>
          <w:pPr>
            <w:pStyle w:val="Contents5"/>
            <w:tabs>
              <w:tab w:val="clear" w:pos="7892"/>
              <w:tab w:val="right" w:pos="9026" w:leader="dot"/>
            </w:tabs>
            <w:rPr/>
          </w:pPr>
          <w:hyperlink w:anchor="__RefHeading___Toc3959893_1051229030">
            <w:r>
              <w:rPr>
                <w:webHidden/>
                <w:rStyle w:val="IndexLink"/>
                <w:rtl w:val="true"/>
              </w:rPr>
              <w:t>تنبيه</w:t>
            </w:r>
            <w:r>
              <w:rPr>
                <w:rStyle w:val="IndexLink"/>
                <w:rtl w:val="true"/>
              </w:rPr>
              <w:t>:</w:t>
              <w:tab/>
            </w:r>
            <w:r>
              <w:rPr>
                <w:rStyle w:val="IndexLink"/>
              </w:rPr>
              <w:t>419</w:t>
            </w:r>
          </w:hyperlink>
        </w:p>
        <w:p>
          <w:pPr>
            <w:pStyle w:val="Contents3"/>
            <w:tabs>
              <w:tab w:val="clear" w:pos="8459"/>
              <w:tab w:val="right" w:pos="9026" w:leader="dot"/>
            </w:tabs>
            <w:rPr/>
          </w:pPr>
          <w:hyperlink w:anchor="__RefHeading___Toc3959895_1051229030">
            <w:r>
              <w:rPr>
                <w:webHidden/>
                <w:rStyle w:val="IndexLink"/>
              </w:rPr>
              <w:t>3</w:t>
            </w:r>
            <w:r>
              <w:rPr>
                <w:rStyle w:val="IndexLink"/>
                <w:rtl w:val="true"/>
              </w:rPr>
              <w:t xml:space="preserve">- </w:t>
            </w:r>
            <w:r>
              <w:rPr>
                <w:rStyle w:val="IndexLink"/>
                <w:rtl w:val="true"/>
              </w:rPr>
              <w:t>ما كان محبوباً للمولى، وقد صدر لمحبوبيته</w:t>
            </w:r>
            <w:r>
              <w:rPr>
                <w:rStyle w:val="IndexLink"/>
                <w:rtl w:val="true"/>
              </w:rPr>
              <w:tab/>
            </w:r>
            <w:r>
              <w:rPr>
                <w:rStyle w:val="IndexLink"/>
              </w:rPr>
              <w:t>420</w:t>
            </w:r>
          </w:hyperlink>
        </w:p>
        <w:p>
          <w:pPr>
            <w:pStyle w:val="Contents4"/>
            <w:tabs>
              <w:tab w:val="clear" w:pos="8176"/>
              <w:tab w:val="right" w:pos="9026" w:leader="dot"/>
            </w:tabs>
            <w:rPr/>
          </w:pPr>
          <w:hyperlink w:anchor="__RefHeading___Toc3959897_105122903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3959899_1051229030">
            <w:r>
              <w:rPr>
                <w:webHidden/>
                <w:rStyle w:val="IndexLink"/>
                <w:rtl w:val="true"/>
              </w:rPr>
              <w:t>فرق هذا عن الأول والنسبة بينهما</w:t>
            </w:r>
            <w:r>
              <w:rPr>
                <w:rStyle w:val="IndexLink"/>
                <w:rtl w:val="true"/>
              </w:rPr>
              <w:tab/>
            </w:r>
            <w:r>
              <w:rPr>
                <w:rStyle w:val="IndexLink"/>
              </w:rPr>
              <w:t>421</w:t>
            </w:r>
          </w:hyperlink>
        </w:p>
        <w:p>
          <w:pPr>
            <w:pStyle w:val="Contents4"/>
            <w:tabs>
              <w:tab w:val="clear" w:pos="8176"/>
              <w:tab w:val="right" w:pos="9026" w:leader="dot"/>
            </w:tabs>
            <w:rPr/>
          </w:pPr>
          <w:hyperlink w:anchor="__RefHeading___Toc3959901_1051229030">
            <w:r>
              <w:rPr>
                <w:webHidden/>
                <w:rStyle w:val="IndexLink"/>
                <w:rtl w:val="true"/>
              </w:rPr>
              <w:t>لكن قد يقال</w:t>
            </w:r>
            <w:r>
              <w:rPr>
                <w:rStyle w:val="IndexLink"/>
                <w:rtl w:val="true"/>
              </w:rPr>
              <w:t>:</w:t>
              <w:tab/>
            </w:r>
            <w:r>
              <w:rPr>
                <w:rStyle w:val="IndexLink"/>
              </w:rPr>
              <w:t>422</w:t>
            </w:r>
          </w:hyperlink>
        </w:p>
        <w:p>
          <w:pPr>
            <w:pStyle w:val="Contents3"/>
            <w:tabs>
              <w:tab w:val="clear" w:pos="8459"/>
              <w:tab w:val="right" w:pos="9026" w:leader="dot"/>
            </w:tabs>
            <w:rPr/>
          </w:pPr>
          <w:hyperlink w:anchor="__RefHeading___Toc3959903_1051229030">
            <w:r>
              <w:rPr>
                <w:webHidden/>
                <w:rStyle w:val="IndexLink"/>
              </w:rPr>
              <w:t>4</w:t>
            </w:r>
            <w:r>
              <w:rPr>
                <w:rStyle w:val="IndexLink"/>
                <w:rtl w:val="true"/>
              </w:rPr>
              <w:t xml:space="preserve">- </w:t>
            </w:r>
            <w:r>
              <w:rPr>
                <w:rStyle w:val="IndexLink"/>
                <w:rtl w:val="true"/>
              </w:rPr>
              <w:t>المولوي ما لم يلزم منه التسلسل ونظائره</w:t>
            </w:r>
            <w:r>
              <w:rPr>
                <w:rStyle w:val="IndexLink"/>
                <w:rtl w:val="true"/>
              </w:rPr>
              <w:tab/>
            </w:r>
            <w:r>
              <w:rPr>
                <w:rStyle w:val="IndexLink"/>
              </w:rPr>
              <w:t>424</w:t>
            </w:r>
          </w:hyperlink>
        </w:p>
        <w:p>
          <w:pPr>
            <w:pStyle w:val="Contents3"/>
            <w:tabs>
              <w:tab w:val="clear" w:pos="8459"/>
              <w:tab w:val="right" w:pos="9026" w:leader="dot"/>
            </w:tabs>
            <w:rPr/>
          </w:pPr>
          <w:hyperlink w:anchor="__RefHeading___Toc3959905_1051229030">
            <w:r>
              <w:rPr>
                <w:webHidden/>
                <w:rStyle w:val="IndexLink"/>
              </w:rPr>
              <w:t>5</w:t>
            </w:r>
            <w:r>
              <w:rPr>
                <w:rStyle w:val="IndexLink"/>
                <w:rtl w:val="true"/>
              </w:rPr>
              <w:t xml:space="preserve">- </w:t>
            </w:r>
            <w:r>
              <w:rPr>
                <w:rStyle w:val="IndexLink"/>
                <w:rtl w:val="true"/>
              </w:rPr>
              <w:t>المولوي</w:t>
            </w:r>
            <w:r>
              <w:rPr>
                <w:rStyle w:val="IndexLink"/>
                <w:rtl w:val="true"/>
              </w:rPr>
              <w:t xml:space="preserve">: </w:t>
            </w:r>
            <w:r>
              <w:rPr>
                <w:rStyle w:val="IndexLink"/>
                <w:rtl w:val="true"/>
              </w:rPr>
              <w:t>ما عدا المستقلات العقلية</w:t>
            </w:r>
            <w:r>
              <w:rPr>
                <w:rStyle w:val="IndexLink"/>
                <w:rtl w:val="true"/>
              </w:rPr>
              <w:t>.</w:t>
              <w:tab/>
            </w:r>
            <w:r>
              <w:rPr>
                <w:rStyle w:val="IndexLink"/>
              </w:rPr>
              <w:t>425</w:t>
            </w:r>
          </w:hyperlink>
        </w:p>
        <w:p>
          <w:pPr>
            <w:pStyle w:val="Contents3"/>
            <w:tabs>
              <w:tab w:val="clear" w:pos="8459"/>
              <w:tab w:val="right" w:pos="9026" w:leader="dot"/>
            </w:tabs>
            <w:rPr/>
          </w:pPr>
          <w:hyperlink w:anchor="__RefHeading___Toc3959907_1051229030">
            <w:r>
              <w:rPr>
                <w:webHidden/>
                <w:rStyle w:val="IndexLink"/>
              </w:rPr>
              <w:t>6</w:t>
            </w:r>
            <w:r>
              <w:rPr>
                <w:rStyle w:val="IndexLink"/>
                <w:rtl w:val="true"/>
              </w:rPr>
              <w:t xml:space="preserve">- </w:t>
            </w:r>
            <w:r>
              <w:rPr>
                <w:rStyle w:val="IndexLink"/>
                <w:rtl w:val="true"/>
              </w:rPr>
              <w:t>المولوي</w:t>
            </w:r>
            <w:r>
              <w:rPr>
                <w:rStyle w:val="IndexLink"/>
                <w:rtl w:val="true"/>
              </w:rPr>
              <w:t xml:space="preserve">: </w:t>
            </w:r>
            <w:r>
              <w:rPr>
                <w:rStyle w:val="IndexLink"/>
                <w:rtl w:val="true"/>
              </w:rPr>
              <w:t>ما لم تكن المصلحة معلومة للمأمور قبل الأمر</w:t>
            </w:r>
            <w:r>
              <w:rPr>
                <w:rStyle w:val="IndexLink"/>
                <w:rtl w:val="true"/>
              </w:rPr>
              <w:tab/>
            </w:r>
            <w:r>
              <w:rPr>
                <w:rStyle w:val="IndexLink"/>
              </w:rPr>
              <w:t>426</w:t>
            </w:r>
          </w:hyperlink>
        </w:p>
        <w:p>
          <w:pPr>
            <w:pStyle w:val="Contents4"/>
            <w:tabs>
              <w:tab w:val="clear" w:pos="8176"/>
              <w:tab w:val="right" w:pos="9026" w:leader="dot"/>
            </w:tabs>
            <w:rPr/>
          </w:pPr>
          <w:hyperlink w:anchor="__RefHeading___Toc3959909_1051229030">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3959911_1051229030">
            <w:r>
              <w:rPr>
                <w:webHidden/>
                <w:rStyle w:val="IndexLink"/>
                <w:rtl w:val="true"/>
              </w:rPr>
              <w:t>وجوه الإيراد على هذا الوجه</w:t>
            </w:r>
            <w:r>
              <w:rPr>
                <w:rStyle w:val="IndexLink"/>
                <w:rtl w:val="true"/>
              </w:rPr>
              <w:tab/>
            </w:r>
            <w:r>
              <w:rPr>
                <w:rStyle w:val="IndexLink"/>
              </w:rPr>
              <w:t>427</w:t>
            </w:r>
          </w:hyperlink>
        </w:p>
        <w:p>
          <w:pPr>
            <w:pStyle w:val="Contents4"/>
            <w:tabs>
              <w:tab w:val="clear" w:pos="8176"/>
              <w:tab w:val="right" w:pos="9026" w:leader="dot"/>
            </w:tabs>
            <w:rPr/>
          </w:pPr>
          <w:hyperlink w:anchor="__RefHeading___Toc3959913_1051229030">
            <w:r>
              <w:rPr>
                <w:webHidden/>
                <w:rStyle w:val="IndexLink"/>
                <w:rtl w:val="true"/>
              </w:rPr>
              <w:t>النسبة بين هذا الضابط وسابقه</w:t>
            </w:r>
            <w:r>
              <w:rPr>
                <w:rStyle w:val="IndexLink"/>
                <w:rtl w:val="true"/>
              </w:rPr>
              <w:tab/>
            </w:r>
            <w:r>
              <w:rPr>
                <w:rStyle w:val="IndexLink"/>
              </w:rPr>
              <w:t>429</w:t>
            </w:r>
          </w:hyperlink>
        </w:p>
        <w:p>
          <w:pPr>
            <w:pStyle w:val="Contents3"/>
            <w:tabs>
              <w:tab w:val="clear" w:pos="8459"/>
              <w:tab w:val="right" w:pos="9026" w:leader="dot"/>
            </w:tabs>
            <w:rPr/>
          </w:pPr>
          <w:hyperlink w:anchor="__RefHeading___Toc3959915_1051229030">
            <w:r>
              <w:rPr>
                <w:webHidden/>
                <w:rStyle w:val="IndexLink"/>
              </w:rPr>
              <w:t>7</w:t>
            </w:r>
            <w:r>
              <w:rPr>
                <w:rStyle w:val="IndexLink"/>
                <w:rtl w:val="true"/>
              </w:rPr>
              <w:t xml:space="preserve">- </w:t>
            </w:r>
            <w:r>
              <w:rPr>
                <w:rStyle w:val="IndexLink"/>
                <w:rtl w:val="true"/>
              </w:rPr>
              <w:t>المولوي</w:t>
            </w:r>
            <w:r>
              <w:rPr>
                <w:rStyle w:val="IndexLink"/>
                <w:rtl w:val="true"/>
              </w:rPr>
              <w:t xml:space="preserve">: </w:t>
            </w:r>
            <w:r>
              <w:rPr>
                <w:rStyle w:val="IndexLink"/>
                <w:rtl w:val="true"/>
              </w:rPr>
              <w:t>ما توقفت المصلحة على الأمر</w:t>
            </w:r>
            <w:r>
              <w:rPr>
                <w:rStyle w:val="IndexLink"/>
                <w:rtl w:val="true"/>
              </w:rPr>
              <w:tab/>
            </w:r>
            <w:r>
              <w:rPr>
                <w:rStyle w:val="IndexLink"/>
              </w:rPr>
              <w:t>430</w:t>
            </w:r>
          </w:hyperlink>
        </w:p>
        <w:p>
          <w:pPr>
            <w:pStyle w:val="Contents4"/>
            <w:tabs>
              <w:tab w:val="clear" w:pos="8176"/>
              <w:tab w:val="right" w:pos="9026" w:leader="dot"/>
            </w:tabs>
            <w:rPr/>
          </w:pPr>
          <w:hyperlink w:anchor="__RefHeading___Toc3959917_105122903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3959919_1051229030">
            <w:r>
              <w:rPr>
                <w:webHidden/>
                <w:rStyle w:val="IndexLink"/>
                <w:rtl w:val="true"/>
              </w:rPr>
              <w:t>وجوه عدم تمامية هذا الضابط</w:t>
            </w:r>
            <w:r>
              <w:rPr>
                <w:rStyle w:val="IndexLink"/>
                <w:rtl w:val="true"/>
              </w:rPr>
              <w:tab/>
            </w:r>
            <w:r>
              <w:rPr>
                <w:rStyle w:val="IndexLink"/>
              </w:rPr>
              <w:t>432</w:t>
            </w:r>
          </w:hyperlink>
        </w:p>
        <w:p>
          <w:pPr>
            <w:pStyle w:val="Contents3"/>
            <w:tabs>
              <w:tab w:val="clear" w:pos="8459"/>
              <w:tab w:val="right" w:pos="9026" w:leader="dot"/>
            </w:tabs>
            <w:rPr/>
          </w:pPr>
          <w:hyperlink w:anchor="__RefHeading___Toc3959921_1051229030">
            <w:r>
              <w:rPr>
                <w:webHidden/>
                <w:rStyle w:val="IndexLink"/>
              </w:rPr>
              <w:t>8</w:t>
            </w:r>
            <w:r>
              <w:rPr>
                <w:rStyle w:val="IndexLink"/>
                <w:rtl w:val="true"/>
              </w:rPr>
              <w:t xml:space="preserve">- </w:t>
            </w:r>
            <w:r>
              <w:rPr>
                <w:rStyle w:val="IndexLink"/>
                <w:rtl w:val="true"/>
              </w:rPr>
              <w:t>المولوي</w:t>
            </w:r>
            <w:r>
              <w:rPr>
                <w:rStyle w:val="IndexLink"/>
                <w:rtl w:val="true"/>
              </w:rPr>
              <w:t xml:space="preserve">: </w:t>
            </w:r>
            <w:r>
              <w:rPr>
                <w:rStyle w:val="IndexLink"/>
                <w:rtl w:val="true"/>
              </w:rPr>
              <w:t>ما عادت المصلحة للآمر</w:t>
            </w:r>
            <w:r>
              <w:rPr>
                <w:rStyle w:val="IndexLink"/>
                <w:rtl w:val="true"/>
              </w:rPr>
              <w:tab/>
            </w:r>
            <w:r>
              <w:rPr>
                <w:rStyle w:val="IndexLink"/>
              </w:rPr>
              <w:t>434</w:t>
            </w:r>
          </w:hyperlink>
        </w:p>
        <w:p>
          <w:pPr>
            <w:pStyle w:val="Contents4"/>
            <w:tabs>
              <w:tab w:val="clear" w:pos="8176"/>
              <w:tab w:val="right" w:pos="9026" w:leader="dot"/>
            </w:tabs>
            <w:rPr/>
          </w:pPr>
          <w:hyperlink w:anchor="__RefHeading___Toc3959923_1051229030">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3959925_1051229030">
            <w:r>
              <w:rPr>
                <w:webHidden/>
                <w:rStyle w:val="IndexLink"/>
                <w:rtl w:val="true"/>
              </w:rPr>
              <w:t>إشكالات عديدة</w:t>
            </w:r>
            <w:r>
              <w:rPr>
                <w:rStyle w:val="IndexLink"/>
                <w:rtl w:val="true"/>
              </w:rPr>
              <w:tab/>
            </w:r>
            <w:r>
              <w:rPr>
                <w:rStyle w:val="IndexLink"/>
              </w:rPr>
              <w:t>434</w:t>
            </w:r>
          </w:hyperlink>
        </w:p>
        <w:p>
          <w:pPr>
            <w:pStyle w:val="Contents3"/>
            <w:tabs>
              <w:tab w:val="clear" w:pos="8459"/>
              <w:tab w:val="right" w:pos="9026" w:leader="dot"/>
            </w:tabs>
            <w:rPr/>
          </w:pPr>
          <w:hyperlink w:anchor="__RefHeading___Toc3959927_1051229030">
            <w:r>
              <w:rPr>
                <w:webHidden/>
                <w:rStyle w:val="IndexLink"/>
              </w:rPr>
              <w:t>9</w:t>
            </w:r>
            <w:r>
              <w:rPr>
                <w:rStyle w:val="IndexLink"/>
                <w:rtl w:val="true"/>
              </w:rPr>
              <w:t xml:space="preserve">- </w:t>
            </w:r>
            <w:r>
              <w:rPr>
                <w:rStyle w:val="IndexLink"/>
                <w:rtl w:val="true"/>
              </w:rPr>
              <w:t>المولوي</w:t>
            </w:r>
            <w:r>
              <w:rPr>
                <w:rStyle w:val="IndexLink"/>
                <w:rtl w:val="true"/>
              </w:rPr>
              <w:t xml:space="preserve">: </w:t>
            </w:r>
            <w:r>
              <w:rPr>
                <w:rStyle w:val="IndexLink"/>
                <w:rtl w:val="true"/>
              </w:rPr>
              <w:t>ما يترتب عليه الثواب والعقاب</w:t>
            </w:r>
            <w:r>
              <w:rPr>
                <w:rStyle w:val="IndexLink"/>
                <w:rtl w:val="true"/>
              </w:rPr>
              <w:tab/>
            </w:r>
            <w:r>
              <w:rPr>
                <w:rStyle w:val="IndexLink"/>
              </w:rPr>
              <w:t>436</w:t>
            </w:r>
          </w:hyperlink>
        </w:p>
        <w:p>
          <w:pPr>
            <w:pStyle w:val="Contents3"/>
            <w:tabs>
              <w:tab w:val="clear" w:pos="8459"/>
              <w:tab w:val="right" w:pos="9026" w:leader="dot"/>
            </w:tabs>
            <w:rPr/>
          </w:pPr>
          <w:hyperlink w:anchor="__RefHeading___Toc3959929_1051229030">
            <w:r>
              <w:rPr>
                <w:webHidden/>
                <w:rStyle w:val="IndexLink"/>
                <w:rtl w:val="true"/>
              </w:rPr>
              <w:t>تنبيه</w:t>
            </w:r>
            <w:r>
              <w:rPr>
                <w:rStyle w:val="IndexLink"/>
                <w:rtl w:val="true"/>
              </w:rPr>
              <w:t>:</w:t>
              <w:tab/>
            </w:r>
            <w:r>
              <w:rPr>
                <w:rStyle w:val="IndexLink"/>
              </w:rPr>
              <w:t>438</w:t>
            </w:r>
          </w:hyperlink>
        </w:p>
        <w:p>
          <w:pPr>
            <w:pStyle w:val="Contents4"/>
            <w:tabs>
              <w:tab w:val="clear" w:pos="8176"/>
              <w:tab w:val="right" w:pos="9026" w:leader="dot"/>
            </w:tabs>
            <w:rPr/>
          </w:pPr>
          <w:hyperlink w:anchor="__RefHeading___Toc3959931_105122903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3959933_1051229030">
            <w:r>
              <w:rPr>
                <w:webHidden/>
                <w:rStyle w:val="IndexLink"/>
                <w:rtl w:val="true"/>
              </w:rPr>
              <w:t>التحقيق</w:t>
            </w:r>
            <w:r>
              <w:rPr>
                <w:rStyle w:val="IndexLink"/>
                <w:rtl w:val="true"/>
              </w:rPr>
              <w:t xml:space="preserve">: </w:t>
            </w:r>
            <w:r>
              <w:rPr>
                <w:rStyle w:val="IndexLink"/>
                <w:rtl w:val="true"/>
              </w:rPr>
              <w:t xml:space="preserve">الدوران في </w:t>
            </w:r>
            <w:r>
              <w:rPr>
                <w:rStyle w:val="IndexLink"/>
                <w:rtl w:val="true"/>
              </w:rPr>
              <w:t>(</w:t>
            </w:r>
            <w:r>
              <w:rPr>
                <w:rStyle w:val="IndexLink"/>
                <w:rtl w:val="true"/>
              </w:rPr>
              <w:t>الضابط</w:t>
            </w:r>
            <w:r>
              <w:rPr>
                <w:rStyle w:val="IndexLink"/>
                <w:rtl w:val="true"/>
              </w:rPr>
              <w:t>)</w:t>
            </w:r>
            <w:r>
              <w:rPr>
                <w:rStyle w:val="IndexLink"/>
                <w:rtl w:val="true"/>
              </w:rPr>
              <w:t xml:space="preserve">، مدار </w:t>
            </w:r>
            <w:r>
              <w:rPr>
                <w:rStyle w:val="IndexLink"/>
                <w:rtl w:val="true"/>
              </w:rPr>
              <w:t>(</w:t>
            </w:r>
            <w:r>
              <w:rPr>
                <w:rStyle w:val="IndexLink"/>
                <w:rtl w:val="true"/>
              </w:rPr>
              <w:t>الغرض</w:t>
            </w:r>
            <w:r>
              <w:rPr>
                <w:rStyle w:val="IndexLink"/>
                <w:rtl w:val="true"/>
              </w:rPr>
              <w:t>)</w:t>
              <w:tab/>
            </w:r>
            <w:r>
              <w:rPr>
                <w:rStyle w:val="IndexLink"/>
              </w:rPr>
              <w:t>439</w:t>
            </w:r>
          </w:hyperlink>
        </w:p>
        <w:p>
          <w:pPr>
            <w:pStyle w:val="Contents4"/>
            <w:tabs>
              <w:tab w:val="clear" w:pos="8176"/>
              <w:tab w:val="right" w:pos="9026" w:leader="dot"/>
            </w:tabs>
            <w:rPr/>
          </w:pPr>
          <w:hyperlink w:anchor="__RefHeading___Toc3959935_1051229030">
            <w:r>
              <w:rPr>
                <w:webHidden/>
                <w:rStyle w:val="IndexLink"/>
                <w:rtl w:val="true"/>
              </w:rPr>
              <w:t>والتحقيق</w:t>
            </w:r>
            <w:r>
              <w:rPr>
                <w:rStyle w:val="IndexLink"/>
                <w:rtl w:val="true"/>
              </w:rPr>
              <w:t>:</w:t>
              <w:tab/>
            </w:r>
            <w:r>
              <w:rPr>
                <w:rStyle w:val="IndexLink"/>
              </w:rPr>
              <w:t>439</w:t>
            </w:r>
          </w:hyperlink>
        </w:p>
        <w:p>
          <w:pPr>
            <w:pStyle w:val="Contents4"/>
            <w:tabs>
              <w:tab w:val="clear" w:pos="8176"/>
              <w:tab w:val="right" w:pos="9026" w:leader="dot"/>
            </w:tabs>
            <w:rPr/>
          </w:pPr>
          <w:hyperlink w:anchor="__RefHeading___Toc3959937_1051229030">
            <w:r>
              <w:rPr>
                <w:webHidden/>
                <w:rStyle w:val="IndexLink"/>
              </w:rPr>
              <w:t>1</w:t>
            </w:r>
            <w:r>
              <w:rPr>
                <w:rStyle w:val="IndexLink"/>
                <w:rtl w:val="true"/>
              </w:rPr>
              <w:t xml:space="preserve">- </w:t>
            </w:r>
            <w:r>
              <w:rPr>
                <w:rStyle w:val="IndexLink"/>
                <w:rtl w:val="true"/>
              </w:rPr>
              <w:t>هل الغرض استحقاق الثواب أو العقاب؟</w:t>
            </w:r>
            <w:r>
              <w:rPr>
                <w:rStyle w:val="IndexLink"/>
                <w:rtl w:val="true"/>
              </w:rPr>
              <w:tab/>
            </w:r>
            <w:r>
              <w:rPr>
                <w:rStyle w:val="IndexLink"/>
              </w:rPr>
              <w:t>440</w:t>
            </w:r>
          </w:hyperlink>
        </w:p>
        <w:p>
          <w:pPr>
            <w:pStyle w:val="Contents5"/>
            <w:tabs>
              <w:tab w:val="clear" w:pos="7892"/>
              <w:tab w:val="right" w:pos="9026" w:leader="dot"/>
            </w:tabs>
            <w:rPr/>
          </w:pPr>
          <w:hyperlink w:anchor="__RefHeading___Toc3959939_105122903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959941_1051229030">
            <w:r>
              <w:rPr>
                <w:webHidden/>
                <w:rStyle w:val="IndexLink"/>
                <w:rtl w:val="true"/>
              </w:rPr>
              <w:t>ويرد عليه أولاً</w:t>
            </w:r>
            <w:r>
              <w:rPr>
                <w:rStyle w:val="IndexLink"/>
                <w:rtl w:val="true"/>
              </w:rPr>
              <w:t xml:space="preserve">: </w:t>
            </w:r>
            <w:r>
              <w:rPr>
                <w:rStyle w:val="IndexLink"/>
                <w:rtl w:val="true"/>
              </w:rPr>
              <w:t>إنه غرض كلامي</w:t>
            </w:r>
            <w:r>
              <w:rPr>
                <w:rStyle w:val="IndexLink"/>
                <w:rtl w:val="true"/>
              </w:rPr>
              <w:tab/>
            </w:r>
            <w:r>
              <w:rPr>
                <w:rStyle w:val="IndexLink"/>
              </w:rPr>
              <w:t>440</w:t>
            </w:r>
          </w:hyperlink>
        </w:p>
        <w:p>
          <w:pPr>
            <w:pStyle w:val="Contents5"/>
            <w:tabs>
              <w:tab w:val="clear" w:pos="7892"/>
              <w:tab w:val="right" w:pos="9026" w:leader="dot"/>
            </w:tabs>
            <w:rPr/>
          </w:pPr>
          <w:hyperlink w:anchor="__RefHeading___Toc3959943_1051229030">
            <w:r>
              <w:rPr>
                <w:webHidden/>
                <w:rStyle w:val="IndexLink"/>
                <w:rtl w:val="true"/>
              </w:rPr>
              <w:t>وثانياً</w:t>
            </w:r>
            <w:r>
              <w:rPr>
                <w:rStyle w:val="IndexLink"/>
                <w:rtl w:val="true"/>
              </w:rPr>
              <w:t xml:space="preserve">: </w:t>
            </w:r>
            <w:r>
              <w:rPr>
                <w:rStyle w:val="IndexLink"/>
                <w:rtl w:val="true"/>
              </w:rPr>
              <w:t>إنه أخص من المولوي</w:t>
            </w:r>
            <w:r>
              <w:rPr>
                <w:rStyle w:val="IndexLink"/>
                <w:rtl w:val="true"/>
              </w:rPr>
              <w:tab/>
            </w:r>
            <w:r>
              <w:rPr>
                <w:rStyle w:val="IndexLink"/>
              </w:rPr>
              <w:t>441</w:t>
            </w:r>
          </w:hyperlink>
        </w:p>
        <w:p>
          <w:pPr>
            <w:pStyle w:val="Contents5"/>
            <w:tabs>
              <w:tab w:val="clear" w:pos="7892"/>
              <w:tab w:val="right" w:pos="9026" w:leader="dot"/>
            </w:tabs>
            <w:rPr/>
          </w:pPr>
          <w:hyperlink w:anchor="__RefHeading___Toc3959945_1051229030">
            <w:r>
              <w:rPr>
                <w:webHidden/>
                <w:rStyle w:val="IndexLink"/>
                <w:rtl w:val="true"/>
              </w:rPr>
              <w:t>النسبة بين هذا الغرض والضوابط التسعة</w:t>
            </w:r>
            <w:r>
              <w:rPr>
                <w:rStyle w:val="IndexLink"/>
                <w:rtl w:val="true"/>
              </w:rPr>
              <w:tab/>
            </w:r>
            <w:r>
              <w:rPr>
                <w:rStyle w:val="IndexLink"/>
              </w:rPr>
              <w:t>442</w:t>
            </w:r>
          </w:hyperlink>
        </w:p>
        <w:p>
          <w:pPr>
            <w:pStyle w:val="Contents4"/>
            <w:tabs>
              <w:tab w:val="clear" w:pos="8176"/>
              <w:tab w:val="right" w:pos="9026" w:leader="dot"/>
            </w:tabs>
            <w:rPr/>
          </w:pPr>
          <w:hyperlink w:anchor="__RefHeading___Toc3959947_1051229030">
            <w:r>
              <w:rPr>
                <w:webHidden/>
                <w:rStyle w:val="IndexLink"/>
              </w:rPr>
              <w:t>2</w:t>
            </w:r>
            <w:r>
              <w:rPr>
                <w:rStyle w:val="IndexLink"/>
                <w:rtl w:val="true"/>
              </w:rPr>
              <w:t xml:space="preserve">- </w:t>
            </w:r>
            <w:r>
              <w:rPr>
                <w:rStyle w:val="IndexLink"/>
                <w:rtl w:val="true"/>
              </w:rPr>
              <w:t>أم الغرض</w:t>
            </w:r>
            <w:r>
              <w:rPr>
                <w:rStyle w:val="IndexLink"/>
                <w:rtl w:val="true"/>
              </w:rPr>
              <w:t xml:space="preserve">: </w:t>
            </w:r>
            <w:r>
              <w:rPr>
                <w:rStyle w:val="IndexLink"/>
                <w:rtl w:val="true"/>
              </w:rPr>
              <w:t>الحجة على الحكم الشرعي؟</w:t>
            </w:r>
            <w:r>
              <w:rPr>
                <w:rStyle w:val="IndexLink"/>
                <w:rtl w:val="true"/>
              </w:rPr>
              <w:tab/>
            </w:r>
            <w:r>
              <w:rPr>
                <w:rStyle w:val="IndexLink"/>
              </w:rPr>
              <w:t>446</w:t>
            </w:r>
          </w:hyperlink>
        </w:p>
        <w:p>
          <w:pPr>
            <w:pStyle w:val="Contents5"/>
            <w:tabs>
              <w:tab w:val="clear" w:pos="7892"/>
              <w:tab w:val="right" w:pos="9026" w:leader="dot"/>
            </w:tabs>
            <w:rPr/>
          </w:pPr>
          <w:hyperlink w:anchor="__RefHeading___Toc3959949_1051229030">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959951_1051229030">
            <w:r>
              <w:rPr>
                <w:webHidden/>
                <w:rStyle w:val="IndexLink"/>
                <w:rtl w:val="true"/>
              </w:rPr>
              <w:t>التطابق وعدمه بناء على التعاريف السبعة ل</w:t>
            </w:r>
            <w:r>
              <w:rPr>
                <w:rStyle w:val="IndexLink"/>
                <w:rtl w:val="true"/>
              </w:rPr>
              <w:t>(</w:t>
            </w:r>
            <w:r>
              <w:rPr>
                <w:rStyle w:val="IndexLink"/>
                <w:rtl w:val="true"/>
              </w:rPr>
              <w:t>الحكم</w:t>
            </w:r>
            <w:r>
              <w:rPr>
                <w:rStyle w:val="IndexLink"/>
                <w:rtl w:val="true"/>
              </w:rPr>
              <w:t>)</w:t>
              <w:tab/>
            </w:r>
            <w:r>
              <w:rPr>
                <w:rStyle w:val="IndexLink"/>
              </w:rPr>
              <w:t>447</w:t>
            </w:r>
          </w:hyperlink>
        </w:p>
        <w:p>
          <w:pPr>
            <w:pStyle w:val="Contents4"/>
            <w:tabs>
              <w:tab w:val="clear" w:pos="8176"/>
              <w:tab w:val="right" w:pos="9026" w:leader="dot"/>
            </w:tabs>
            <w:rPr/>
          </w:pPr>
          <w:hyperlink w:anchor="__RefHeading___Toc3959953_1051229030">
            <w:r>
              <w:rPr>
                <w:webHidden/>
                <w:rStyle w:val="IndexLink"/>
              </w:rPr>
              <w:t>3</w:t>
            </w:r>
            <w:r>
              <w:rPr>
                <w:rStyle w:val="IndexLink"/>
                <w:rtl w:val="true"/>
              </w:rPr>
              <w:t xml:space="preserve">- </w:t>
            </w:r>
            <w:r>
              <w:rPr>
                <w:rStyle w:val="IndexLink"/>
                <w:rtl w:val="true"/>
              </w:rPr>
              <w:t>أغراض أخرى</w:t>
            </w:r>
            <w:r>
              <w:rPr>
                <w:rStyle w:val="IndexLink"/>
                <w:rtl w:val="true"/>
              </w:rPr>
              <w:tab/>
            </w:r>
            <w:r>
              <w:rPr>
                <w:rStyle w:val="IndexLink"/>
              </w:rPr>
              <w:t>450</w:t>
            </w:r>
          </w:hyperlink>
        </w:p>
        <w:p>
          <w:pPr>
            <w:pStyle w:val="Contents5"/>
            <w:tabs>
              <w:tab w:val="clear" w:pos="7892"/>
              <w:tab w:val="right" w:pos="9026" w:leader="dot"/>
            </w:tabs>
            <w:rPr/>
          </w:pPr>
          <w:hyperlink w:anchor="__RefHeading___Toc3959955_105122903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959957_1051229030">
            <w:r>
              <w:rPr>
                <w:webHidden/>
                <w:rStyle w:val="IndexLink"/>
                <w:rtl w:val="true"/>
              </w:rPr>
              <w:t>النسبة بين هذه الأغراض، والمولوي والإرشادي</w:t>
            </w:r>
            <w:r>
              <w:rPr>
                <w:rStyle w:val="IndexLink"/>
                <w:rtl w:val="true"/>
              </w:rPr>
              <w:tab/>
            </w:r>
            <w:r>
              <w:rPr>
                <w:rStyle w:val="IndexLink"/>
              </w:rPr>
              <w:t>451</w:t>
            </w:r>
          </w:hyperlink>
        </w:p>
        <w:p>
          <w:pPr>
            <w:pStyle w:val="Contents5"/>
            <w:tabs>
              <w:tab w:val="clear" w:pos="7892"/>
              <w:tab w:val="right" w:pos="9026" w:leader="dot"/>
            </w:tabs>
            <w:rPr/>
          </w:pPr>
          <w:hyperlink w:anchor="__RefHeading___Toc3959959_1051229030">
            <w:r>
              <w:rPr>
                <w:webHidden/>
                <w:rStyle w:val="IndexLink"/>
                <w:rtl w:val="true"/>
              </w:rPr>
              <w:t xml:space="preserve">شمول بحث </w:t>
            </w:r>
            <w:r>
              <w:rPr>
                <w:rStyle w:val="IndexLink"/>
                <w:rtl w:val="true"/>
              </w:rPr>
              <w:t>(</w:t>
            </w:r>
            <w:r>
              <w:rPr>
                <w:rStyle w:val="IndexLink"/>
                <w:rtl w:val="true"/>
              </w:rPr>
              <w:t>المولوية</w:t>
            </w:r>
            <w:r>
              <w:rPr>
                <w:rStyle w:val="IndexLink"/>
                <w:rtl w:val="true"/>
              </w:rPr>
              <w:t xml:space="preserve">) </w:t>
            </w:r>
            <w:r>
              <w:rPr>
                <w:rStyle w:val="IndexLink"/>
                <w:rtl w:val="true"/>
              </w:rPr>
              <w:t xml:space="preserve">و </w:t>
            </w:r>
            <w:r>
              <w:rPr>
                <w:rStyle w:val="IndexLink"/>
                <w:rtl w:val="true"/>
              </w:rPr>
              <w:t>(</w:t>
            </w:r>
            <w:r>
              <w:rPr>
                <w:rStyle w:val="IndexLink"/>
                <w:rtl w:val="true"/>
              </w:rPr>
              <w:t>الضوابط</w:t>
            </w:r>
            <w:r>
              <w:rPr>
                <w:rStyle w:val="IndexLink"/>
                <w:rtl w:val="true"/>
              </w:rPr>
              <w:t xml:space="preserve">) </w:t>
            </w:r>
            <w:r>
              <w:rPr>
                <w:rStyle w:val="IndexLink"/>
                <w:rtl w:val="true"/>
              </w:rPr>
              <w:t>للأحكام الفطرية والعقلائية</w:t>
            </w:r>
            <w:r>
              <w:rPr>
                <w:rStyle w:val="IndexLink"/>
                <w:rtl w:val="true"/>
              </w:rPr>
              <w:tab/>
            </w:r>
            <w:r>
              <w:rPr>
                <w:rStyle w:val="IndexLink"/>
              </w:rPr>
              <w:t>453</w:t>
            </w:r>
          </w:hyperlink>
        </w:p>
        <w:p>
          <w:pPr>
            <w:pStyle w:val="Contents5"/>
            <w:tabs>
              <w:tab w:val="clear" w:pos="7892"/>
              <w:tab w:val="right" w:pos="9026" w:leader="dot"/>
            </w:tabs>
            <w:rPr/>
          </w:pPr>
          <w:hyperlink w:anchor="__RefHeading___Toc3959961_1051229030">
            <w:r>
              <w:rPr>
                <w:webHidden/>
                <w:rStyle w:val="IndexLink"/>
                <w:rtl w:val="true"/>
              </w:rPr>
              <w:t>الثمرة</w:t>
            </w:r>
            <w:r>
              <w:rPr>
                <w:rStyle w:val="IndexLink"/>
                <w:rtl w:val="true"/>
              </w:rPr>
              <w:tab/>
            </w:r>
            <w:r>
              <w:rPr>
                <w:rStyle w:val="IndexLink"/>
              </w:rPr>
              <w:t>453</w:t>
            </w:r>
          </w:hyperlink>
        </w:p>
        <w:p>
          <w:pPr>
            <w:pStyle w:val="Contents5"/>
            <w:tabs>
              <w:tab w:val="clear" w:pos="7892"/>
              <w:tab w:val="right" w:pos="9026" w:leader="dot"/>
            </w:tabs>
            <w:rPr/>
          </w:pPr>
          <w:hyperlink w:anchor="__RefHeading___Toc3959963_1051229030">
            <w:r>
              <w:rPr>
                <w:webHidden/>
                <w:rStyle w:val="IndexLink"/>
                <w:rtl w:val="true"/>
              </w:rPr>
              <w:t>موارد الابتلاء بمبحث الإرشادية والمولوية كثيرة جداً وهامة</w:t>
            </w:r>
            <w:r>
              <w:rPr>
                <w:rStyle w:val="IndexLink"/>
                <w:rtl w:val="true"/>
              </w:rPr>
              <w:tab/>
            </w:r>
            <w:r>
              <w:rPr>
                <w:rStyle w:val="IndexLink"/>
              </w:rPr>
              <w:t>454</w:t>
            </w:r>
          </w:hyperlink>
        </w:p>
        <w:p>
          <w:pPr>
            <w:pStyle w:val="Contents5"/>
            <w:tabs>
              <w:tab w:val="clear" w:pos="7892"/>
              <w:tab w:val="right" w:pos="9026" w:leader="dot"/>
            </w:tabs>
            <w:rPr/>
          </w:pPr>
          <w:hyperlink w:anchor="__RefHeading___Toc3959965_1051229030">
            <w:r>
              <w:rPr>
                <w:webHidden/>
                <w:rStyle w:val="IndexLink"/>
                <w:rtl w:val="true"/>
              </w:rPr>
              <w:t xml:space="preserve">ظهور الفرق على المباني التسعة في </w:t>
            </w:r>
            <w:r>
              <w:rPr>
                <w:rStyle w:val="IndexLink"/>
                <w:rtl w:val="true"/>
              </w:rPr>
              <w:t>(</w:t>
            </w:r>
            <w:r>
              <w:rPr>
                <w:rStyle w:val="IndexLink"/>
                <w:rtl w:val="true"/>
              </w:rPr>
              <w:t>فاحتط لدينك</w:t>
            </w:r>
            <w:r>
              <w:rPr>
                <w:rStyle w:val="IndexLink"/>
                <w:rtl w:val="true"/>
              </w:rPr>
              <w:t>)</w:t>
              <w:tab/>
            </w:r>
            <w:r>
              <w:rPr>
                <w:rStyle w:val="IndexLink"/>
              </w:rPr>
              <w:t>455</w:t>
            </w:r>
          </w:hyperlink>
        </w:p>
        <w:p>
          <w:pPr>
            <w:pStyle w:val="Contents5"/>
            <w:tabs>
              <w:tab w:val="clear" w:pos="7892"/>
              <w:tab w:val="right" w:pos="9026" w:leader="dot"/>
            </w:tabs>
            <w:rPr/>
          </w:pPr>
          <w:hyperlink w:anchor="__RefHeading___Toc3959967_1051229030">
            <w:r>
              <w:rPr>
                <w:webHidden/>
                <w:rStyle w:val="IndexLink"/>
                <w:rtl w:val="true"/>
              </w:rPr>
              <w:t>شمول البحث في المولوية والإرشادية لكل ما وضعُه ورفعُه بيد الشارع</w:t>
            </w:r>
            <w:r>
              <w:rPr>
                <w:rStyle w:val="IndexLink"/>
                <w:rtl w:val="true"/>
              </w:rPr>
              <w:tab/>
            </w:r>
            <w:r>
              <w:rPr>
                <w:rStyle w:val="IndexLink"/>
              </w:rPr>
              <w:t>462</w:t>
            </w:r>
          </w:hyperlink>
        </w:p>
        <w:p>
          <w:pPr>
            <w:pStyle w:val="Contents2"/>
            <w:tabs>
              <w:tab w:val="clear" w:pos="8743"/>
              <w:tab w:val="right" w:pos="9026" w:leader="dot"/>
            </w:tabs>
            <w:rPr/>
          </w:pPr>
          <w:hyperlink w:anchor="__RefHeading___Toc3959969_1051229030">
            <w:r>
              <w:rPr>
                <w:webHidden/>
                <w:rStyle w:val="IndexLink"/>
                <w:rtl w:val="true"/>
              </w:rPr>
              <w:t>المبحث الثامن</w:t>
            </w:r>
            <w:r>
              <w:rPr>
                <w:rStyle w:val="IndexLink"/>
                <w:rtl w:val="true"/>
              </w:rPr>
              <w:t xml:space="preserve">: </w:t>
            </w:r>
            <w:r>
              <w:rPr>
                <w:rStyle w:val="IndexLink"/>
                <w:rtl w:val="true"/>
              </w:rPr>
              <w:t>لا اختصاص للبحث بالمستقلات العقلية بل يشمل الفطرية وغيرها</w:t>
            </w:r>
            <w:r>
              <w:rPr>
                <w:rStyle w:val="IndexLink"/>
                <w:rtl w:val="true"/>
              </w:rPr>
              <w:tab/>
            </w:r>
            <w:r>
              <w:rPr>
                <w:rStyle w:val="IndexLink"/>
              </w:rPr>
              <w:t>465</w:t>
            </w:r>
          </w:hyperlink>
        </w:p>
        <w:p>
          <w:pPr>
            <w:pStyle w:val="Contents3"/>
            <w:tabs>
              <w:tab w:val="clear" w:pos="8459"/>
              <w:tab w:val="right" w:pos="9026" w:leader="dot"/>
            </w:tabs>
            <w:rPr/>
          </w:pPr>
          <w:hyperlink w:anchor="__RefHeading___Toc3959971_1051229030">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3959973_1051229030">
            <w:r>
              <w:rPr>
                <w:webHidden/>
                <w:rStyle w:val="IndexLink"/>
                <w:rtl w:val="true"/>
              </w:rPr>
              <w:t>الأحكام الفطرية وملاكها</w:t>
            </w:r>
            <w:r>
              <w:rPr>
                <w:rStyle w:val="IndexLink"/>
                <w:rtl w:val="true"/>
              </w:rPr>
              <w:tab/>
            </w:r>
            <w:r>
              <w:rPr>
                <w:rStyle w:val="IndexLink"/>
              </w:rPr>
              <w:t>467</w:t>
            </w:r>
          </w:hyperlink>
        </w:p>
        <w:p>
          <w:pPr>
            <w:pStyle w:val="Contents3"/>
            <w:tabs>
              <w:tab w:val="clear" w:pos="8459"/>
              <w:tab w:val="right" w:pos="9026" w:leader="dot"/>
            </w:tabs>
            <w:rPr/>
          </w:pPr>
          <w:hyperlink w:anchor="__RefHeading___Toc3959975_1051229030">
            <w:r>
              <w:rPr>
                <w:webHidden/>
                <w:rStyle w:val="IndexLink"/>
                <w:rtl w:val="true"/>
              </w:rPr>
              <w:t>الأحكام العقلائية وملاكها</w:t>
            </w:r>
            <w:r>
              <w:rPr>
                <w:rStyle w:val="IndexLink"/>
                <w:rtl w:val="true"/>
              </w:rPr>
              <w:tab/>
            </w:r>
            <w:r>
              <w:rPr>
                <w:rStyle w:val="IndexLink"/>
              </w:rPr>
              <w:t>469</w:t>
            </w:r>
          </w:hyperlink>
        </w:p>
        <w:p>
          <w:pPr>
            <w:pStyle w:val="Contents3"/>
            <w:tabs>
              <w:tab w:val="clear" w:pos="8459"/>
              <w:tab w:val="right" w:pos="9026" w:leader="dot"/>
            </w:tabs>
            <w:rPr/>
          </w:pPr>
          <w:hyperlink w:anchor="__RefHeading___Toc3959977_1051229030">
            <w:r>
              <w:rPr>
                <w:webHidden/>
                <w:rStyle w:val="IndexLink"/>
                <w:rtl w:val="true"/>
              </w:rPr>
              <w:t>مصاديق للأحكام الفطرية والعقلية في الآيات، وهل هي مولوية أم إرشادية؟</w:t>
            </w:r>
            <w:r>
              <w:rPr>
                <w:rStyle w:val="IndexLink"/>
                <w:rtl w:val="true"/>
              </w:rPr>
              <w:tab/>
            </w:r>
            <w:r>
              <w:rPr>
                <w:rStyle w:val="IndexLink"/>
              </w:rPr>
              <w:t>470</w:t>
            </w:r>
          </w:hyperlink>
        </w:p>
        <w:p>
          <w:pPr>
            <w:pStyle w:val="Contents3"/>
            <w:tabs>
              <w:tab w:val="clear" w:pos="8459"/>
              <w:tab w:val="right" w:pos="9026" w:leader="dot"/>
            </w:tabs>
            <w:rPr/>
          </w:pPr>
          <w:hyperlink w:anchor="__RefHeading___Toc3959979_1051229030">
            <w:r>
              <w:rPr>
                <w:webHidden/>
                <w:rStyle w:val="IndexLink"/>
                <w:rtl w:val="true"/>
              </w:rPr>
              <w:t>فمما ورد في أصول الدين</w:t>
            </w:r>
            <w:r>
              <w:rPr>
                <w:rStyle w:val="IndexLink"/>
                <w:rtl w:val="true"/>
              </w:rPr>
              <w:t>:</w:t>
              <w:tab/>
            </w:r>
            <w:r>
              <w:rPr>
                <w:rStyle w:val="IndexLink"/>
              </w:rPr>
              <w:t>473</w:t>
            </w:r>
          </w:hyperlink>
        </w:p>
        <w:p>
          <w:pPr>
            <w:pStyle w:val="Contents3"/>
            <w:tabs>
              <w:tab w:val="clear" w:pos="8459"/>
              <w:tab w:val="right" w:pos="9026" w:leader="dot"/>
            </w:tabs>
            <w:rPr/>
          </w:pPr>
          <w:hyperlink w:anchor="__RefHeading___Toc3959981_1051229030">
            <w:r>
              <w:rPr>
                <w:webHidden/>
                <w:rStyle w:val="IndexLink"/>
                <w:rtl w:val="true"/>
              </w:rPr>
              <w:t>عبادة الله تعالى</w:t>
            </w:r>
            <w:r>
              <w:rPr>
                <w:rStyle w:val="IndexLink"/>
                <w:rtl w:val="true"/>
              </w:rPr>
              <w:tab/>
            </w:r>
            <w:r>
              <w:rPr>
                <w:rStyle w:val="IndexLink"/>
              </w:rPr>
              <w:t>473</w:t>
            </w:r>
          </w:hyperlink>
        </w:p>
        <w:p>
          <w:pPr>
            <w:pStyle w:val="Contents3"/>
            <w:tabs>
              <w:tab w:val="clear" w:pos="8459"/>
              <w:tab w:val="right" w:pos="9026" w:leader="dot"/>
            </w:tabs>
            <w:rPr/>
          </w:pPr>
          <w:hyperlink w:anchor="__RefHeading___Toc3959983_1051229030">
            <w:r>
              <w:rPr>
                <w:webHidden/>
                <w:rStyle w:val="IndexLink"/>
                <w:rtl w:val="true"/>
              </w:rPr>
              <w:t>الإخلاص في العبادة</w:t>
            </w:r>
            <w:r>
              <w:rPr>
                <w:rStyle w:val="IndexLink"/>
                <w:rtl w:val="true"/>
              </w:rPr>
              <w:tab/>
            </w:r>
            <w:r>
              <w:rPr>
                <w:rStyle w:val="IndexLink"/>
              </w:rPr>
              <w:t>474</w:t>
            </w:r>
          </w:hyperlink>
        </w:p>
        <w:p>
          <w:pPr>
            <w:pStyle w:val="Contents3"/>
            <w:tabs>
              <w:tab w:val="clear" w:pos="8459"/>
              <w:tab w:val="right" w:pos="9026" w:leader="dot"/>
            </w:tabs>
            <w:rPr/>
          </w:pPr>
          <w:hyperlink w:anchor="__RefHeading___Toc3959985_1051229030">
            <w:r>
              <w:rPr>
                <w:webHidden/>
                <w:rStyle w:val="IndexLink"/>
                <w:rtl w:val="true"/>
              </w:rPr>
              <w:t xml:space="preserve">هل تسلب </w:t>
            </w:r>
            <w:r>
              <w:rPr>
                <w:rStyle w:val="IndexLink"/>
                <w:rtl w:val="true"/>
              </w:rPr>
              <w:t>(</w:t>
            </w:r>
            <w:r>
              <w:rPr>
                <w:rStyle w:val="IndexLink"/>
                <w:rtl w:val="true"/>
              </w:rPr>
              <w:t>لا إله إلا الله</w:t>
            </w:r>
            <w:r>
              <w:rPr>
                <w:rStyle w:val="IndexLink"/>
                <w:rtl w:val="true"/>
              </w:rPr>
              <w:t xml:space="preserve">) </w:t>
            </w:r>
            <w:r>
              <w:rPr>
                <w:rStyle w:val="IndexLink"/>
                <w:rtl w:val="true"/>
              </w:rPr>
              <w:t>من غير الموالي؟</w:t>
            </w:r>
            <w:r>
              <w:rPr>
                <w:rStyle w:val="IndexLink"/>
                <w:rtl w:val="true"/>
              </w:rPr>
              <w:tab/>
            </w:r>
            <w:r>
              <w:rPr>
                <w:rStyle w:val="IndexLink"/>
              </w:rPr>
              <w:t>474</w:t>
            </w:r>
          </w:hyperlink>
        </w:p>
        <w:p>
          <w:pPr>
            <w:pStyle w:val="Contents3"/>
            <w:tabs>
              <w:tab w:val="clear" w:pos="8459"/>
              <w:tab w:val="right" w:pos="9026" w:leader="dot"/>
            </w:tabs>
            <w:rPr/>
          </w:pPr>
          <w:hyperlink w:anchor="__RefHeading___Toc3959987_1051229030">
            <w:r>
              <w:rPr>
                <w:webHidden/>
                <w:rStyle w:val="IndexLink"/>
                <w:rtl w:val="true"/>
              </w:rPr>
              <w:t>ومما ورد في القواعد الفقهية</w:t>
            </w:r>
            <w:r>
              <w:rPr>
                <w:rStyle w:val="IndexLink"/>
                <w:rtl w:val="true"/>
              </w:rPr>
              <w:tab/>
            </w:r>
            <w:r>
              <w:rPr>
                <w:rStyle w:val="IndexLink"/>
              </w:rPr>
              <w:t>478</w:t>
            </w:r>
          </w:hyperlink>
        </w:p>
        <w:p>
          <w:pPr>
            <w:pStyle w:val="Contents3"/>
            <w:tabs>
              <w:tab w:val="clear" w:pos="8459"/>
              <w:tab w:val="right" w:pos="9026" w:leader="dot"/>
            </w:tabs>
            <w:rPr/>
          </w:pPr>
          <w:hyperlink w:anchor="__RefHeading___Toc3959989_1051229030">
            <w:r>
              <w:rPr>
                <w:webHidden/>
                <w:rStyle w:val="IndexLink"/>
                <w:rtl w:val="true"/>
              </w:rPr>
              <w:t>حرمة الاضرار بالغير مطلقاً</w:t>
            </w:r>
            <w:r>
              <w:rPr>
                <w:rStyle w:val="IndexLink"/>
                <w:rtl w:val="true"/>
              </w:rPr>
              <w:tab/>
            </w:r>
            <w:r>
              <w:rPr>
                <w:rStyle w:val="IndexLink"/>
              </w:rPr>
              <w:t>478</w:t>
            </w:r>
          </w:hyperlink>
        </w:p>
        <w:p>
          <w:pPr>
            <w:pStyle w:val="Contents3"/>
            <w:tabs>
              <w:tab w:val="clear" w:pos="8459"/>
              <w:tab w:val="right" w:pos="9026" w:leader="dot"/>
            </w:tabs>
            <w:rPr/>
          </w:pPr>
          <w:hyperlink w:anchor="__RefHeading___Toc3959991_1051229030">
            <w:r>
              <w:rPr>
                <w:webHidden/>
                <w:rStyle w:val="IndexLink"/>
                <w:rtl w:val="true"/>
              </w:rPr>
              <w:t>ومما ورد فيما يتعلق بأصول الفقه</w:t>
            </w:r>
            <w:r>
              <w:rPr>
                <w:rStyle w:val="IndexLink"/>
                <w:rtl w:val="true"/>
              </w:rPr>
              <w:tab/>
            </w:r>
            <w:r>
              <w:rPr>
                <w:rStyle w:val="IndexLink"/>
              </w:rPr>
              <w:t>479</w:t>
            </w:r>
          </w:hyperlink>
        </w:p>
        <w:p>
          <w:pPr>
            <w:pStyle w:val="Contents3"/>
            <w:tabs>
              <w:tab w:val="clear" w:pos="8459"/>
              <w:tab w:val="right" w:pos="9026" w:leader="dot"/>
            </w:tabs>
            <w:rPr/>
          </w:pPr>
          <w:hyperlink w:anchor="__RefHeading___Toc3959993_1051229030">
            <w:r>
              <w:rPr>
                <w:webHidden/>
                <w:rStyle w:val="IndexLink"/>
                <w:rtl w:val="true"/>
              </w:rPr>
              <w:t>ومما ورد في مسائل الفقه</w:t>
            </w:r>
            <w:r>
              <w:rPr>
                <w:rStyle w:val="IndexLink"/>
                <w:rtl w:val="true"/>
              </w:rPr>
              <w:tab/>
            </w:r>
            <w:r>
              <w:rPr>
                <w:rStyle w:val="IndexLink"/>
              </w:rPr>
              <w:t>483</w:t>
            </w:r>
          </w:hyperlink>
        </w:p>
        <w:p>
          <w:pPr>
            <w:pStyle w:val="Contents3"/>
            <w:tabs>
              <w:tab w:val="clear" w:pos="8459"/>
              <w:tab w:val="right" w:pos="9026" w:leader="dot"/>
            </w:tabs>
            <w:rPr/>
          </w:pPr>
          <w:hyperlink w:anchor="__RefHeading___Toc3959995_1051229030">
            <w:r>
              <w:rPr>
                <w:webHidden/>
                <w:rStyle w:val="IndexLink"/>
                <w:rtl w:val="true"/>
              </w:rPr>
              <w:t xml:space="preserve">حرمة ظاهر </w:t>
            </w:r>
            <w:r>
              <w:rPr>
                <w:rStyle w:val="IndexLink"/>
                <w:rtl w:val="true"/>
              </w:rPr>
              <w:t>(</w:t>
            </w:r>
            <w:r>
              <w:rPr>
                <w:rStyle w:val="IndexLink"/>
                <w:rtl w:val="true"/>
              </w:rPr>
              <w:t>الفواحش</w:t>
            </w:r>
            <w:r>
              <w:rPr>
                <w:rStyle w:val="IndexLink"/>
                <w:rtl w:val="true"/>
              </w:rPr>
              <w:t xml:space="preserve">) </w:t>
            </w:r>
            <w:r>
              <w:rPr>
                <w:rStyle w:val="IndexLink"/>
                <w:rtl w:val="true"/>
              </w:rPr>
              <w:t>وباطنها</w:t>
            </w:r>
            <w:r>
              <w:rPr>
                <w:rStyle w:val="IndexLink"/>
                <w:rtl w:val="true"/>
              </w:rPr>
              <w:tab/>
            </w:r>
            <w:r>
              <w:rPr>
                <w:rStyle w:val="IndexLink"/>
              </w:rPr>
              <w:t>483</w:t>
            </w:r>
          </w:hyperlink>
        </w:p>
        <w:p>
          <w:pPr>
            <w:pStyle w:val="Contents3"/>
            <w:tabs>
              <w:tab w:val="clear" w:pos="8459"/>
              <w:tab w:val="right" w:pos="9026" w:leader="dot"/>
            </w:tabs>
            <w:rPr/>
          </w:pPr>
          <w:hyperlink w:anchor="__RefHeading___Toc3959997_1051229030">
            <w:r>
              <w:rPr>
                <w:webHidden/>
                <w:rStyle w:val="IndexLink"/>
                <w:rtl w:val="true"/>
              </w:rPr>
              <w:t>قتل النفس والغير</w:t>
            </w:r>
            <w:r>
              <w:rPr>
                <w:rStyle w:val="IndexLink"/>
                <w:rtl w:val="true"/>
              </w:rPr>
              <w:tab/>
            </w:r>
            <w:r>
              <w:rPr>
                <w:rStyle w:val="IndexLink"/>
              </w:rPr>
              <w:t>486</w:t>
            </w:r>
          </w:hyperlink>
        </w:p>
        <w:p>
          <w:pPr>
            <w:pStyle w:val="Contents3"/>
            <w:tabs>
              <w:tab w:val="clear" w:pos="8459"/>
              <w:tab w:val="right" w:pos="9026" w:leader="dot"/>
            </w:tabs>
            <w:rPr/>
          </w:pPr>
          <w:hyperlink w:anchor="__RefHeading___Toc3959999_1051229030">
            <w:r>
              <w:rPr>
                <w:webHidden/>
                <w:rStyle w:val="IndexLink"/>
                <w:rtl w:val="true"/>
              </w:rPr>
              <w:t>إضرار الزوج بزوجته وبالعكس</w:t>
            </w:r>
            <w:r>
              <w:rPr>
                <w:rStyle w:val="IndexLink"/>
                <w:rtl w:val="true"/>
              </w:rPr>
              <w:tab/>
            </w:r>
            <w:r>
              <w:rPr>
                <w:rStyle w:val="IndexLink"/>
              </w:rPr>
              <w:t>487</w:t>
            </w:r>
          </w:hyperlink>
        </w:p>
        <w:p>
          <w:pPr>
            <w:pStyle w:val="Contents3"/>
            <w:tabs>
              <w:tab w:val="clear" w:pos="8459"/>
              <w:tab w:val="right" w:pos="9026" w:leader="dot"/>
            </w:tabs>
            <w:rPr/>
          </w:pPr>
          <w:hyperlink w:anchor="__RefHeading___Toc3960001_1051229030">
            <w:r>
              <w:rPr>
                <w:webHidden/>
                <w:rStyle w:val="IndexLink"/>
                <w:rtl w:val="true"/>
              </w:rPr>
              <w:t>الوفاء بالعهد</w:t>
            </w:r>
            <w:r>
              <w:rPr>
                <w:rStyle w:val="IndexLink"/>
                <w:rtl w:val="true"/>
              </w:rPr>
              <w:tab/>
            </w:r>
            <w:r>
              <w:rPr>
                <w:rStyle w:val="IndexLink"/>
              </w:rPr>
              <w:t>489</w:t>
            </w:r>
          </w:hyperlink>
        </w:p>
        <w:p>
          <w:pPr>
            <w:pStyle w:val="Contents3"/>
            <w:tabs>
              <w:tab w:val="clear" w:pos="8459"/>
              <w:tab w:val="right" w:pos="9026" w:leader="dot"/>
            </w:tabs>
            <w:rPr/>
          </w:pPr>
          <w:hyperlink w:anchor="__RefHeading___Toc3960003_1051229030">
            <w:r>
              <w:rPr>
                <w:webHidden/>
                <w:rStyle w:val="IndexLink"/>
                <w:rtl w:val="true"/>
              </w:rPr>
              <w:t>أخذ الفائض والأخذ بالعفو</w:t>
            </w:r>
            <w:r>
              <w:rPr>
                <w:rStyle w:val="IndexLink"/>
                <w:rtl w:val="true"/>
              </w:rPr>
              <w:tab/>
            </w:r>
            <w:r>
              <w:rPr>
                <w:rStyle w:val="IndexLink"/>
              </w:rPr>
              <w:t>491</w:t>
            </w:r>
          </w:hyperlink>
        </w:p>
        <w:p>
          <w:pPr>
            <w:pStyle w:val="Contents3"/>
            <w:tabs>
              <w:tab w:val="clear" w:pos="8459"/>
              <w:tab w:val="right" w:pos="9026" w:leader="dot"/>
            </w:tabs>
            <w:rPr/>
          </w:pPr>
          <w:hyperlink w:anchor="__RefHeading___Toc3960005_1051229030">
            <w:r>
              <w:rPr>
                <w:webHidden/>
                <w:rStyle w:val="IndexLink"/>
                <w:rtl w:val="true"/>
              </w:rPr>
              <w:t>الأمر بالعرف</w:t>
            </w:r>
            <w:r>
              <w:rPr>
                <w:rStyle w:val="IndexLink"/>
                <w:rtl w:val="true"/>
              </w:rPr>
              <w:tab/>
            </w:r>
            <w:r>
              <w:rPr>
                <w:rStyle w:val="IndexLink"/>
              </w:rPr>
              <w:t>493</w:t>
            </w:r>
          </w:hyperlink>
        </w:p>
        <w:p>
          <w:pPr>
            <w:pStyle w:val="Contents3"/>
            <w:tabs>
              <w:tab w:val="clear" w:pos="8459"/>
              <w:tab w:val="right" w:pos="9026" w:leader="dot"/>
            </w:tabs>
            <w:rPr/>
          </w:pPr>
          <w:hyperlink w:anchor="__RefHeading___Toc3960007_1051229030">
            <w:r>
              <w:rPr>
                <w:webHidden/>
                <w:rStyle w:val="IndexLink"/>
                <w:rtl w:val="true"/>
              </w:rPr>
              <w:t>التقية</w:t>
            </w:r>
            <w:r>
              <w:rPr>
                <w:rStyle w:val="IndexLink"/>
                <w:rtl w:val="true"/>
              </w:rPr>
              <w:tab/>
            </w:r>
            <w:r>
              <w:rPr>
                <w:rStyle w:val="IndexLink"/>
              </w:rPr>
              <w:t>494</w:t>
            </w:r>
          </w:hyperlink>
        </w:p>
        <w:p>
          <w:pPr>
            <w:pStyle w:val="Contents3"/>
            <w:tabs>
              <w:tab w:val="clear" w:pos="8459"/>
              <w:tab w:val="right" w:pos="9026" w:leader="dot"/>
            </w:tabs>
            <w:rPr/>
          </w:pPr>
          <w:hyperlink w:anchor="__RefHeading___Toc3960009_1051229030">
            <w:r>
              <w:rPr>
                <w:webHidden/>
                <w:rStyle w:val="IndexLink"/>
                <w:rtl w:val="true"/>
              </w:rPr>
              <w:t>التجسس والتحسس</w:t>
            </w:r>
            <w:r>
              <w:rPr>
                <w:rStyle w:val="IndexLink"/>
                <w:rtl w:val="true"/>
              </w:rPr>
              <w:tab/>
            </w:r>
            <w:r>
              <w:rPr>
                <w:rStyle w:val="IndexLink"/>
              </w:rPr>
              <w:t>495</w:t>
            </w:r>
          </w:hyperlink>
        </w:p>
        <w:p>
          <w:pPr>
            <w:pStyle w:val="Contents3"/>
            <w:tabs>
              <w:tab w:val="clear" w:pos="8459"/>
              <w:tab w:val="right" w:pos="9026" w:leader="dot"/>
            </w:tabs>
            <w:rPr/>
          </w:pPr>
          <w:hyperlink w:anchor="__RefHeading___Toc3960011_1051229030">
            <w:r>
              <w:rPr>
                <w:webHidden/>
                <w:rStyle w:val="IndexLink"/>
                <w:rtl w:val="true"/>
              </w:rPr>
              <w:t>الإقتراب للزنا</w:t>
            </w:r>
            <w:r>
              <w:rPr>
                <w:rStyle w:val="IndexLink"/>
                <w:rtl w:val="true"/>
              </w:rPr>
              <w:tab/>
            </w:r>
            <w:r>
              <w:rPr>
                <w:rStyle w:val="IndexLink"/>
              </w:rPr>
              <w:t>496</w:t>
            </w:r>
          </w:hyperlink>
        </w:p>
        <w:p>
          <w:pPr>
            <w:pStyle w:val="Contents3"/>
            <w:tabs>
              <w:tab w:val="clear" w:pos="8459"/>
              <w:tab w:val="right" w:pos="9026" w:leader="dot"/>
            </w:tabs>
            <w:rPr/>
          </w:pPr>
          <w:hyperlink w:anchor="__RefHeading___Toc3960013_1051229030">
            <w:r>
              <w:rPr>
                <w:webHidden/>
                <w:rStyle w:val="IndexLink"/>
                <w:rtl w:val="true"/>
              </w:rPr>
              <w:t>النزاع والصراع</w:t>
            </w:r>
            <w:r>
              <w:rPr>
                <w:rStyle w:val="IndexLink"/>
                <w:rtl w:val="true"/>
              </w:rPr>
              <w:tab/>
            </w:r>
            <w:r>
              <w:rPr>
                <w:rStyle w:val="IndexLink"/>
              </w:rPr>
              <w:t>498</w:t>
            </w:r>
          </w:hyperlink>
        </w:p>
        <w:p>
          <w:pPr>
            <w:pStyle w:val="Contents3"/>
            <w:tabs>
              <w:tab w:val="clear" w:pos="8459"/>
              <w:tab w:val="right" w:pos="9026" w:leader="dot"/>
            </w:tabs>
            <w:rPr/>
          </w:pPr>
          <w:hyperlink w:anchor="__RefHeading___Toc3960015_1051229030">
            <w:r>
              <w:rPr>
                <w:webHidden/>
                <w:rStyle w:val="IndexLink"/>
                <w:rtl w:val="true"/>
              </w:rPr>
              <w:t>الإصلاح بين الناس</w:t>
            </w:r>
            <w:r>
              <w:rPr>
                <w:rStyle w:val="IndexLink"/>
                <w:rtl w:val="true"/>
              </w:rPr>
              <w:tab/>
            </w:r>
            <w:r>
              <w:rPr>
                <w:rStyle w:val="IndexLink"/>
              </w:rPr>
              <w:t>499</w:t>
            </w:r>
          </w:hyperlink>
        </w:p>
        <w:p>
          <w:pPr>
            <w:pStyle w:val="Contents3"/>
            <w:tabs>
              <w:tab w:val="clear" w:pos="8459"/>
              <w:tab w:val="right" w:pos="9026" w:leader="dot"/>
            </w:tabs>
            <w:rPr/>
          </w:pPr>
          <w:hyperlink w:anchor="__RefHeading___Toc3960017_1051229030">
            <w:r>
              <w:rPr>
                <w:webHidden/>
                <w:rStyle w:val="IndexLink"/>
                <w:rtl w:val="true"/>
              </w:rPr>
              <w:t>الصبر والمصابرة والمرابطة</w:t>
            </w:r>
            <w:r>
              <w:rPr>
                <w:rStyle w:val="IndexLink"/>
                <w:rtl w:val="true"/>
              </w:rPr>
              <w:tab/>
            </w:r>
            <w:r>
              <w:rPr>
                <w:rStyle w:val="IndexLink"/>
              </w:rPr>
              <w:t>501</w:t>
            </w:r>
          </w:hyperlink>
        </w:p>
        <w:p>
          <w:pPr>
            <w:pStyle w:val="Contents3"/>
            <w:tabs>
              <w:tab w:val="clear" w:pos="8459"/>
              <w:tab w:val="right" w:pos="9026" w:leader="dot"/>
            </w:tabs>
            <w:rPr/>
          </w:pPr>
          <w:hyperlink w:anchor="__RefHeading___Toc3960019_1051229030">
            <w:r>
              <w:rPr>
                <w:webHidden/>
                <w:rStyle w:val="IndexLink"/>
                <w:rtl w:val="true"/>
              </w:rPr>
              <w:t>الهجرة</w:t>
            </w:r>
            <w:r>
              <w:rPr>
                <w:rStyle w:val="IndexLink"/>
                <w:rtl w:val="true"/>
              </w:rPr>
              <w:tab/>
            </w:r>
            <w:r>
              <w:rPr>
                <w:rStyle w:val="IndexLink"/>
              </w:rPr>
              <w:t>503</w:t>
            </w:r>
          </w:hyperlink>
        </w:p>
        <w:p>
          <w:pPr>
            <w:pStyle w:val="Contents3"/>
            <w:tabs>
              <w:tab w:val="clear" w:pos="8459"/>
              <w:tab w:val="right" w:pos="9026" w:leader="dot"/>
            </w:tabs>
            <w:rPr/>
          </w:pPr>
          <w:hyperlink w:anchor="__RefHeading___Toc3960021_1051229030">
            <w:r>
              <w:rPr>
                <w:webHidden/>
                <w:rStyle w:val="IndexLink"/>
                <w:rtl w:val="true"/>
              </w:rPr>
              <w:t>الشورى والاستشارة</w:t>
            </w:r>
            <w:r>
              <w:rPr>
                <w:rStyle w:val="IndexLink"/>
                <w:rtl w:val="true"/>
              </w:rPr>
              <w:tab/>
            </w:r>
            <w:r>
              <w:rPr>
                <w:rStyle w:val="IndexLink"/>
              </w:rPr>
              <w:t>504</w:t>
            </w:r>
          </w:hyperlink>
        </w:p>
        <w:p>
          <w:pPr>
            <w:pStyle w:val="Contents3"/>
            <w:tabs>
              <w:tab w:val="clear" w:pos="8459"/>
              <w:tab w:val="right" w:pos="9026" w:leader="dot"/>
            </w:tabs>
            <w:rPr/>
          </w:pPr>
          <w:hyperlink w:anchor="__RefHeading___Toc3960023_1051229030">
            <w:r>
              <w:rPr>
                <w:webHidden/>
                <w:rStyle w:val="IndexLink"/>
                <w:rtl w:val="true"/>
              </w:rPr>
              <w:t>الركون إلى الظلمة</w:t>
            </w:r>
            <w:r>
              <w:rPr>
                <w:rStyle w:val="IndexLink"/>
                <w:rtl w:val="true"/>
              </w:rPr>
              <w:tab/>
            </w:r>
            <w:r>
              <w:rPr>
                <w:rStyle w:val="IndexLink"/>
              </w:rPr>
              <w:t>507</w:t>
            </w:r>
          </w:hyperlink>
        </w:p>
        <w:p>
          <w:pPr>
            <w:pStyle w:val="Contents3"/>
            <w:tabs>
              <w:tab w:val="clear" w:pos="8459"/>
              <w:tab w:val="right" w:pos="9026" w:leader="dot"/>
            </w:tabs>
            <w:rPr/>
          </w:pPr>
          <w:hyperlink w:anchor="__RefHeading___Toc3960025_1051229030">
            <w:r>
              <w:rPr>
                <w:webHidden/>
                <w:rStyle w:val="IndexLink"/>
                <w:rtl w:val="true"/>
              </w:rPr>
              <w:t>التكبر والتبختر</w:t>
            </w:r>
            <w:r>
              <w:rPr>
                <w:rStyle w:val="IndexLink"/>
                <w:rtl w:val="true"/>
              </w:rPr>
              <w:tab/>
            </w:r>
            <w:r>
              <w:rPr>
                <w:rStyle w:val="IndexLink"/>
              </w:rPr>
              <w:t>510</w:t>
            </w:r>
          </w:hyperlink>
        </w:p>
        <w:p>
          <w:pPr>
            <w:pStyle w:val="Contents3"/>
            <w:tabs>
              <w:tab w:val="clear" w:pos="8459"/>
              <w:tab w:val="right" w:pos="9026" w:leader="dot"/>
            </w:tabs>
            <w:rPr/>
          </w:pPr>
          <w:hyperlink w:anchor="__RefHeading___Toc3960027_1051229030">
            <w:r>
              <w:rPr>
                <w:webHidden/>
                <w:rStyle w:val="IndexLink"/>
                <w:rtl w:val="true"/>
              </w:rPr>
              <w:t>الحسد</w:t>
            </w:r>
            <w:r>
              <w:rPr>
                <w:rStyle w:val="IndexLink"/>
                <w:rtl w:val="true"/>
              </w:rPr>
              <w:tab/>
            </w:r>
            <w:r>
              <w:rPr>
                <w:rStyle w:val="IndexLink"/>
              </w:rPr>
              <w:t>512</w:t>
            </w:r>
          </w:hyperlink>
        </w:p>
        <w:p>
          <w:pPr>
            <w:pStyle w:val="Contents3"/>
            <w:tabs>
              <w:tab w:val="clear" w:pos="8459"/>
              <w:tab w:val="right" w:pos="9026" w:leader="dot"/>
            </w:tabs>
            <w:rPr/>
          </w:pPr>
          <w:hyperlink w:anchor="__RefHeading___Toc3960029_1051229030">
            <w:r>
              <w:rPr>
                <w:webHidden/>
                <w:rStyle w:val="IndexLink"/>
                <w:rtl w:val="true"/>
              </w:rPr>
              <w:t>خفض الجناح للمؤمنين</w:t>
            </w:r>
            <w:r>
              <w:rPr>
                <w:rStyle w:val="IndexLink"/>
                <w:rtl w:val="true"/>
              </w:rPr>
              <w:tab/>
            </w:r>
            <w:r>
              <w:rPr>
                <w:rStyle w:val="IndexLink"/>
              </w:rPr>
              <w:t>515</w:t>
            </w:r>
          </w:hyperlink>
        </w:p>
        <w:p>
          <w:pPr>
            <w:pStyle w:val="Contents3"/>
            <w:tabs>
              <w:tab w:val="clear" w:pos="8459"/>
              <w:tab w:val="right" w:pos="9026" w:leader="dot"/>
            </w:tabs>
            <w:rPr/>
          </w:pPr>
          <w:hyperlink w:anchor="__RefHeading___Toc3960031_1051229030">
            <w:r>
              <w:rPr>
                <w:webHidden/>
                <w:rStyle w:val="IndexLink"/>
                <w:rtl w:val="true"/>
              </w:rPr>
              <w:t>الصفح الجميل</w:t>
            </w:r>
            <w:r>
              <w:rPr>
                <w:rStyle w:val="IndexLink"/>
                <w:rtl w:val="true"/>
              </w:rPr>
              <w:tab/>
            </w:r>
            <w:r>
              <w:rPr>
                <w:rStyle w:val="IndexLink"/>
              </w:rPr>
              <w:t>516</w:t>
            </w:r>
          </w:hyperlink>
        </w:p>
        <w:p>
          <w:pPr>
            <w:pStyle w:val="Contents2"/>
            <w:tabs>
              <w:tab w:val="clear" w:pos="8743"/>
              <w:tab w:val="right" w:pos="9026" w:leader="dot"/>
            </w:tabs>
            <w:rPr/>
          </w:pPr>
          <w:hyperlink w:anchor="__RefHeading___Toc3960033_1051229030">
            <w:r>
              <w:rPr>
                <w:webHidden/>
                <w:rStyle w:val="IndexLink"/>
                <w:rtl w:val="true"/>
              </w:rPr>
              <w:t xml:space="preserve">المبحث التاسع </w:t>
            </w:r>
            <w:r>
              <w:rPr>
                <w:rStyle w:val="IndexLink"/>
                <w:rtl w:val="true"/>
              </w:rPr>
              <w:t xml:space="preserve">: </w:t>
            </w:r>
            <w:r>
              <w:rPr>
                <w:rStyle w:val="IndexLink"/>
                <w:rtl w:val="true"/>
              </w:rPr>
              <w:t>هل الأمر الإرشادي خبر أم طلب أم قسيم له؟</w:t>
            </w:r>
            <w:r>
              <w:rPr>
                <w:rStyle w:val="IndexLink"/>
                <w:rtl w:val="true"/>
              </w:rPr>
              <w:tab/>
            </w:r>
            <w:r>
              <w:rPr>
                <w:rStyle w:val="IndexLink"/>
              </w:rPr>
              <w:t>519</w:t>
            </w:r>
          </w:hyperlink>
        </w:p>
        <w:p>
          <w:pPr>
            <w:pStyle w:val="Contents3"/>
            <w:tabs>
              <w:tab w:val="clear" w:pos="8459"/>
              <w:tab w:val="right" w:pos="9026" w:leader="dot"/>
            </w:tabs>
            <w:rPr/>
          </w:pPr>
          <w:hyperlink w:anchor="__RefHeading___Toc3960035_1051229030">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3960037_1051229030">
            <w:r>
              <w:rPr>
                <w:webHidden/>
                <w:rStyle w:val="IndexLink"/>
                <w:rtl w:val="true"/>
              </w:rPr>
              <w:t>من أدلة كون الأمر الإرشادي طلباً</w:t>
            </w:r>
            <w:r>
              <w:rPr>
                <w:rStyle w:val="IndexLink"/>
                <w:rtl w:val="true"/>
              </w:rPr>
              <w:tab/>
            </w:r>
            <w:r>
              <w:rPr>
                <w:rStyle w:val="IndexLink"/>
              </w:rPr>
              <w:t>522</w:t>
            </w:r>
          </w:hyperlink>
        </w:p>
        <w:p>
          <w:pPr>
            <w:pStyle w:val="Contents3"/>
            <w:tabs>
              <w:tab w:val="clear" w:pos="8459"/>
              <w:tab w:val="right" w:pos="9026" w:leader="dot"/>
            </w:tabs>
            <w:rPr/>
          </w:pPr>
          <w:hyperlink w:anchor="__RefHeading___Toc3960039_1051229030">
            <w:r>
              <w:rPr>
                <w:webHidden/>
                <w:rStyle w:val="IndexLink"/>
                <w:rtl w:val="true"/>
              </w:rPr>
              <w:t>هل الأمر الإرشادي خبر؟</w:t>
            </w:r>
            <w:r>
              <w:rPr>
                <w:rStyle w:val="IndexLink"/>
                <w:rtl w:val="true"/>
              </w:rPr>
              <w:tab/>
            </w:r>
            <w:r>
              <w:rPr>
                <w:rStyle w:val="IndexLink"/>
              </w:rPr>
              <w:t>523</w:t>
            </w:r>
          </w:hyperlink>
        </w:p>
        <w:p>
          <w:pPr>
            <w:pStyle w:val="Contents3"/>
            <w:tabs>
              <w:tab w:val="clear" w:pos="8459"/>
              <w:tab w:val="right" w:pos="9026" w:leader="dot"/>
            </w:tabs>
            <w:rPr/>
          </w:pPr>
          <w:hyperlink w:anchor="__RefHeading___Toc3960041_1051229030">
            <w:r>
              <w:rPr>
                <w:webHidden/>
                <w:rStyle w:val="IndexLink"/>
                <w:rtl w:val="true"/>
              </w:rPr>
              <w:t>وإذا كان طلباً فهل هو قسيم للوجوب والندب أم قسم منهما؟</w:t>
            </w:r>
            <w:r>
              <w:rPr>
                <w:rStyle w:val="IndexLink"/>
                <w:rtl w:val="true"/>
              </w:rPr>
              <w:tab/>
            </w:r>
            <w:r>
              <w:rPr>
                <w:rStyle w:val="IndexLink"/>
              </w:rPr>
              <w:t>524</w:t>
            </w:r>
          </w:hyperlink>
        </w:p>
        <w:p>
          <w:pPr>
            <w:pStyle w:val="Contents3"/>
            <w:tabs>
              <w:tab w:val="clear" w:pos="8459"/>
              <w:tab w:val="right" w:pos="9026" w:leader="dot"/>
            </w:tabs>
            <w:rPr/>
          </w:pPr>
          <w:hyperlink w:anchor="__RefHeading___Toc3960043_1051229030">
            <w:r>
              <w:rPr>
                <w:webHidden/>
                <w:rStyle w:val="IndexLink"/>
                <w:rtl w:val="true"/>
              </w:rPr>
              <w:t xml:space="preserve">كلام الشيخ والميرزا </w:t>
            </w:r>
            <w:r>
              <w:rPr>
                <w:rStyle w:val="IndexLink"/>
                <w:rtl w:val="true"/>
              </w:rPr>
              <w:t>(</w:t>
            </w:r>
            <w:r>
              <w:rPr>
                <w:rStyle w:val="IndexLink"/>
                <w:rtl w:val="true"/>
              </w:rPr>
              <w:t>قدس سرهما</w:t>
            </w:r>
            <w:r>
              <w:rPr>
                <w:rStyle w:val="IndexLink"/>
                <w:rtl w:val="true"/>
              </w:rPr>
              <w:t xml:space="preserve">) </w:t>
            </w:r>
            <w:r>
              <w:rPr>
                <w:rStyle w:val="IndexLink"/>
                <w:rtl w:val="true"/>
              </w:rPr>
              <w:t>بأن الإرشادي على قسمين</w:t>
            </w:r>
            <w:r>
              <w:rPr>
                <w:rStyle w:val="IndexLink"/>
                <w:rtl w:val="true"/>
              </w:rPr>
              <w:tab/>
            </w:r>
            <w:r>
              <w:rPr>
                <w:rStyle w:val="IndexLink"/>
              </w:rPr>
              <w:t>525</w:t>
            </w:r>
          </w:hyperlink>
        </w:p>
        <w:p>
          <w:pPr>
            <w:pStyle w:val="Contents3"/>
            <w:tabs>
              <w:tab w:val="clear" w:pos="8459"/>
              <w:tab w:val="right" w:pos="9026" w:leader="dot"/>
            </w:tabs>
            <w:rPr/>
          </w:pPr>
          <w:hyperlink w:anchor="__RefHeading___Toc3960045_1051229030">
            <w:r>
              <w:rPr>
                <w:webHidden/>
                <w:rStyle w:val="IndexLink"/>
                <w:rtl w:val="true"/>
              </w:rPr>
              <w:t>إشكال التضاد بين الإرشادية والإيجاب، وجوابه</w:t>
            </w:r>
            <w:r>
              <w:rPr>
                <w:rStyle w:val="IndexLink"/>
                <w:rtl w:val="true"/>
              </w:rPr>
              <w:tab/>
            </w:r>
            <w:r>
              <w:rPr>
                <w:rStyle w:val="IndexLink"/>
              </w:rPr>
              <w:t>526</w:t>
            </w:r>
          </w:hyperlink>
        </w:p>
        <w:p>
          <w:pPr>
            <w:pStyle w:val="Contents3"/>
            <w:tabs>
              <w:tab w:val="clear" w:pos="8459"/>
              <w:tab w:val="right" w:pos="9026" w:leader="dot"/>
            </w:tabs>
            <w:rPr/>
          </w:pPr>
          <w:hyperlink w:anchor="__RefHeading___Toc3960047_1051229030">
            <w:r>
              <w:rPr>
                <w:webHidden/>
                <w:rStyle w:val="IndexLink"/>
                <w:rtl w:val="true"/>
              </w:rPr>
              <w:t>(</w:t>
            </w:r>
            <w:r>
              <w:rPr>
                <w:rStyle w:val="IndexLink"/>
                <w:rtl w:val="true"/>
              </w:rPr>
              <w:t>الإيجاب</w:t>
            </w:r>
            <w:r>
              <w:rPr>
                <w:rStyle w:val="IndexLink"/>
                <w:rtl w:val="true"/>
              </w:rPr>
              <w:t xml:space="preserve">) </w:t>
            </w:r>
            <w:r>
              <w:rPr>
                <w:rStyle w:val="IndexLink"/>
                <w:rtl w:val="true"/>
              </w:rPr>
              <w:t>اعتبار وهو خفيف المؤونة</w:t>
            </w:r>
            <w:r>
              <w:rPr>
                <w:rStyle w:val="IndexLink"/>
                <w:rtl w:val="true"/>
              </w:rPr>
              <w:tab/>
            </w:r>
            <w:r>
              <w:rPr>
                <w:rStyle w:val="IndexLink"/>
              </w:rPr>
              <w:t>527</w:t>
            </w:r>
          </w:hyperlink>
        </w:p>
        <w:p>
          <w:pPr>
            <w:pStyle w:val="Contents3"/>
            <w:tabs>
              <w:tab w:val="clear" w:pos="8459"/>
              <w:tab w:val="right" w:pos="9026" w:leader="dot"/>
            </w:tabs>
            <w:rPr/>
          </w:pPr>
          <w:hyperlink w:anchor="__RefHeading___Toc3960049_1051229030">
            <w:r>
              <w:rPr>
                <w:webHidden/>
                <w:rStyle w:val="IndexLink"/>
                <w:rtl w:val="true"/>
              </w:rPr>
              <w:t>(</w:t>
            </w:r>
            <w:r>
              <w:rPr>
                <w:rStyle w:val="IndexLink"/>
                <w:rtl w:val="true"/>
              </w:rPr>
              <w:t>الإلزام</w:t>
            </w:r>
            <w:r>
              <w:rPr>
                <w:rStyle w:val="IndexLink"/>
                <w:rtl w:val="true"/>
              </w:rPr>
              <w:t xml:space="preserve">) </w:t>
            </w:r>
            <w:r>
              <w:rPr>
                <w:rStyle w:val="IndexLink"/>
                <w:rtl w:val="true"/>
              </w:rPr>
              <w:t xml:space="preserve">في </w:t>
            </w:r>
            <w:r>
              <w:rPr>
                <w:rStyle w:val="IndexLink"/>
                <w:rtl w:val="true"/>
              </w:rPr>
              <w:t>(</w:t>
            </w:r>
            <w:r>
              <w:rPr>
                <w:rStyle w:val="IndexLink"/>
                <w:rtl w:val="true"/>
              </w:rPr>
              <w:t>الأمر الإرشادي</w:t>
            </w:r>
            <w:r>
              <w:rPr>
                <w:rStyle w:val="IndexLink"/>
                <w:rtl w:val="true"/>
              </w:rPr>
              <w:t>)</w:t>
              <w:tab/>
            </w:r>
            <w:r>
              <w:rPr>
                <w:rStyle w:val="IndexLink"/>
              </w:rPr>
              <w:t>528</w:t>
            </w:r>
          </w:hyperlink>
        </w:p>
        <w:p>
          <w:pPr>
            <w:pStyle w:val="Contents3"/>
            <w:tabs>
              <w:tab w:val="clear" w:pos="8459"/>
              <w:tab w:val="right" w:pos="9026" w:leader="dot"/>
            </w:tabs>
            <w:rPr/>
          </w:pPr>
          <w:hyperlink w:anchor="__RefHeading___Toc3960051_1051229030">
            <w:r>
              <w:rPr>
                <w:webHidden/>
                <w:rStyle w:val="IndexLink"/>
                <w:rtl w:val="true"/>
              </w:rPr>
              <w:t xml:space="preserve">من وجوه </w:t>
            </w:r>
            <w:r>
              <w:rPr>
                <w:rStyle w:val="IndexLink"/>
                <w:rtl w:val="true"/>
              </w:rPr>
              <w:t>(</w:t>
            </w:r>
            <w:r>
              <w:rPr>
                <w:rStyle w:val="IndexLink"/>
                <w:rtl w:val="true"/>
              </w:rPr>
              <w:t>الإلزام</w:t>
            </w:r>
            <w:r>
              <w:rPr>
                <w:rStyle w:val="IndexLink"/>
                <w:rtl w:val="true"/>
              </w:rPr>
              <w:t xml:space="preserve">) </w:t>
            </w:r>
            <w:r>
              <w:rPr>
                <w:rStyle w:val="IndexLink"/>
                <w:rtl w:val="true"/>
              </w:rPr>
              <w:t xml:space="preserve">في الأمر الإرشادي كونه </w:t>
            </w:r>
            <w:r>
              <w:rPr>
                <w:rStyle w:val="IndexLink"/>
                <w:rtl w:val="true"/>
              </w:rPr>
              <w:t>(</w:t>
            </w:r>
            <w:r>
              <w:rPr>
                <w:rStyle w:val="IndexLink"/>
                <w:rtl w:val="true"/>
              </w:rPr>
              <w:t>مولى ومالكاً</w:t>
            </w:r>
            <w:r>
              <w:rPr>
                <w:rStyle w:val="IndexLink"/>
                <w:rtl w:val="true"/>
              </w:rPr>
              <w:t>)</w:t>
              <w:tab/>
            </w:r>
            <w:r>
              <w:rPr>
                <w:rStyle w:val="IndexLink"/>
              </w:rPr>
              <w:t>528</w:t>
            </w:r>
          </w:hyperlink>
        </w:p>
        <w:p>
          <w:pPr>
            <w:pStyle w:val="Contents3"/>
            <w:tabs>
              <w:tab w:val="clear" w:pos="8459"/>
              <w:tab w:val="right" w:pos="9026" w:leader="dot"/>
            </w:tabs>
            <w:rPr/>
          </w:pPr>
          <w:hyperlink w:anchor="__RefHeading___Toc3960053_1051229030">
            <w:r>
              <w:rPr>
                <w:webHidden/>
                <w:rStyle w:val="IndexLink"/>
                <w:rtl w:val="true"/>
              </w:rPr>
              <w:t>ويظهر الفرق في</w:t>
            </w:r>
            <w:r>
              <w:rPr>
                <w:rStyle w:val="IndexLink"/>
                <w:rtl w:val="true"/>
              </w:rPr>
              <w:t>:</w:t>
              <w:tab/>
            </w:r>
            <w:r>
              <w:rPr>
                <w:rStyle w:val="IndexLink"/>
              </w:rPr>
              <w:t>529</w:t>
            </w:r>
          </w:hyperlink>
        </w:p>
        <w:p>
          <w:pPr>
            <w:pStyle w:val="Contents3"/>
            <w:tabs>
              <w:tab w:val="clear" w:pos="8459"/>
              <w:tab w:val="right" w:pos="9026" w:leader="dot"/>
            </w:tabs>
            <w:rPr/>
          </w:pPr>
          <w:hyperlink w:anchor="__RefHeading___Toc3960055_1051229030">
            <w:r>
              <w:rPr>
                <w:webHidden/>
                <w:rStyle w:val="IndexLink"/>
                <w:rtl w:val="true"/>
              </w:rPr>
              <w:t xml:space="preserve">هل </w:t>
            </w:r>
            <w:r>
              <w:rPr>
                <w:rStyle w:val="IndexLink"/>
                <w:rtl w:val="true"/>
              </w:rPr>
              <w:t>(</w:t>
            </w:r>
            <w:r>
              <w:rPr>
                <w:rStyle w:val="IndexLink"/>
                <w:rtl w:val="true"/>
              </w:rPr>
              <w:t>العلو</w:t>
            </w:r>
            <w:r>
              <w:rPr>
                <w:rStyle w:val="IndexLink"/>
                <w:rtl w:val="true"/>
              </w:rPr>
              <w:t xml:space="preserve">) </w:t>
            </w:r>
            <w:r>
              <w:rPr>
                <w:rStyle w:val="IndexLink"/>
                <w:rtl w:val="true"/>
              </w:rPr>
              <w:t>من وجوه الإلزام؟</w:t>
            </w:r>
            <w:r>
              <w:rPr>
                <w:rStyle w:val="IndexLink"/>
                <w:rtl w:val="true"/>
              </w:rPr>
              <w:tab/>
            </w:r>
            <w:r>
              <w:rPr>
                <w:rStyle w:val="IndexLink"/>
              </w:rPr>
              <w:t>529</w:t>
            </w:r>
          </w:hyperlink>
        </w:p>
        <w:p>
          <w:pPr>
            <w:pStyle w:val="Contents3"/>
            <w:tabs>
              <w:tab w:val="clear" w:pos="8459"/>
              <w:tab w:val="right" w:pos="9026" w:leader="dot"/>
            </w:tabs>
            <w:rPr/>
          </w:pPr>
          <w:hyperlink w:anchor="__RefHeading___Toc3960057_1051229030">
            <w:r>
              <w:rPr>
                <w:webHidden/>
                <w:rStyle w:val="IndexLink"/>
                <w:rtl w:val="true"/>
              </w:rPr>
              <w:t>وجوه أخرى للإلزام</w:t>
            </w:r>
            <w:r>
              <w:rPr>
                <w:rStyle w:val="IndexLink"/>
                <w:rtl w:val="true"/>
              </w:rPr>
              <w:tab/>
            </w:r>
            <w:r>
              <w:rPr>
                <w:rStyle w:val="IndexLink"/>
              </w:rPr>
              <w:t>530</w:t>
            </w:r>
          </w:hyperlink>
        </w:p>
        <w:p>
          <w:pPr>
            <w:pStyle w:val="Contents4"/>
            <w:tabs>
              <w:tab w:val="clear" w:pos="8176"/>
              <w:tab w:val="right" w:pos="9026" w:leader="dot"/>
            </w:tabs>
            <w:rPr/>
          </w:pPr>
          <w:hyperlink w:anchor="__RefHeading___Toc3960059_1051229030">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3960061_1051229030">
            <w:r>
              <w:rPr>
                <w:webHidden/>
                <w:rStyle w:val="IndexLink"/>
                <w:rtl w:val="true"/>
              </w:rPr>
              <w:t>أ</w:t>
            </w:r>
            <w:r>
              <w:rPr>
                <w:rStyle w:val="IndexLink"/>
                <w:rtl w:val="true"/>
              </w:rPr>
              <w:t xml:space="preserve">- </w:t>
            </w:r>
            <w:r>
              <w:rPr>
                <w:rStyle w:val="IndexLink"/>
                <w:rtl w:val="true"/>
              </w:rPr>
              <w:t>لأنه أمر بذي المصلحة البالغة</w:t>
            </w:r>
            <w:r>
              <w:rPr>
                <w:rStyle w:val="IndexLink"/>
                <w:rtl w:val="true"/>
              </w:rPr>
              <w:tab/>
            </w:r>
            <w:r>
              <w:rPr>
                <w:rStyle w:val="IndexLink"/>
              </w:rPr>
              <w:t>530</w:t>
            </w:r>
          </w:hyperlink>
        </w:p>
        <w:p>
          <w:pPr>
            <w:pStyle w:val="Contents4"/>
            <w:tabs>
              <w:tab w:val="clear" w:pos="8176"/>
              <w:tab w:val="right" w:pos="9026" w:leader="dot"/>
            </w:tabs>
            <w:rPr/>
          </w:pPr>
          <w:hyperlink w:anchor="__RefHeading___Toc3960063_1051229030">
            <w:r>
              <w:rPr>
                <w:webHidden/>
                <w:rStyle w:val="IndexLink"/>
                <w:rtl w:val="true"/>
              </w:rPr>
              <w:t>ب</w:t>
            </w:r>
            <w:r>
              <w:rPr>
                <w:rStyle w:val="IndexLink"/>
                <w:rtl w:val="true"/>
              </w:rPr>
              <w:t xml:space="preserve">- </w:t>
            </w:r>
            <w:r>
              <w:rPr>
                <w:rStyle w:val="IndexLink"/>
                <w:rtl w:val="true"/>
              </w:rPr>
              <w:t xml:space="preserve">منشأ السلطة </w:t>
            </w:r>
            <w:r>
              <w:rPr>
                <w:rStyle w:val="IndexLink"/>
                <w:rtl w:val="true"/>
              </w:rPr>
              <w:t>(</w:t>
            </w:r>
            <w:r>
              <w:rPr>
                <w:rStyle w:val="IndexLink"/>
                <w:rtl w:val="true"/>
              </w:rPr>
              <w:t>مالك الملوك</w:t>
            </w:r>
            <w:r>
              <w:rPr>
                <w:rStyle w:val="IndexLink"/>
                <w:rtl w:val="true"/>
              </w:rPr>
              <w:t xml:space="preserve">) </w:t>
            </w:r>
            <w:r>
              <w:rPr>
                <w:rStyle w:val="IndexLink"/>
                <w:rtl w:val="true"/>
              </w:rPr>
              <w:t>ورجوع الإلزام له مآلاً</w:t>
            </w:r>
            <w:r>
              <w:rPr>
                <w:rStyle w:val="IndexLink"/>
                <w:rtl w:val="true"/>
              </w:rPr>
              <w:tab/>
            </w:r>
            <w:r>
              <w:rPr>
                <w:rStyle w:val="IndexLink"/>
              </w:rPr>
              <w:t>531</w:t>
            </w:r>
          </w:hyperlink>
        </w:p>
        <w:p>
          <w:pPr>
            <w:pStyle w:val="Contents5"/>
            <w:tabs>
              <w:tab w:val="clear" w:pos="7892"/>
              <w:tab w:val="right" w:pos="9026" w:leader="dot"/>
            </w:tabs>
            <w:rPr/>
          </w:pPr>
          <w:hyperlink w:anchor="__RefHeading___Toc3960065_1051229030">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3960067_1051229030">
            <w:r>
              <w:rPr>
                <w:webHidden/>
                <w:rStyle w:val="IndexLink"/>
              </w:rPr>
              <w:t>1</w:t>
            </w:r>
            <w:r>
              <w:rPr>
                <w:rStyle w:val="IndexLink"/>
                <w:rtl w:val="true"/>
              </w:rPr>
              <w:t xml:space="preserve">- </w:t>
            </w:r>
            <w:r>
              <w:rPr>
                <w:rStyle w:val="IndexLink"/>
                <w:rtl w:val="true"/>
              </w:rPr>
              <w:t>لظواهر أدلة الأمر بالمعروف</w:t>
            </w:r>
            <w:r>
              <w:rPr>
                <w:rStyle w:val="IndexLink"/>
                <w:rtl w:val="true"/>
              </w:rPr>
              <w:tab/>
            </w:r>
            <w:r>
              <w:rPr>
                <w:rStyle w:val="IndexLink"/>
              </w:rPr>
              <w:t>531</w:t>
            </w:r>
          </w:hyperlink>
        </w:p>
        <w:p>
          <w:pPr>
            <w:pStyle w:val="Contents6"/>
            <w:tabs>
              <w:tab w:val="clear" w:pos="7609"/>
              <w:tab w:val="right" w:pos="9026" w:leader="dot"/>
            </w:tabs>
            <w:rPr/>
          </w:pPr>
          <w:hyperlink w:anchor="__RefHeading___Toc3960069_105122903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3960071_1051229030">
            <w:r>
              <w:rPr>
                <w:webHidden/>
                <w:rStyle w:val="IndexLink"/>
                <w:rtl w:val="true"/>
              </w:rPr>
              <w:t>هل للآمر بالمعروف مولوية طولية؟</w:t>
            </w:r>
            <w:r>
              <w:rPr>
                <w:rStyle w:val="IndexLink"/>
                <w:rtl w:val="true"/>
              </w:rPr>
              <w:tab/>
            </w:r>
            <w:r>
              <w:rPr>
                <w:rStyle w:val="IndexLink"/>
              </w:rPr>
              <w:t>532</w:t>
            </w:r>
          </w:hyperlink>
        </w:p>
        <w:p>
          <w:pPr>
            <w:pStyle w:val="Contents5"/>
            <w:tabs>
              <w:tab w:val="clear" w:pos="7892"/>
              <w:tab w:val="right" w:pos="9026" w:leader="dot"/>
            </w:tabs>
            <w:rPr/>
          </w:pPr>
          <w:hyperlink w:anchor="__RefHeading___Toc3960073_1051229030">
            <w:r>
              <w:rPr>
                <w:webHidden/>
                <w:rStyle w:val="IndexLink"/>
              </w:rPr>
              <w:t>2</w:t>
            </w:r>
            <w:r>
              <w:rPr>
                <w:rStyle w:val="IndexLink"/>
                <w:rtl w:val="true"/>
              </w:rPr>
              <w:t xml:space="preserve">- </w:t>
            </w:r>
            <w:r>
              <w:rPr>
                <w:rStyle w:val="IndexLink"/>
                <w:rtl w:val="true"/>
              </w:rPr>
              <w:t>ولأدلة الهداية والإضلال</w:t>
            </w:r>
            <w:r>
              <w:rPr>
                <w:rStyle w:val="IndexLink"/>
                <w:rtl w:val="true"/>
              </w:rPr>
              <w:tab/>
            </w:r>
            <w:r>
              <w:rPr>
                <w:rStyle w:val="IndexLink"/>
              </w:rPr>
              <w:t>533</w:t>
            </w:r>
          </w:hyperlink>
        </w:p>
        <w:p>
          <w:pPr>
            <w:pStyle w:val="Contents5"/>
            <w:tabs>
              <w:tab w:val="clear" w:pos="7892"/>
              <w:tab w:val="right" w:pos="9026" w:leader="dot"/>
            </w:tabs>
            <w:rPr/>
          </w:pPr>
          <w:hyperlink w:anchor="__RefHeading___Toc3960075_1051229030">
            <w:r>
              <w:rPr>
                <w:webHidden/>
                <w:rStyle w:val="IndexLink"/>
              </w:rPr>
              <w:t>3</w:t>
            </w:r>
            <w:r>
              <w:rPr>
                <w:rStyle w:val="IndexLink"/>
                <w:rtl w:val="true"/>
              </w:rPr>
              <w:t xml:space="preserve">- </w:t>
            </w:r>
            <w:r>
              <w:rPr>
                <w:rStyle w:val="IndexLink"/>
                <w:rtl w:val="true"/>
              </w:rPr>
              <w:t>ولتقريره تعالى لأمر مؤمن آل فرعون</w:t>
            </w:r>
            <w:r>
              <w:rPr>
                <w:rStyle w:val="IndexLink"/>
                <w:rtl w:val="true"/>
              </w:rPr>
              <w:tab/>
            </w:r>
            <w:r>
              <w:rPr>
                <w:rStyle w:val="IndexLink"/>
              </w:rPr>
              <w:t>534</w:t>
            </w:r>
          </w:hyperlink>
        </w:p>
        <w:p>
          <w:pPr>
            <w:pStyle w:val="Contents5"/>
            <w:tabs>
              <w:tab w:val="clear" w:pos="7892"/>
              <w:tab w:val="right" w:pos="9026" w:leader="dot"/>
            </w:tabs>
            <w:rPr/>
          </w:pPr>
          <w:hyperlink w:anchor="__RefHeading___Toc3960077_1051229030">
            <w:r>
              <w:rPr>
                <w:webHidden/>
                <w:rStyle w:val="IndexLink"/>
              </w:rPr>
              <w:t>4</w:t>
            </w:r>
            <w:r>
              <w:rPr>
                <w:rStyle w:val="IndexLink"/>
                <w:rtl w:val="true"/>
              </w:rPr>
              <w:t xml:space="preserve">- </w:t>
            </w:r>
            <w:r>
              <w:rPr>
                <w:rStyle w:val="IndexLink"/>
                <w:rtl w:val="true"/>
              </w:rPr>
              <w:t>ولآية الدعوة لسبيل الله تعالى</w:t>
            </w:r>
            <w:r>
              <w:rPr>
                <w:rStyle w:val="IndexLink"/>
                <w:rtl w:val="true"/>
              </w:rPr>
              <w:tab/>
            </w:r>
            <w:r>
              <w:rPr>
                <w:rStyle w:val="IndexLink"/>
              </w:rPr>
              <w:t>535</w:t>
            </w:r>
          </w:hyperlink>
        </w:p>
        <w:p>
          <w:pPr>
            <w:pStyle w:val="Contents4"/>
            <w:tabs>
              <w:tab w:val="clear" w:pos="8176"/>
              <w:tab w:val="right" w:pos="9026" w:leader="dot"/>
            </w:tabs>
            <w:rPr/>
          </w:pPr>
          <w:hyperlink w:anchor="__RefHeading___Toc3960079_1051229030">
            <w:r>
              <w:rPr>
                <w:webHidden/>
                <w:rStyle w:val="IndexLink"/>
                <w:rtl w:val="true"/>
              </w:rPr>
              <w:t>ج</w:t>
            </w:r>
            <w:r>
              <w:rPr>
                <w:rStyle w:val="IndexLink"/>
                <w:rtl w:val="true"/>
              </w:rPr>
              <w:t xml:space="preserve">- </w:t>
            </w:r>
            <w:r>
              <w:rPr>
                <w:rStyle w:val="IndexLink"/>
                <w:rtl w:val="true"/>
              </w:rPr>
              <w:t xml:space="preserve">منشأ الإلزام والسلطة، كونه </w:t>
            </w:r>
            <w:r>
              <w:rPr>
                <w:rStyle w:val="IndexLink"/>
                <w:rtl w:val="true"/>
              </w:rPr>
              <w:t>(</w:t>
            </w:r>
            <w:r>
              <w:rPr>
                <w:rStyle w:val="IndexLink"/>
                <w:rtl w:val="true"/>
              </w:rPr>
              <w:t>حقاً</w:t>
            </w:r>
            <w:r>
              <w:rPr>
                <w:rStyle w:val="IndexLink"/>
                <w:rtl w:val="true"/>
              </w:rPr>
              <w:t>)</w:t>
              <w:tab/>
            </w:r>
            <w:r>
              <w:rPr>
                <w:rStyle w:val="IndexLink"/>
              </w:rPr>
              <w:t>535</w:t>
            </w:r>
          </w:hyperlink>
        </w:p>
        <w:p>
          <w:pPr>
            <w:pStyle w:val="Contents3"/>
            <w:tabs>
              <w:tab w:val="clear" w:pos="8459"/>
              <w:tab w:val="right" w:pos="9026" w:leader="dot"/>
            </w:tabs>
            <w:rPr/>
          </w:pPr>
          <w:hyperlink w:anchor="__RefHeading___Toc3960081_1051229030">
            <w:r>
              <w:rPr>
                <w:webHidden/>
                <w:rStyle w:val="IndexLink"/>
                <w:rtl w:val="true"/>
              </w:rPr>
              <w:t>للمولى مقامان</w:t>
            </w:r>
            <w:r>
              <w:rPr>
                <w:rStyle w:val="IndexLink"/>
                <w:rtl w:val="true"/>
              </w:rPr>
              <w:t xml:space="preserve">: </w:t>
            </w:r>
            <w:r>
              <w:rPr>
                <w:rStyle w:val="IndexLink"/>
                <w:rtl w:val="true"/>
              </w:rPr>
              <w:t>مقام المولوية ومقام النصح، ولهما شُعَب</w:t>
            </w:r>
            <w:r>
              <w:rPr>
                <w:rStyle w:val="IndexLink"/>
                <w:rtl w:val="true"/>
              </w:rPr>
              <w:tab/>
            </w:r>
            <w:r>
              <w:rPr>
                <w:rStyle w:val="IndexLink"/>
              </w:rPr>
              <w:t>537</w:t>
            </w:r>
          </w:hyperlink>
        </w:p>
        <w:p>
          <w:pPr>
            <w:pStyle w:val="Contents3"/>
            <w:tabs>
              <w:tab w:val="clear" w:pos="8459"/>
              <w:tab w:val="right" w:pos="9026" w:leader="dot"/>
            </w:tabs>
            <w:rPr/>
          </w:pPr>
          <w:hyperlink w:anchor="__RefHeading___Toc3960083_1051229030">
            <w:r>
              <w:rPr>
                <w:webHidden/>
                <w:rStyle w:val="IndexLink"/>
                <w:rtl w:val="true"/>
              </w:rPr>
              <w:t>وحدة حقيقة الوجوب في الأمرين المولوي والإرشادي</w:t>
            </w:r>
            <w:r>
              <w:rPr>
                <w:rStyle w:val="IndexLink"/>
                <w:rtl w:val="true"/>
              </w:rPr>
              <w:tab/>
            </w:r>
            <w:r>
              <w:rPr>
                <w:rStyle w:val="IndexLink"/>
              </w:rPr>
              <w:t>537</w:t>
            </w:r>
          </w:hyperlink>
        </w:p>
        <w:p>
          <w:pPr>
            <w:pStyle w:val="Contents3"/>
            <w:tabs>
              <w:tab w:val="clear" w:pos="8459"/>
              <w:tab w:val="right" w:pos="9026" w:leader="dot"/>
            </w:tabs>
            <w:rPr/>
          </w:pPr>
          <w:hyperlink w:anchor="__RefHeading___Toc3960085_1051229030">
            <w:r>
              <w:rPr>
                <w:webHidden/>
                <w:rStyle w:val="IndexLink"/>
                <w:rtl w:val="true"/>
              </w:rPr>
              <w:t xml:space="preserve">لا فرق بين </w:t>
            </w:r>
            <w:r>
              <w:rPr>
                <w:rStyle w:val="IndexLink"/>
                <w:rtl w:val="true"/>
              </w:rPr>
              <w:t>(</w:t>
            </w:r>
            <w:r>
              <w:rPr>
                <w:rStyle w:val="IndexLink"/>
                <w:rtl w:val="true"/>
              </w:rPr>
              <w:t>الأمرين</w:t>
            </w:r>
            <w:r>
              <w:rPr>
                <w:rStyle w:val="IndexLink"/>
                <w:rtl w:val="true"/>
              </w:rPr>
              <w:t xml:space="preserve">) </w:t>
            </w:r>
            <w:r>
              <w:rPr>
                <w:rStyle w:val="IndexLink"/>
                <w:rtl w:val="true"/>
              </w:rPr>
              <w:t>حتى في منشأ الطلب</w:t>
            </w:r>
            <w:r>
              <w:rPr>
                <w:rStyle w:val="IndexLink"/>
                <w:rtl w:val="true"/>
              </w:rPr>
              <w:tab/>
            </w:r>
            <w:r>
              <w:rPr>
                <w:rStyle w:val="IndexLink"/>
              </w:rPr>
              <w:t>538</w:t>
            </w:r>
          </w:hyperlink>
        </w:p>
        <w:p>
          <w:pPr>
            <w:pStyle w:val="Contents3"/>
            <w:tabs>
              <w:tab w:val="clear" w:pos="8459"/>
              <w:tab w:val="right" w:pos="9026" w:leader="dot"/>
            </w:tabs>
            <w:rPr/>
          </w:pPr>
          <w:hyperlink w:anchor="__RefHeading___Toc3960087_1051229030">
            <w:r>
              <w:rPr>
                <w:webHidden/>
                <w:rStyle w:val="IndexLink"/>
                <w:rtl w:val="true"/>
              </w:rPr>
              <w:t>الفرق في منشأ المنشأ</w:t>
            </w:r>
            <w:r>
              <w:rPr>
                <w:rStyle w:val="IndexLink"/>
                <w:rtl w:val="true"/>
              </w:rPr>
              <w:tab/>
            </w:r>
            <w:r>
              <w:rPr>
                <w:rStyle w:val="IndexLink"/>
              </w:rPr>
              <w:t>539</w:t>
            </w:r>
          </w:hyperlink>
        </w:p>
        <w:p>
          <w:pPr>
            <w:pStyle w:val="Contents3"/>
            <w:tabs>
              <w:tab w:val="clear" w:pos="8459"/>
              <w:tab w:val="right" w:pos="9026" w:leader="dot"/>
            </w:tabs>
            <w:rPr/>
          </w:pPr>
          <w:hyperlink w:anchor="__RefHeading___Toc3960089_1051229030">
            <w:r>
              <w:rPr>
                <w:webHidden/>
                <w:rStyle w:val="IndexLink"/>
                <w:rtl w:val="true"/>
              </w:rPr>
              <w:t>اجتماع كلا النوعين مع البغض وعدمه</w:t>
            </w:r>
            <w:r>
              <w:rPr>
                <w:rStyle w:val="IndexLink"/>
                <w:rtl w:val="true"/>
              </w:rPr>
              <w:tab/>
            </w:r>
            <w:r>
              <w:rPr>
                <w:rStyle w:val="IndexLink"/>
              </w:rPr>
              <w:t>541</w:t>
            </w:r>
          </w:hyperlink>
        </w:p>
        <w:p>
          <w:pPr>
            <w:pStyle w:val="Contents3"/>
            <w:tabs>
              <w:tab w:val="clear" w:pos="8459"/>
              <w:tab w:val="right" w:pos="9026" w:leader="dot"/>
            </w:tabs>
            <w:rPr/>
          </w:pPr>
          <w:hyperlink w:anchor="__RefHeading___Toc3960091_1051229030">
            <w:r>
              <w:rPr>
                <w:webHidden/>
                <w:rStyle w:val="IndexLink"/>
                <w:rtl w:val="true"/>
              </w:rPr>
              <w:t xml:space="preserve">في </w:t>
            </w:r>
            <w:r>
              <w:rPr>
                <w:rStyle w:val="IndexLink"/>
                <w:rtl w:val="true"/>
              </w:rPr>
              <w:t>(</w:t>
            </w:r>
            <w:r>
              <w:rPr>
                <w:rStyle w:val="IndexLink"/>
                <w:rtl w:val="true"/>
              </w:rPr>
              <w:t>التباني</w:t>
            </w:r>
            <w:r>
              <w:rPr>
                <w:rStyle w:val="IndexLink"/>
                <w:rtl w:val="true"/>
              </w:rPr>
              <w:t xml:space="preserve">) </w:t>
            </w:r>
            <w:r>
              <w:rPr>
                <w:rStyle w:val="IndexLink"/>
                <w:rtl w:val="true"/>
              </w:rPr>
              <w:t>يمكن الأمر بالمبغوض في كلا الأمرين</w:t>
            </w:r>
            <w:r>
              <w:rPr>
                <w:rStyle w:val="IndexLink"/>
                <w:rtl w:val="true"/>
              </w:rPr>
              <w:tab/>
            </w:r>
            <w:r>
              <w:rPr>
                <w:rStyle w:val="IndexLink"/>
              </w:rPr>
              <w:t>541</w:t>
            </w:r>
          </w:hyperlink>
        </w:p>
        <w:p>
          <w:pPr>
            <w:pStyle w:val="Contents3"/>
            <w:tabs>
              <w:tab w:val="clear" w:pos="8459"/>
              <w:tab w:val="right" w:pos="9026" w:leader="dot"/>
            </w:tabs>
            <w:rPr/>
          </w:pPr>
          <w:hyperlink w:anchor="__RefHeading___Toc3960093_1051229030">
            <w:r>
              <w:rPr>
                <w:webHidden/>
                <w:rStyle w:val="IndexLink"/>
                <w:rtl w:val="true"/>
              </w:rPr>
              <w:t xml:space="preserve">وفي غير صورة </w:t>
            </w:r>
            <w:r>
              <w:rPr>
                <w:rStyle w:val="IndexLink"/>
                <w:rtl w:val="true"/>
              </w:rPr>
              <w:t>(</w:t>
            </w:r>
            <w:r>
              <w:rPr>
                <w:rStyle w:val="IndexLink"/>
                <w:rtl w:val="true"/>
              </w:rPr>
              <w:t>التباني</w:t>
            </w:r>
            <w:r>
              <w:rPr>
                <w:rStyle w:val="IndexLink"/>
                <w:rtl w:val="true"/>
              </w:rPr>
              <w:t>)</w:t>
              <w:tab/>
            </w:r>
            <w:r>
              <w:rPr>
                <w:rStyle w:val="IndexLink"/>
              </w:rPr>
              <w:t>541</w:t>
            </w:r>
          </w:hyperlink>
        </w:p>
        <w:p>
          <w:pPr>
            <w:pStyle w:val="Contents3"/>
            <w:tabs>
              <w:tab w:val="clear" w:pos="8459"/>
              <w:tab w:val="right" w:pos="9026" w:leader="dot"/>
            </w:tabs>
            <w:rPr/>
          </w:pPr>
          <w:hyperlink w:anchor="__RefHeading___Toc3960095_1051229030">
            <w:r>
              <w:rPr>
                <w:webHidden/>
                <w:rStyle w:val="IndexLink"/>
                <w:rtl w:val="true"/>
              </w:rPr>
              <w:t>أمثلة فقهية للتباني على المبغوض</w:t>
            </w:r>
            <w:r>
              <w:rPr>
                <w:rStyle w:val="IndexLink"/>
                <w:rtl w:val="true"/>
              </w:rPr>
              <w:tab/>
            </w:r>
            <w:r>
              <w:rPr>
                <w:rStyle w:val="IndexLink"/>
              </w:rPr>
              <w:t>542</w:t>
            </w:r>
          </w:hyperlink>
        </w:p>
        <w:p>
          <w:pPr>
            <w:pStyle w:val="Contents3"/>
            <w:tabs>
              <w:tab w:val="clear" w:pos="8459"/>
              <w:tab w:val="right" w:pos="9026" w:leader="dot"/>
            </w:tabs>
            <w:rPr/>
          </w:pPr>
          <w:hyperlink w:anchor="__RefHeading___Toc3960097_1051229030">
            <w:r>
              <w:rPr>
                <w:webHidden/>
                <w:rStyle w:val="IndexLink"/>
                <w:rtl w:val="true"/>
              </w:rPr>
              <w:t>هل الأمر الإرشادي قسم للطلب غير الإلزامي؟</w:t>
            </w:r>
            <w:r>
              <w:rPr>
                <w:rStyle w:val="IndexLink"/>
                <w:rtl w:val="true"/>
              </w:rPr>
              <w:tab/>
            </w:r>
            <w:r>
              <w:rPr>
                <w:rStyle w:val="IndexLink"/>
              </w:rPr>
              <w:t>543</w:t>
            </w:r>
          </w:hyperlink>
        </w:p>
        <w:p>
          <w:pPr>
            <w:pStyle w:val="Contents3"/>
            <w:tabs>
              <w:tab w:val="clear" w:pos="8459"/>
              <w:tab w:val="right" w:pos="9026" w:leader="dot"/>
            </w:tabs>
            <w:rPr/>
          </w:pPr>
          <w:hyperlink w:anchor="__RefHeading___Toc3960099_1051229030">
            <w:r>
              <w:rPr>
                <w:webHidden/>
                <w:rStyle w:val="IndexLink"/>
                <w:rtl w:val="true"/>
              </w:rPr>
              <w:t>من ثمرات هذا المبحث</w:t>
            </w:r>
            <w:r>
              <w:rPr>
                <w:rStyle w:val="IndexLink"/>
                <w:rtl w:val="true"/>
              </w:rPr>
              <w:t xml:space="preserve">: </w:t>
            </w:r>
            <w:r>
              <w:rPr>
                <w:rStyle w:val="IndexLink"/>
                <w:rtl w:val="true"/>
              </w:rPr>
              <w:t>دخول الأوامر الإرشادية في الفقه</w:t>
            </w:r>
            <w:r>
              <w:rPr>
                <w:rStyle w:val="IndexLink"/>
                <w:rtl w:val="true"/>
              </w:rPr>
              <w:tab/>
            </w:r>
            <w:r>
              <w:rPr>
                <w:rStyle w:val="IndexLink"/>
              </w:rPr>
              <w:t>544</w:t>
            </w:r>
          </w:hyperlink>
        </w:p>
        <w:p>
          <w:pPr>
            <w:pStyle w:val="Contents3"/>
            <w:tabs>
              <w:tab w:val="clear" w:pos="8459"/>
              <w:tab w:val="right" w:pos="9026" w:leader="dot"/>
            </w:tabs>
            <w:rPr/>
          </w:pPr>
          <w:hyperlink w:anchor="__RefHeading___Toc3960101_1051229030">
            <w:r>
              <w:rPr>
                <w:webHidden/>
                <w:rStyle w:val="IndexLink"/>
                <w:rtl w:val="true"/>
              </w:rPr>
              <w:t>للمعصومين عليهم السلام</w:t>
            </w:r>
            <w:r>
              <w:rPr>
                <w:rStyle w:val="IndexLink"/>
                <w:rtl w:val="true"/>
              </w:rPr>
              <w:t xml:space="preserve">: </w:t>
            </w:r>
            <w:r>
              <w:rPr>
                <w:rStyle w:val="IndexLink"/>
                <w:rtl w:val="true"/>
              </w:rPr>
              <w:t>الولاية التكوينية والاعتبارية والتشريعية</w:t>
            </w:r>
            <w:r>
              <w:rPr>
                <w:rStyle w:val="IndexLink"/>
                <w:rtl w:val="true"/>
              </w:rPr>
              <w:tab/>
            </w:r>
            <w:r>
              <w:rPr>
                <w:rStyle w:val="IndexLink"/>
              </w:rPr>
              <w:t>545</w:t>
            </w:r>
          </w:hyperlink>
        </w:p>
        <w:p>
          <w:pPr>
            <w:pStyle w:val="Contents3"/>
            <w:tabs>
              <w:tab w:val="clear" w:pos="8459"/>
              <w:tab w:val="right" w:pos="9026" w:leader="dot"/>
            </w:tabs>
            <w:rPr/>
          </w:pPr>
          <w:hyperlink w:anchor="__RefHeading___Toc3960103_1051229030">
            <w:r>
              <w:rPr>
                <w:webHidden/>
                <w:rStyle w:val="IndexLink"/>
                <w:rtl w:val="true"/>
              </w:rPr>
              <w:t>(</w:t>
            </w:r>
            <w:r>
              <w:rPr>
                <w:rStyle w:val="IndexLink"/>
                <w:rtl w:val="true"/>
              </w:rPr>
              <w:t>النصح</w:t>
            </w:r>
            <w:r>
              <w:rPr>
                <w:rStyle w:val="IndexLink"/>
                <w:rtl w:val="true"/>
              </w:rPr>
              <w:t xml:space="preserve">) </w:t>
            </w:r>
            <w:r>
              <w:rPr>
                <w:rStyle w:val="IndexLink"/>
                <w:rtl w:val="true"/>
              </w:rPr>
              <w:t>من شؤون الولاية</w:t>
            </w:r>
            <w:r>
              <w:rPr>
                <w:rStyle w:val="IndexLink"/>
                <w:rtl w:val="true"/>
              </w:rPr>
              <w:tab/>
            </w:r>
            <w:r>
              <w:rPr>
                <w:rStyle w:val="IndexLink"/>
              </w:rPr>
              <w:t>546</w:t>
            </w:r>
          </w:hyperlink>
        </w:p>
        <w:p>
          <w:pPr>
            <w:pStyle w:val="Contents3"/>
            <w:tabs>
              <w:tab w:val="clear" w:pos="8459"/>
              <w:tab w:val="right" w:pos="9026" w:leader="dot"/>
            </w:tabs>
            <w:rPr/>
          </w:pPr>
          <w:hyperlink w:anchor="__RefHeading___Toc3960105_1051229030">
            <w:r>
              <w:rPr>
                <w:webHidden/>
                <w:rStyle w:val="IndexLink"/>
                <w:rtl w:val="true"/>
              </w:rPr>
              <w:t xml:space="preserve">كما هو من شؤون </w:t>
            </w:r>
            <w:r>
              <w:rPr>
                <w:rStyle w:val="IndexLink"/>
                <w:rtl w:val="true"/>
              </w:rPr>
              <w:t>(</w:t>
            </w:r>
            <w:r>
              <w:rPr>
                <w:rStyle w:val="IndexLink"/>
                <w:rtl w:val="true"/>
              </w:rPr>
              <w:t>الرحمة</w:t>
            </w:r>
            <w:r>
              <w:rPr>
                <w:rStyle w:val="IndexLink"/>
                <w:rtl w:val="true"/>
              </w:rPr>
              <w:t>)</w:t>
              <w:tab/>
            </w:r>
            <w:r>
              <w:rPr>
                <w:rStyle w:val="IndexLink"/>
              </w:rPr>
              <w:t>547</w:t>
            </w:r>
          </w:hyperlink>
        </w:p>
        <w:p>
          <w:pPr>
            <w:pStyle w:val="Contents3"/>
            <w:tabs>
              <w:tab w:val="clear" w:pos="8459"/>
              <w:tab w:val="right" w:pos="9026" w:leader="dot"/>
            </w:tabs>
            <w:rPr/>
          </w:pPr>
          <w:hyperlink w:anchor="__RefHeading___Toc3960107_1051229030">
            <w:r>
              <w:rPr>
                <w:webHidden/>
                <w:rStyle w:val="IndexLink"/>
                <w:rtl w:val="true"/>
              </w:rPr>
              <w:t xml:space="preserve">كما هو من شؤون </w:t>
            </w:r>
            <w:r>
              <w:rPr>
                <w:rStyle w:val="IndexLink"/>
                <w:rtl w:val="true"/>
              </w:rPr>
              <w:t>(</w:t>
            </w:r>
            <w:r>
              <w:rPr>
                <w:rStyle w:val="IndexLink"/>
                <w:rtl w:val="true"/>
              </w:rPr>
              <w:t>المسؤولية</w:t>
            </w:r>
            <w:r>
              <w:rPr>
                <w:rStyle w:val="IndexLink"/>
                <w:rtl w:val="true"/>
              </w:rPr>
              <w:t>)</w:t>
              <w:tab/>
            </w:r>
            <w:r>
              <w:rPr>
                <w:rStyle w:val="IndexLink"/>
              </w:rPr>
              <w:t>547</w:t>
            </w:r>
          </w:hyperlink>
        </w:p>
        <w:p>
          <w:pPr>
            <w:pStyle w:val="Contents3"/>
            <w:tabs>
              <w:tab w:val="clear" w:pos="8459"/>
              <w:tab w:val="right" w:pos="9026" w:leader="dot"/>
            </w:tabs>
            <w:rPr/>
          </w:pPr>
          <w:hyperlink w:anchor="__RefHeading___Toc3960109_1051229030">
            <w:r>
              <w:rPr>
                <w:webHidden/>
                <w:rStyle w:val="IndexLink"/>
                <w:rtl w:val="true"/>
              </w:rPr>
              <w:t>هل التشريع والنصح، واجبان على النبي صلى الله عليه وآله؟</w:t>
            </w:r>
            <w:r>
              <w:rPr>
                <w:rStyle w:val="IndexLink"/>
                <w:rtl w:val="true"/>
              </w:rPr>
              <w:tab/>
            </w:r>
            <w:r>
              <w:rPr>
                <w:rStyle w:val="IndexLink"/>
              </w:rPr>
              <w:t>548</w:t>
            </w:r>
          </w:hyperlink>
        </w:p>
        <w:p>
          <w:pPr>
            <w:pStyle w:val="Contents3"/>
            <w:tabs>
              <w:tab w:val="clear" w:pos="8459"/>
              <w:tab w:val="right" w:pos="9026" w:leader="dot"/>
            </w:tabs>
            <w:rPr/>
          </w:pPr>
          <w:hyperlink w:anchor="__RefHeading___Toc3960111_1051229030">
            <w:r>
              <w:rPr>
                <w:webHidden/>
                <w:rStyle w:val="IndexLink"/>
                <w:rtl w:val="true"/>
              </w:rPr>
              <w:t>فرق كلامنا عن كلام سلطان العلماء</w:t>
            </w:r>
            <w:r>
              <w:rPr>
                <w:rStyle w:val="IndexLink"/>
                <w:rtl w:val="true"/>
              </w:rPr>
              <w:tab/>
            </w:r>
            <w:r>
              <w:rPr>
                <w:rStyle w:val="IndexLink"/>
              </w:rPr>
              <w:t>549</w:t>
            </w:r>
          </w:hyperlink>
        </w:p>
        <w:p>
          <w:pPr>
            <w:pStyle w:val="Contents2"/>
            <w:tabs>
              <w:tab w:val="clear" w:pos="8743"/>
              <w:tab w:val="right" w:pos="9026" w:leader="dot"/>
            </w:tabs>
            <w:rPr/>
          </w:pPr>
          <w:hyperlink w:anchor="__RefHeading___Toc3960113_1051229030">
            <w:r>
              <w:rPr>
                <w:webHidden/>
                <w:rStyle w:val="IndexLink"/>
                <w:rtl w:val="true"/>
              </w:rPr>
              <w:t>المبحث العاشر</w:t>
            </w:r>
            <w:r>
              <w:rPr>
                <w:rStyle w:val="IndexLink"/>
                <w:rtl w:val="true"/>
              </w:rPr>
              <w:t xml:space="preserve">: </w:t>
            </w:r>
            <w:r>
              <w:rPr>
                <w:rStyle w:val="IndexLink"/>
                <w:rtl w:val="true"/>
              </w:rPr>
              <w:t>هل الأوامر والنواهي في المعاملات إرشادية؟</w:t>
            </w:r>
            <w:r>
              <w:rPr>
                <w:rStyle w:val="IndexLink"/>
                <w:rtl w:val="true"/>
              </w:rPr>
              <w:tab/>
            </w:r>
            <w:r>
              <w:rPr>
                <w:rStyle w:val="IndexLink"/>
              </w:rPr>
              <w:t>551</w:t>
            </w:r>
          </w:hyperlink>
        </w:p>
        <w:p>
          <w:pPr>
            <w:pStyle w:val="Contents3"/>
            <w:tabs>
              <w:tab w:val="clear" w:pos="8459"/>
              <w:tab w:val="right" w:pos="9026" w:leader="dot"/>
            </w:tabs>
            <w:rPr/>
          </w:pPr>
          <w:hyperlink w:anchor="__RefHeading___Toc3960115_1051229030">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3960117_1051229030">
            <w:r>
              <w:rPr>
                <w:webHidden/>
                <w:rStyle w:val="IndexLink"/>
                <w:rtl w:val="true"/>
              </w:rPr>
              <w:t xml:space="preserve">معاني وإطلاقات </w:t>
            </w:r>
            <w:r>
              <w:rPr>
                <w:rStyle w:val="IndexLink"/>
                <w:rtl w:val="true"/>
              </w:rPr>
              <w:t>(</w:t>
            </w:r>
            <w:r>
              <w:rPr>
                <w:rStyle w:val="IndexLink"/>
                <w:rtl w:val="true"/>
              </w:rPr>
              <w:t>الأمر الإرشادي</w:t>
            </w:r>
            <w:r>
              <w:rPr>
                <w:rStyle w:val="IndexLink"/>
                <w:rtl w:val="true"/>
              </w:rPr>
              <w:t>)</w:t>
              <w:tab/>
            </w:r>
            <w:r>
              <w:rPr>
                <w:rStyle w:val="IndexLink"/>
              </w:rPr>
              <w:t>553</w:t>
            </w:r>
          </w:hyperlink>
        </w:p>
        <w:p>
          <w:pPr>
            <w:pStyle w:val="Contents3"/>
            <w:tabs>
              <w:tab w:val="clear" w:pos="8459"/>
              <w:tab w:val="right" w:pos="9026" w:leader="dot"/>
            </w:tabs>
            <w:rPr/>
          </w:pPr>
          <w:hyperlink w:anchor="__RefHeading___Toc3960119_1051229030">
            <w:r>
              <w:rPr>
                <w:webHidden/>
                <w:rStyle w:val="IndexLink"/>
                <w:rtl w:val="true"/>
              </w:rPr>
              <w:t>الإمكان ثبوتاً والتفصيل إثباتاً</w:t>
            </w:r>
            <w:r>
              <w:rPr>
                <w:rStyle w:val="IndexLink"/>
                <w:rtl w:val="true"/>
              </w:rPr>
              <w:tab/>
            </w:r>
            <w:r>
              <w:rPr>
                <w:rStyle w:val="IndexLink"/>
              </w:rPr>
              <w:t>556</w:t>
            </w:r>
          </w:hyperlink>
        </w:p>
        <w:p>
          <w:pPr>
            <w:pStyle w:val="Contents3"/>
            <w:tabs>
              <w:tab w:val="clear" w:pos="8459"/>
              <w:tab w:val="right" w:pos="9026" w:leader="dot"/>
            </w:tabs>
            <w:rPr/>
          </w:pPr>
          <w:hyperlink w:anchor="__RefHeading___Toc3960121_1051229030">
            <w:r>
              <w:rPr>
                <w:webHidden/>
                <w:rStyle w:val="IndexLink"/>
                <w:rtl w:val="true"/>
              </w:rPr>
              <w:t>(</w:t>
            </w:r>
            <w:r>
              <w:rPr>
                <w:rStyle w:val="IndexLink"/>
                <w:rtl w:val="true"/>
              </w:rPr>
              <w:t>الإرشادي</w:t>
            </w:r>
            <w:r>
              <w:rPr>
                <w:rStyle w:val="IndexLink"/>
                <w:rtl w:val="true"/>
              </w:rPr>
              <w:t xml:space="preserve">) </w:t>
            </w:r>
            <w:r>
              <w:rPr>
                <w:rStyle w:val="IndexLink"/>
                <w:rtl w:val="true"/>
              </w:rPr>
              <w:t>فيما لو تعلقت الأوامر والنواهي بالأجزاء والشرائط</w:t>
            </w:r>
            <w:r>
              <w:rPr>
                <w:rStyle w:val="IndexLink"/>
                <w:rtl w:val="true"/>
              </w:rPr>
              <w:tab/>
            </w:r>
            <w:r>
              <w:rPr>
                <w:rStyle w:val="IndexLink"/>
              </w:rPr>
              <w:t>558</w:t>
            </w:r>
          </w:hyperlink>
        </w:p>
        <w:p>
          <w:pPr>
            <w:pStyle w:val="Contents3"/>
            <w:tabs>
              <w:tab w:val="clear" w:pos="8459"/>
              <w:tab w:val="right" w:pos="9026" w:leader="dot"/>
            </w:tabs>
            <w:rPr/>
          </w:pPr>
          <w:hyperlink w:anchor="__RefHeading___Toc3960123_1051229030">
            <w:r>
              <w:rPr>
                <w:webHidden/>
                <w:rStyle w:val="IndexLink"/>
                <w:rtl w:val="true"/>
              </w:rPr>
              <w:t>تفصيلات أخرى</w:t>
            </w:r>
            <w:r>
              <w:rPr>
                <w:rStyle w:val="IndexLink"/>
                <w:rtl w:val="true"/>
              </w:rPr>
              <w:tab/>
            </w:r>
            <w:r>
              <w:rPr>
                <w:rStyle w:val="IndexLink"/>
              </w:rPr>
              <w:t>558</w:t>
            </w:r>
          </w:hyperlink>
        </w:p>
        <w:p>
          <w:pPr>
            <w:pStyle w:val="Contents3"/>
            <w:tabs>
              <w:tab w:val="clear" w:pos="8459"/>
              <w:tab w:val="right" w:pos="9026" w:leader="dot"/>
            </w:tabs>
            <w:rPr/>
          </w:pPr>
          <w:hyperlink w:anchor="__RefHeading___Toc3960125_1051229030">
            <w:r>
              <w:rPr>
                <w:webHidden/>
                <w:rStyle w:val="IndexLink"/>
                <w:rtl w:val="true"/>
              </w:rPr>
              <w:t>دعوى أن النهي المتعلق بأصل المعاملة إرشادي ودليلها</w:t>
            </w:r>
            <w:r>
              <w:rPr>
                <w:rStyle w:val="IndexLink"/>
                <w:rtl w:val="true"/>
              </w:rPr>
              <w:tab/>
            </w:r>
            <w:r>
              <w:rPr>
                <w:rStyle w:val="IndexLink"/>
              </w:rPr>
              <w:t>559</w:t>
            </w:r>
          </w:hyperlink>
        </w:p>
        <w:p>
          <w:pPr>
            <w:pStyle w:val="Contents3"/>
            <w:tabs>
              <w:tab w:val="clear" w:pos="8459"/>
              <w:tab w:val="right" w:pos="9026" w:leader="dot"/>
            </w:tabs>
            <w:rPr/>
          </w:pPr>
          <w:hyperlink w:anchor="__RefHeading___Toc3960127_1051229030">
            <w:r>
              <w:rPr>
                <w:webHidden/>
                <w:rStyle w:val="IndexLink"/>
                <w:rtl w:val="true"/>
              </w:rPr>
              <w:t>الجواب عن الدعوى</w:t>
            </w:r>
            <w:r>
              <w:rPr>
                <w:rStyle w:val="IndexLink"/>
                <w:rtl w:val="true"/>
              </w:rPr>
              <w:tab/>
            </w:r>
            <w:r>
              <w:rPr>
                <w:rStyle w:val="IndexLink"/>
              </w:rPr>
              <w:t>560</w:t>
            </w:r>
          </w:hyperlink>
        </w:p>
        <w:p>
          <w:pPr>
            <w:pStyle w:val="Contents4"/>
            <w:tabs>
              <w:tab w:val="clear" w:pos="8176"/>
              <w:tab w:val="right" w:pos="9026" w:leader="dot"/>
            </w:tabs>
            <w:rPr/>
          </w:pPr>
          <w:hyperlink w:anchor="__RefHeading___Toc3960129_1051229030">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3960131_1051229030">
            <w:r>
              <w:rPr>
                <w:webHidden/>
                <w:rStyle w:val="IndexLink"/>
              </w:rPr>
              <w:t>1</w:t>
            </w:r>
            <w:r>
              <w:rPr>
                <w:rStyle w:val="IndexLink"/>
                <w:rtl w:val="true"/>
              </w:rPr>
              <w:t xml:space="preserve">- </w:t>
            </w:r>
            <w:r>
              <w:rPr>
                <w:rStyle w:val="IndexLink"/>
                <w:rtl w:val="true"/>
              </w:rPr>
              <w:t>هي نواهي مولوية</w:t>
            </w:r>
            <w:r>
              <w:rPr>
                <w:rStyle w:val="IndexLink"/>
                <w:rtl w:val="true"/>
              </w:rPr>
              <w:tab/>
            </w:r>
            <w:r>
              <w:rPr>
                <w:rStyle w:val="IndexLink"/>
              </w:rPr>
              <w:t>561</w:t>
            </w:r>
          </w:hyperlink>
        </w:p>
        <w:p>
          <w:pPr>
            <w:pStyle w:val="Contents4"/>
            <w:tabs>
              <w:tab w:val="clear" w:pos="8176"/>
              <w:tab w:val="right" w:pos="9026" w:leader="dot"/>
            </w:tabs>
            <w:rPr/>
          </w:pPr>
          <w:hyperlink w:anchor="__RefHeading___Toc3960133_1051229030">
            <w:r>
              <w:rPr>
                <w:webHidden/>
                <w:rStyle w:val="IndexLink"/>
              </w:rPr>
              <w:t>2</w:t>
            </w:r>
            <w:r>
              <w:rPr>
                <w:rStyle w:val="IndexLink"/>
                <w:rtl w:val="true"/>
              </w:rPr>
              <w:t xml:space="preserve">- </w:t>
            </w:r>
            <w:r>
              <w:rPr>
                <w:rStyle w:val="IndexLink"/>
                <w:rtl w:val="true"/>
              </w:rPr>
              <w:t>وجود المفسدة في نفس تلك المعاملات</w:t>
            </w:r>
            <w:r>
              <w:rPr>
                <w:rStyle w:val="IndexLink"/>
                <w:rtl w:val="true"/>
              </w:rPr>
              <w:tab/>
            </w:r>
            <w:r>
              <w:rPr>
                <w:rStyle w:val="IndexLink"/>
              </w:rPr>
              <w:t>561</w:t>
            </w:r>
          </w:hyperlink>
        </w:p>
        <w:p>
          <w:pPr>
            <w:pStyle w:val="Contents3"/>
            <w:tabs>
              <w:tab w:val="clear" w:pos="8459"/>
              <w:tab w:val="right" w:pos="9026" w:leader="dot"/>
            </w:tabs>
            <w:rPr/>
          </w:pPr>
          <w:hyperlink w:anchor="__RefHeading___Toc3960135_1051229030">
            <w:r>
              <w:rPr>
                <w:webHidden/>
                <w:rStyle w:val="IndexLink"/>
                <w:rtl w:val="true"/>
              </w:rPr>
              <w:t xml:space="preserve">اتصاف </w:t>
            </w:r>
            <w:r>
              <w:rPr>
                <w:rStyle w:val="IndexLink"/>
                <w:rtl w:val="true"/>
              </w:rPr>
              <w:t>(</w:t>
            </w:r>
            <w:r>
              <w:rPr>
                <w:rStyle w:val="IndexLink"/>
                <w:rtl w:val="true"/>
              </w:rPr>
              <w:t>الكلام</w:t>
            </w:r>
            <w:r>
              <w:rPr>
                <w:rStyle w:val="IndexLink"/>
                <w:rtl w:val="true"/>
              </w:rPr>
              <w:t xml:space="preserve">) </w:t>
            </w:r>
            <w:r>
              <w:rPr>
                <w:rStyle w:val="IndexLink"/>
                <w:rtl w:val="true"/>
              </w:rPr>
              <w:t>بالحسن والقبح، والمصلحة والمفسدة</w:t>
            </w:r>
            <w:r>
              <w:rPr>
                <w:rStyle w:val="IndexLink"/>
                <w:rtl w:val="true"/>
              </w:rPr>
              <w:tab/>
            </w:r>
            <w:r>
              <w:rPr>
                <w:rStyle w:val="IndexLink"/>
              </w:rPr>
              <w:t>562</w:t>
            </w:r>
          </w:hyperlink>
        </w:p>
        <w:p>
          <w:pPr>
            <w:pStyle w:val="Contents4"/>
            <w:tabs>
              <w:tab w:val="clear" w:pos="8176"/>
              <w:tab w:val="right" w:pos="9026" w:leader="dot"/>
            </w:tabs>
            <w:rPr/>
          </w:pPr>
          <w:hyperlink w:anchor="__RefHeading___Toc3960137_1051229030">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3960139_1051229030">
            <w:r>
              <w:rPr>
                <w:webHidden/>
                <w:rStyle w:val="IndexLink"/>
              </w:rPr>
              <w:t>1</w:t>
            </w:r>
            <w:r>
              <w:rPr>
                <w:rStyle w:val="IndexLink"/>
                <w:rtl w:val="true"/>
              </w:rPr>
              <w:t xml:space="preserve">- </w:t>
            </w:r>
            <w:r>
              <w:rPr>
                <w:rStyle w:val="IndexLink"/>
                <w:rtl w:val="true"/>
              </w:rPr>
              <w:t>الربا والأدلة على حرمة نفس المعاملة الربوية</w:t>
            </w:r>
            <w:r>
              <w:rPr>
                <w:rStyle w:val="IndexLink"/>
                <w:rtl w:val="true"/>
              </w:rPr>
              <w:tab/>
            </w:r>
            <w:r>
              <w:rPr>
                <w:rStyle w:val="IndexLink"/>
              </w:rPr>
              <w:t>563</w:t>
            </w:r>
          </w:hyperlink>
        </w:p>
        <w:p>
          <w:pPr>
            <w:pStyle w:val="Contents5"/>
            <w:tabs>
              <w:tab w:val="clear" w:pos="7892"/>
              <w:tab w:val="right" w:pos="9026" w:leader="dot"/>
            </w:tabs>
            <w:rPr/>
          </w:pPr>
          <w:hyperlink w:anchor="__RefHeading___Toc3960141_1051229030">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3960143_1051229030">
            <w:r>
              <w:rPr>
                <w:webHidden/>
                <w:rStyle w:val="IndexLink"/>
              </w:rPr>
              <w:t>1</w:t>
            </w:r>
            <w:r>
              <w:rPr>
                <w:rStyle w:val="IndexLink"/>
                <w:rtl w:val="true"/>
              </w:rPr>
              <w:t xml:space="preserve">- </w:t>
            </w:r>
            <w:r>
              <w:rPr>
                <w:rStyle w:val="IndexLink"/>
                <w:rtl w:val="true"/>
              </w:rPr>
              <w:t>الآيات الكريمة</w:t>
            </w:r>
            <w:r>
              <w:rPr>
                <w:rStyle w:val="IndexLink"/>
                <w:rtl w:val="true"/>
              </w:rPr>
              <w:tab/>
            </w:r>
            <w:r>
              <w:rPr>
                <w:rStyle w:val="IndexLink"/>
              </w:rPr>
              <w:t>563</w:t>
            </w:r>
          </w:hyperlink>
        </w:p>
        <w:p>
          <w:pPr>
            <w:pStyle w:val="Contents5"/>
            <w:tabs>
              <w:tab w:val="clear" w:pos="7892"/>
              <w:tab w:val="right" w:pos="9026" w:leader="dot"/>
            </w:tabs>
            <w:rPr/>
          </w:pPr>
          <w:hyperlink w:anchor="__RefHeading___Toc3960145_1051229030">
            <w:r>
              <w:rPr>
                <w:webHidden/>
                <w:rStyle w:val="IndexLink"/>
              </w:rPr>
              <w:t>2</w:t>
            </w:r>
            <w:r>
              <w:rPr>
                <w:rStyle w:val="IndexLink"/>
                <w:rtl w:val="true"/>
              </w:rPr>
              <w:t xml:space="preserve">- </w:t>
            </w:r>
            <w:r>
              <w:rPr>
                <w:rStyle w:val="IndexLink"/>
                <w:rtl w:val="true"/>
              </w:rPr>
              <w:t>الروايات الشريفة</w:t>
            </w:r>
            <w:r>
              <w:rPr>
                <w:rStyle w:val="IndexLink"/>
                <w:rtl w:val="true"/>
              </w:rPr>
              <w:tab/>
            </w:r>
            <w:r>
              <w:rPr>
                <w:rStyle w:val="IndexLink"/>
              </w:rPr>
              <w:t>564</w:t>
            </w:r>
          </w:hyperlink>
        </w:p>
        <w:p>
          <w:pPr>
            <w:pStyle w:val="Contents4"/>
            <w:tabs>
              <w:tab w:val="clear" w:pos="8176"/>
              <w:tab w:val="right" w:pos="9026" w:leader="dot"/>
            </w:tabs>
            <w:rPr/>
          </w:pPr>
          <w:hyperlink w:anchor="__RefHeading___Toc3960147_1051229030">
            <w:r>
              <w:rPr>
                <w:webHidden/>
                <w:rStyle w:val="IndexLink"/>
              </w:rPr>
              <w:t>2</w:t>
            </w:r>
            <w:r>
              <w:rPr>
                <w:rStyle w:val="IndexLink"/>
                <w:rtl w:val="true"/>
              </w:rPr>
              <w:t xml:space="preserve">- </w:t>
            </w:r>
            <w:r>
              <w:rPr>
                <w:rStyle w:val="IndexLink"/>
                <w:rtl w:val="true"/>
              </w:rPr>
              <w:t>بيع الخمر وأدلة حرمته بذاته</w:t>
            </w:r>
            <w:r>
              <w:rPr>
                <w:rStyle w:val="IndexLink"/>
                <w:rtl w:val="true"/>
              </w:rPr>
              <w:tab/>
            </w:r>
            <w:r>
              <w:rPr>
                <w:rStyle w:val="IndexLink"/>
              </w:rPr>
              <w:t>567</w:t>
            </w:r>
          </w:hyperlink>
        </w:p>
        <w:p>
          <w:pPr>
            <w:pStyle w:val="Contents5"/>
            <w:tabs>
              <w:tab w:val="clear" w:pos="7892"/>
              <w:tab w:val="right" w:pos="9026" w:leader="dot"/>
            </w:tabs>
            <w:rPr/>
          </w:pPr>
          <w:hyperlink w:anchor="__RefHeading___Toc3960149_1051229030">
            <w:r>
              <w:rPr>
                <w:webHidden/>
                <w:rStyle w:val="IndexLink"/>
              </w:rPr>
              <w:t>1</w:t>
            </w:r>
            <w:r>
              <w:rPr>
                <w:rStyle w:val="IndexLink"/>
                <w:rtl w:val="true"/>
              </w:rPr>
              <w:t xml:space="preserve">- </w:t>
            </w:r>
            <w:r>
              <w:rPr>
                <w:rStyle w:val="IndexLink"/>
                <w:rtl w:val="true"/>
              </w:rPr>
              <w:t>الآيات الكريمة</w:t>
            </w:r>
            <w:r>
              <w:rPr>
                <w:rStyle w:val="IndexLink"/>
                <w:rtl w:val="true"/>
              </w:rPr>
              <w:tab/>
            </w:r>
            <w:r>
              <w:rPr>
                <w:rStyle w:val="IndexLink"/>
              </w:rPr>
              <w:t>567</w:t>
            </w:r>
          </w:hyperlink>
        </w:p>
        <w:p>
          <w:pPr>
            <w:pStyle w:val="Contents5"/>
            <w:tabs>
              <w:tab w:val="clear" w:pos="7892"/>
              <w:tab w:val="right" w:pos="9026" w:leader="dot"/>
            </w:tabs>
            <w:rPr/>
          </w:pPr>
          <w:hyperlink w:anchor="__RefHeading___Toc3960151_1051229030">
            <w:r>
              <w:rPr>
                <w:webHidden/>
                <w:rStyle w:val="IndexLink"/>
              </w:rPr>
              <w:t>2</w:t>
            </w:r>
            <w:r>
              <w:rPr>
                <w:rStyle w:val="IndexLink"/>
                <w:rtl w:val="true"/>
              </w:rPr>
              <w:t xml:space="preserve">- </w:t>
            </w:r>
            <w:r>
              <w:rPr>
                <w:rStyle w:val="IndexLink"/>
                <w:rtl w:val="true"/>
              </w:rPr>
              <w:t>الروايات الشريفة</w:t>
            </w:r>
            <w:r>
              <w:rPr>
                <w:rStyle w:val="IndexLink"/>
                <w:rtl w:val="true"/>
              </w:rPr>
              <w:tab/>
            </w:r>
            <w:r>
              <w:rPr>
                <w:rStyle w:val="IndexLink"/>
              </w:rPr>
              <w:t>568</w:t>
            </w:r>
          </w:hyperlink>
        </w:p>
        <w:p>
          <w:pPr>
            <w:pStyle w:val="Contents5"/>
            <w:tabs>
              <w:tab w:val="clear" w:pos="7892"/>
              <w:tab w:val="right" w:pos="9026" w:leader="dot"/>
            </w:tabs>
            <w:rPr/>
          </w:pPr>
          <w:hyperlink w:anchor="__RefHeading___Toc3960153_1051229030">
            <w:r>
              <w:rPr>
                <w:webHidden/>
                <w:rStyle w:val="IndexLink"/>
              </w:rPr>
              <w:t>3</w:t>
            </w:r>
            <w:r>
              <w:rPr>
                <w:rStyle w:val="IndexLink"/>
                <w:rtl w:val="true"/>
              </w:rPr>
              <w:t xml:space="preserve">- </w:t>
            </w:r>
            <w:r>
              <w:rPr>
                <w:rStyle w:val="IndexLink"/>
                <w:rtl w:val="true"/>
              </w:rPr>
              <w:t>الشهرة بل الإجماع</w:t>
            </w:r>
            <w:r>
              <w:rPr>
                <w:rStyle w:val="IndexLink"/>
                <w:rtl w:val="true"/>
              </w:rPr>
              <w:tab/>
            </w:r>
            <w:r>
              <w:rPr>
                <w:rStyle w:val="IndexLink"/>
              </w:rPr>
              <w:t>569</w:t>
            </w:r>
          </w:hyperlink>
        </w:p>
        <w:p>
          <w:pPr>
            <w:pStyle w:val="Contents6"/>
            <w:tabs>
              <w:tab w:val="clear" w:pos="7609"/>
              <w:tab w:val="right" w:pos="9026" w:leader="dot"/>
            </w:tabs>
            <w:rPr/>
          </w:pPr>
          <w:hyperlink w:anchor="__RefHeading___Toc3960155_1051229030">
            <w:r>
              <w:rPr>
                <w:webHidden/>
                <w:rStyle w:val="IndexLink"/>
                <w:rtl w:val="true"/>
              </w:rPr>
              <w:t>اشارة</w:t>
            </w:r>
            <w:r>
              <w:rPr>
                <w:rStyle w:val="IndexLink"/>
                <w:rtl w:val="true"/>
              </w:rPr>
              <w:tab/>
            </w:r>
            <w:r>
              <w:rPr>
                <w:rStyle w:val="IndexLink"/>
              </w:rPr>
              <w:t>569</w:t>
            </w:r>
          </w:hyperlink>
        </w:p>
        <w:p>
          <w:pPr>
            <w:pStyle w:val="Contents6"/>
            <w:tabs>
              <w:tab w:val="clear" w:pos="7609"/>
              <w:tab w:val="right" w:pos="9026" w:leader="dot"/>
            </w:tabs>
            <w:rPr/>
          </w:pPr>
          <w:hyperlink w:anchor="__RefHeading___Toc3960157_1051229030">
            <w:r>
              <w:rPr>
                <w:webHidden/>
                <w:rStyle w:val="IndexLink"/>
                <w:rtl w:val="true"/>
              </w:rPr>
              <w:t>هل الهيروئين والكوكائين كالخمر؟</w:t>
            </w:r>
            <w:r>
              <w:rPr>
                <w:rStyle w:val="IndexLink"/>
                <w:rtl w:val="true"/>
              </w:rPr>
              <w:tab/>
            </w:r>
            <w:r>
              <w:rPr>
                <w:rStyle w:val="IndexLink"/>
              </w:rPr>
              <w:t>570</w:t>
            </w:r>
          </w:hyperlink>
        </w:p>
        <w:p>
          <w:pPr>
            <w:pStyle w:val="Contents4"/>
            <w:tabs>
              <w:tab w:val="clear" w:pos="8176"/>
              <w:tab w:val="right" w:pos="9026" w:leader="dot"/>
            </w:tabs>
            <w:rPr/>
          </w:pPr>
          <w:hyperlink w:anchor="__RefHeading___Toc3960159_1051229030">
            <w:r>
              <w:rPr>
                <w:webHidden/>
                <w:rStyle w:val="IndexLink"/>
              </w:rPr>
              <w:t>3</w:t>
            </w:r>
            <w:r>
              <w:rPr>
                <w:rStyle w:val="IndexLink"/>
                <w:rtl w:val="true"/>
              </w:rPr>
              <w:t xml:space="preserve">- </w:t>
            </w:r>
            <w:r>
              <w:rPr>
                <w:rStyle w:val="IndexLink"/>
                <w:rtl w:val="true"/>
              </w:rPr>
              <w:t>بيع آلات القمار</w:t>
            </w:r>
            <w:r>
              <w:rPr>
                <w:rStyle w:val="IndexLink"/>
                <w:rtl w:val="true"/>
              </w:rPr>
              <w:tab/>
            </w:r>
            <w:r>
              <w:rPr>
                <w:rStyle w:val="IndexLink"/>
              </w:rPr>
              <w:t>571</w:t>
            </w:r>
          </w:hyperlink>
        </w:p>
        <w:p>
          <w:pPr>
            <w:pStyle w:val="Contents5"/>
            <w:tabs>
              <w:tab w:val="clear" w:pos="7892"/>
              <w:tab w:val="right" w:pos="9026" w:leader="dot"/>
            </w:tabs>
            <w:rPr/>
          </w:pPr>
          <w:hyperlink w:anchor="__RefHeading___Toc3960161_1051229030">
            <w:r>
              <w:rPr>
                <w:webHidden/>
                <w:rStyle w:val="IndexLink"/>
              </w:rPr>
              <w:t>1</w:t>
            </w:r>
            <w:r>
              <w:rPr>
                <w:rStyle w:val="IndexLink"/>
                <w:rtl w:val="true"/>
              </w:rPr>
              <w:t xml:space="preserve">- </w:t>
            </w:r>
            <w:r>
              <w:rPr>
                <w:rStyle w:val="IndexLink"/>
                <w:rtl w:val="true"/>
              </w:rPr>
              <w:t>الاستدلال بالآيات على حرمة نفس البيع</w:t>
            </w:r>
            <w:r>
              <w:rPr>
                <w:rStyle w:val="IndexLink"/>
                <w:rtl w:val="true"/>
              </w:rPr>
              <w:tab/>
            </w:r>
            <w:r>
              <w:rPr>
                <w:rStyle w:val="IndexLink"/>
              </w:rPr>
              <w:t>571</w:t>
            </w:r>
          </w:hyperlink>
        </w:p>
        <w:p>
          <w:pPr>
            <w:pStyle w:val="Contents5"/>
            <w:tabs>
              <w:tab w:val="clear" w:pos="7892"/>
              <w:tab w:val="right" w:pos="9026" w:leader="dot"/>
            </w:tabs>
            <w:rPr/>
          </w:pPr>
          <w:hyperlink w:anchor="__RefHeading___Toc3960163_1051229030">
            <w:r>
              <w:rPr>
                <w:webHidden/>
                <w:rStyle w:val="IndexLink"/>
              </w:rPr>
              <w:t>2</w:t>
            </w:r>
            <w:r>
              <w:rPr>
                <w:rStyle w:val="IndexLink"/>
                <w:rtl w:val="true"/>
              </w:rPr>
              <w:t xml:space="preserve">- </w:t>
            </w:r>
            <w:r>
              <w:rPr>
                <w:rStyle w:val="IndexLink"/>
                <w:rtl w:val="true"/>
              </w:rPr>
              <w:t>الاستدلال بالروايات</w:t>
            </w:r>
            <w:r>
              <w:rPr>
                <w:rStyle w:val="IndexLink"/>
                <w:rtl w:val="true"/>
              </w:rPr>
              <w:tab/>
            </w:r>
            <w:r>
              <w:rPr>
                <w:rStyle w:val="IndexLink"/>
              </w:rPr>
              <w:t>573</w:t>
            </w:r>
          </w:hyperlink>
        </w:p>
        <w:p>
          <w:pPr>
            <w:pStyle w:val="Contents5"/>
            <w:tabs>
              <w:tab w:val="clear" w:pos="7892"/>
              <w:tab w:val="right" w:pos="9026" w:leader="dot"/>
            </w:tabs>
            <w:rPr/>
          </w:pPr>
          <w:hyperlink w:anchor="__RefHeading___Toc3960165_1051229030">
            <w:r>
              <w:rPr>
                <w:webHidden/>
                <w:rStyle w:val="IndexLink"/>
              </w:rPr>
              <w:t>3</w:t>
            </w:r>
            <w:r>
              <w:rPr>
                <w:rStyle w:val="IndexLink"/>
                <w:rtl w:val="true"/>
              </w:rPr>
              <w:t xml:space="preserve">- </w:t>
            </w:r>
            <w:r>
              <w:rPr>
                <w:rStyle w:val="IndexLink"/>
                <w:rtl w:val="true"/>
              </w:rPr>
              <w:t>الإجماع</w:t>
            </w:r>
            <w:r>
              <w:rPr>
                <w:rStyle w:val="IndexLink"/>
                <w:rtl w:val="true"/>
              </w:rPr>
              <w:tab/>
            </w:r>
            <w:r>
              <w:rPr>
                <w:rStyle w:val="IndexLink"/>
              </w:rPr>
              <w:t>574</w:t>
            </w:r>
          </w:hyperlink>
        </w:p>
        <w:p>
          <w:pPr>
            <w:pStyle w:val="Contents3"/>
            <w:tabs>
              <w:tab w:val="clear" w:pos="8459"/>
              <w:tab w:val="right" w:pos="9026" w:leader="dot"/>
            </w:tabs>
            <w:rPr/>
          </w:pPr>
          <w:hyperlink w:anchor="__RefHeading___Toc3960167_1051229030">
            <w:r>
              <w:rPr>
                <w:webHidden/>
                <w:rStyle w:val="IndexLink"/>
                <w:rtl w:val="true"/>
              </w:rPr>
              <w:t>هل الظهور الثانوي في نهي المعاملات الوضع لا التكليف؟</w:t>
            </w:r>
            <w:r>
              <w:rPr>
                <w:rStyle w:val="IndexLink"/>
                <w:rtl w:val="true"/>
              </w:rPr>
              <w:tab/>
            </w:r>
            <w:r>
              <w:rPr>
                <w:rStyle w:val="IndexLink"/>
              </w:rPr>
              <w:t>575</w:t>
            </w:r>
          </w:hyperlink>
        </w:p>
        <w:p>
          <w:pPr>
            <w:pStyle w:val="Contents3"/>
            <w:tabs>
              <w:tab w:val="clear" w:pos="8459"/>
              <w:tab w:val="right" w:pos="9026" w:leader="dot"/>
            </w:tabs>
            <w:rPr/>
          </w:pPr>
          <w:hyperlink w:anchor="__RefHeading___Toc3960169_1051229030">
            <w:r>
              <w:rPr>
                <w:webHidden/>
                <w:rStyle w:val="IndexLink"/>
                <w:rtl w:val="true"/>
              </w:rPr>
              <w:t>هل المراد ب</w:t>
            </w:r>
            <w:r>
              <w:rPr>
                <w:rStyle w:val="IndexLink"/>
                <w:rtl w:val="true"/>
              </w:rPr>
              <w:t>(</w:t>
            </w:r>
            <w:r>
              <w:rPr>
                <w:rStyle w:val="IndexLink"/>
                <w:rtl w:val="true"/>
              </w:rPr>
              <w:t>الأصل</w:t>
            </w:r>
            <w:r>
              <w:rPr>
                <w:rStyle w:val="IndexLink"/>
                <w:rtl w:val="true"/>
              </w:rPr>
              <w:t xml:space="preserve">) </w:t>
            </w:r>
            <w:r>
              <w:rPr>
                <w:rStyle w:val="IndexLink"/>
                <w:rtl w:val="true"/>
              </w:rPr>
              <w:t>الغالب أم الراجح أم القاعدة؟</w:t>
            </w:r>
            <w:r>
              <w:rPr>
                <w:rStyle w:val="IndexLink"/>
                <w:rtl w:val="true"/>
              </w:rPr>
              <w:tab/>
            </w:r>
            <w:r>
              <w:rPr>
                <w:rStyle w:val="IndexLink"/>
              </w:rPr>
              <w:t>576</w:t>
            </w:r>
          </w:hyperlink>
        </w:p>
        <w:p>
          <w:pPr>
            <w:pStyle w:val="Contents3"/>
            <w:tabs>
              <w:tab w:val="clear" w:pos="8459"/>
              <w:tab w:val="right" w:pos="9026" w:leader="dot"/>
            </w:tabs>
            <w:rPr/>
          </w:pPr>
          <w:hyperlink w:anchor="__RefHeading___Toc3960171_1051229030">
            <w:r>
              <w:rPr>
                <w:webHidden/>
                <w:rStyle w:val="IndexLink"/>
                <w:rtl w:val="true"/>
              </w:rPr>
              <w:t>تحقيق الحال في عالم الإثبات</w:t>
            </w:r>
            <w:r>
              <w:rPr>
                <w:rStyle w:val="IndexLink"/>
                <w:rtl w:val="true"/>
              </w:rPr>
              <w:tab/>
            </w:r>
            <w:r>
              <w:rPr>
                <w:rStyle w:val="IndexLink"/>
              </w:rPr>
              <w:t>577</w:t>
            </w:r>
          </w:hyperlink>
        </w:p>
        <w:p>
          <w:pPr>
            <w:pStyle w:val="Contents3"/>
            <w:tabs>
              <w:tab w:val="clear" w:pos="8459"/>
              <w:tab w:val="right" w:pos="9026" w:leader="dot"/>
            </w:tabs>
            <w:rPr/>
          </w:pPr>
          <w:hyperlink w:anchor="__RefHeading___Toc3960173_1051229030">
            <w:r>
              <w:rPr>
                <w:webHidden/>
                <w:rStyle w:val="IndexLink"/>
                <w:rtl w:val="true"/>
              </w:rPr>
              <w:t>دعوى الوجوب في أوامر المعاملات والإيقاعات</w:t>
            </w:r>
            <w:r>
              <w:rPr>
                <w:rStyle w:val="IndexLink"/>
                <w:rtl w:val="true"/>
              </w:rPr>
              <w:tab/>
            </w:r>
            <w:r>
              <w:rPr>
                <w:rStyle w:val="IndexLink"/>
              </w:rPr>
              <w:t>578</w:t>
            </w:r>
          </w:hyperlink>
        </w:p>
        <w:p>
          <w:pPr>
            <w:pStyle w:val="Contents3"/>
            <w:tabs>
              <w:tab w:val="clear" w:pos="8459"/>
              <w:tab w:val="right" w:pos="9026" w:leader="dot"/>
            </w:tabs>
            <w:rPr/>
          </w:pPr>
          <w:hyperlink w:anchor="__RefHeading___Toc3960175_1051229030">
            <w:r>
              <w:rPr>
                <w:webHidden/>
                <w:rStyle w:val="IndexLink"/>
                <w:rtl w:val="true"/>
              </w:rPr>
              <w:t xml:space="preserve">دليل </w:t>
            </w:r>
            <w:r>
              <w:rPr>
                <w:rStyle w:val="IndexLink"/>
                <w:rtl w:val="true"/>
              </w:rPr>
              <w:t>(</w:t>
            </w:r>
            <w:r>
              <w:rPr>
                <w:rStyle w:val="IndexLink"/>
                <w:rtl w:val="true"/>
              </w:rPr>
              <w:t>الوجوب الإرشادي</w:t>
            </w:r>
            <w:r>
              <w:rPr>
                <w:rStyle w:val="IndexLink"/>
                <w:rtl w:val="true"/>
              </w:rPr>
              <w:t xml:space="preserve">) </w:t>
            </w:r>
            <w:r>
              <w:rPr>
                <w:rStyle w:val="IndexLink"/>
                <w:rtl w:val="true"/>
              </w:rPr>
              <w:t>لأوامر العقود والإيقاعات</w:t>
            </w:r>
            <w:r>
              <w:rPr>
                <w:rStyle w:val="IndexLink"/>
                <w:rtl w:val="true"/>
              </w:rPr>
              <w:tab/>
            </w:r>
            <w:r>
              <w:rPr>
                <w:rStyle w:val="IndexLink"/>
              </w:rPr>
              <w:t>580</w:t>
            </w:r>
          </w:hyperlink>
        </w:p>
        <w:p>
          <w:pPr>
            <w:pStyle w:val="Contents3"/>
            <w:tabs>
              <w:tab w:val="clear" w:pos="8459"/>
              <w:tab w:val="right" w:pos="9026" w:leader="dot"/>
            </w:tabs>
            <w:rPr/>
          </w:pPr>
          <w:hyperlink w:anchor="__RefHeading___Toc3960177_1051229030">
            <w:r>
              <w:rPr>
                <w:webHidden/>
                <w:rStyle w:val="IndexLink"/>
                <w:rtl w:val="true"/>
              </w:rPr>
              <w:t>الرد</w:t>
            </w:r>
            <w:r>
              <w:rPr>
                <w:rStyle w:val="IndexLink"/>
                <w:rtl w:val="true"/>
              </w:rPr>
              <w:t xml:space="preserve">: </w:t>
            </w:r>
            <w:r>
              <w:rPr>
                <w:rStyle w:val="IndexLink"/>
                <w:rtl w:val="true"/>
              </w:rPr>
              <w:t>بأنه خلاف ضرورة الفقه، وجوابهلا يقال</w:t>
            </w:r>
            <w:r>
              <w:rPr>
                <w:rStyle w:val="IndexLink"/>
                <w:rtl w:val="true"/>
              </w:rPr>
              <w:t xml:space="preserve">: </w:t>
            </w:r>
            <w:r>
              <w:rPr>
                <w:rStyle w:val="IndexLink"/>
                <w:rtl w:val="true"/>
              </w:rPr>
              <w:t>إن ذلك خلاف المعلوم بالضرورة من الفقه</w:t>
            </w:r>
            <w:r>
              <w:rPr>
                <w:rStyle w:val="IndexLink"/>
                <w:rtl w:val="true"/>
              </w:rPr>
              <w:t>.</w:t>
              <w:tab/>
            </w:r>
            <w:r>
              <w:rPr>
                <w:rStyle w:val="IndexLink"/>
              </w:rPr>
              <w:t>581</w:t>
            </w:r>
          </w:hyperlink>
        </w:p>
        <w:p>
          <w:pPr>
            <w:pStyle w:val="Contents3"/>
            <w:tabs>
              <w:tab w:val="clear" w:pos="8459"/>
              <w:tab w:val="right" w:pos="9026" w:leader="dot"/>
            </w:tabs>
            <w:rPr/>
          </w:pPr>
          <w:hyperlink w:anchor="__RefHeading___Toc3960179_1051229030">
            <w:r>
              <w:rPr>
                <w:webHidden/>
                <w:rStyle w:val="IndexLink"/>
                <w:rtl w:val="true"/>
              </w:rPr>
              <w:t>الإشكال ب</w:t>
            </w:r>
            <w:r>
              <w:rPr>
                <w:rStyle w:val="IndexLink"/>
                <w:rtl w:val="true"/>
              </w:rPr>
              <w:t>(</w:t>
            </w:r>
            <w:r>
              <w:rPr>
                <w:rStyle w:val="IndexLink"/>
                <w:rtl w:val="true"/>
              </w:rPr>
              <w:t>لو كان لبان</w:t>
            </w:r>
            <w:r>
              <w:rPr>
                <w:rStyle w:val="IndexLink"/>
                <w:rtl w:val="true"/>
              </w:rPr>
              <w:t xml:space="preserve">) </w:t>
            </w:r>
            <w:r>
              <w:rPr>
                <w:rStyle w:val="IndexLink"/>
                <w:rtl w:val="true"/>
              </w:rPr>
              <w:t>وجوابه</w:t>
            </w:r>
            <w:r>
              <w:rPr>
                <w:rStyle w:val="IndexLink"/>
                <w:rtl w:val="true"/>
              </w:rPr>
              <w:tab/>
            </w:r>
            <w:r>
              <w:rPr>
                <w:rStyle w:val="IndexLink"/>
              </w:rPr>
              <w:t>581</w:t>
            </w:r>
          </w:hyperlink>
        </w:p>
        <w:p>
          <w:pPr>
            <w:pStyle w:val="Contents3"/>
            <w:tabs>
              <w:tab w:val="clear" w:pos="8459"/>
              <w:tab w:val="right" w:pos="9026" w:leader="dot"/>
            </w:tabs>
            <w:rPr/>
          </w:pPr>
          <w:hyperlink w:anchor="__RefHeading___Toc3960181_1051229030">
            <w:r>
              <w:rPr>
                <w:webHidden/>
                <w:rStyle w:val="IndexLink"/>
                <w:rtl w:val="true"/>
              </w:rPr>
              <w:t xml:space="preserve">هل يكفي </w:t>
            </w:r>
            <w:r>
              <w:rPr>
                <w:rStyle w:val="IndexLink"/>
                <w:rtl w:val="true"/>
              </w:rPr>
              <w:t>(</w:t>
            </w:r>
            <w:r>
              <w:rPr>
                <w:rStyle w:val="IndexLink"/>
                <w:rtl w:val="true"/>
              </w:rPr>
              <w:t>الحكم الوضعي</w:t>
            </w:r>
            <w:r>
              <w:rPr>
                <w:rStyle w:val="IndexLink"/>
                <w:rtl w:val="true"/>
              </w:rPr>
              <w:t xml:space="preserve">) </w:t>
            </w:r>
            <w:r>
              <w:rPr>
                <w:rStyle w:val="IndexLink"/>
                <w:rtl w:val="true"/>
              </w:rPr>
              <w:t>لدفع اختلال النظام؟</w:t>
            </w:r>
            <w:r>
              <w:rPr>
                <w:rStyle w:val="IndexLink"/>
                <w:rtl w:val="true"/>
              </w:rPr>
              <w:tab/>
            </w:r>
            <w:r>
              <w:rPr>
                <w:rStyle w:val="IndexLink"/>
              </w:rPr>
              <w:t>582</w:t>
            </w:r>
          </w:hyperlink>
        </w:p>
        <w:p>
          <w:pPr>
            <w:pStyle w:val="Contents3"/>
            <w:tabs>
              <w:tab w:val="clear" w:pos="8459"/>
              <w:tab w:val="right" w:pos="9026" w:leader="dot"/>
            </w:tabs>
            <w:rPr/>
          </w:pPr>
          <w:hyperlink w:anchor="__RefHeading___Toc3960183_1051229030">
            <w:r>
              <w:rPr>
                <w:webHidden/>
                <w:rStyle w:val="IndexLink"/>
                <w:rtl w:val="true"/>
              </w:rPr>
              <w:t>والمرجع</w:t>
            </w:r>
            <w:r>
              <w:rPr>
                <w:rStyle w:val="IndexLink"/>
                <w:rtl w:val="true"/>
              </w:rPr>
              <w:t>: (</w:t>
            </w:r>
            <w:r>
              <w:rPr>
                <w:rStyle w:val="IndexLink"/>
                <w:rtl w:val="true"/>
              </w:rPr>
              <w:t>الظواهر</w:t>
            </w:r>
            <w:r>
              <w:rPr>
                <w:rStyle w:val="IndexLink"/>
                <w:rtl w:val="true"/>
              </w:rPr>
              <w:t xml:space="preserve">) </w:t>
            </w:r>
            <w:r>
              <w:rPr>
                <w:rStyle w:val="IndexLink"/>
                <w:rtl w:val="true"/>
              </w:rPr>
              <w:t>في الموارد</w:t>
            </w:r>
            <w:r>
              <w:rPr>
                <w:rStyle w:val="IndexLink"/>
                <w:rtl w:val="true"/>
              </w:rPr>
              <w:tab/>
            </w:r>
            <w:r>
              <w:rPr>
                <w:rStyle w:val="IndexLink"/>
              </w:rPr>
              <w:t>582</w:t>
            </w:r>
          </w:hyperlink>
        </w:p>
        <w:p>
          <w:pPr>
            <w:pStyle w:val="Contents2"/>
            <w:tabs>
              <w:tab w:val="clear" w:pos="8743"/>
              <w:tab w:val="right" w:pos="9026" w:leader="dot"/>
            </w:tabs>
            <w:rPr/>
          </w:pPr>
          <w:hyperlink w:anchor="__RefHeading___Toc3960185_1051229030">
            <w:r>
              <w:rPr>
                <w:webHidden/>
                <w:rStyle w:val="IndexLink"/>
                <w:rtl w:val="true"/>
              </w:rPr>
              <w:t>المبحث الحادي عشر</w:t>
            </w:r>
            <w:r>
              <w:rPr>
                <w:rStyle w:val="IndexLink"/>
                <w:rtl w:val="true"/>
              </w:rPr>
              <w:t xml:space="preserve">: </w:t>
            </w:r>
            <w:r>
              <w:rPr>
                <w:rStyle w:val="IndexLink"/>
                <w:rtl w:val="true"/>
              </w:rPr>
              <w:t>الوجوب التخييري للاجتهاد في الأحكام الإرشادية وجريان التقليد فيها</w:t>
            </w:r>
            <w:r>
              <w:rPr>
                <w:rStyle w:val="IndexLink"/>
                <w:rtl w:val="true"/>
              </w:rPr>
              <w:tab/>
            </w:r>
            <w:r>
              <w:rPr>
                <w:rStyle w:val="IndexLink"/>
              </w:rPr>
              <w:t>585</w:t>
            </w:r>
          </w:hyperlink>
        </w:p>
        <w:p>
          <w:pPr>
            <w:pStyle w:val="Contents3"/>
            <w:tabs>
              <w:tab w:val="clear" w:pos="8459"/>
              <w:tab w:val="right" w:pos="9026" w:leader="dot"/>
            </w:tabs>
            <w:rPr/>
          </w:pPr>
          <w:hyperlink w:anchor="__RefHeading___Toc3960187_1051229030">
            <w:r>
              <w:rPr>
                <w:webHidden/>
                <w:rStyle w:val="IndexLink"/>
                <w:rtl w:val="true"/>
              </w:rPr>
              <w:t>اشارة</w:t>
            </w:r>
            <w:r>
              <w:rPr>
                <w:rStyle w:val="IndexLink"/>
                <w:rtl w:val="true"/>
              </w:rPr>
              <w:tab/>
            </w:r>
            <w:r>
              <w:rPr>
                <w:rStyle w:val="IndexLink"/>
              </w:rPr>
              <w:t>585</w:t>
            </w:r>
          </w:hyperlink>
        </w:p>
        <w:p>
          <w:pPr>
            <w:pStyle w:val="Contents3"/>
            <w:tabs>
              <w:tab w:val="clear" w:pos="8459"/>
              <w:tab w:val="right" w:pos="9026" w:leader="dot"/>
            </w:tabs>
            <w:rPr/>
          </w:pPr>
          <w:hyperlink w:anchor="__RefHeading___Toc3960189_1051229030">
            <w:r>
              <w:rPr>
                <w:webHidden/>
                <w:rStyle w:val="IndexLink"/>
                <w:rtl w:val="true"/>
              </w:rPr>
              <w:t>مسألتان</w:t>
            </w:r>
            <w:r>
              <w:rPr>
                <w:rStyle w:val="IndexLink"/>
                <w:rtl w:val="true"/>
              </w:rPr>
              <w:tab/>
            </w:r>
            <w:r>
              <w:rPr>
                <w:rStyle w:val="IndexLink"/>
              </w:rPr>
              <w:t>587</w:t>
            </w:r>
          </w:hyperlink>
        </w:p>
        <w:p>
          <w:pPr>
            <w:pStyle w:val="Contents3"/>
            <w:tabs>
              <w:tab w:val="clear" w:pos="8459"/>
              <w:tab w:val="right" w:pos="9026" w:leader="dot"/>
            </w:tabs>
            <w:rPr/>
          </w:pPr>
          <w:hyperlink w:anchor="__RefHeading___Toc3960191_1051229030">
            <w:r>
              <w:rPr>
                <w:webHidden/>
                <w:rStyle w:val="IndexLink"/>
                <w:rtl w:val="true"/>
              </w:rPr>
              <w:t>النسبة بين الصحة والجواز</w:t>
            </w:r>
            <w:r>
              <w:rPr>
                <w:rStyle w:val="IndexLink"/>
                <w:rtl w:val="true"/>
              </w:rPr>
              <w:tab/>
            </w:r>
            <w:r>
              <w:rPr>
                <w:rStyle w:val="IndexLink"/>
              </w:rPr>
              <w:t>587</w:t>
            </w:r>
          </w:hyperlink>
        </w:p>
        <w:p>
          <w:pPr>
            <w:pStyle w:val="Contents3"/>
            <w:tabs>
              <w:tab w:val="clear" w:pos="8459"/>
              <w:tab w:val="right" w:pos="9026" w:leader="dot"/>
            </w:tabs>
            <w:rPr/>
          </w:pPr>
          <w:hyperlink w:anchor="__RefHeading___Toc3960193_1051229030">
            <w:r>
              <w:rPr>
                <w:webHidden/>
                <w:rStyle w:val="IndexLink"/>
                <w:rtl w:val="true"/>
              </w:rPr>
              <w:t>بيان ذلك</w:t>
            </w:r>
            <w:r>
              <w:rPr>
                <w:rStyle w:val="IndexLink"/>
                <w:rtl w:val="true"/>
              </w:rPr>
              <w:t>:</w:t>
              <w:tab/>
            </w:r>
            <w:r>
              <w:rPr>
                <w:rStyle w:val="IndexLink"/>
              </w:rPr>
              <w:t>588</w:t>
            </w:r>
          </w:hyperlink>
        </w:p>
        <w:p>
          <w:pPr>
            <w:pStyle w:val="Contents3"/>
            <w:tabs>
              <w:tab w:val="clear" w:pos="8459"/>
              <w:tab w:val="right" w:pos="9026" w:leader="dot"/>
            </w:tabs>
            <w:rPr/>
          </w:pPr>
          <w:hyperlink w:anchor="__RefHeading___Toc3960195_1051229030">
            <w:r>
              <w:rPr>
                <w:webHidden/>
                <w:rStyle w:val="IndexLink"/>
                <w:rtl w:val="true"/>
              </w:rPr>
              <w:t>الاستدلال بالكتاب</w:t>
            </w:r>
            <w:r>
              <w:rPr>
                <w:rStyle w:val="IndexLink"/>
                <w:rtl w:val="true"/>
              </w:rPr>
              <w:tab/>
            </w:r>
            <w:r>
              <w:rPr>
                <w:rStyle w:val="IndexLink"/>
              </w:rPr>
              <w:t>589</w:t>
            </w:r>
          </w:hyperlink>
        </w:p>
        <w:p>
          <w:pPr>
            <w:pStyle w:val="Contents4"/>
            <w:tabs>
              <w:tab w:val="clear" w:pos="8176"/>
              <w:tab w:val="right" w:pos="9026" w:leader="dot"/>
            </w:tabs>
            <w:rPr/>
          </w:pPr>
          <w:hyperlink w:anchor="__RefHeading___Toc3960197_1051229030">
            <w:r>
              <w:rPr>
                <w:webHidden/>
                <w:rStyle w:val="IndexLink"/>
                <w:rtl w:val="true"/>
              </w:rPr>
              <w:t>الاستدلال بآية النفر</w:t>
            </w:r>
            <w:r>
              <w:rPr>
                <w:rStyle w:val="IndexLink"/>
                <w:rtl w:val="true"/>
              </w:rPr>
              <w:tab/>
            </w:r>
            <w:r>
              <w:rPr>
                <w:rStyle w:val="IndexLink"/>
              </w:rPr>
              <w:t>589</w:t>
            </w:r>
          </w:hyperlink>
        </w:p>
        <w:p>
          <w:pPr>
            <w:pStyle w:val="Contents4"/>
            <w:tabs>
              <w:tab w:val="clear" w:pos="8176"/>
              <w:tab w:val="right" w:pos="9026" w:leader="dot"/>
            </w:tabs>
            <w:rPr/>
          </w:pPr>
          <w:hyperlink w:anchor="__RefHeading___Toc3960199_1051229030">
            <w:r>
              <w:rPr>
                <w:webHidden/>
                <w:rStyle w:val="IndexLink"/>
                <w:rtl w:val="true"/>
              </w:rPr>
              <w:t xml:space="preserve">معنى </w:t>
            </w:r>
            <w:r>
              <w:rPr>
                <w:rStyle w:val="IndexLink"/>
                <w:rtl w:val="true"/>
              </w:rPr>
              <w:t>(</w:t>
            </w:r>
            <w:r>
              <w:rPr>
                <w:rStyle w:val="IndexLink"/>
                <w:rtl w:val="true"/>
              </w:rPr>
              <w:t>الدين</w:t>
            </w:r>
            <w:r>
              <w:rPr>
                <w:rStyle w:val="IndexLink"/>
                <w:rtl w:val="true"/>
              </w:rPr>
              <w:t xml:space="preserve">) </w:t>
            </w:r>
            <w:r>
              <w:rPr>
                <w:rStyle w:val="IndexLink"/>
                <w:rtl w:val="true"/>
              </w:rPr>
              <w:t>في آية النفر</w:t>
            </w:r>
            <w:r>
              <w:rPr>
                <w:rStyle w:val="IndexLink"/>
                <w:rtl w:val="true"/>
              </w:rPr>
              <w:tab/>
            </w:r>
            <w:r>
              <w:rPr>
                <w:rStyle w:val="IndexLink"/>
              </w:rPr>
              <w:t>589</w:t>
            </w:r>
          </w:hyperlink>
        </w:p>
        <w:p>
          <w:pPr>
            <w:pStyle w:val="Contents4"/>
            <w:tabs>
              <w:tab w:val="clear" w:pos="8176"/>
              <w:tab w:val="right" w:pos="9026" w:leader="dot"/>
            </w:tabs>
            <w:rPr/>
          </w:pPr>
          <w:hyperlink w:anchor="__RefHeading___Toc3960201_1051229030">
            <w:r>
              <w:rPr>
                <w:webHidden/>
                <w:rStyle w:val="IndexLink"/>
                <w:rtl w:val="true"/>
              </w:rPr>
              <w:t xml:space="preserve">هل </w:t>
            </w:r>
            <w:r>
              <w:rPr>
                <w:rStyle w:val="IndexLink"/>
                <w:rtl w:val="true"/>
              </w:rPr>
              <w:t>(</w:t>
            </w:r>
            <w:r>
              <w:rPr>
                <w:rStyle w:val="IndexLink"/>
                <w:rtl w:val="true"/>
              </w:rPr>
              <w:t>لينذروا</w:t>
            </w:r>
            <w:r>
              <w:rPr>
                <w:rStyle w:val="IndexLink"/>
                <w:rtl w:val="true"/>
              </w:rPr>
              <w:t xml:space="preserve">) </w:t>
            </w:r>
            <w:r>
              <w:rPr>
                <w:rStyle w:val="IndexLink"/>
                <w:rtl w:val="true"/>
              </w:rPr>
              <w:t xml:space="preserve">دليل إخراج </w:t>
            </w:r>
            <w:r>
              <w:rPr>
                <w:rStyle w:val="IndexLink"/>
                <w:rtl w:val="true"/>
              </w:rPr>
              <w:t>(</w:t>
            </w:r>
            <w:r>
              <w:rPr>
                <w:rStyle w:val="IndexLink"/>
                <w:rtl w:val="true"/>
              </w:rPr>
              <w:t>الإرشادي</w:t>
            </w:r>
            <w:r>
              <w:rPr>
                <w:rStyle w:val="IndexLink"/>
                <w:rtl w:val="true"/>
              </w:rPr>
              <w:t>)</w:t>
            </w:r>
            <w:r>
              <w:rPr>
                <w:rStyle w:val="IndexLink"/>
                <w:rtl w:val="true"/>
              </w:rPr>
              <w:t>؟</w:t>
            </w:r>
            <w:r>
              <w:rPr>
                <w:rStyle w:val="IndexLink"/>
                <w:rtl w:val="true"/>
              </w:rPr>
              <w:tab/>
            </w:r>
            <w:r>
              <w:rPr>
                <w:rStyle w:val="IndexLink"/>
              </w:rPr>
              <w:t>590</w:t>
            </w:r>
          </w:hyperlink>
        </w:p>
        <w:p>
          <w:pPr>
            <w:pStyle w:val="Contents4"/>
            <w:tabs>
              <w:tab w:val="clear" w:pos="8176"/>
              <w:tab w:val="right" w:pos="9026" w:leader="dot"/>
            </w:tabs>
            <w:rPr/>
          </w:pPr>
          <w:hyperlink w:anchor="__RefHeading___Toc3960203_1051229030">
            <w:r>
              <w:rPr>
                <w:webHidden/>
                <w:rStyle w:val="IndexLink"/>
                <w:rtl w:val="true"/>
              </w:rPr>
              <w:t>إذ يقال</w:t>
            </w:r>
            <w:r>
              <w:rPr>
                <w:rStyle w:val="IndexLink"/>
                <w:rtl w:val="true"/>
              </w:rPr>
              <w:t>:</w:t>
              <w:tab/>
            </w:r>
            <w:r>
              <w:rPr>
                <w:rStyle w:val="IndexLink"/>
              </w:rPr>
              <w:t>591</w:t>
            </w:r>
          </w:hyperlink>
        </w:p>
        <w:p>
          <w:pPr>
            <w:pStyle w:val="Contents4"/>
            <w:tabs>
              <w:tab w:val="clear" w:pos="8176"/>
              <w:tab w:val="right" w:pos="9026" w:leader="dot"/>
            </w:tabs>
            <w:rPr/>
          </w:pPr>
          <w:hyperlink w:anchor="__RefHeading___Toc3960205_1051229030">
            <w:r>
              <w:rPr>
                <w:webHidden/>
                <w:rStyle w:val="IndexLink"/>
                <w:rtl w:val="true"/>
              </w:rPr>
              <w:t>النقض بالقضايا التاريخية وجوابه</w:t>
            </w:r>
            <w:r>
              <w:rPr>
                <w:rStyle w:val="IndexLink"/>
                <w:rtl w:val="true"/>
              </w:rPr>
              <w:tab/>
            </w:r>
            <w:r>
              <w:rPr>
                <w:rStyle w:val="IndexLink"/>
              </w:rPr>
              <w:t>592</w:t>
            </w:r>
          </w:hyperlink>
        </w:p>
        <w:p>
          <w:pPr>
            <w:pStyle w:val="Contents4"/>
            <w:tabs>
              <w:tab w:val="clear" w:pos="8176"/>
              <w:tab w:val="right" w:pos="9026" w:leader="dot"/>
            </w:tabs>
            <w:rPr/>
          </w:pPr>
          <w:hyperlink w:anchor="__RefHeading___Toc3960207_1051229030">
            <w:r>
              <w:rPr>
                <w:webHidden/>
                <w:rStyle w:val="IndexLink"/>
                <w:rtl w:val="true"/>
              </w:rPr>
              <w:t>الاستدلال بآية السؤال</w:t>
            </w:r>
            <w:r>
              <w:rPr>
                <w:rStyle w:val="IndexLink"/>
                <w:rtl w:val="true"/>
              </w:rPr>
              <w:tab/>
            </w:r>
            <w:r>
              <w:rPr>
                <w:rStyle w:val="IndexLink"/>
              </w:rPr>
              <w:t>593</w:t>
            </w:r>
          </w:hyperlink>
        </w:p>
        <w:p>
          <w:pPr>
            <w:pStyle w:val="Contents4"/>
            <w:tabs>
              <w:tab w:val="clear" w:pos="8176"/>
              <w:tab w:val="right" w:pos="9026" w:leader="dot"/>
            </w:tabs>
            <w:rPr/>
          </w:pPr>
          <w:hyperlink w:anchor="__RefHeading___Toc3960209_1051229030">
            <w:r>
              <w:rPr>
                <w:webHidden/>
                <w:rStyle w:val="IndexLink"/>
                <w:rtl w:val="true"/>
              </w:rPr>
              <w:t>الاستدلال بآية النبأ</w:t>
            </w:r>
            <w:r>
              <w:rPr>
                <w:rStyle w:val="IndexLink"/>
                <w:rtl w:val="true"/>
              </w:rPr>
              <w:tab/>
            </w:r>
            <w:r>
              <w:rPr>
                <w:rStyle w:val="IndexLink"/>
              </w:rPr>
              <w:t>595</w:t>
            </w:r>
          </w:hyperlink>
        </w:p>
        <w:p>
          <w:pPr>
            <w:pStyle w:val="Contents3"/>
            <w:tabs>
              <w:tab w:val="clear" w:pos="8459"/>
              <w:tab w:val="right" w:pos="9026" w:leader="dot"/>
            </w:tabs>
            <w:rPr/>
          </w:pPr>
          <w:hyperlink w:anchor="__RefHeading___Toc3960211_1051229030">
            <w:r>
              <w:rPr>
                <w:webHidden/>
                <w:rStyle w:val="IndexLink"/>
                <w:rtl w:val="true"/>
              </w:rPr>
              <w:t>آية النهي عن التحاكم إلى الطاغوت</w:t>
            </w:r>
            <w:r>
              <w:rPr>
                <w:rStyle w:val="IndexLink"/>
                <w:rtl w:val="true"/>
              </w:rPr>
              <w:tab/>
            </w:r>
            <w:r>
              <w:rPr>
                <w:rStyle w:val="IndexLink"/>
              </w:rPr>
              <w:t>597</w:t>
            </w:r>
          </w:hyperlink>
        </w:p>
        <w:p>
          <w:pPr>
            <w:pStyle w:val="Contents3"/>
            <w:tabs>
              <w:tab w:val="clear" w:pos="8459"/>
              <w:tab w:val="right" w:pos="9026" w:leader="dot"/>
            </w:tabs>
            <w:rPr/>
          </w:pPr>
          <w:hyperlink w:anchor="__RefHeading___Toc3960213_1051229030">
            <w:r>
              <w:rPr>
                <w:webHidden/>
                <w:rStyle w:val="IndexLink"/>
                <w:rtl w:val="true"/>
              </w:rPr>
              <w:t xml:space="preserve">معنى </w:t>
            </w:r>
            <w:r>
              <w:rPr>
                <w:rStyle w:val="IndexLink"/>
                <w:rtl w:val="true"/>
              </w:rPr>
              <w:t>(</w:t>
            </w:r>
            <w:r>
              <w:rPr>
                <w:rStyle w:val="IndexLink"/>
                <w:rtl w:val="true"/>
              </w:rPr>
              <w:t>الطاغوت</w:t>
            </w:r>
            <w:r>
              <w:rPr>
                <w:rStyle w:val="IndexLink"/>
                <w:rtl w:val="true"/>
              </w:rPr>
              <w:t>)</w:t>
              <w:tab/>
            </w:r>
            <w:r>
              <w:rPr>
                <w:rStyle w:val="IndexLink"/>
              </w:rPr>
              <w:t>597</w:t>
            </w:r>
          </w:hyperlink>
        </w:p>
        <w:p>
          <w:pPr>
            <w:pStyle w:val="Contents3"/>
            <w:tabs>
              <w:tab w:val="clear" w:pos="8459"/>
              <w:tab w:val="right" w:pos="9026" w:leader="dot"/>
            </w:tabs>
            <w:rPr/>
          </w:pPr>
          <w:hyperlink w:anchor="__RefHeading___Toc3960215_1051229030">
            <w:r>
              <w:rPr>
                <w:webHidden/>
                <w:rStyle w:val="IndexLink"/>
                <w:rtl w:val="true"/>
              </w:rPr>
              <w:t>أمثلة لما يحرم تقليد الطاغوت فيه</w:t>
            </w:r>
            <w:r>
              <w:rPr>
                <w:rStyle w:val="IndexLink"/>
                <w:rtl w:val="true"/>
              </w:rPr>
              <w:tab/>
            </w:r>
            <w:r>
              <w:rPr>
                <w:rStyle w:val="IndexLink"/>
              </w:rPr>
              <w:t>599</w:t>
            </w:r>
          </w:hyperlink>
        </w:p>
        <w:p>
          <w:pPr>
            <w:pStyle w:val="Contents3"/>
            <w:tabs>
              <w:tab w:val="clear" w:pos="8459"/>
              <w:tab w:val="right" w:pos="9026" w:leader="dot"/>
            </w:tabs>
            <w:rPr/>
          </w:pPr>
          <w:hyperlink w:anchor="__RefHeading___Toc3960217_1051229030">
            <w:r>
              <w:rPr>
                <w:webHidden/>
                <w:rStyle w:val="IndexLink"/>
                <w:rtl w:val="true"/>
              </w:rPr>
              <w:t>آية الولاية والطاعة</w:t>
            </w:r>
            <w:r>
              <w:rPr>
                <w:rStyle w:val="IndexLink"/>
                <w:rtl w:val="true"/>
              </w:rPr>
              <w:tab/>
            </w:r>
            <w:r>
              <w:rPr>
                <w:rStyle w:val="IndexLink"/>
              </w:rPr>
              <w:t>600</w:t>
            </w:r>
          </w:hyperlink>
        </w:p>
        <w:p>
          <w:pPr>
            <w:pStyle w:val="Contents3"/>
            <w:tabs>
              <w:tab w:val="clear" w:pos="8459"/>
              <w:tab w:val="right" w:pos="9026" w:leader="dot"/>
            </w:tabs>
            <w:rPr/>
          </w:pPr>
          <w:hyperlink w:anchor="__RefHeading___Toc3960219_1051229030">
            <w:r>
              <w:rPr>
                <w:webHidden/>
                <w:rStyle w:val="IndexLink"/>
                <w:rtl w:val="true"/>
              </w:rPr>
              <w:t xml:space="preserve">أمثلة </w:t>
            </w:r>
            <w:r>
              <w:rPr>
                <w:rStyle w:val="IndexLink"/>
                <w:rtl w:val="true"/>
              </w:rPr>
              <w:t>(</w:t>
            </w:r>
            <w:r>
              <w:rPr>
                <w:rStyle w:val="IndexLink"/>
                <w:rtl w:val="true"/>
              </w:rPr>
              <w:t>إرشادية</w:t>
            </w:r>
            <w:r>
              <w:rPr>
                <w:rStyle w:val="IndexLink"/>
                <w:rtl w:val="true"/>
              </w:rPr>
              <w:t xml:space="preserve">) </w:t>
            </w:r>
            <w:r>
              <w:rPr>
                <w:rStyle w:val="IndexLink"/>
                <w:rtl w:val="true"/>
              </w:rPr>
              <w:t xml:space="preserve">يصدق عليها </w:t>
            </w:r>
            <w:r>
              <w:rPr>
                <w:rStyle w:val="IndexLink"/>
                <w:rtl w:val="true"/>
              </w:rPr>
              <w:t>(</w:t>
            </w:r>
            <w:r>
              <w:rPr>
                <w:rStyle w:val="IndexLink"/>
                <w:rtl w:val="true"/>
              </w:rPr>
              <w:t>الإطاعة</w:t>
            </w:r>
            <w:r>
              <w:rPr>
                <w:rStyle w:val="IndexLink"/>
                <w:rtl w:val="true"/>
              </w:rPr>
              <w:t xml:space="preserve">) </w:t>
            </w:r>
            <w:r>
              <w:rPr>
                <w:rStyle w:val="IndexLink"/>
                <w:rtl w:val="true"/>
              </w:rPr>
              <w:t>حقيقة</w:t>
            </w:r>
            <w:r>
              <w:rPr>
                <w:rStyle w:val="IndexLink"/>
                <w:rtl w:val="true"/>
              </w:rPr>
              <w:tab/>
            </w:r>
            <w:r>
              <w:rPr>
                <w:rStyle w:val="IndexLink"/>
              </w:rPr>
              <w:t>601</w:t>
            </w:r>
          </w:hyperlink>
        </w:p>
        <w:p>
          <w:pPr>
            <w:pStyle w:val="Contents3"/>
            <w:tabs>
              <w:tab w:val="clear" w:pos="8459"/>
              <w:tab w:val="right" w:pos="9026" w:leader="dot"/>
            </w:tabs>
            <w:rPr/>
          </w:pPr>
          <w:hyperlink w:anchor="__RefHeading___Toc3960221_1051229030">
            <w:r>
              <w:rPr>
                <w:webHidden/>
                <w:rStyle w:val="IndexLink"/>
                <w:rtl w:val="true"/>
              </w:rPr>
              <w:t>الاستدلال بالسنة</w:t>
            </w:r>
            <w:r>
              <w:rPr>
                <w:rStyle w:val="IndexLink"/>
                <w:rtl w:val="true"/>
              </w:rPr>
              <w:tab/>
            </w:r>
            <w:r>
              <w:rPr>
                <w:rStyle w:val="IndexLink"/>
              </w:rPr>
              <w:t>603</w:t>
            </w:r>
          </w:hyperlink>
        </w:p>
        <w:p>
          <w:pPr>
            <w:pStyle w:val="Contents3"/>
            <w:tabs>
              <w:tab w:val="clear" w:pos="8459"/>
              <w:tab w:val="right" w:pos="9026" w:leader="dot"/>
            </w:tabs>
            <w:rPr/>
          </w:pPr>
          <w:hyperlink w:anchor="__RefHeading___Toc3960223_1051229030">
            <w:r>
              <w:rPr>
                <w:webHidden/>
                <w:rStyle w:val="IndexLink"/>
                <w:rtl w:val="true"/>
              </w:rPr>
              <w:t xml:space="preserve">رواية </w:t>
            </w:r>
            <w:r>
              <w:rPr>
                <w:rStyle w:val="IndexLink"/>
                <w:rtl w:val="true"/>
              </w:rPr>
              <w:t>(</w:t>
            </w:r>
            <w:r>
              <w:rPr>
                <w:rStyle w:val="IndexLink"/>
                <w:rtl w:val="true"/>
              </w:rPr>
              <w:t>العمري ثقتي</w:t>
            </w:r>
            <w:r>
              <w:rPr>
                <w:rStyle w:val="IndexLink"/>
                <w:rtl w:val="true"/>
              </w:rPr>
              <w:t>)</w:t>
              <w:tab/>
            </w:r>
            <w:r>
              <w:rPr>
                <w:rStyle w:val="IndexLink"/>
              </w:rPr>
              <w:t>603</w:t>
            </w:r>
          </w:hyperlink>
        </w:p>
        <w:p>
          <w:pPr>
            <w:pStyle w:val="Contents3"/>
            <w:tabs>
              <w:tab w:val="clear" w:pos="8459"/>
              <w:tab w:val="right" w:pos="9026" w:leader="dot"/>
            </w:tabs>
            <w:rPr/>
          </w:pPr>
          <w:hyperlink w:anchor="__RefHeading___Toc3960225_1051229030">
            <w:r>
              <w:rPr>
                <w:webHidden/>
                <w:rStyle w:val="IndexLink"/>
                <w:rtl w:val="true"/>
              </w:rPr>
              <w:t xml:space="preserve">أدلة </w:t>
            </w:r>
            <w:r>
              <w:rPr>
                <w:rStyle w:val="IndexLink"/>
                <w:rtl w:val="true"/>
              </w:rPr>
              <w:t>(</w:t>
            </w:r>
            <w:r>
              <w:rPr>
                <w:rStyle w:val="IndexLink"/>
                <w:rtl w:val="true"/>
              </w:rPr>
              <w:t>التقليد</w:t>
            </w:r>
            <w:r>
              <w:rPr>
                <w:rStyle w:val="IndexLink"/>
                <w:rtl w:val="true"/>
              </w:rPr>
              <w:t xml:space="preserve">) </w:t>
            </w:r>
            <w:r>
              <w:rPr>
                <w:rStyle w:val="IndexLink"/>
                <w:rtl w:val="true"/>
              </w:rPr>
              <w:t xml:space="preserve">شاملة </w:t>
            </w:r>
            <w:r>
              <w:rPr>
                <w:rStyle w:val="IndexLink"/>
                <w:rtl w:val="true"/>
              </w:rPr>
              <w:t>(</w:t>
            </w:r>
            <w:r>
              <w:rPr>
                <w:rStyle w:val="IndexLink"/>
                <w:rtl w:val="true"/>
              </w:rPr>
              <w:t>للإرشادي</w:t>
            </w:r>
            <w:r>
              <w:rPr>
                <w:rStyle w:val="IndexLink"/>
                <w:rtl w:val="true"/>
              </w:rPr>
              <w:t xml:space="preserve">) </w:t>
            </w:r>
            <w:r>
              <w:rPr>
                <w:rStyle w:val="IndexLink"/>
                <w:rtl w:val="true"/>
              </w:rPr>
              <w:t>بكل تعريفاته</w:t>
            </w:r>
            <w:r>
              <w:rPr>
                <w:rStyle w:val="IndexLink"/>
                <w:rtl w:val="true"/>
              </w:rPr>
              <w:tab/>
            </w:r>
            <w:r>
              <w:rPr>
                <w:rStyle w:val="IndexLink"/>
              </w:rPr>
              <w:t>604</w:t>
            </w:r>
          </w:hyperlink>
        </w:p>
        <w:p>
          <w:pPr>
            <w:pStyle w:val="Contents3"/>
            <w:tabs>
              <w:tab w:val="clear" w:pos="8459"/>
              <w:tab w:val="right" w:pos="9026" w:leader="dot"/>
            </w:tabs>
            <w:rPr/>
          </w:pPr>
          <w:hyperlink w:anchor="__RefHeading___Toc3960227_1051229030">
            <w:r>
              <w:rPr>
                <w:webHidden/>
                <w:rStyle w:val="IndexLink"/>
                <w:rtl w:val="true"/>
              </w:rPr>
              <w:t xml:space="preserve">حسنة بن المهتدي و </w:t>
            </w:r>
            <w:r>
              <w:rPr>
                <w:rStyle w:val="IndexLink"/>
                <w:rtl w:val="true"/>
              </w:rPr>
              <w:t>(</w:t>
            </w:r>
            <w:r>
              <w:rPr>
                <w:rStyle w:val="IndexLink"/>
                <w:rtl w:val="true"/>
              </w:rPr>
              <w:t>معالم الدين</w:t>
            </w:r>
            <w:r>
              <w:rPr>
                <w:rStyle w:val="IndexLink"/>
                <w:rtl w:val="true"/>
              </w:rPr>
              <w:t>)</w:t>
              <w:tab/>
            </w:r>
            <w:r>
              <w:rPr>
                <w:rStyle w:val="IndexLink"/>
              </w:rPr>
              <w:t>605</w:t>
            </w:r>
          </w:hyperlink>
        </w:p>
        <w:p>
          <w:pPr>
            <w:pStyle w:val="Contents3"/>
            <w:tabs>
              <w:tab w:val="clear" w:pos="8459"/>
              <w:tab w:val="right" w:pos="9026" w:leader="dot"/>
            </w:tabs>
            <w:rPr/>
          </w:pPr>
          <w:hyperlink w:anchor="__RefHeading___Toc3960229_1051229030">
            <w:r>
              <w:rPr>
                <w:webHidden/>
                <w:rStyle w:val="IndexLink"/>
                <w:rtl w:val="true"/>
              </w:rPr>
              <w:t>الاستدلال ب</w:t>
            </w:r>
            <w:r>
              <w:rPr>
                <w:rStyle w:val="IndexLink"/>
                <w:rtl w:val="true"/>
              </w:rPr>
              <w:t>(</w:t>
            </w:r>
            <w:r>
              <w:rPr>
                <w:rStyle w:val="IndexLink"/>
                <w:rtl w:val="true"/>
              </w:rPr>
              <w:t>أما الحوادث الواقعة</w:t>
            </w:r>
            <w:r>
              <w:rPr>
                <w:rStyle w:val="IndexLink"/>
                <w:rtl w:val="true"/>
              </w:rPr>
              <w:t>)</w:t>
              <w:tab/>
            </w:r>
            <w:r>
              <w:rPr>
                <w:rStyle w:val="IndexLink"/>
              </w:rPr>
              <w:t>607</w:t>
            </w:r>
          </w:hyperlink>
        </w:p>
        <w:p>
          <w:pPr>
            <w:pStyle w:val="Contents3"/>
            <w:tabs>
              <w:tab w:val="clear" w:pos="8459"/>
              <w:tab w:val="right" w:pos="9026" w:leader="dot"/>
            </w:tabs>
            <w:rPr/>
          </w:pPr>
          <w:hyperlink w:anchor="__RefHeading___Toc3960231_1051229030">
            <w:r>
              <w:rPr>
                <w:webHidden/>
                <w:rStyle w:val="IndexLink"/>
                <w:rtl w:val="true"/>
              </w:rPr>
              <w:t xml:space="preserve">أمثلة </w:t>
            </w:r>
            <w:r>
              <w:rPr>
                <w:rStyle w:val="IndexLink"/>
                <w:rtl w:val="true"/>
              </w:rPr>
              <w:t>(</w:t>
            </w:r>
            <w:r>
              <w:rPr>
                <w:rStyle w:val="IndexLink"/>
                <w:rtl w:val="true"/>
              </w:rPr>
              <w:t>للإرشادي</w:t>
            </w:r>
            <w:r>
              <w:rPr>
                <w:rStyle w:val="IndexLink"/>
                <w:rtl w:val="true"/>
              </w:rPr>
              <w:t xml:space="preserve">) </w:t>
            </w:r>
            <w:r>
              <w:rPr>
                <w:rStyle w:val="IndexLink"/>
                <w:rtl w:val="true"/>
              </w:rPr>
              <w:t>من الحوادث الواقعة</w:t>
            </w:r>
            <w:r>
              <w:rPr>
                <w:rStyle w:val="IndexLink"/>
                <w:rtl w:val="true"/>
              </w:rPr>
              <w:tab/>
            </w:r>
            <w:r>
              <w:rPr>
                <w:rStyle w:val="IndexLink"/>
              </w:rPr>
              <w:t>607</w:t>
            </w:r>
          </w:hyperlink>
        </w:p>
        <w:p>
          <w:pPr>
            <w:pStyle w:val="Contents3"/>
            <w:tabs>
              <w:tab w:val="clear" w:pos="8459"/>
              <w:tab w:val="right" w:pos="9026" w:leader="dot"/>
            </w:tabs>
            <w:rPr/>
          </w:pPr>
          <w:hyperlink w:anchor="__RefHeading___Toc3960233_1051229030">
            <w:r>
              <w:rPr>
                <w:webHidden/>
                <w:rStyle w:val="IndexLink"/>
                <w:rtl w:val="true"/>
              </w:rPr>
              <w:t>الاستدلال برواية الاحتجاج</w:t>
            </w:r>
            <w:r>
              <w:rPr>
                <w:rStyle w:val="IndexLink"/>
                <w:rtl w:val="true"/>
              </w:rPr>
              <w:tab/>
            </w:r>
            <w:r>
              <w:rPr>
                <w:rStyle w:val="IndexLink"/>
              </w:rPr>
              <w:t>608</w:t>
            </w:r>
          </w:hyperlink>
        </w:p>
        <w:p>
          <w:pPr>
            <w:pStyle w:val="Contents3"/>
            <w:tabs>
              <w:tab w:val="clear" w:pos="8459"/>
              <w:tab w:val="right" w:pos="9026" w:leader="dot"/>
            </w:tabs>
            <w:rPr/>
          </w:pPr>
          <w:hyperlink w:anchor="__RefHeading___Toc3960235_1051229030">
            <w:r>
              <w:rPr>
                <w:webHidden/>
                <w:rStyle w:val="IndexLink"/>
                <w:rtl w:val="true"/>
              </w:rPr>
              <w:t>إشارة لسند الرواية</w:t>
            </w:r>
            <w:r>
              <w:rPr>
                <w:rStyle w:val="IndexLink"/>
                <w:rtl w:val="true"/>
              </w:rPr>
              <w:tab/>
            </w:r>
            <w:r>
              <w:rPr>
                <w:rStyle w:val="IndexLink"/>
              </w:rPr>
              <w:t>609</w:t>
            </w:r>
          </w:hyperlink>
        </w:p>
        <w:p>
          <w:pPr>
            <w:pStyle w:val="Contents3"/>
            <w:tabs>
              <w:tab w:val="clear" w:pos="8459"/>
              <w:tab w:val="right" w:pos="9026" w:leader="dot"/>
            </w:tabs>
            <w:rPr/>
          </w:pPr>
          <w:hyperlink w:anchor="__RefHeading___Toc3960237_1051229030">
            <w:r>
              <w:rPr>
                <w:webHidden/>
                <w:rStyle w:val="IndexLink"/>
                <w:rtl w:val="true"/>
              </w:rPr>
              <w:t xml:space="preserve">أمثلة لتقليد العوام في </w:t>
            </w:r>
            <w:r>
              <w:rPr>
                <w:rStyle w:val="IndexLink"/>
                <w:rtl w:val="true"/>
              </w:rPr>
              <w:t>(</w:t>
            </w:r>
            <w:r>
              <w:rPr>
                <w:rStyle w:val="IndexLink"/>
                <w:rtl w:val="true"/>
              </w:rPr>
              <w:t>الإرشادي</w:t>
            </w:r>
            <w:r>
              <w:rPr>
                <w:rStyle w:val="IndexLink"/>
                <w:rtl w:val="true"/>
              </w:rPr>
              <w:t>)</w:t>
              <w:tab/>
            </w:r>
            <w:r>
              <w:rPr>
                <w:rStyle w:val="IndexLink"/>
              </w:rPr>
              <w:t>609</w:t>
            </w:r>
          </w:hyperlink>
        </w:p>
        <w:p>
          <w:pPr>
            <w:pStyle w:val="Contents3"/>
            <w:tabs>
              <w:tab w:val="clear" w:pos="8459"/>
              <w:tab w:val="right" w:pos="9026" w:leader="dot"/>
            </w:tabs>
            <w:rPr/>
          </w:pPr>
          <w:hyperlink w:anchor="__RefHeading___Toc3960239_1051229030">
            <w:r>
              <w:rPr>
                <w:webHidden/>
                <w:rStyle w:val="IndexLink"/>
                <w:rtl w:val="true"/>
              </w:rPr>
              <w:t>وأما بناء العقلاء</w:t>
            </w:r>
            <w:r>
              <w:rPr>
                <w:rStyle w:val="IndexLink"/>
                <w:rtl w:val="true"/>
              </w:rPr>
              <w:tab/>
            </w:r>
            <w:r>
              <w:rPr>
                <w:rStyle w:val="IndexLink"/>
              </w:rPr>
              <w:t>612</w:t>
            </w:r>
          </w:hyperlink>
        </w:p>
        <w:p>
          <w:pPr>
            <w:pStyle w:val="Contents3"/>
            <w:tabs>
              <w:tab w:val="clear" w:pos="8459"/>
              <w:tab w:val="right" w:pos="9026" w:leader="dot"/>
            </w:tabs>
            <w:rPr/>
          </w:pPr>
          <w:hyperlink w:anchor="__RefHeading___Toc3960241_1051229030">
            <w:r>
              <w:rPr>
                <w:webHidden/>
                <w:rStyle w:val="IndexLink"/>
                <w:rtl w:val="true"/>
              </w:rPr>
              <w:t xml:space="preserve">البناء والسيرة على التفقه والتقليد في </w:t>
            </w:r>
            <w:r>
              <w:rPr>
                <w:rStyle w:val="IndexLink"/>
                <w:rtl w:val="true"/>
              </w:rPr>
              <w:t>(</w:t>
            </w:r>
            <w:r>
              <w:rPr>
                <w:rStyle w:val="IndexLink"/>
                <w:rtl w:val="true"/>
              </w:rPr>
              <w:t>الإرشادي</w:t>
            </w:r>
            <w:r>
              <w:rPr>
                <w:rStyle w:val="IndexLink"/>
                <w:rtl w:val="true"/>
              </w:rPr>
              <w:t>)</w:t>
              <w:tab/>
            </w:r>
            <w:r>
              <w:rPr>
                <w:rStyle w:val="IndexLink"/>
              </w:rPr>
              <w:t>613</w:t>
            </w:r>
          </w:hyperlink>
        </w:p>
        <w:p>
          <w:pPr>
            <w:pStyle w:val="Contents2"/>
            <w:tabs>
              <w:tab w:val="clear" w:pos="8743"/>
              <w:tab w:val="right" w:pos="9026" w:leader="dot"/>
            </w:tabs>
            <w:rPr/>
          </w:pPr>
          <w:hyperlink w:anchor="__RefHeading___Toc3960243_1051229030">
            <w:r>
              <w:rPr>
                <w:webHidden/>
                <w:rStyle w:val="IndexLink"/>
                <w:rtl w:val="true"/>
              </w:rPr>
              <w:t>المبحث الثاني عشر</w:t>
            </w:r>
            <w:r>
              <w:rPr>
                <w:rStyle w:val="IndexLink"/>
                <w:rtl w:val="true"/>
              </w:rPr>
              <w:t xml:space="preserve">: </w:t>
            </w:r>
            <w:r>
              <w:rPr>
                <w:rStyle w:val="IndexLink"/>
                <w:rtl w:val="true"/>
              </w:rPr>
              <w:t>إمكان اجتماع جهتي المولوية والإرشادية، والنسبة بينهما، وغير ذلك</w:t>
            </w:r>
            <w:r>
              <w:rPr>
                <w:rStyle w:val="IndexLink"/>
                <w:rtl w:val="true"/>
              </w:rPr>
              <w:tab/>
            </w:r>
            <w:r>
              <w:rPr>
                <w:rStyle w:val="IndexLink"/>
              </w:rPr>
              <w:t>615</w:t>
            </w:r>
          </w:hyperlink>
        </w:p>
        <w:p>
          <w:pPr>
            <w:pStyle w:val="Contents3"/>
            <w:tabs>
              <w:tab w:val="clear" w:pos="8459"/>
              <w:tab w:val="right" w:pos="9026" w:leader="dot"/>
            </w:tabs>
            <w:rPr/>
          </w:pPr>
          <w:hyperlink w:anchor="__RefHeading___Toc3960245_1051229030">
            <w:r>
              <w:rPr>
                <w:webHidden/>
                <w:rStyle w:val="IndexLink"/>
                <w:rtl w:val="true"/>
              </w:rPr>
              <w:t>اشارة</w:t>
            </w:r>
            <w:r>
              <w:rPr>
                <w:rStyle w:val="IndexLink"/>
                <w:rtl w:val="true"/>
              </w:rPr>
              <w:tab/>
            </w:r>
            <w:r>
              <w:rPr>
                <w:rStyle w:val="IndexLink"/>
              </w:rPr>
              <w:t>615</w:t>
            </w:r>
          </w:hyperlink>
        </w:p>
        <w:p>
          <w:pPr>
            <w:pStyle w:val="Contents3"/>
            <w:tabs>
              <w:tab w:val="clear" w:pos="8459"/>
              <w:tab w:val="right" w:pos="9026" w:leader="dot"/>
            </w:tabs>
            <w:rPr/>
          </w:pPr>
          <w:hyperlink w:anchor="__RefHeading___Toc3960247_1051229030">
            <w:r>
              <w:rPr>
                <w:webHidden/>
                <w:rStyle w:val="IndexLink"/>
                <w:rtl w:val="true"/>
              </w:rPr>
              <w:t>إمكان اجتماع جهتي المولوية والإرشادية في أمر واحد</w:t>
            </w:r>
            <w:r>
              <w:rPr>
                <w:rStyle w:val="IndexLink"/>
                <w:rtl w:val="true"/>
              </w:rPr>
              <w:tab/>
            </w:r>
            <w:r>
              <w:rPr>
                <w:rStyle w:val="IndexLink"/>
              </w:rPr>
              <w:t>617</w:t>
            </w:r>
          </w:hyperlink>
        </w:p>
        <w:p>
          <w:pPr>
            <w:pStyle w:val="Contents4"/>
            <w:tabs>
              <w:tab w:val="clear" w:pos="8176"/>
              <w:tab w:val="right" w:pos="9026" w:leader="dot"/>
            </w:tabs>
            <w:rPr/>
          </w:pPr>
          <w:hyperlink w:anchor="__RefHeading___Toc3960249_1051229030">
            <w:r>
              <w:rPr>
                <w:webHidden/>
                <w:rStyle w:val="IndexLink"/>
                <w:rtl w:val="true"/>
              </w:rPr>
              <w:t>اشارة</w:t>
            </w:r>
            <w:r>
              <w:rPr>
                <w:rStyle w:val="IndexLink"/>
                <w:rtl w:val="true"/>
              </w:rPr>
              <w:tab/>
            </w:r>
            <w:r>
              <w:rPr>
                <w:rStyle w:val="IndexLink"/>
              </w:rPr>
              <w:t>617</w:t>
            </w:r>
          </w:hyperlink>
        </w:p>
        <w:p>
          <w:pPr>
            <w:pStyle w:val="Contents4"/>
            <w:tabs>
              <w:tab w:val="clear" w:pos="8176"/>
              <w:tab w:val="right" w:pos="9026" w:leader="dot"/>
            </w:tabs>
            <w:rPr/>
          </w:pPr>
          <w:hyperlink w:anchor="__RefHeading___Toc3960251_1051229030">
            <w:r>
              <w:rPr>
                <w:webHidden/>
                <w:rStyle w:val="IndexLink"/>
              </w:rPr>
              <w:t>1</w:t>
            </w:r>
            <w:r>
              <w:rPr>
                <w:rStyle w:val="IndexLink"/>
                <w:rtl w:val="true"/>
              </w:rPr>
              <w:t xml:space="preserve">- </w:t>
            </w:r>
            <w:r>
              <w:rPr>
                <w:rStyle w:val="IndexLink"/>
                <w:rtl w:val="true"/>
              </w:rPr>
              <w:t>بناء على كون المولوي</w:t>
            </w:r>
            <w:r>
              <w:rPr>
                <w:rStyle w:val="IndexLink"/>
                <w:rtl w:val="true"/>
              </w:rPr>
              <w:t xml:space="preserve">: </w:t>
            </w:r>
            <w:r>
              <w:rPr>
                <w:rStyle w:val="IndexLink"/>
                <w:rtl w:val="true"/>
              </w:rPr>
              <w:t>ما أعمل فيه مقام المولوية</w:t>
            </w:r>
            <w:r>
              <w:rPr>
                <w:rStyle w:val="IndexLink"/>
                <w:rtl w:val="true"/>
              </w:rPr>
              <w:tab/>
            </w:r>
            <w:r>
              <w:rPr>
                <w:rStyle w:val="IndexLink"/>
              </w:rPr>
              <w:t>617</w:t>
            </w:r>
          </w:hyperlink>
        </w:p>
        <w:p>
          <w:pPr>
            <w:pStyle w:val="Contents4"/>
            <w:tabs>
              <w:tab w:val="clear" w:pos="8176"/>
              <w:tab w:val="right" w:pos="9026" w:leader="dot"/>
            </w:tabs>
            <w:rPr/>
          </w:pPr>
          <w:hyperlink w:anchor="__RefHeading___Toc3960253_1051229030">
            <w:r>
              <w:rPr>
                <w:webHidden/>
                <w:rStyle w:val="IndexLink"/>
              </w:rPr>
              <w:t>2</w:t>
            </w:r>
            <w:r>
              <w:rPr>
                <w:rStyle w:val="IndexLink"/>
                <w:rtl w:val="true"/>
              </w:rPr>
              <w:t xml:space="preserve">- </w:t>
            </w:r>
            <w:r>
              <w:rPr>
                <w:rStyle w:val="IndexLink"/>
                <w:rtl w:val="true"/>
              </w:rPr>
              <w:t xml:space="preserve">بناء على </w:t>
            </w:r>
            <w:r>
              <w:rPr>
                <w:rStyle w:val="IndexLink"/>
                <w:rtl w:val="true"/>
              </w:rPr>
              <w:t>(</w:t>
            </w:r>
            <w:r>
              <w:rPr>
                <w:rStyle w:val="IndexLink"/>
                <w:rtl w:val="true"/>
              </w:rPr>
              <w:t>ما كان لمصلحة الآخرة</w:t>
            </w:r>
            <w:r>
              <w:rPr>
                <w:rStyle w:val="IndexLink"/>
                <w:rtl w:val="true"/>
              </w:rPr>
              <w:t>)</w:t>
              <w:tab/>
            </w:r>
            <w:r>
              <w:rPr>
                <w:rStyle w:val="IndexLink"/>
              </w:rPr>
              <w:t>618</w:t>
            </w:r>
          </w:hyperlink>
        </w:p>
        <w:p>
          <w:pPr>
            <w:pStyle w:val="Contents4"/>
            <w:tabs>
              <w:tab w:val="clear" w:pos="8176"/>
              <w:tab w:val="right" w:pos="9026" w:leader="dot"/>
            </w:tabs>
            <w:rPr/>
          </w:pPr>
          <w:hyperlink w:anchor="__RefHeading___Toc3960255_1051229030">
            <w:r>
              <w:rPr>
                <w:webHidden/>
                <w:rStyle w:val="IndexLink"/>
              </w:rPr>
              <w:t>3</w:t>
            </w:r>
            <w:r>
              <w:rPr>
                <w:rStyle w:val="IndexLink"/>
                <w:rtl w:val="true"/>
              </w:rPr>
              <w:t xml:space="preserve">- </w:t>
            </w:r>
            <w:r>
              <w:rPr>
                <w:rStyle w:val="IndexLink"/>
                <w:rtl w:val="true"/>
              </w:rPr>
              <w:t xml:space="preserve">بناء على </w:t>
            </w:r>
            <w:r>
              <w:rPr>
                <w:rStyle w:val="IndexLink"/>
                <w:rtl w:val="true"/>
              </w:rPr>
              <w:t>(</w:t>
            </w:r>
            <w:r>
              <w:rPr>
                <w:rStyle w:val="IndexLink"/>
                <w:rtl w:val="true"/>
              </w:rPr>
              <w:t>ما صدر لأجل محبوبيته</w:t>
            </w:r>
            <w:r>
              <w:rPr>
                <w:rStyle w:val="IndexLink"/>
                <w:rtl w:val="true"/>
              </w:rPr>
              <w:t>)</w:t>
              <w:tab/>
            </w:r>
            <w:r>
              <w:rPr>
                <w:rStyle w:val="IndexLink"/>
              </w:rPr>
              <w:t>619</w:t>
            </w:r>
          </w:hyperlink>
        </w:p>
        <w:p>
          <w:pPr>
            <w:pStyle w:val="Contents3"/>
            <w:tabs>
              <w:tab w:val="clear" w:pos="8459"/>
              <w:tab w:val="right" w:pos="9026" w:leader="dot"/>
            </w:tabs>
            <w:rPr/>
          </w:pPr>
          <w:hyperlink w:anchor="__RefHeading___Toc3960257_1051229030">
            <w:r>
              <w:rPr>
                <w:webHidden/>
                <w:rStyle w:val="IndexLink"/>
                <w:rtl w:val="true"/>
              </w:rPr>
              <w:t>كلام المحقق الرشتي عن النسبة بين الإرشادي والمولوي</w:t>
            </w:r>
            <w:r>
              <w:rPr>
                <w:rStyle w:val="IndexLink"/>
                <w:rtl w:val="true"/>
              </w:rPr>
              <w:tab/>
            </w:r>
            <w:r>
              <w:rPr>
                <w:rStyle w:val="IndexLink"/>
              </w:rPr>
              <w:t>619</w:t>
            </w:r>
          </w:hyperlink>
        </w:p>
        <w:p>
          <w:pPr>
            <w:pStyle w:val="Contents3"/>
            <w:tabs>
              <w:tab w:val="clear" w:pos="8459"/>
              <w:tab w:val="right" w:pos="9026" w:leader="dot"/>
            </w:tabs>
            <w:rPr/>
          </w:pPr>
          <w:hyperlink w:anchor="__RefHeading___Toc3960259_1051229030">
            <w:r>
              <w:rPr>
                <w:webHidden/>
                <w:rStyle w:val="IndexLink"/>
                <w:rtl w:val="true"/>
              </w:rPr>
              <w:t>وجه عدم تمامية كلامه</w:t>
            </w:r>
            <w:r>
              <w:rPr>
                <w:rStyle w:val="IndexLink"/>
                <w:rtl w:val="true"/>
              </w:rPr>
              <w:tab/>
            </w:r>
            <w:r>
              <w:rPr>
                <w:rStyle w:val="IndexLink"/>
              </w:rPr>
              <w:t>620</w:t>
            </w:r>
          </w:hyperlink>
        </w:p>
        <w:p>
          <w:pPr>
            <w:pStyle w:val="Contents3"/>
            <w:tabs>
              <w:tab w:val="clear" w:pos="8459"/>
              <w:tab w:val="right" w:pos="9026" w:leader="dot"/>
            </w:tabs>
            <w:rPr/>
          </w:pPr>
          <w:hyperlink w:anchor="__RefHeading___Toc3960261_1051229030">
            <w:r>
              <w:rPr>
                <w:webHidden/>
                <w:rStyle w:val="IndexLink"/>
                <w:rtl w:val="true"/>
              </w:rPr>
              <w:t>(</w:t>
            </w:r>
            <w:r>
              <w:rPr>
                <w:rStyle w:val="IndexLink"/>
                <w:rtl w:val="true"/>
              </w:rPr>
              <w:t>الناصح</w:t>
            </w:r>
            <w:r>
              <w:rPr>
                <w:rStyle w:val="IndexLink"/>
                <w:rtl w:val="true"/>
              </w:rPr>
              <w:t xml:space="preserve">) </w:t>
            </w:r>
            <w:r>
              <w:rPr>
                <w:rStyle w:val="IndexLink"/>
                <w:rtl w:val="true"/>
              </w:rPr>
              <w:t>محب للفعل</w:t>
            </w:r>
            <w:r>
              <w:rPr>
                <w:rStyle w:val="IndexLink"/>
                <w:rtl w:val="true"/>
              </w:rPr>
              <w:tab/>
            </w:r>
            <w:r>
              <w:rPr>
                <w:rStyle w:val="IndexLink"/>
              </w:rPr>
              <w:t>621</w:t>
            </w:r>
          </w:hyperlink>
        </w:p>
        <w:p>
          <w:pPr>
            <w:pStyle w:val="Contents3"/>
            <w:tabs>
              <w:tab w:val="clear" w:pos="8459"/>
              <w:tab w:val="right" w:pos="9026" w:leader="dot"/>
            </w:tabs>
            <w:rPr/>
          </w:pPr>
          <w:hyperlink w:anchor="__RefHeading___Toc3960263_1051229030">
            <w:r>
              <w:rPr>
                <w:webHidden/>
                <w:rStyle w:val="IndexLink"/>
                <w:rtl w:val="true"/>
              </w:rPr>
              <w:t>(</w:t>
            </w:r>
            <w:r>
              <w:rPr>
                <w:rStyle w:val="IndexLink"/>
                <w:rtl w:val="true"/>
              </w:rPr>
              <w:t>أمر الإطاعة</w:t>
            </w:r>
            <w:r>
              <w:rPr>
                <w:rStyle w:val="IndexLink"/>
                <w:rtl w:val="true"/>
              </w:rPr>
              <w:t xml:space="preserve">) </w:t>
            </w:r>
            <w:r>
              <w:rPr>
                <w:rStyle w:val="IndexLink"/>
                <w:rtl w:val="true"/>
              </w:rPr>
              <w:t>إمتثاله محبوب</w:t>
            </w:r>
            <w:r>
              <w:rPr>
                <w:rStyle w:val="IndexLink"/>
                <w:rtl w:val="true"/>
              </w:rPr>
              <w:tab/>
            </w:r>
            <w:r>
              <w:rPr>
                <w:rStyle w:val="IndexLink"/>
              </w:rPr>
              <w:t>622</w:t>
            </w:r>
          </w:hyperlink>
        </w:p>
        <w:p>
          <w:pPr>
            <w:pStyle w:val="Contents3"/>
            <w:tabs>
              <w:tab w:val="clear" w:pos="8459"/>
              <w:tab w:val="right" w:pos="9026" w:leader="dot"/>
            </w:tabs>
            <w:rPr/>
          </w:pPr>
          <w:hyperlink w:anchor="__RefHeading___Toc3960265_1051229030">
            <w:r>
              <w:rPr>
                <w:webHidden/>
                <w:rStyle w:val="IndexLink"/>
                <w:rtl w:val="true"/>
              </w:rPr>
              <w:t>ولا فرق بين المحبوب بالذات أو بالعرض</w:t>
            </w:r>
            <w:r>
              <w:rPr>
                <w:rStyle w:val="IndexLink"/>
                <w:rtl w:val="true"/>
              </w:rPr>
              <w:tab/>
            </w:r>
            <w:r>
              <w:rPr>
                <w:rStyle w:val="IndexLink"/>
              </w:rPr>
              <w:t>623</w:t>
            </w:r>
          </w:hyperlink>
        </w:p>
        <w:p>
          <w:pPr>
            <w:pStyle w:val="Contents3"/>
            <w:tabs>
              <w:tab w:val="clear" w:pos="8459"/>
              <w:tab w:val="right" w:pos="9026" w:leader="dot"/>
            </w:tabs>
            <w:rPr/>
          </w:pPr>
          <w:hyperlink w:anchor="__RefHeading___Toc3960267_1051229030">
            <w:r>
              <w:rPr>
                <w:webHidden/>
                <w:rStyle w:val="IndexLink"/>
                <w:rtl w:val="true"/>
              </w:rPr>
              <w:t>أوامر الموالي العرفية منها النصحي</w:t>
            </w:r>
            <w:r>
              <w:rPr>
                <w:rStyle w:val="IndexLink"/>
                <w:rtl w:val="true"/>
              </w:rPr>
              <w:tab/>
            </w:r>
            <w:r>
              <w:rPr>
                <w:rStyle w:val="IndexLink"/>
              </w:rPr>
              <w:t>623</w:t>
            </w:r>
          </w:hyperlink>
        </w:p>
        <w:p>
          <w:pPr>
            <w:pStyle w:val="Contents3"/>
            <w:tabs>
              <w:tab w:val="clear" w:pos="8459"/>
              <w:tab w:val="right" w:pos="9026" w:leader="dot"/>
            </w:tabs>
            <w:rPr/>
          </w:pPr>
          <w:hyperlink w:anchor="__RefHeading___Toc3960269_1051229030">
            <w:r>
              <w:rPr>
                <w:webHidden/>
                <w:rStyle w:val="IndexLink"/>
                <w:rtl w:val="true"/>
              </w:rPr>
              <w:t>هل كل الأوامر الشرعية اجتمع فيها الأمران؟</w:t>
            </w:r>
            <w:r>
              <w:rPr>
                <w:rStyle w:val="IndexLink"/>
                <w:rtl w:val="true"/>
              </w:rPr>
              <w:tab/>
            </w:r>
            <w:r>
              <w:rPr>
                <w:rStyle w:val="IndexLink"/>
              </w:rPr>
              <w:t>624</w:t>
            </w:r>
          </w:hyperlink>
        </w:p>
        <w:p>
          <w:pPr>
            <w:pStyle w:val="Contents3"/>
            <w:tabs>
              <w:tab w:val="clear" w:pos="8459"/>
              <w:tab w:val="right" w:pos="9026" w:leader="dot"/>
            </w:tabs>
            <w:rPr/>
          </w:pPr>
          <w:hyperlink w:anchor="__RefHeading___Toc3960271_1051229030">
            <w:r>
              <w:rPr>
                <w:webHidden/>
                <w:rStyle w:val="IndexLink"/>
                <w:rtl w:val="true"/>
              </w:rPr>
              <w:t>عناوين ثلاثة</w:t>
            </w:r>
            <w:r>
              <w:rPr>
                <w:rStyle w:val="IndexLink"/>
                <w:rtl w:val="true"/>
              </w:rPr>
              <w:t>: (</w:t>
            </w:r>
            <w:r>
              <w:rPr>
                <w:rStyle w:val="IndexLink"/>
                <w:rtl w:val="true"/>
              </w:rPr>
              <w:t>المولوي والإرشادي</w:t>
            </w:r>
            <w:r>
              <w:rPr>
                <w:rStyle w:val="IndexLink"/>
                <w:rtl w:val="true"/>
              </w:rPr>
              <w:t>) (</w:t>
            </w:r>
            <w:r>
              <w:rPr>
                <w:rStyle w:val="IndexLink"/>
                <w:rtl w:val="true"/>
              </w:rPr>
              <w:t>الإمضائي والتأسيسي</w:t>
            </w:r>
            <w:r>
              <w:rPr>
                <w:rStyle w:val="IndexLink"/>
                <w:rtl w:val="true"/>
              </w:rPr>
              <w:t>) (</w:t>
            </w:r>
            <w:r>
              <w:rPr>
                <w:rStyle w:val="IndexLink"/>
                <w:rtl w:val="true"/>
              </w:rPr>
              <w:t>الحقيقة الشرعية</w:t>
            </w:r>
            <w:r>
              <w:rPr>
                <w:rStyle w:val="IndexLink"/>
                <w:rtl w:val="true"/>
              </w:rPr>
              <w:t>)</w:t>
              <w:tab/>
            </w:r>
            <w:r>
              <w:rPr>
                <w:rStyle w:val="IndexLink"/>
              </w:rPr>
              <w:t>625</w:t>
            </w:r>
          </w:hyperlink>
        </w:p>
        <w:p>
          <w:pPr>
            <w:pStyle w:val="Contents2"/>
            <w:tabs>
              <w:tab w:val="clear" w:pos="8743"/>
              <w:tab w:val="right" w:pos="9026" w:leader="dot"/>
            </w:tabs>
            <w:rPr/>
          </w:pPr>
          <w:hyperlink w:anchor="__RefHeading___Toc3960273_1051229030">
            <w:r>
              <w:rPr>
                <w:webHidden/>
                <w:rStyle w:val="IndexLink"/>
                <w:rtl w:val="true"/>
              </w:rPr>
              <w:t>مصادر الكتاب</w:t>
            </w:r>
            <w:r>
              <w:rPr>
                <w:rStyle w:val="IndexLink"/>
                <w:rtl w:val="true"/>
              </w:rPr>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1_76417"/>
      <w:bookmarkStart w:id="1" w:name="pg7671_76417"/>
      <w:bookmarkEnd w:id="1"/>
    </w:p>
    <w:p>
      <w:pPr>
        <w:pStyle w:val="Heading2"/>
        <w:numPr>
          <w:ilvl w:val="1"/>
          <w:numId w:val="1"/>
        </w:numPr>
        <w:rPr/>
      </w:pPr>
      <w:bookmarkStart w:id="2" w:name="pg7671_76417"/>
      <w:bookmarkStart w:id="3" w:name="__RefHeading___Toc3959139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الاوامر المولویة والارشادیة</w:t>
      </w:r>
    </w:p>
    <w:p>
      <w:pPr>
        <w:pStyle w:val="BookText"/>
        <w:rPr/>
      </w:pPr>
      <w:r>
        <w:rPr>
          <w:rFonts w:ascii="IRNazanin" w:hAnsi="IRNazanin" w:eastAsia="IRNazanin"/>
          <w:color w:val="111111"/>
          <w:sz w:val="28"/>
          <w:sz w:val="28"/>
          <w:szCs w:val="28"/>
          <w:rtl w:val="true"/>
          <w:lang w:bidi="fa-IR"/>
        </w:rPr>
        <w:t>المجلد الاول</w:t>
      </w:r>
    </w:p>
    <w:p>
      <w:pPr>
        <w:pStyle w:val="BookText"/>
        <w:rPr/>
      </w:pPr>
      <w:r>
        <w:rPr>
          <w:rFonts w:ascii="IRNazanin" w:hAnsi="IRNazanin" w:eastAsia="IRNazanin"/>
          <w:color w:val="111111"/>
          <w:sz w:val="28"/>
          <w:sz w:val="28"/>
          <w:szCs w:val="28"/>
          <w:rtl w:val="true"/>
          <w:lang w:bidi="fa-IR"/>
        </w:rPr>
        <w:t>السید مرتضی الحسینی الشیرازي</w:t>
      </w:r>
    </w:p>
    <w:p>
      <w:pPr>
        <w:pStyle w:val="BookText"/>
        <w:rPr/>
      </w:pP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5914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مباحث الاصول</w:t>
      </w:r>
    </w:p>
    <w:p>
      <w:pPr>
        <w:pStyle w:val="BookText"/>
        <w:rPr/>
      </w:pPr>
      <w:r>
        <w:rPr>
          <w:rFonts w:ascii="IRNazanin" w:hAnsi="IRNazanin" w:eastAsia="IRNazanin"/>
          <w:color w:val="111111"/>
          <w:sz w:val="28"/>
          <w:sz w:val="28"/>
          <w:szCs w:val="28"/>
          <w:rtl w:val="true"/>
          <w:lang w:bidi="fa-IR"/>
        </w:rPr>
        <w:t>الاوامر المولویة والارشادیة</w:t>
      </w:r>
    </w:p>
    <w:p>
      <w:pPr>
        <w:pStyle w:val="BookText"/>
        <w:rPr/>
      </w:pPr>
      <w:r>
        <w:rPr>
          <w:rFonts w:ascii="IRNazanin" w:hAnsi="IRNazanin" w:eastAsia="IRNazanin"/>
          <w:color w:val="111111"/>
          <w:sz w:val="28"/>
          <w:sz w:val="28"/>
          <w:szCs w:val="28"/>
          <w:rtl w:val="true"/>
          <w:lang w:bidi="fa-IR"/>
        </w:rPr>
        <w:t>المجلد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مرتضی الحسینی الشیرازي </w:t>
      </w:r>
    </w:p>
    <w:p>
      <w:pPr>
        <w:pStyle w:val="BookText"/>
        <w:rPr/>
      </w:pPr>
      <w:r>
        <w:rPr>
          <w:rFonts w:ascii="IRNazanin" w:hAnsi="IRNazanin" w:eastAsia="IRNazanin"/>
          <w:color w:val="111111"/>
          <w:sz w:val="28"/>
          <w:sz w:val="28"/>
          <w:szCs w:val="28"/>
          <w:rtl w:val="true"/>
          <w:lang w:bidi="fa-IR"/>
        </w:rPr>
        <w:t>کافة الحقوق محفوظة ومسجلة</w:t>
      </w:r>
    </w:p>
    <w:p>
      <w:pPr>
        <w:pStyle w:val="BookText"/>
        <w:rPr/>
      </w:pPr>
      <w:r>
        <w:rPr>
          <w:rFonts w:ascii="Amiri" w:hAnsi="Amiri" w:eastAsia="Amiri" w:cs="Amiri"/>
          <w:color w:val="111111"/>
          <w:sz w:val="28"/>
          <w:sz w:val="28"/>
          <w:szCs w:val="28"/>
          <w:rtl w:val="true"/>
          <w:lang w:bidi="ar-SA"/>
        </w:rPr>
        <w:t>الطّبعة الأولي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أمنوا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ءامن يا 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أتوقعون إماما غيري يطأ بكم الطريق ويرشدكم السبيل</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الاول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واللعنة الدائمة الأبدية على أعدائهم إلى يوم الدين، ولا حول ولا قوة إلا بالله العلي العظيم</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71_76427"/>
      <w:bookmarkStart w:id="8" w:name="pg7671_76427"/>
      <w:bookmarkEnd w:id="8"/>
    </w:p>
    <w:p>
      <w:pPr>
        <w:pStyle w:val="Heading2"/>
        <w:numPr>
          <w:ilvl w:val="1"/>
          <w:numId w:val="1"/>
        </w:numPr>
        <w:rPr/>
      </w:pPr>
      <w:bookmarkStart w:id="9" w:name="pg7671_76427"/>
      <w:bookmarkStart w:id="10" w:name="__RefHeading___Toc3959143_1051229030"/>
      <w:bookmarkStart w:id="11" w:name="_Toc3"/>
      <w:bookmarkEnd w:id="9"/>
      <w:bookmarkEnd w:id="10"/>
      <w:r>
        <w:rPr>
          <w:rtl w:val="true"/>
        </w:rPr>
        <w:t>المقدمة</w:t>
      </w:r>
      <w:bookmarkEnd w:id="11"/>
    </w:p>
    <w:p>
      <w:pPr>
        <w:pStyle w:val="Heading3"/>
        <w:numPr>
          <w:ilvl w:val="2"/>
          <w:numId w:val="1"/>
        </w:numPr>
        <w:rPr/>
      </w:pPr>
      <w:bookmarkStart w:id="12" w:name="__RefHeading___Toc3959145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لقد كان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هو المنطلق والباعث الأول لكتابة بحث مستقل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المولوية والإرشادية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العديد من الأصوليين والفقهاء 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هو أمر إرشادي وليس مولوياً، بل قال بعضهم باستحالة مولويته، رغم وضوح كونه مولوياً في النظر القاصر، وذهاب جمع من القدماء ـ كالمحقق الرشتي رحمه الله ـ والمتأخرين  ـ كالسيد الوالد رحمه الله ـ إلى ذلك بل الى بداهته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والتي ذهب بعض الفقهاء إلى كونها إرشادية واستحالة كونها مولوية</w:t>
      </w:r>
      <w:r>
        <w:rPr>
          <w:rFonts w:eastAsia="Amiri" w:cs="Amiri" w:ascii="Amiri" w:hAnsi="Amiri"/>
          <w:color w:val="111111"/>
          <w:sz w:val="28"/>
          <w:szCs w:val="28"/>
          <w:rtl w:val="true"/>
          <w:lang w:bidi="ar-SA"/>
        </w:rPr>
        <w:t xml:space="preserve">. </w:t>
      </w:r>
      <w:bookmarkStart w:id="14" w:name="pg7671_76428"/>
    </w:p>
    <w:p>
      <w:pPr>
        <w:pStyle w:val="BookText"/>
        <w:rPr/>
      </w:pPr>
      <w:bookmarkEnd w:id="14"/>
      <w:r>
        <w:rPr>
          <w:rFonts w:ascii="Amiri" w:hAnsi="Amiri" w:eastAsia="Amiri" w:cs="Amiri"/>
          <w:color w:val="111111"/>
          <w:sz w:val="28"/>
          <w:sz w:val="28"/>
          <w:szCs w:val="28"/>
          <w:rtl w:val="true"/>
          <w:lang w:bidi="ar-SA"/>
        </w:rPr>
        <w:t xml:space="preserve">مع قيام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مولوية؛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الباعث الآخر لنا لتحقيق هذه المسألة، مما حدا بنا إلى الاستطراد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والتحقيق حول هذه الآيات الشريفة من هذه الزاوية، وقد أدرجت تلك البحوث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أوامر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أوامر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الأصول –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أدخلت جانباً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التعاون على البر والتقوى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فكرة كتابة كتاب مستقل فقد نشأت من التفكير بضرورة كتابة 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الكلي للأمر المولوي والإرشادي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إن سنحت بلطف الله ومنّه فرصة وجيزة، فكتبت بحثاً كلياً سريعا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عدّت، أو يمكن أن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والنهي المولوي والإرشادي،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ووجوه النقض والإبرام في ذلك</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959147_1051229030"/>
      <w:bookmarkStart w:id="16" w:name="_Toc5"/>
      <w:bookmarkEnd w:id="15"/>
      <w:r>
        <w:rPr>
          <w:rtl w:val="true"/>
        </w:rPr>
        <w:t>من مباحث الكتاب</w:t>
      </w:r>
      <w:bookmarkEnd w:id="16"/>
    </w:p>
    <w:p>
      <w:pPr>
        <w:pStyle w:val="BookText"/>
        <w:rPr/>
      </w:pPr>
      <w:r>
        <w:rPr>
          <w:rFonts w:ascii="Amiri" w:hAnsi="Amiri" w:eastAsia="Amiri" w:cs="Amiri"/>
          <w:color w:val="111111"/>
          <w:sz w:val="28"/>
          <w:sz w:val="28"/>
          <w:szCs w:val="28"/>
          <w:rtl w:val="true"/>
          <w:lang w:bidi="ar-SA"/>
        </w:rPr>
        <w:t xml:space="preserve">ثم لما عزمت على إعادة النظر فيها ـ بعد فترة قصيرة ـ فكرت في استيعاب البحث عن كلي المسألة – إضافة لتنقيح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بإضافة مباحث أخرى هامة، كالبحث عنأن الظهور الأولي للأوامر والنواهي في ماذا؟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المبحث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الطلب أم لا؟ وإذا دل عليه فهل يدل على الوجوب أيضا كما ذهب إليه الشيخ الأنصاري والميرزا الشيرازي قدس سرهما أم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العديد من المصاديق التي يمكن أن ينطبق عليها أحد هذين </w:t>
      </w:r>
      <w:bookmarkStart w:id="17" w:name="pg7671_76429"/>
    </w:p>
    <w:p>
      <w:pPr>
        <w:pStyle w:val="BookText"/>
        <w:rPr/>
      </w:pPr>
      <w:bookmarkEnd w:id="17"/>
      <w:r>
        <w:rPr>
          <w:rFonts w:ascii="Amiri" w:hAnsi="Amiri" w:eastAsia="Amiri" w:cs="Amiri"/>
          <w:color w:val="111111"/>
          <w:sz w:val="28"/>
          <w:sz w:val="28"/>
          <w:szCs w:val="28"/>
          <w:rtl w:val="true"/>
          <w:lang w:bidi="ar-SA"/>
        </w:rPr>
        <w:t>العنوانين،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فكرت في اضافة مباحث اخرى هانة منها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959149_1051229030"/>
      <w:bookmarkStart w:id="19" w:name="_Toc6"/>
      <w:bookmarkEnd w:id="18"/>
      <w:r>
        <w:rPr>
          <w:rtl w:val="true"/>
        </w:rPr>
        <w:t>مباحث أخرى</w:t>
      </w:r>
      <w:bookmarkEnd w:id="19"/>
    </w:p>
    <w:p>
      <w:pPr>
        <w:pStyle w:val="BookText"/>
        <w:rPr/>
      </w:pPr>
      <w:r>
        <w:rPr>
          <w:rFonts w:ascii="Amiri" w:hAnsi="Amiri" w:eastAsia="Amiri" w:cs="Amiri"/>
          <w:color w:val="111111"/>
          <w:sz w:val="28"/>
          <w:sz w:val="28"/>
          <w:szCs w:val="28"/>
          <w:rtl w:val="true"/>
          <w:lang w:bidi="ar-SA"/>
        </w:rPr>
        <w:t xml:space="preserve">تحقيق الحال في ورود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 والمولوي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والمراد بهما فيهما؟</w:t>
      </w:r>
    </w:p>
    <w:p>
      <w:pPr>
        <w:pStyle w:val="BookText"/>
        <w:rPr/>
      </w:pPr>
      <w:r>
        <w:rPr>
          <w:rFonts w:ascii="Amiri" w:hAnsi="Amiri" w:eastAsia="Amiri" w:cs="Amiri"/>
          <w:color w:val="111111"/>
          <w:sz w:val="28"/>
          <w:sz w:val="28"/>
          <w:szCs w:val="28"/>
          <w:rtl w:val="true"/>
          <w:lang w:bidi="ar-SA"/>
        </w:rPr>
        <w:t xml:space="preserve">والبحث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الأصول؟</w:t>
      </w:r>
    </w:p>
    <w:p>
      <w:pPr>
        <w:pStyle w:val="BookText"/>
        <w:rPr/>
      </w:pPr>
      <w:r>
        <w:rPr>
          <w:rFonts w:ascii="Amiri" w:hAnsi="Amiri" w:eastAsia="Amiri" w:cs="Amiri"/>
          <w:color w:val="111111"/>
          <w:sz w:val="28"/>
          <w:sz w:val="28"/>
          <w:szCs w:val="28"/>
          <w:rtl w:val="true"/>
          <w:lang w:bidi="ar-SA"/>
        </w:rPr>
        <w:t>والبحث عن جريان شتى المباحث الأصولية فيهما، كالأوامر المولوية،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إمكان اجتماع جهتي المولوية والإرشادية في أمر واحد وعدمه، وعن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جريان الاجتهاد والتقليد في الأحكام الإرشادية وغير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بحوث كثيرة أخرى ستجري الاشارة لعناوين بعضها في مطاوي الكتاب، عسى أن يوفقنا الرب لإكمالها في المجلد الثاني، أو يقيض الرب الجليل من يقوم بذلك من الأفاضل الكرام وهو المستعان</w:t>
      </w:r>
      <w:r>
        <w:rPr>
          <w:rFonts w:eastAsia="Amiri" w:cs="Amiri" w:ascii="Amiri" w:hAnsi="Amiri"/>
          <w:color w:val="111111"/>
          <w:sz w:val="28"/>
          <w:szCs w:val="28"/>
          <w:rtl w:val="true"/>
          <w:lang w:bidi="ar-SA"/>
        </w:rPr>
        <w:t xml:space="preserve">. </w:t>
      </w:r>
      <w:bookmarkStart w:id="20" w:name="pg7671_76430"/>
    </w:p>
    <w:p>
      <w:pPr>
        <w:pStyle w:val="Heading3"/>
        <w:numPr>
          <w:ilvl w:val="2"/>
          <w:numId w:val="1"/>
        </w:numPr>
        <w:rPr/>
      </w:pPr>
      <w:bookmarkStart w:id="21" w:name="__RefHeading___Toc3959151_1051229030"/>
      <w:bookmarkStart w:id="22" w:name="_Toc7"/>
      <w:bookmarkEnd w:id="20"/>
      <w:bookmarkEnd w:id="21"/>
      <w:r>
        <w:rPr>
          <w:rtl w:val="true"/>
        </w:rPr>
        <w:t>من مسائل الكتاب</w:t>
      </w:r>
      <w:bookmarkEnd w:id="22"/>
    </w:p>
    <w:p>
      <w:pPr>
        <w:pStyle w:val="BookText"/>
        <w:rPr/>
      </w:pPr>
      <w:r>
        <w:rPr>
          <w:rFonts w:ascii="Amiri" w:hAnsi="Amiri" w:eastAsia="Amiri" w:cs="Amiri"/>
          <w:color w:val="111111"/>
          <w:sz w:val="28"/>
          <w:sz w:val="28"/>
          <w:szCs w:val="28"/>
          <w:rtl w:val="true"/>
          <w:lang w:bidi="ar-SA"/>
        </w:rPr>
        <w:t xml:space="preserve">من العناوين التي ستبحث في هذا الكتاب فيما يتعلق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والمعرفة، ووجوب عبادة الله تعالى، والإخلاص له في العبادة، وغيرها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لذا اكتفينا ههنا بمجرد الإشارة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ومباحث الإستلزامات كمبحث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والعقلية،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العشرات من المسائل في أبواب العبادات والعقود والإيقاعات والأحكام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والتجارة والاجتماع والحقوق والطب والصحة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منها المسائل التالية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بالعهد، قتل النفس والانتحار، والاستشارة والشورى، التقية، التجسس، الزنا، التعاون على البر والتقوى، العدل والإحسان، وإعطاء حق ذوي القربى، وصلة الرحم، التبذير، اتخاذ الحرفة والصنعة، الحرية، معونة الظالم، أكل المال بالباطل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الآيات الشريفة، كقوله تعالى</w:t>
      </w:r>
      <w:r>
        <w:rPr>
          <w:rFonts w:eastAsia="Amiri" w:cs="Amiri" w:ascii="Amiri" w:hAnsi="Amiri"/>
          <w:color w:val="111111"/>
          <w:sz w:val="28"/>
          <w:szCs w:val="28"/>
          <w:rtl w:val="true"/>
          <w:lang w:bidi="ar-SA"/>
        </w:rPr>
        <w:t xml:space="preserve">: </w:t>
      </w:r>
      <w:bookmarkStart w:id="23" w:name="pg7671_76431"/>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 في الأرض مرحاً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وصابروا واتقوا الله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أخفض جناحك للمؤمنين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بين أخويكم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 الخيرات</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وعناوين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959153_1051229030"/>
      <w:bookmarkStart w:id="25" w:name="_Toc8"/>
      <w:bookmarkEnd w:id="24"/>
      <w:r>
        <w:rPr>
          <w:rtl w:val="true"/>
        </w:rPr>
        <w:t>منهجية الكتاب</w:t>
      </w:r>
      <w:bookmarkEnd w:id="25"/>
    </w:p>
    <w:p>
      <w:pPr>
        <w:pStyle w:val="BookText"/>
        <w:rPr/>
      </w:pPr>
      <w:r>
        <w:rPr>
          <w:rFonts w:ascii="Amiri" w:hAnsi="Amiri" w:eastAsia="Amiri" w:cs="Amiri"/>
          <w:color w:val="111111"/>
          <w:sz w:val="28"/>
          <w:sz w:val="28"/>
          <w:szCs w:val="28"/>
          <w:rtl w:val="true"/>
          <w:lang w:bidi="ar-SA"/>
        </w:rPr>
        <w:t xml:space="preserve">وقد كان من أغراض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يكون مفيداً ـ بإذن الله تعالى ـ حتى لمن لا يهمه تحقيق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فان منهج هذا الكتاب هو بحث الكثير من العناوين والأحكام والمسائل، بشكل موضوعي، وعلى ضوء عدد من الأقوال أو الاحتمالات، ومع قطع النظر عن مدى اهتمام القارئ الكريم بكلِّي البحث وعدمه، وعن مدى قبوله للكلي واستفادته منه وعدمه، وبذلك يكون الكثير من المباحث ذا جهة موضوعية واستقلالية في الفائدة، إضافة إلى جهة طريقيتها فيما يرتبط بالمبحث العام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والمرجو من العلماء الأعلام والفضلاء الكرام التنبيه على أي نقص أو ثغرة أو إشكال، فإن العصمة لأهلها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أهديت ثواب هذا الجهد المتواضع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كتاب الله، المظهرين لأمر الله ونهيه، وحججه على بريته،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وسلامه ورحمته وبركاته؛ فانه لا هداية ولا نجاة ولا فوز، ولا سعادة في الدنيا والآخرة، إلا بهم وبإتباع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منها والإرشادي، والانزجار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نواهيهم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تشريعية كانت أو تنزيهية، كما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ما إن تمسكتم بهما،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ثم ـ بعد ذلك ـ أهديت ثوابه للسيد الوالد والسيد الأخ الأكبر، رحمهما الله بواسع رحمته، واسكنهما الفسيح من جنته، وحشرهما مع محمد وآله الطاهرين، في مقعد صدق عند مليك مقتدر؛ فقد ربياني صغيراً وتعهداني بالرعاية والعناية كبيراً وقلداني إحسانهما لي وعطفهما علي وبرّهما بي ما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جوار السيدة زينب والسيدة رقية عليهما الصلاة والسلام</w:t>
      </w:r>
    </w:p>
    <w:p>
      <w:pPr>
        <w:pStyle w:val="BookText"/>
        <w:rPr/>
      </w:pPr>
      <w:r>
        <w:rPr>
          <w:rFonts w:ascii="Amiri" w:hAnsi="Amiri" w:eastAsia="Amiri" w:cs="Amiri"/>
          <w:color w:val="111111"/>
          <w:sz w:val="28"/>
          <w:sz w:val="28"/>
          <w:szCs w:val="28"/>
          <w:rtl w:val="true"/>
          <w:lang w:bidi="ar-SA"/>
        </w:rPr>
        <w:t>الحوزة العلمية الزينبيةمرتضى الحسيني الشيرازي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6" w:name="pg7671_76433"/>
    </w:p>
    <w:p>
      <w:pPr>
        <w:pStyle w:val="Heading3"/>
        <w:numPr>
          <w:ilvl w:val="2"/>
          <w:numId w:val="1"/>
        </w:numPr>
        <w:rPr/>
      </w:pPr>
      <w:bookmarkStart w:id="27" w:name="__RefHeading___Toc3959155_1051229030"/>
      <w:bookmarkStart w:id="28" w:name="_Toc9"/>
      <w:bookmarkEnd w:id="26"/>
      <w:bookmarkEnd w:id="27"/>
      <w:r>
        <w:rPr>
          <w:rtl w:val="true"/>
        </w:rPr>
        <w:t>المدخل</w:t>
      </w:r>
      <w:bookmarkEnd w:id="28"/>
    </w:p>
    <w:p>
      <w:pPr>
        <w:pStyle w:val="BookText"/>
        <w:rPr/>
      </w:pPr>
      <w:r>
        <w:rPr>
          <w:rFonts w:ascii="Amiri" w:hAnsi="Amiri" w:eastAsia="Amiri" w:cs="Amiri"/>
          <w:color w:val="111111"/>
          <w:sz w:val="28"/>
          <w:sz w:val="28"/>
          <w:szCs w:val="28"/>
          <w:rtl w:val="true"/>
          <w:lang w:bidi="ar-SA"/>
        </w:rPr>
        <w:t xml:space="preserve">لقد تطرق الأصوليون والفقهاء إلى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مختلفة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وبمناسبات شتى، ولكن بصورة موجزة مقتضية، ولعل أكثر من فصل هذا المبحث ـ فيما وجدته ـ كان المحقق الرشتي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والميرزا الشيرازي في تقريراته</w:t>
      </w:r>
      <w:r>
        <w:rPr>
          <w:rStyle w:val="FootnoteAnchor"/>
          <w:rtl w:val="true"/>
        </w:rPr>
        <w:footnoteReference w:id="21"/>
      </w:r>
      <w:r>
        <w:rPr>
          <w:rFonts w:ascii="Amiri" w:hAnsi="Amiri" w:eastAsia="Amiri" w:cs="Amiri"/>
          <w:color w:val="111111"/>
          <w:sz w:val="28"/>
          <w:sz w:val="28"/>
          <w:szCs w:val="28"/>
          <w:rtl w:val="true"/>
          <w:lang w:bidi="ar-SA"/>
        </w:rPr>
        <w:t xml:space="preserve">وقد استفدنا منهما في الكتاب كثيراً، كما هو مشار إليه في مطاوي الكتاب، خاصة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والملاك في الأوامر والنواهي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إنني وجدت أن هذا المبحث من الأهمية بمكان، ويقتضي أن يفرد له كتاب مستقل وذلك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لترامي أطرافه، وانبساط جوانبه على علوم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22"/>
      </w:r>
      <w:bookmarkStart w:id="29" w:name="pg7671_76434"/>
    </w:p>
    <w:p>
      <w:pPr>
        <w:pStyle w:val="BookText"/>
        <w:rPr/>
      </w:pPr>
      <w:bookmarkEnd w:id="2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يضم بين دفتيه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الألوف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الأبواب الفقهية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الألوف من الآيات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دائرة هذا البحث، وهل أنها إرشادية أو مولوية؟ وهي متوزعة على جل، لو لم يكن كل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وعلى ضوء هذا البحث قد يصار إلى إدخال الألوف منها إلى دائرة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المعهود ـ حسب عدد من المسالك في الضابط في المولوي و الارشادي ـ  من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على ذلك من آثار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ولترتب العديد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المبحث، من أصولية وفقهية وكلامية وغيرها، وقد فصلنا بعضها في هذا المجلد، وسنبحث عن بعضها في المجلد الثاني بإذن الله تعالى، كما أشرنا إلى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المتتبع يكتشف ثمرات أخرى</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959157_1051229030"/>
      <w:bookmarkStart w:id="31" w:name="_Toc10"/>
      <w:bookmarkEnd w:id="30"/>
      <w:r>
        <w:rPr>
          <w:rtl w:val="true"/>
        </w:rPr>
        <w:t>إشارة لثمرات هذا المبحث</w:t>
      </w:r>
      <w:bookmarkEnd w:id="31"/>
    </w:p>
    <w:p>
      <w:pPr>
        <w:pStyle w:val="BookText"/>
        <w:rPr/>
      </w:pPr>
      <w:r>
        <w:rPr>
          <w:rFonts w:ascii="Amiri" w:hAnsi="Amiri" w:eastAsia="Amiri" w:cs="Amiri"/>
          <w:color w:val="111111"/>
          <w:sz w:val="28"/>
          <w:sz w:val="28"/>
          <w:szCs w:val="28"/>
          <w:rtl w:val="true"/>
          <w:lang w:bidi="ar-SA"/>
        </w:rPr>
        <w:t>وهذه إشارة إلى عناوين بعض تلك الثمرات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أو حرمة الكثير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أو كراهة الكثير منها، ولعلها وما سبقها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الألوف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الثواب أو العقاب عليها وعدمه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شدتهما، وعدمه،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الألوف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ودخولهما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كعلم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إدراج بعض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إما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كمبادئ تصورية أو تصديقية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جريان كافة المباحث الأصولية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وإمكان وصحة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الأوامر والنواهي الإرشادية، كالمولوية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الحال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حكمي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مبنيي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وسواء كان الحكم في سلسلة العلل أم المعاليل، في الأصول والفروع، وغير ذلك، وهل أن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أم إنه </w:t>
      </w:r>
    </w:p>
    <w:p>
      <w:pPr>
        <w:pStyle w:val="BookText"/>
        <w:rPr/>
      </w:pPr>
      <w:r>
        <w:rPr>
          <w:rFonts w:ascii="Amiri" w:hAnsi="Amiri" w:eastAsia="Amiri" w:cs="Amiri"/>
          <w:color w:val="111111"/>
          <w:sz w:val="28"/>
          <w:sz w:val="28"/>
          <w:szCs w:val="28"/>
          <w:rtl w:val="true"/>
          <w:lang w:bidi="ar-SA"/>
        </w:rPr>
        <w:t xml:space="preserve">يحكم به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p>
    <w:p>
      <w:pPr>
        <w:pStyle w:val="BookText"/>
        <w:rPr/>
      </w:pPr>
      <w:r>
        <w:rPr>
          <w:rFonts w:ascii="Amiri" w:hAnsi="Amiri" w:eastAsia="Amiri" w:cs="Amiri"/>
          <w:color w:val="111111"/>
          <w:sz w:val="28"/>
          <w:sz w:val="28"/>
          <w:szCs w:val="28"/>
          <w:rtl w:val="true"/>
          <w:lang w:bidi="ar-SA"/>
        </w:rPr>
        <w:t xml:space="preserve">اختلاف 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بالمولوية في المؤديات، عنها على القول بالإرشادية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والتكذيب للمولوي، دون الإرشادي،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هتكاً في المولوي، دون الإرشادي،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عقد القلب ووجوب الرضى في الجملة، أو مطلقاً في المولوي، دون الإرشادي، أو مطلقاً؟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وفوائد أخرى تتعلق بعناوين ثانوية كما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إطاعة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سواء أمره الوجوبي أم الندبي ـ فهل يتحقق بإطاعة أمره الإرشادي؟ </w:t>
      </w:r>
      <w:bookmarkStart w:id="32" w:name="pg7671_76437"/>
    </w:p>
    <w:p>
      <w:pPr>
        <w:pStyle w:val="Heading2"/>
        <w:numPr>
          <w:ilvl w:val="1"/>
          <w:numId w:val="1"/>
        </w:numPr>
        <w:rPr/>
      </w:pPr>
      <w:bookmarkStart w:id="33" w:name="__RefHeading___Toc3959159_1051229030"/>
      <w:bookmarkStart w:id="34" w:name="_Toc11"/>
      <w:bookmarkEnd w:id="32"/>
      <w:bookmarkEnd w:id="33"/>
      <w:r>
        <w:rPr>
          <w:rtl w:val="true"/>
        </w:rPr>
        <w:t>المبحث الاول</w:t>
      </w:r>
      <w:r>
        <w:rPr>
          <w:rtl w:val="true"/>
        </w:rPr>
        <w:t xml:space="preserve">: </w:t>
      </w:r>
      <w:r>
        <w:rPr>
          <w:rtl w:val="true"/>
        </w:rPr>
        <w:t>ابتناء الشريعة والفقه على كلا قسمي الأوامر والنواهي المولوية والإرشادية</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3959161_1051229030"/>
      <w:bookmarkStart w:id="36" w:name="_Toc12"/>
      <w:bookmarkEnd w:id="35"/>
      <w:r>
        <w:rPr>
          <w:rtl w:val="true"/>
        </w:rPr>
        <w:t>اشارة</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الشريعة والفقه على كلا قسمي الأوامر والنواهي المولوية والإرشادية</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النواهي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الخطابات الإرشادية، مما يعمّ الخبر إذا كان في مقام الإنشاء، بل الخبر بما هو</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والشاهد هنا إن مثل هذه الأخبار قد يحتمل فيها بدواً أن تكون من المولى بما هو صرف مخبر، وقد تكون منه بما هو مولى، ثم ما كان منه بما هو مولى ينقسم إلى ما كان منه ناصحاً وما كان منه مشرعاً، وسيأتي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فإنه قد يكون من المولى بما هو صرف مخبر، وقد يكون منه بما هو مولى ـ وسيأتي بيانه بإذن الله تعالى، قد بلغت الغاية في الكثرة، في الكتاب والسنة، وفي العرف العام والخاص، في ملتنا ولدى كل الملل والنحل،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ومطلق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جعل أو رفع أو وضع حكم تكليفي أو وضعي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قد تكون مولويةً وقد تكون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الإنشاءات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بصيغة أمر أو 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بناء على كونها أخباراً في مقام الإنشاء كما سيأتي تفصيله بإذن الله تعالى،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ـ وإن لم يكن بمادة أو صيغة أمر أو نهي ـ قد يكون مولوياً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إرشادياً</w:t>
      </w:r>
      <w:r>
        <w:rPr>
          <w:rStyle w:val="FootnoteAnchor"/>
          <w:rtl w:val="true"/>
        </w:rPr>
        <w:footnoteReference w:id="27"/>
      </w:r>
      <w:r>
        <w:rPr>
          <w:rFonts w:ascii="Amiri" w:hAnsi="Amiri" w:eastAsia="Amiri" w:cs="Amiri"/>
          <w:color w:val="111111"/>
          <w:sz w:val="28"/>
          <w:sz w:val="28"/>
          <w:szCs w:val="28"/>
          <w:rtl w:val="true"/>
          <w:lang w:bidi="ar-SA"/>
        </w:rPr>
        <w:t>ومن مصاديق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تكون مولوية بأن وضعها المولى بما هو مولى، وقد تكون إرشادية،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إنه بما هو مولى قد أنشأ ذلك أي جعل الملكية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 أو إنه مرشد إلى بناء العقلاء على ذلك أو إلى ما استقل به العقل أو إلى جعلٍ له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وسيتم بحث كل ذلك، والأقوال والمحتملات، ووجوه النقض والإبرام فيها في مطاوي الكتاب بإذن الله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الإمضائيات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وعقده السلبي يصلح مثالاً للتأسيسي في الجملة، قد </w:t>
      </w:r>
    </w:p>
    <w:p>
      <w:pPr>
        <w:pStyle w:val="BookText"/>
        <w:rPr/>
      </w:pPr>
      <w:r>
        <w:rPr>
          <w:rFonts w:ascii="Amiri" w:hAnsi="Amiri" w:eastAsia="Amiri" w:cs="Amiri"/>
          <w:color w:val="111111"/>
          <w:sz w:val="28"/>
          <w:sz w:val="28"/>
          <w:szCs w:val="28"/>
          <w:rtl w:val="true"/>
          <w:lang w:bidi="ar-SA"/>
        </w:rPr>
        <w:t>بلغت غاية الكثرة،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 لعل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في الجملة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وسيأتي وجهالفرق والنسبة</w:t>
      </w:r>
      <w:r>
        <w:rPr>
          <w:rStyle w:val="FootnoteAnchor"/>
          <w:rtl w:val="true"/>
        </w:rPr>
        <w:footnoteReference w:id="33"/>
      </w:r>
      <w:r>
        <w:rPr>
          <w:rFonts w:ascii="Amiri" w:hAnsi="Amiri" w:eastAsia="Amiri" w:cs="Amiri"/>
          <w:color w:val="111111"/>
          <w:sz w:val="28"/>
          <w:sz w:val="28"/>
          <w:szCs w:val="28"/>
          <w:rtl w:val="true"/>
          <w:lang w:bidi="ar-SA"/>
        </w:rPr>
        <w:t xml:space="preserve">بين هذه بإذن الله تعالى، كما سيأتي البحث عن النسبة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المتشرعية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فعلى ذلك،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الشريعة على كلا القسمين من الأوامر والنواهي، وكذا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القسمين والأحكام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كافة المباحث الأصولية، كمباحث الألفاظ ومباحث الحجج ـ ومنها مباحث الاستلزامات أيضاً، إلى جوار مباحث حجية خبر الواحد والشهرة والإجماع المحصل والمنقول ـ وكذلك مباحث الأصول العملية الشرعية، ومباحث الأصول العملية العقلية، كلها جارية في كلا القسمين، وسيأتي بإذن الله تعالى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البحث في الأصول أو منصرفه عادة، للمولوي منها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فإنه قد يلتزم باعتبارها من صميم المباحث الأصولية والفقهية ـ باعتبارين ـ وسيأتي تفصيله بإذن الله تعالى</w:t>
      </w:r>
      <w:r>
        <w:rPr>
          <w:rFonts w:eastAsia="Amiri" w:cs="Amiri" w:ascii="Amiri" w:hAnsi="Amiri"/>
          <w:color w:val="111111"/>
          <w:sz w:val="28"/>
          <w:szCs w:val="28"/>
          <w:rtl w:val="true"/>
          <w:lang w:bidi="ar-SA"/>
        </w:rPr>
        <w:t xml:space="preserve">. </w:t>
      </w:r>
      <w:bookmarkStart w:id="37" w:name="pg7671_76442"/>
    </w:p>
    <w:p>
      <w:pPr>
        <w:pStyle w:val="Heading3"/>
        <w:numPr>
          <w:ilvl w:val="2"/>
          <w:numId w:val="1"/>
        </w:numPr>
        <w:rPr/>
      </w:pPr>
      <w:bookmarkStart w:id="38" w:name="__RefHeading___Toc3959163_1051229030"/>
      <w:bookmarkStart w:id="39" w:name="_Toc13"/>
      <w:bookmarkEnd w:id="37"/>
      <w:bookmarkEnd w:id="38"/>
      <w:r>
        <w:rPr>
          <w:rtl w:val="true"/>
        </w:rPr>
        <w:t>من مباحث الكتاب</w:t>
      </w:r>
      <w:bookmarkEnd w:id="39"/>
    </w:p>
    <w:p>
      <w:pPr>
        <w:pStyle w:val="BookText"/>
        <w:rPr/>
      </w:pPr>
      <w:r>
        <w:rPr>
          <w:rFonts w:ascii="Amiri" w:hAnsi="Amiri" w:eastAsia="Amiri" w:cs="Amiri"/>
          <w:color w:val="111111"/>
          <w:sz w:val="28"/>
          <w:sz w:val="28"/>
          <w:szCs w:val="28"/>
          <w:rtl w:val="true"/>
          <w:lang w:bidi="ar-SA"/>
        </w:rPr>
        <w:t>فكان من الحري تبعاً لذلك، أن تبحث بشكل مستوعب، وأن يبحث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التفريق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الأوامر الشرعية الواردة في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على مخالفتها العقاب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p>
    <w:p>
      <w:pPr>
        <w:pStyle w:val="BookText"/>
        <w:rPr/>
      </w:pPr>
      <w:r>
        <w:rPr>
          <w:rFonts w:ascii="Amiri" w:hAnsi="Amiri" w:eastAsia="Amiri" w:cs="Amiri"/>
          <w:color w:val="111111"/>
          <w:sz w:val="28"/>
          <w:sz w:val="28"/>
          <w:szCs w:val="28"/>
          <w:rtl w:val="true"/>
          <w:lang w:bidi="ar-SA"/>
        </w:rPr>
        <w:t xml:space="preserve">وهل يصح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يلزم من إعمال المولوية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أو تحصيل الحاصل أو اللغوية أو شبههما، أم لا؟</w:t>
      </w:r>
    </w:p>
    <w:p>
      <w:pPr>
        <w:pStyle w:val="BookText"/>
        <w:rPr/>
      </w:pPr>
      <w:r>
        <w:rPr>
          <w:rFonts w:ascii="Amiri" w:hAnsi="Amiri" w:eastAsia="Amiri" w:cs="Amiri"/>
          <w:color w:val="111111"/>
          <w:sz w:val="28"/>
          <w:sz w:val="28"/>
          <w:szCs w:val="28"/>
          <w:rtl w:val="true"/>
          <w:lang w:bidi="ar-SA"/>
        </w:rPr>
        <w:t>وهل الأوامر الشرعية فيما كانت مصلحته دنيوية، إرشادية؟</w:t>
      </w:r>
    </w:p>
    <w:p>
      <w:pPr>
        <w:pStyle w:val="BookText"/>
        <w:rPr/>
      </w:pPr>
      <w:r>
        <w:rPr>
          <w:rFonts w:ascii="Amiri" w:hAnsi="Amiri" w:eastAsia="Amiri" w:cs="Amiri"/>
          <w:color w:val="111111"/>
          <w:sz w:val="28"/>
          <w:sz w:val="28"/>
          <w:szCs w:val="28"/>
          <w:rtl w:val="true"/>
          <w:lang w:bidi="ar-SA"/>
        </w:rPr>
        <w:t>وماذا لو كانت مصلحته دنيوية ـ أخروية؟</w:t>
      </w:r>
    </w:p>
    <w:p>
      <w:pPr>
        <w:pStyle w:val="BookText"/>
        <w:rPr/>
      </w:pPr>
      <w:r>
        <w:rPr>
          <w:rFonts w:ascii="Amiri" w:hAnsi="Amiri" w:eastAsia="Amiri" w:cs="Amiri"/>
          <w:color w:val="111111"/>
          <w:sz w:val="28"/>
          <w:sz w:val="28"/>
          <w:szCs w:val="28"/>
          <w:rtl w:val="true"/>
          <w:lang w:bidi="ar-SA"/>
        </w:rPr>
        <w:t xml:space="preserve">وهل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كان محبوباً للمولى وقد صدر لجهة محبوبيته؟</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المولى معملاً مقام مولويته بقيد إذا كان في مقام التشريع أو لا؟ أو غير ذلك؟ مما سنفصله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والملاك في الأوامر والنواهي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أنها على تقدير كونها إرشادية، هل هي 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طلب؟</w:t>
      </w:r>
    </w:p>
    <w:p>
      <w:pPr>
        <w:pStyle w:val="BookText"/>
        <w:rPr/>
      </w:pPr>
      <w:r>
        <w:rPr>
          <w:rFonts w:ascii="Amiri" w:hAnsi="Amiri" w:eastAsia="Amiri" w:cs="Amiri"/>
          <w:color w:val="111111"/>
          <w:sz w:val="28"/>
          <w:sz w:val="28"/>
          <w:szCs w:val="28"/>
          <w:rtl w:val="true"/>
          <w:lang w:bidi="ar-SA"/>
        </w:rPr>
        <w:t>أو معه دون إيجاب ولا ندب ـ حسب رأي ـ؟</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أنها أوامر إرشادية وجوبية ـ وإن كان بدون استحقاق للعقاب ـ على مبنى الشيخ قدس سره، من التفكيك بين الوجوب واستحقاق العقاب، </w:t>
      </w:r>
    </w:p>
    <w:p>
      <w:pPr>
        <w:pStyle w:val="BookText"/>
        <w:rPr/>
      </w:pPr>
      <w:r>
        <w:rPr>
          <w:rFonts w:ascii="Amiri" w:hAnsi="Amiri" w:eastAsia="Amiri" w:cs="Amiri"/>
          <w:color w:val="111111"/>
          <w:sz w:val="28"/>
          <w:sz w:val="28"/>
          <w:szCs w:val="28"/>
          <w:rtl w:val="true"/>
          <w:lang w:bidi="ar-SA"/>
        </w:rPr>
        <w:t>ومن تقسيم الإرشادية كالمولوية إلى واجبة ومندوبة، وإن كان ذلك لعله خلاف المشهور، كما سيأتي؟</w:t>
      </w:r>
    </w:p>
    <w:p>
      <w:pPr>
        <w:pStyle w:val="BookText"/>
        <w:rPr/>
      </w:pPr>
      <w:r>
        <w:rPr>
          <w:rFonts w:ascii="Amiri" w:hAnsi="Amiri" w:eastAsia="Amiri" w:cs="Amiri"/>
          <w:color w:val="111111"/>
          <w:sz w:val="28"/>
          <w:sz w:val="28"/>
          <w:szCs w:val="28"/>
          <w:rtl w:val="true"/>
          <w:lang w:bidi="ar-SA"/>
        </w:rPr>
        <w:t>أم هي إرشادية ـ مولوية؟ أم غير ذلك؟ كما سنفصله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أن 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التقسيم،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إرشادية أو 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بإذن الله تعالى تفصيلاً بيان الثمرات الكلامية والأصولية والفقهية، المترتبة على كونها مولوية أو إرشادية، مما سنذكر بعضها في هذا المجلد، ونرجئ البعض الآخر إلى المجلد الثاني، وإلى كتابنا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ينبغي أن يبحث عن الأوامر والنواهي، وهل أنها ظاهرة في المولوية ـ ولو بالقرينة أو طبقاً للأصل والقاعدة ـ أم لا؟ ثم إن ما كان منها للإرشاد هل هو ظاهر في الإلزام أم 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ينبغي أن يبحث وعلى ضوء ذلك كله، عن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تعد إرشادية وهي مولوية أو بالعكس، إما نظراً للاختلاف في ضابط المولوي والإرشادي، أو بلحاظ القرائن الحالية والمقالية المحتفة</w:t>
      </w:r>
      <w:r>
        <w:rPr>
          <w:rFonts w:eastAsia="Amiri" w:cs="Amiri" w:ascii="Amiri" w:hAnsi="Amiri"/>
          <w:color w:val="111111"/>
          <w:sz w:val="28"/>
          <w:szCs w:val="28"/>
          <w:rtl w:val="true"/>
          <w:lang w:bidi="ar-SA"/>
        </w:rPr>
        <w:t xml:space="preserve">. </w:t>
      </w:r>
      <w:bookmarkStart w:id="40" w:name="pg7671_76444"/>
    </w:p>
    <w:p>
      <w:pPr>
        <w:pStyle w:val="Heading3"/>
        <w:numPr>
          <w:ilvl w:val="2"/>
          <w:numId w:val="1"/>
        </w:numPr>
        <w:rPr/>
      </w:pPr>
      <w:bookmarkStart w:id="41" w:name="__RefHeading___Toc3959165_1051229030"/>
      <w:bookmarkStart w:id="42" w:name="_Toc14"/>
      <w:bookmarkEnd w:id="40"/>
      <w:bookmarkEnd w:id="41"/>
      <w:r>
        <w:rPr>
          <w:rtl w:val="true"/>
        </w:rPr>
        <w:t>من الأوامر الإرشادية في القرآن الكريم</w:t>
      </w:r>
      <w:bookmarkEnd w:id="42"/>
    </w:p>
    <w:p>
      <w:pPr>
        <w:pStyle w:val="Heading4"/>
        <w:numPr>
          <w:ilvl w:val="3"/>
          <w:numId w:val="1"/>
        </w:numPr>
        <w:rPr/>
      </w:pPr>
      <w:bookmarkStart w:id="43" w:name="__RefHeading___Toc3959167_1051229030"/>
      <w:bookmarkStart w:id="44" w:name="_Toc15"/>
      <w:bookmarkEnd w:id="43"/>
      <w:r>
        <w:rPr>
          <w:rtl w:val="true"/>
        </w:rPr>
        <w:t>آيات وروايات أدعي أنها إرشادية</w:t>
      </w:r>
      <w:bookmarkEnd w:id="44"/>
    </w:p>
    <w:p>
      <w:pPr>
        <w:pStyle w:val="BookText"/>
        <w:rPr/>
      </w:pPr>
      <w:r>
        <w:rPr>
          <w:rFonts w:ascii="Amiri" w:hAnsi="Amiri" w:eastAsia="Amiri" w:cs="Amiri"/>
          <w:color w:val="111111"/>
          <w:sz w:val="28"/>
          <w:sz w:val="28"/>
          <w:szCs w:val="28"/>
          <w:rtl w:val="true"/>
          <w:lang w:bidi="ar-SA"/>
        </w:rPr>
        <w:t>والأمثلة على الأوامر الإرشادية ـ أو ما ادعي أنها إرشادية ـ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إرشادية؟</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الثلاثة الشهيرة في 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الدين ـ كما في الصافي ـ أو على المكتوب ـ كما في مجمع البيان وقال في تبيين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يمضيان الكتابة ويشهدان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البيع ـ أي إذا كانت تجارة حاضرة تديرونها ـ</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الأخيرتان هما اللتان يضرب بهما المثل عادة للأوامر </w:t>
      </w:r>
    </w:p>
    <w:p>
      <w:pPr>
        <w:pStyle w:val="BookText"/>
        <w:rPr/>
      </w:pPr>
      <w:r>
        <w:rPr>
          <w:rFonts w:ascii="Amiri" w:hAnsi="Amiri" w:eastAsia="Amiri" w:cs="Amiri"/>
          <w:color w:val="111111"/>
          <w:sz w:val="28"/>
          <w:sz w:val="28"/>
          <w:szCs w:val="28"/>
          <w:rtl w:val="true"/>
          <w:lang w:bidi="ar-SA"/>
        </w:rPr>
        <w:t xml:space="preserve">الإرشادية، فليلاحظ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الرشتي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صالح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الوالد، حيث أيد تمثيل المولى صالح للإرشاد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أرشد العباد عند المداينة، إلى الاستشهاد، رعاية لمصلحتهم، قيل الفرق بينه وبين الندب أن الندب لثواب الآخرة والاستشهاد لمنافع الدنيا إذ لا ينقص الثواب بترك الإشهاد في المداينة ولا يزيد بفعله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بتمريضه، ويدل عليه ملاحظة مسلكه العام في المستحبات؛ فإنه قدس سره حمل كثيراً من الأوامر الإرشادية ـ مما يعود نفعه للدنيا ـ على الاستحباب، فلاحظ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أخذاً وعطاءً وصرفاً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وكما قال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بين الفقهاء أن الكتابة إرشاد ومستحب، أما الإرشاد فلحفظ الحق وأما الاستحباب فلأنه مأمور به شرعاً، وإن كانت العلة أيضاً ذلك</w:t>
      </w:r>
      <w:r>
        <w:rPr>
          <w:rStyle w:val="FootnoteAnchor"/>
          <w:rtl w:val="true"/>
        </w:rPr>
        <w:footnoteReference w:id="36"/>
      </w:r>
      <w:r>
        <w:rPr>
          <w:rFonts w:ascii="Amiri" w:hAnsi="Amiri" w:eastAsia="Amiri" w:cs="Amiri"/>
          <w:color w:val="111111"/>
          <w:sz w:val="28"/>
          <w:sz w:val="28"/>
          <w:szCs w:val="28"/>
          <w:rtl w:val="true"/>
          <w:lang w:bidi="ar-SA"/>
        </w:rPr>
        <w:t>وعلى كل حال فليست بواجبة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والظاهر من كلامه أن يرى اجتماع جهتي الإرشادية والمولوية في الكتابة وسنفصل الوجه فيه في آخر الكتاب بإذن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مأمور به شرعاً وإن كانت العلة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أن ملاك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الأمر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المصلحة والعلة معلومة للمأمور قبل الأمر أم لا، وسواء كانت المصلحة أخروية أم دنيوية، وسواء كان المتعلق من المستقلات </w:t>
      </w:r>
    </w:p>
    <w:p>
      <w:pPr>
        <w:pStyle w:val="BookText"/>
        <w:rPr/>
      </w:pPr>
      <w:r>
        <w:rPr>
          <w:rFonts w:ascii="Amiri" w:hAnsi="Amiri" w:eastAsia="Amiri" w:cs="Amiri"/>
          <w:color w:val="111111"/>
          <w:sz w:val="28"/>
          <w:sz w:val="28"/>
          <w:szCs w:val="28"/>
          <w:rtl w:val="true"/>
          <w:lang w:bidi="ar-SA"/>
        </w:rPr>
        <w:t>العقلية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الكتابة هل هي فرض أم لا؟ فقيل هي فرض على الكفاية كالجهاد ونحوه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وقال الفاضل المحقق المقداد السيوري في كنز العرفان في 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بكتابة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ـ عند مالك ـ للوجوب، والأصح أنه إما للندب أو الإرشاد للمصلحة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وواضح أنه يرى عدم اجتماع الندب والارشاد وسيأتي تفصيلاً إمكان اجتماع جهتي المولوية والإرشادية في أمر واحد، على أنه بعد ذلك وفي تعليقه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تسأموا أن تكتبوه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دلالة على استحباب كتابة الدين والإشهاد به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مما يظهر منه انتخابه المولوية الندبية وخروجه عن التردد أو الترديد السابق، إلا أنه ناقض ذلك بعد ذلك حيث قال في نظيره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واشهدوا شهيدين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بالإشهاد عند المبايعة، إرشاداً إلى رعاية مصلحتها؛ لأنه لولاه لجاز أن يندم أحد المتبايعين على البيع، أو يقع نزاع في كمية أحد العوضين أو شرط أو خيار أو غير ذلك، فالأمر هنا للإرشاد، وقال داود أنه للوجوب، وليس </w:t>
      </w:r>
      <w:bookmarkStart w:id="45" w:name="pg7671_76447"/>
    </w:p>
    <w:p>
      <w:pPr>
        <w:pStyle w:val="BookText"/>
        <w:rPr/>
      </w:pPr>
      <w:bookmarkEnd w:id="45"/>
      <w:r>
        <w:rPr>
          <w:rFonts w:ascii="Amiri" w:hAnsi="Amiri" w:eastAsia="Amiri" w:cs="Amiri"/>
          <w:color w:val="111111"/>
          <w:sz w:val="28"/>
          <w:sz w:val="28"/>
          <w:szCs w:val="28"/>
          <w:rtl w:val="true"/>
          <w:lang w:bidi="ar-SA"/>
        </w:rPr>
        <w:t>بشيء لما قلنا من ترتب المصلحة الدنيوية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والمقام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على الدين وكتابته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ملاكهما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يرى الضابط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الضوابط التي سنذكرها وهو ما أنشأ بلحاظ مصلحة الدنيا، ومع قطع النظر عن عدم تمامية هذا الضابط كبرى كما أوضحناه هنالك، فإنه جار في المقامين، فكيف فرّق؟</w:t>
      </w:r>
    </w:p>
    <w:p>
      <w:pPr>
        <w:pStyle w:val="BookText"/>
        <w:rPr/>
      </w:pPr>
      <w:r>
        <w:rPr>
          <w:rFonts w:ascii="Amiri" w:hAnsi="Amiri" w:eastAsia="Amiri" w:cs="Amiri"/>
          <w:color w:val="111111"/>
          <w:sz w:val="28"/>
          <w:sz w:val="28"/>
          <w:szCs w:val="28"/>
          <w:rtl w:val="true"/>
          <w:lang w:bidi="ar-SA"/>
        </w:rPr>
        <w:t>ثم إن الظاهر أن العلل الثلاثة المذكورة في الآية الشريفة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 عند الله، وأقوم للشهادة، وأدنى أن 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عامة مشتركة، بين ما سبق من الحكمين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لحق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عادت بظاهر السياق للكتابة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959169_1051229030"/>
      <w:bookmarkStart w:id="47" w:name="_Toc16"/>
      <w:bookmarkEnd w:id="46"/>
      <w:r>
        <w:rPr>
          <w:rtl w:val="true"/>
        </w:rPr>
        <w:t>من الأدلة على مولوية تلك الأوامر</w:t>
      </w:r>
      <w:bookmarkEnd w:id="47"/>
    </w:p>
    <w:p>
      <w:pPr>
        <w:pStyle w:val="BookText"/>
        <w:rPr/>
      </w:pPr>
      <w:r>
        <w:rPr>
          <w:rFonts w:ascii="Amiri" w:hAnsi="Amiri" w:eastAsia="Amiri" w:cs="Amiri"/>
          <w:color w:val="111111"/>
          <w:sz w:val="28"/>
          <w:sz w:val="28"/>
          <w:szCs w:val="28"/>
          <w:rtl w:val="true"/>
          <w:lang w:bidi="ar-SA"/>
        </w:rPr>
        <w:t>وقد يستظهر المولوية،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طلب أمر بهذا التعليل، 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العدل والقسط مطلوبان له بما هو مولى ومأمور بهما بما هو كذلك، بل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استقامة الشهادة مطلوبة له بما هو مولى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أن 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لهم ولمصلحتهم، لكن قد فصلنا في مكان آخر</w:t>
      </w:r>
      <w:r>
        <w:rPr>
          <w:rFonts w:eastAsia="Amiri" w:cs="Amiri" w:ascii="Amiri" w:hAnsi="Amiri"/>
          <w:color w:val="111111"/>
          <w:sz w:val="28"/>
          <w:szCs w:val="28"/>
          <w:rtl w:val="true"/>
          <w:lang w:bidi="ar-SA"/>
        </w:rPr>
        <w:t xml:space="preserve">: </w:t>
      </w:r>
      <w:bookmarkStart w:id="48" w:name="pg7671_76448"/>
    </w:p>
    <w:p>
      <w:pPr>
        <w:pStyle w:val="BookText"/>
        <w:rPr/>
      </w:pPr>
      <w:bookmarkEnd w:id="4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تعددت العلل لوحظ محط النظر أولاً،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لذا سبق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كلها محط النظر بوزان واحد، أمكن الالتزام بالمولوية والإرشادية معاً ولا يلزم استعمال اللفظ في أكثر من معنى كما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في بيان حكمة تشريع الكتابة بعد تفصيله قضية عمر آدم وداود،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ذلك اليوم أمر الله تبارك وتعالى العباد أن يكتبوا بينهم إذا تداينوا وتعاملوا إلى أجل</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إن الأمر مولوي لا إرشادي، والظاهر أنه مولوي ـ تشريعي، لا مولوي ـ نصحي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الآية الشريفة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الاعتماد عليها ـ مع جمعها للشرائط، إما بدلالة الاقتضاء أو بلحاظ الغاية من الأمر بالكتابة، وعلى أي فالدلالة العرفية على الحجية لا ريب فيها، كما أنها تدل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كلها من المستقلات العقلية كأحكامها التكليفية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959171_1051229030"/>
      <w:bookmarkStart w:id="50" w:name="_Toc17"/>
      <w:bookmarkEnd w:id="49"/>
      <w:r>
        <w:rPr>
          <w:rtl w:val="true"/>
        </w:rPr>
        <w:t>من أدلة المولوية</w:t>
      </w:r>
      <w:r>
        <w:rPr>
          <w:rtl w:val="true"/>
        </w:rPr>
        <w:t xml:space="preserve">: </w:t>
      </w:r>
      <w:r>
        <w:rPr>
          <w:rtl w:val="true"/>
        </w:rPr>
        <w:t>ذكر الثواب</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في الآيتين الشريفتين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الدين أو الكتابة ـ كما سبق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إذا تبايتعم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البيع، فالظاهر أنه مولوي ـ للندب</w:t>
      </w:r>
      <w:r>
        <w:rPr>
          <w:rStyle w:val="FootnoteAnchor"/>
          <w:rtl w:val="true"/>
        </w:rPr>
        <w:footnoteReference w:id="43"/>
      </w:r>
      <w:r>
        <w:rPr>
          <w:rFonts w:ascii="Amiri" w:hAnsi="Amiri" w:eastAsia="Amiri" w:cs="Amiri"/>
          <w:color w:val="111111"/>
          <w:sz w:val="28"/>
          <w:sz w:val="28"/>
          <w:szCs w:val="28"/>
          <w:rtl w:val="true"/>
          <w:lang w:bidi="ar-SA"/>
        </w:rPr>
        <w:t xml:space="preserve">وليس إرشادياً </w:t>
      </w:r>
      <w:bookmarkStart w:id="51" w:name="pg7671_76449"/>
    </w:p>
    <w:p>
      <w:pPr>
        <w:pStyle w:val="BookText"/>
        <w:rPr/>
      </w:pPr>
      <w:bookmarkEnd w:id="51"/>
      <w:r>
        <w:rPr>
          <w:rFonts w:ascii="Amiri" w:hAnsi="Amiri" w:eastAsia="Amiri" w:cs="Amiri"/>
          <w:color w:val="111111"/>
          <w:sz w:val="28"/>
          <w:sz w:val="28"/>
          <w:szCs w:val="28"/>
          <w:rtl w:val="true"/>
          <w:lang w:bidi="ar-SA"/>
        </w:rPr>
        <w:t xml:space="preserve">للنصح،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رواية العياشي عن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شَرَّف المسلمين العدول بقبول شهاداتهم، وجعل ذلك من الشرف العاجل لهم، ومن ثواب دنياهم، قبل أن يصلوا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دنيوياً، هو ما نتج عن إطاعة أمر المولى لا مجرد نصحه، 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خلاف الظاهر، وفيه أنه كذلك لو كان قبول شهادتهم ثواباً على الشهادة، لا على الإسلام والعدالة، كما لعله ظاهرها فتأمل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شرف المسلمين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هو مولى صنع ذلك، إذ ليس هذا شأن الناصح بما هو ناصح، فيستلزم ذلك</w:t>
      </w:r>
      <w:r>
        <w:rPr>
          <w:rStyle w:val="FootnoteAnchor"/>
          <w:rtl w:val="true"/>
        </w:rPr>
        <w:footnoteReference w:id="45"/>
      </w:r>
      <w:r>
        <w:rPr>
          <w:rFonts w:ascii="Amiri" w:hAnsi="Amiri" w:eastAsia="Amiri" w:cs="Amiri"/>
          <w:color w:val="111111"/>
          <w:sz w:val="28"/>
          <w:sz w:val="28"/>
          <w:szCs w:val="28"/>
          <w:rtl w:val="true"/>
          <w:lang w:bidi="ar-SA"/>
        </w:rPr>
        <w:t>، كونه بما هو مولى قد أمر بها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959173_1051229030"/>
      <w:bookmarkStart w:id="53" w:name="_Toc18"/>
      <w:bookmarkEnd w:id="52"/>
      <w:r>
        <w:rPr>
          <w:rtl w:val="true"/>
        </w:rPr>
        <w:t>أدلة أخرى</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أيضاً برواية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فأدانه بغير بيّنة،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يؤيده ما جاء في تفسير الإمام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استشهدوهم، لتحوطوا بهم أديانكم وأموالكم، ولتستعملوا أدب الله ووصيته، وإن فيها النفع والبركة، ولا تخالفوها فيلحقكم الندم حيث لا ينفعكم الندم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وقد يستظهر منها المولوية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لتحوطوا بهم أديانكم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شأن المولى بما هو مولى تشريع ما يحوط أديان العبيد، لكن فيه أن شأن الناصح كذلك أيضاً، إلا أن يتمسك بالأصل لو أمكن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النفع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فيلحقكم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الإرشادية، فإنها بها أنسب، لكن فصلنا في موضع آخر أن ذلك كله من شأن المولى بما هو مولى أيضاً؛ لتمام عنايته بكلا شأني الدنيا والآخرة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ظاهر عبارة بعض المفسرين كالطبرسي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الله سبحانه بالإشهاد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الظاهر من السيد الوالد قدس سره التردد بين المولوية والإرشادية،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الحكم للإرشاد، أو للأعم من الواجب والمستحب؛ لأنه قد يجب الإشهاد والاستشهاد كما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آخر للوجوب كما يأتي، وقد يستحب كالإشهاد عند عقد النكاح</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ولعله يرى أن الإرشاد لا يجتمع مع الوجوب ـ مع أن بعض </w:t>
      </w:r>
      <w:bookmarkStart w:id="54" w:name="pg7671_76451"/>
    </w:p>
    <w:p>
      <w:pPr>
        <w:pStyle w:val="BookText"/>
        <w:rPr/>
      </w:pPr>
      <w:bookmarkEnd w:id="54"/>
      <w:r>
        <w:rPr>
          <w:rFonts w:ascii="IRNazanin" w:hAnsi="IRNazanin" w:eastAsia="IRNazanin"/>
          <w:color w:val="111111"/>
          <w:sz w:val="28"/>
          <w:sz w:val="28"/>
          <w:szCs w:val="28"/>
          <w:rtl w:val="true"/>
          <w:lang w:bidi="fa-IR"/>
        </w:rPr>
        <w:t xml:space="preserve">الإشهاد والاستشهاد للوجوب ـ فأضاف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أوضحنا في مكان آخر أن الإرشاد قد يكون للوجوب وقد يكون للندب</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959175_1051229030"/>
      <w:bookmarkStart w:id="56" w:name="_Toc19"/>
      <w:bookmarkEnd w:id="55"/>
      <w:r>
        <w:rPr>
          <w:rtl w:val="true"/>
        </w:rPr>
        <w:t xml:space="preserve">هل </w:t>
      </w:r>
      <w:r>
        <w:rPr>
          <w:rtl w:val="true"/>
        </w:rPr>
        <w:t>(</w:t>
      </w:r>
      <w:r>
        <w:rPr>
          <w:rtl w:val="true"/>
        </w:rPr>
        <w:t>جناح</w:t>
      </w:r>
      <w:r>
        <w:rPr>
          <w:rtl w:val="true"/>
        </w:rPr>
        <w:t xml:space="preserve">) </w:t>
      </w:r>
      <w:r>
        <w:rPr>
          <w:rtl w:val="true"/>
        </w:rPr>
        <w:t>قرينة المولوية؟</w:t>
      </w:r>
      <w:bookmarkEnd w:id="56"/>
    </w:p>
    <w:p>
      <w:pPr>
        <w:pStyle w:val="BookText"/>
        <w:rPr/>
      </w:pPr>
      <w:r>
        <w:rPr>
          <w:rFonts w:ascii="Amiri" w:hAnsi="Amiri" w:eastAsia="Amiri" w:cs="Amiri"/>
          <w:color w:val="111111"/>
          <w:sz w:val="28"/>
          <w:sz w:val="28"/>
          <w:szCs w:val="28"/>
          <w:rtl w:val="true"/>
          <w:lang w:bidi="ar-SA"/>
        </w:rPr>
        <w:t xml:space="preserve">ومما قد يستدل به على مولوية الأمر بالكتابة ـ وهي الآية الأولى السابقة ـ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 تديرونها فليس عليكم جناح ألا 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لميله عن طريق الحق</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الإثم المائل بالإنسان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سمي كل إثم جناحاً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كما قيل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أمر المولى بما هو مولى، ورفعهُ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منه بما هو مولى، فما فيه الجناح ـ وهو غيره ـ قد جعل من قبل المولى بما هو مولى؛ إذ المتقابلان متكافئان قوة وفعلاً، كما هما متقابلان رفعاً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في عدم الكتابة في غير التجارة الحاضرة؛ إذ لا تعد معصية ولا عقوبة عليها؟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التزمنا بأن أمر الكتابة مولوي للندب فتركه مكروه، لا للتلازم بين الندب وكراهة الترك، بل لدلالة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الكتابة مولوي ـ للوجوب النصحي وهو مما لا عقوبة عليه ـ كما فصلناه في مكان آخر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ولا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ـ للنصح الوجوبي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عدم الكتابة إذا كانت تجارة حاضرة تديرونها ـ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بمعنى لا ضير ولا ضرر فيناسب الإرشاد والنصح، لكنه لا تساعد عليه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به الإثم فإنه ظاهر في المولوي ـ التشريعي، أي المعصية، أي ما عليه عقوبة، فيقع التعارض بين حمله على المولوي ـ النصحي، أو المكروه كما ذكرتم ـ إذ لا يمكن حمله على المعصية؛ إذ لا معصية حتماً في عدم الكتابة في غير التجارة الحاضرة ـ وبين حمله على الضير، وكلاهما مجاز ولا مرجح للأول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التصدير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المولوية لا الإرشادية، وإلا لكان الأولى توجيه الخطاب للناس؛ فإن شأن الناصح كالطبيب خطاب الناس لا تخصيصه بالمؤمن، عكس شأن المولى بما هو مولى، وإن كانت مولويته ثبوتاً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الشهود على بيعكم إذا تبايعتم، وهذا أمر على الاستحباب والندب، عن الحسن وجميع الفقهاء، وقال أصحاب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فرض في التبايع</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تصريحه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يراه مولوياً ـ ندبياً لا إرشادياً</w:t>
      </w:r>
      <w:r>
        <w:rPr>
          <w:rFonts w:eastAsia="Amiri" w:cs="Amiri" w:ascii="Amiri" w:hAnsi="Amiri"/>
          <w:color w:val="111111"/>
          <w:sz w:val="28"/>
          <w:szCs w:val="28"/>
          <w:rtl w:val="true"/>
          <w:lang w:bidi="ar-SA"/>
        </w:rPr>
        <w:t xml:space="preserve">. </w:t>
      </w:r>
      <w:bookmarkStart w:id="57" w:name="pg7671_76453"/>
    </w:p>
    <w:p>
      <w:pPr>
        <w:pStyle w:val="BookText"/>
        <w:rPr/>
      </w:pPr>
      <w:bookmarkEnd w:id="57"/>
      <w:r>
        <w:rPr>
          <w:rFonts w:ascii="Amiri" w:hAnsi="Amiri" w:eastAsia="Amiri" w:cs="Amiri"/>
          <w:color w:val="111111"/>
          <w:sz w:val="28"/>
          <w:sz w:val="28"/>
          <w:szCs w:val="28"/>
          <w:rtl w:val="true"/>
          <w:lang w:bidi="ar-SA"/>
        </w:rPr>
        <w:t xml:space="preserve">وبذلك ظهر عدم تمامية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إن الآية الكريمة لا تدل حتى على استحباب الإشهاد شرعاً، وإنما على طلبه إرشاداً لا أكثر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ويرد عليه إضافة إلى ما سبق</w:t>
      </w:r>
      <w:r>
        <w:rPr>
          <w:rStyle w:val="FootnoteAnchor"/>
          <w:rtl w:val="true"/>
        </w:rPr>
        <w:footnoteReference w:id="54"/>
      </w:r>
      <w:r>
        <w:rPr>
          <w:rFonts w:ascii="Amiri" w:hAnsi="Amiri" w:eastAsia="Amiri" w:cs="Amiri"/>
          <w:color w:val="111111"/>
          <w:sz w:val="28"/>
          <w:sz w:val="28"/>
          <w:szCs w:val="28"/>
          <w:rtl w:val="true"/>
          <w:lang w:bidi="ar-SA"/>
        </w:rPr>
        <w:t xml:space="preserve">إن الأصل ـ عندهم ـ فيما صدر من المولى أنه بما هو مولى، أي الأصل المولوية لا الإرشادية، فلا يرفع اليد عن المولوية إلا بدليل؛ ولذا قال في الجواهر ممزوجاً بالشرح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 النكاح والرجعة، وكذا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والخلاف في ذلك نادر</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58" w:name="__RefHeading___Toc3959177_1051229030"/>
      <w:bookmarkStart w:id="59" w:name="_Toc20"/>
      <w:bookmarkEnd w:id="58"/>
      <w:r>
        <w:rPr>
          <w:rtl w:val="true"/>
        </w:rPr>
        <w:t xml:space="preserve">هل </w:t>
      </w:r>
      <w:r>
        <w:rPr>
          <w:rtl w:val="true"/>
        </w:rPr>
        <w:t>«</w:t>
      </w:r>
      <w:r>
        <w:rPr>
          <w:rtl w:val="true"/>
        </w:rPr>
        <w:t>أشهدوا ذوي عدل</w:t>
      </w:r>
      <w:r>
        <w:rPr>
          <w:rtl w:val="true"/>
        </w:rPr>
        <w:t xml:space="preserve">» </w:t>
      </w:r>
      <w:r>
        <w:rPr>
          <w:rtl w:val="true"/>
        </w:rPr>
        <w:t>في الطلاق، مولوي؟</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ـ وهو مثال مشهور للإرشادية ـ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وحكم هذا تابع لكلي الرأي في العقود والإيقاعات وشرائطها وأجزائها وموانعها، وهل هي إرشادية مطلقاً ـ كما هو رأي المحقق الرشتي</w:t>
      </w:r>
      <w:r>
        <w:rPr>
          <w:rStyle w:val="FootnoteAnchor"/>
          <w:rtl w:val="true"/>
        </w:rPr>
        <w:footnoteReference w:id="57"/>
      </w:r>
      <w:r>
        <w:rPr>
          <w:rFonts w:ascii="Amiri" w:hAnsi="Amiri" w:eastAsia="Amiri" w:cs="Amiri"/>
          <w:color w:val="111111"/>
          <w:sz w:val="28"/>
          <w:sz w:val="28"/>
          <w:szCs w:val="28"/>
          <w:rtl w:val="true"/>
          <w:lang w:bidi="ar-SA"/>
        </w:rPr>
        <w:t>وآخرين؟ ـ أم في الجملة، فبعضها مولوي؟، وسيأتي بيانه</w:t>
      </w:r>
      <w:r>
        <w:rPr>
          <w:rStyle w:val="FootnoteAnchor"/>
          <w:rtl w:val="true"/>
        </w:rPr>
        <w:footnoteReference w:id="58"/>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خصوص هذه الآية الشريفة قد يصار للمولوية بقرينة لحوقها ب </w:t>
      </w:r>
      <w:bookmarkStart w:id="60" w:name="pg7671_76454"/>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ـ سواء قيل بوجوبها نفسياً أم لا، بل طريقياً، أو استحبابها ـ فإنهما متلازمان عرفاً</w:t>
      </w:r>
      <w:r>
        <w:rPr>
          <w:rStyle w:val="FootnoteAnchor"/>
          <w:rtl w:val="true"/>
        </w:rPr>
        <w:footnoteReference w:id="60"/>
      </w:r>
      <w:r>
        <w:rPr>
          <w:rFonts w:ascii="Amiri" w:hAnsi="Amiri" w:eastAsia="Amiri" w:cs="Amiri"/>
          <w:color w:val="111111"/>
          <w:sz w:val="28"/>
          <w:sz w:val="28"/>
          <w:szCs w:val="28"/>
          <w:rtl w:val="true"/>
          <w:lang w:bidi="ar-SA"/>
        </w:rPr>
        <w:t>،فالإشهاد ليس فقط ذا أثر وضعي وهو صحة الطلاق عنده</w:t>
      </w:r>
      <w:r>
        <w:rPr>
          <w:rStyle w:val="FootnoteAnchor"/>
          <w:rtl w:val="true"/>
        </w:rPr>
        <w:footnoteReference w:id="61"/>
      </w:r>
      <w:r>
        <w:rPr>
          <w:rFonts w:ascii="Amiri" w:hAnsi="Amiri" w:eastAsia="Amiri" w:cs="Amiri"/>
          <w:color w:val="111111"/>
          <w:sz w:val="28"/>
          <w:sz w:val="28"/>
          <w:szCs w:val="28"/>
          <w:rtl w:val="true"/>
          <w:lang w:bidi="ar-SA"/>
        </w:rPr>
        <w:t xml:space="preserve">، بل هو مستحب أيضاً كما أن ذيل الآية شاهد آخر على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يوعظ به من كان يؤمن بالله واليوم الآخر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وقال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الإشهاد في الطلاق واجب شرطي إذ بدون الإشهاد لا يصح الطلاق كما ذكرنا تفصيله في كتاب الطلاق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الفاضل المقدام في كنز العرفان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هو راجع إلى الطلاق، وذلك على الوجوب، وهو المروي عن أئمتنا عليهم السلام، لكون الكلام في الطلاق، فيكون ذلك قرينة دالة على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قيد عدم جواز الترك ـ أي للإشهاد ـ يكون في الطلاق، ومع قيد جوازه يكون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يحمل على الوجوب الشرطي كما ذكره الوالد ـ فتأمل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959179_1051229030"/>
      <w:bookmarkStart w:id="62" w:name="_Toc21"/>
      <w:bookmarkEnd w:id="61"/>
      <w:r>
        <w:rPr>
          <w:rtl w:val="true"/>
        </w:rPr>
        <w:t xml:space="preserve">هل </w:t>
      </w:r>
      <w:r>
        <w:rPr>
          <w:rtl w:val="true"/>
        </w:rPr>
        <w:t>«</w:t>
      </w:r>
      <w:r>
        <w:rPr>
          <w:rtl w:val="true"/>
        </w:rPr>
        <w:t>أقصد في مشيك</w:t>
      </w:r>
      <w:r>
        <w:rPr>
          <w:rtl w:val="true"/>
        </w:rPr>
        <w:t xml:space="preserve">» </w:t>
      </w:r>
      <w:r>
        <w:rPr>
          <w:rtl w:val="true"/>
        </w:rPr>
        <w:t>إرشادي؟</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اقْصِدْ فِي مَشْيِكَ وَاغْضُضْ مِن صَوْتِكَ</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وهذه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الواردة في مكارم الأخلاق، فهل هي إرشادية أم </w:t>
      </w:r>
    </w:p>
    <w:p>
      <w:pPr>
        <w:pStyle w:val="BookText"/>
        <w:rPr/>
      </w:pPr>
      <w:r>
        <w:rPr>
          <w:rFonts w:ascii="Amiri" w:hAnsi="Amiri" w:eastAsia="Amiri" w:cs="Amiri"/>
          <w:color w:val="111111"/>
          <w:sz w:val="28"/>
          <w:sz w:val="28"/>
          <w:szCs w:val="28"/>
          <w:rtl w:val="true"/>
          <w:lang w:bidi="ar-SA"/>
        </w:rPr>
        <w:t>مولوية؟ ولعل ذيل الآية يفيد الإرشاد وصدرها وسياقها يفيد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 فيه بين الدبيب والإسراع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في الصافي، 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مشيك قصداً مستوياً على وجه السكون والوقار،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تواضع،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 في مشيك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وفي تفسير القمي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ويحتمل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القصد والاقتصاد والاعتدال في شتى شؤونك، لكنه خلاف ظاهر الآية وسياقها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المعنى الأول ـ أي عدم السرعة والعجلة ـ فإنه إرشادي، كما أنه ليس من المستقلات العقلية إلا بلحاظ 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المعنى الثاني ـ أي المشي على وجه السكون والوقار ـ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المعنى الثالث ـ أي الاعتدال في كافة الشؤون ـ فالظاهر أنه من المستقلات العقلية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طلب لمحبوبيته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63" w:name="pg7671_76456"/>
    </w:p>
    <w:p>
      <w:pPr>
        <w:pStyle w:val="BookText"/>
        <w:rPr/>
      </w:pPr>
      <w:bookmarkEnd w:id="63"/>
      <w:r>
        <w:rPr>
          <w:rFonts w:ascii="Amiri" w:hAnsi="Amiri" w:eastAsia="Amiri" w:cs="Amiri"/>
          <w:color w:val="111111"/>
          <w:sz w:val="28"/>
          <w:sz w:val="28"/>
          <w:szCs w:val="28"/>
          <w:rtl w:val="true"/>
          <w:lang w:bidi="ar-SA"/>
        </w:rPr>
        <w:t>الأقسام الثلاثة كلها قد تكون مولوية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959181_1051229030"/>
      <w:bookmarkStart w:id="65" w:name="_Toc22"/>
      <w:bookmarkEnd w:id="64"/>
      <w:r>
        <w:rPr>
          <w:rtl w:val="true"/>
        </w:rPr>
        <w:t xml:space="preserve">شواهد على مولوية </w:t>
      </w:r>
      <w:r>
        <w:rPr>
          <w:rtl w:val="true"/>
        </w:rPr>
        <w:t>«</w:t>
      </w:r>
      <w:r>
        <w:rPr>
          <w:rtl w:val="true"/>
        </w:rPr>
        <w:t>كُلُواْ وَاشْرَبُواْ</w:t>
      </w:r>
      <w:r>
        <w:rPr>
          <w:rtl w:val="true"/>
        </w:rPr>
        <w:t>»</w:t>
      </w:r>
      <w:bookmarkEnd w:id="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والظاهر أن الأمر في الآية الأولى والثانية مولوي وليس إرشادياً، أي أنه صادر من المولى بما هو مولى ـ في مقام التشريع ـ كما هو الأصل،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الشارع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في مناكب الأرض والأكل من رزقه، وليس صرف الإباحة، وبعبارة أدق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واجب ـ وهو ما يقيم الأوَد ـ ومندوب ـ وهو ما يعين على الطاعة في الجملة ـ، نعم هو غيري لا نفسي، توصلي لا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منه للإباحة فهو لدليل خارجي</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959183_1051229030"/>
      <w:bookmarkStart w:id="67" w:name="_Toc23"/>
      <w:bookmarkEnd w:id="66"/>
      <w:r>
        <w:rPr>
          <w:rtl w:val="true"/>
        </w:rPr>
        <w:t xml:space="preserve">هل </w:t>
      </w:r>
      <w:r>
        <w:rPr>
          <w:rtl w:val="true"/>
        </w:rPr>
        <w:t>«</w:t>
      </w:r>
      <w:r>
        <w:rPr>
          <w:rtl w:val="true"/>
        </w:rPr>
        <w:t>كلوا واشربوا</w:t>
      </w:r>
      <w:r>
        <w:rPr>
          <w:rtl w:val="true"/>
        </w:rPr>
        <w:t xml:space="preserve">» </w:t>
      </w:r>
      <w:r>
        <w:rPr>
          <w:rtl w:val="true"/>
        </w:rPr>
        <w:t>للإباحة؟</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المولى صالح في حاشية المعالم على ما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إلى أن هذا الأمر للإباحة، حيث 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تستعمل في خمسة عشر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تام إذ التحقيق أن الصيغة لم تستعمل إلا في إنشاء الطلب، والدواعي خارجة عن الموضوع له وعن المستعمل فيه، نعم وضعت لإنشائه إذا كان الداعي البعث والتحريك لا إذا كان التهديد والتمني وإضرابهما، فلو كان الداعي غير البعث كان الاستعمال مجازياً كما صار إليه الآخوند، وتبعه جمع منهم الوالد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الضميمة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ذهبنا إلى أن الإنشاء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المعنى باللفظ</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فلا ضرورة للإلتزام بأن الصيغة ـ على هذا المبنى ـ قد استعملت في معاني كثيرة من التهديد والتعجيز و</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إذ الاعتبارات النفسانية مركبة ومختلفة غير متحدة، فيمكن القول بأن المبرز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التهديد أو التعجيز، فقد 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لكن لو انضم إليه التهديد مثلاً كان مجازاً، للاشتراط فتدبر جيداً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المولى صالح غير تام على مختلف الأقوال في الصيغة ـ ومنها قوله هو</w:t>
      </w:r>
      <w:r>
        <w:rPr>
          <w:rFonts w:eastAsia="Amiri" w:cs="Amiri" w:ascii="Amiri" w:hAnsi="Amiri"/>
          <w:color w:val="111111"/>
          <w:sz w:val="28"/>
          <w:szCs w:val="28"/>
          <w:rtl w:val="true"/>
          <w:lang w:bidi="ar-SA"/>
        </w:rPr>
        <w:t xml:space="preserve">. </w:t>
      </w:r>
      <w:bookmarkStart w:id="68" w:name="pg7671_76458"/>
    </w:p>
    <w:p>
      <w:pPr>
        <w:pStyle w:val="Heading3"/>
        <w:numPr>
          <w:ilvl w:val="2"/>
          <w:numId w:val="1"/>
        </w:numPr>
        <w:rPr/>
      </w:pPr>
      <w:bookmarkStart w:id="69" w:name="__RefHeading___Toc3959185_1051229030"/>
      <w:bookmarkStart w:id="70" w:name="_Toc24"/>
      <w:bookmarkEnd w:id="68"/>
      <w:bookmarkEnd w:id="69"/>
      <w:r>
        <w:rPr>
          <w:rtl w:val="true"/>
        </w:rPr>
        <w:t xml:space="preserve">تحقيق الحال في </w:t>
      </w:r>
      <w:r>
        <w:rPr>
          <w:rtl w:val="true"/>
        </w:rPr>
        <w:t>(</w:t>
      </w:r>
      <w:r>
        <w:rPr>
          <w:rtl w:val="true"/>
        </w:rPr>
        <w:t>الآية</w:t>
      </w:r>
      <w:r>
        <w:rPr>
          <w:rtl w:val="true"/>
        </w:rPr>
        <w:t xml:space="preserve">) </w:t>
      </w:r>
      <w:r>
        <w:rPr>
          <w:rtl w:val="true"/>
        </w:rPr>
        <w:t xml:space="preserve">على كل الأقوال في </w:t>
      </w:r>
      <w:r>
        <w:rPr>
          <w:rtl w:val="true"/>
        </w:rPr>
        <w:t>(</w:t>
      </w:r>
      <w:r>
        <w:rPr>
          <w:rtl w:val="true"/>
        </w:rPr>
        <w:t>الصيغة</w:t>
      </w:r>
      <w:r>
        <w:rPr>
          <w:rtl w:val="true"/>
        </w:rPr>
        <w:t>)</w:t>
      </w:r>
      <w:bookmarkEnd w:id="70"/>
    </w:p>
    <w:p>
      <w:pPr>
        <w:pStyle w:val="BookText"/>
        <w:rPr/>
      </w:pPr>
      <w:r>
        <w:rPr>
          <w:rFonts w:ascii="Amiri" w:hAnsi="Amiri" w:eastAsia="Amiri" w:cs="Amiri"/>
          <w:color w:val="111111"/>
          <w:sz w:val="28"/>
          <w:sz w:val="28"/>
          <w:szCs w:val="28"/>
          <w:rtl w:val="true"/>
          <w:lang w:bidi="ar-SA"/>
        </w:rPr>
        <w:t xml:space="preserve">إذ على كل من الأقوال بأن الصيغة موضوعة للوجوب أو الندب أو مطلق الطلب، فإنه لا يرفع إليه عن الحقيقة إلا لدى تعذرها،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واجب ـ وهو ما توقف عليه حفظ النفس والقوى ـ ومستحب ـ وهو ما أعان على الطاعة ـ ومباح ـ وهو ما عداهما ـ وحيث أمكن المعنى الحقيقي، لا يصار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أصل وجوب أو استحباب أو مطلوبية ـ حسب المباني، طبيعة الأكل والشرب، والمتحقق بقدر منه، أو ظاهرها ـ بقرينة فهم العرف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شيئاً واشربوا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عموم لها للإفراد على نحو الاستغراق، ليتوهم أنه بين واجب ومندوب ومباح، ولا يمكن استعمال اللفظ في أكثر من معنى ـ حقيقي ومجازي ـ فلابد من حملها على الإباحة، لأنها الجامع والقدر المشترك، مع أنه يرد عليه</w:t>
      </w:r>
      <w:r>
        <w:rPr>
          <w:rStyle w:val="FootnoteAnchor"/>
          <w:rtl w:val="true"/>
        </w:rPr>
        <w:footnoteReference w:id="75"/>
      </w:r>
      <w:r>
        <w:rPr>
          <w:rFonts w:ascii="Amiri" w:hAnsi="Amiri" w:eastAsia="Amiri" w:cs="Amiri"/>
          <w:color w:val="111111"/>
          <w:sz w:val="28"/>
          <w:sz w:val="28"/>
          <w:szCs w:val="28"/>
          <w:rtl w:val="true"/>
          <w:lang w:bidi="ar-SA"/>
        </w:rPr>
        <w:t>إشكالات عديدة مبنى وبناء حتى لو قلنا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بالاشتراك اللفظي بين تلك المعاني الخمسة عشرة،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الوجوب والندب والإباحة، والإباحة هي المسلّم، لأنها الجامع لذا صار إليه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قسيم وليست مقسماً، ولذا جعلها أحد المعاني الخمسة عشرة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توهم الحظر فهو </w:t>
      </w:r>
      <w:bookmarkStart w:id="71" w:name="pg7671_76459"/>
    </w:p>
    <w:p>
      <w:pPr>
        <w:pStyle w:val="BookText"/>
        <w:rPr/>
      </w:pPr>
      <w:bookmarkEnd w:id="71"/>
      <w:r>
        <w:rPr>
          <w:rFonts w:ascii="Amiri" w:hAnsi="Amiri" w:eastAsia="Amiri" w:cs="Amiri"/>
          <w:color w:val="111111"/>
          <w:sz w:val="28"/>
          <w:sz w:val="28"/>
          <w:szCs w:val="28"/>
          <w:rtl w:val="true"/>
          <w:lang w:bidi="ar-SA"/>
        </w:rPr>
        <w:t>للإباحة ـ حتى لو كان للوجوب وضعاً فكيف على غيره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بعض الآيات قيل بذلك أو لعله لذلك،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المعاني الخمسة عشرة مستعمل فيها فقط وليست مشتركاً لفظياً بل موضوعة للوجوب أو الندب أو مطلق الطلب،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للإباحة ليس دليلاً على كونه إرشادياً، فإن الإباحة ـ بناء على كونها حكماً وهي كذلك ـ تقع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قرره الشارع وجعله ـ أو مطلق المولى ـ  بما هو مولى مُعمِلاً مقام مولويته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959187_1051229030"/>
      <w:bookmarkStart w:id="73" w:name="_Toc25"/>
      <w:bookmarkEnd w:id="72"/>
      <w:r>
        <w:rPr>
          <w:rtl w:val="true"/>
        </w:rPr>
        <w:t xml:space="preserve">أدلة أخرى على مولوية </w:t>
      </w:r>
      <w:r>
        <w:rPr>
          <w:rtl w:val="true"/>
        </w:rPr>
        <w:t>«</w:t>
      </w:r>
      <w:r>
        <w:rPr>
          <w:rtl w:val="true"/>
        </w:rPr>
        <w:t>كلوا واشربوا</w:t>
      </w:r>
      <w:r>
        <w:rPr>
          <w:rtl w:val="true"/>
        </w:rPr>
        <w:t>»</w:t>
      </w:r>
      <w:bookmarkEnd w:id="73"/>
    </w:p>
    <w:p>
      <w:pPr>
        <w:pStyle w:val="BookText"/>
        <w:rPr/>
      </w:pPr>
      <w:r>
        <w:rPr>
          <w:rFonts w:ascii="Amiri" w:hAnsi="Amiri" w:eastAsia="Amiri" w:cs="Amiri"/>
          <w:color w:val="111111"/>
          <w:sz w:val="28"/>
          <w:sz w:val="28"/>
          <w:szCs w:val="28"/>
          <w:rtl w:val="true"/>
          <w:lang w:bidi="ar-SA"/>
        </w:rPr>
        <w:t>ولعل مما يدل على المولوية ملاحظة الآية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مولوي فتستفاد 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لا السياق فحسب، في الفهم العرفي، كما قد يستفاد الوجوب، لكون مقابِلِه، للحرمة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إرشاد للمكلف للابتعاد، عما فيه الضرر، ونصح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محبوباً لله أو النهي المعلل بكونه مبغوضاً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هما </w:t>
      </w:r>
    </w:p>
    <w:p>
      <w:pPr>
        <w:pStyle w:val="BookText"/>
        <w:rPr/>
      </w:pPr>
      <w:r>
        <w:rPr>
          <w:rFonts w:ascii="Amiri" w:hAnsi="Amiri" w:eastAsia="Amiri" w:cs="Amiri"/>
          <w:color w:val="111111"/>
          <w:sz w:val="28"/>
          <w:sz w:val="28"/>
          <w:szCs w:val="28"/>
          <w:rtl w:val="true"/>
          <w:lang w:bidi="ar-SA"/>
        </w:rPr>
        <w:t xml:space="preserve">وإن كانا من قبيل الضدين اللذين لهما ثالث إلا أن المتفاهم العرفي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لا عدم الحب فقط، خاصة بملاحظة قرينة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خاصة بملاحظة الضابط الذي ذكره المحقق الرشتي للمولوية ـ ظاهر في المولوية،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كذلك، بدعوى أن عدم حب المسرفين في الأكل والشرب يلازم عرفاً حب الأكل والشرب، باقتصاد وتوسط فتأمل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وقد يستدل على المولوية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بما هو مولى ـ لأن يأكل عبيده من ملكه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ويوضحه ما رواه في الكافي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عذب الله قوماً قط وهم يأكلون، وإن الله أكرم من أن يرزقهم شيئاً ثم يعذبهم عليه حتى يفرغوا منه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الجهة</w:t>
      </w:r>
      <w:r>
        <w:rPr>
          <w:rStyle w:val="FootnoteAnchor"/>
          <w:rtl w:val="true"/>
        </w:rPr>
        <w:footnoteReference w:id="79"/>
      </w:r>
      <w:r>
        <w:rPr>
          <w:rFonts w:ascii="Amiri" w:hAnsi="Amiri" w:eastAsia="Amiri" w:cs="Amiri"/>
          <w:color w:val="111111"/>
          <w:sz w:val="28"/>
          <w:sz w:val="28"/>
          <w:szCs w:val="28"/>
          <w:rtl w:val="true"/>
          <w:lang w:bidi="ar-SA"/>
        </w:rPr>
        <w:t xml:space="preserve">تفيد المولوية ظاهراً على القول بأن الضابط للمولوي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حاجة لنا بها، على بعض الضوابط الأخرى أيضاً</w:t>
      </w:r>
      <w:r>
        <w:rPr>
          <w:rStyle w:val="FootnoteAnchor"/>
          <w:rtl w:val="true"/>
        </w:rPr>
        <w:footnoteReference w:id="80"/>
      </w:r>
      <w:r>
        <w:rPr>
          <w:rFonts w:ascii="Amiri" w:hAnsi="Amiri" w:eastAsia="Amiri" w:cs="Amiri"/>
          <w:color w:val="111111"/>
          <w:sz w:val="28"/>
          <w:sz w:val="28"/>
          <w:szCs w:val="28"/>
          <w:rtl w:val="true"/>
          <w:lang w:bidi="ar-SA"/>
        </w:rPr>
        <w:t xml:space="preserve">، كما أنها ترجح المولوية على بعض الضوابط الأخرى، كالضابط الأول الذي ارتضيناه، فإن المحبوبية </w:t>
      </w:r>
    </w:p>
    <w:p>
      <w:pPr>
        <w:pStyle w:val="BookText"/>
        <w:rPr/>
      </w:pPr>
      <w:r>
        <w:rPr>
          <w:rFonts w:ascii="Amiri" w:hAnsi="Amiri" w:eastAsia="Amiri" w:cs="Amiri"/>
          <w:color w:val="111111"/>
          <w:sz w:val="28"/>
          <w:sz w:val="28"/>
          <w:szCs w:val="28"/>
          <w:rtl w:val="true"/>
          <w:lang w:bidi="ar-SA"/>
        </w:rPr>
        <w:t>وإن لم تكن هي تمام الملاك للمولوية والإرشادية، لكن معرفة كون الشيء محبوباً للمولى وقد صدر لجهة محبوبيته، يساعد على القول بمولويته ـ التشريعية وإن أمكن الذهاب للمولوية النصحية بل للإرشاد الندبي فتدبر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وقد يستند إلى وحدة السياق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المولوية، وهو مستحب يترتب عليه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يستند إلى الروايات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فقد روى في الكافي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 أفضلها طلب الحلال</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لكن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ينقح المناط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 الحلال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تلذذ بالماء في الدنيا، لذذه الله من أشربة الجنة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حلالاً، فتح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فإن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الأمر به مولوي لا إرشادي ـ فتأمل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وكذا الروايات الواردة في ما يستحب أكله أو يكره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ومفهوم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لقمة حرام لم تقبل له صلاة أربعين ليلة ولم يستجب له دعاؤه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اللقمة الواحدة تنبت اللحم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يدل على 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للطلب وليس إرشادياً للنصح ولا صورياً، كما ادعاه الطبرسي في المجمع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صورته صورة أمره، والمراد الإباحة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بعض الآيات مما ورد فيه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فإن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مطلوبيتهما؛ فإن بهما تتحقق الفائدة من جعله تعالى الأرض ذلولاً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تعالى التكويني، للأرض ذلولاً استتبع طلبه المشي في مناكبها والأكل من رزقه، وناسب المولوية، أي أنه أراد من كونها ذلولاً، مشي عبادة فيها والأكل من رزقه، فالمشي والأكل بين واجب ومستحب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والأكل من رزقه، محبوبان له تعالى، حيث قد جعل الأرض ذلولاً بلحاظهما ـ ولو كجزء من الغرض والغاية ـ </w:t>
      </w:r>
    </w:p>
    <w:p>
      <w:pPr>
        <w:pStyle w:val="BookText"/>
        <w:rPr/>
      </w:pPr>
      <w:r>
        <w:rPr>
          <w:rFonts w:ascii="Amiri" w:hAnsi="Amiri" w:eastAsia="Amiri" w:cs="Amiri"/>
          <w:color w:val="111111"/>
          <w:sz w:val="28"/>
          <w:sz w:val="28"/>
          <w:szCs w:val="28"/>
          <w:rtl w:val="true"/>
          <w:lang w:bidi="ar-SA"/>
        </w:rPr>
        <w:t>فالأمر به دليل مطلوبيته، لا مجرد إباحته،وما كان محبوباً للمولى وقد طلبه لأجل محبوبيته له، فالأمر به مولوي ـ على الضابط الثالث للمولوي</w:t>
      </w:r>
      <w:r>
        <w:rPr>
          <w:rStyle w:val="FootnoteAnchor"/>
          <w:rtl w:val="true"/>
        </w:rPr>
        <w:footnoteReference w:id="90"/>
      </w:r>
      <w:r>
        <w:rPr>
          <w:rFonts w:ascii="Amiri" w:hAnsi="Amiri" w:eastAsia="Amiri" w:cs="Amiri"/>
          <w:color w:val="111111"/>
          <w:sz w:val="28"/>
          <w:sz w:val="28"/>
          <w:szCs w:val="28"/>
          <w:rtl w:val="true"/>
          <w:lang w:bidi="ar-SA"/>
        </w:rPr>
        <w:t>ـ أو إنه مما يرجح كونه مولوياً ـ على الضابط الأول في الإرشادي والمولوي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كما أنه مما قد يستدل به على أن الأمر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الطيبات</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للطلب وليس لمجرد الإباحة، أن ضمّه إلى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ذلك عرفاً،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أحل لكم الطيبات</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الحكم الوضعي وهو حلية الطيبات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الحكم التكليفي، فلو كان للإباحة لما أفاد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بوضوح أكثر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رزقكم الله حلالاً طيباً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في الأرض حلالاً طيباً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فإن كونه حلالاً طيباً، أخذ في رتبة سابقة ـ وإن كان حالاً ـ فيحسن أن يكون الأمر به للوجوب أو الندب، لا لمجرد الإباحة، كما أنه يشعر بالمطلوبية وصفه تعالى المتعلق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البين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اعتباران</w:t>
      </w:r>
      <w:r>
        <w:rPr>
          <w:rStyle w:val="FootnoteAnchor"/>
          <w:rtl w:val="true"/>
        </w:rPr>
        <w:footnoteReference w:id="96"/>
      </w:r>
      <w:r>
        <w:rPr>
          <w:rFonts w:ascii="Amiri" w:hAnsi="Amiri" w:eastAsia="Amiri" w:cs="Amiri"/>
          <w:color w:val="111111"/>
          <w:sz w:val="28"/>
          <w:sz w:val="28"/>
          <w:szCs w:val="28"/>
          <w:rtl w:val="true"/>
          <w:lang w:bidi="ar-SA"/>
        </w:rPr>
        <w:t>ولو كانت عينه لما صح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w:t>
      </w:r>
    </w:p>
    <w:p>
      <w:pPr>
        <w:pStyle w:val="BookText"/>
        <w:rPr/>
      </w:pP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أكله حال كونه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مما في الأرض، مطلوب لله تعالى ومحبوب له وإن الأمر به مولوي ـ للندب أو الوجوب ـ فيما به قيام الأود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فإن أمر الرسل بذلك وجعله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المحبوبية بل المولوية، وأما كونه لصرف الإباحة فخلاف المتبادر ولا وجه محسِّن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رزق ربكم واشكروا 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فإن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ذاتاً للمولى بما هو مولى، قرينة عرفاً على أن المعطوف عليه كذلك لا أقل بلحاظ طريقيته  ـ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فإن يوسف عليه السلام وإن كان أعلى مرتبة، إلا أنه لم يستخدم مقام مولويته عند هذا الطلب، بل كان مجرد إرشاد، خاصة بلحاظ آخر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حفيظ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تقصص رؤياك على اخوتك فيكيدوا لك كيداً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فقد يستظهر بقرينة آخر الآية، أنه إرشادي، لكن لا تبعد المولوية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ربما يعد إرشادياً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إما بلحاظ </w:t>
      </w:r>
    </w:p>
    <w:p>
      <w:pPr>
        <w:pStyle w:val="BookText"/>
        <w:rPr/>
      </w:pPr>
      <w:r>
        <w:rPr>
          <w:rFonts w:ascii="Amiri" w:hAnsi="Amiri" w:eastAsia="Amiri" w:cs="Amiri"/>
          <w:color w:val="111111"/>
          <w:sz w:val="28"/>
          <w:sz w:val="28"/>
          <w:szCs w:val="28"/>
          <w:rtl w:val="true"/>
          <w:lang w:bidi="ar-SA"/>
        </w:rPr>
        <w:t xml:space="preserve">أن المصلحة دنيوية، وإما بلحاظ أن ذلك من المستقلات العقلية، والأوامر فيها إرشادية، على الضابط الخامس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فَاقْرَؤُوا مَا تَيَسَّرَ مِنْهُ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لكن الظاهر أنه مولوي للندب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وقد أشرنا إلى جانب من الحديث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التفسير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الزنا</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فإنه حرام، والنهي عن قربه تنزيه وإرشاد إلا إذا كان كناية عنه، لكن الظاهر إرادة معناه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حام حول الحمى أوشك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بحثناه في موضع آخر من الكتاب فليلاحظ</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دفعتم إليهم أموالهم فأشهدوا عليهم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وقد سبق البحث عن نظائره</w:t>
      </w:r>
      <w:r>
        <w:rPr>
          <w:rStyle w:val="FootnoteAnchor"/>
          <w:rtl w:val="true"/>
        </w:rPr>
        <w:footnoteReference w:id="107"/>
      </w:r>
      <w:r>
        <w:rPr>
          <w:rFonts w:ascii="Amiri" w:hAnsi="Amiri" w:eastAsia="Amiri" w:cs="Amiri"/>
          <w:color w:val="111111"/>
          <w:sz w:val="28"/>
          <w:sz w:val="28"/>
          <w:szCs w:val="28"/>
          <w:rtl w:val="true"/>
          <w:lang w:bidi="ar-SA"/>
        </w:rPr>
        <w:t>بالتفصيل وسيأتي أيضاً</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671_76467"/>
      <w:bookmarkStart w:id="75" w:name="pg7671_76467"/>
      <w:bookmarkEnd w:id="75"/>
    </w:p>
    <w:p>
      <w:pPr>
        <w:pStyle w:val="Heading2"/>
        <w:numPr>
          <w:ilvl w:val="1"/>
          <w:numId w:val="1"/>
        </w:numPr>
        <w:rPr/>
      </w:pPr>
      <w:bookmarkStart w:id="76" w:name="pg7671_76467"/>
      <w:bookmarkStart w:id="77" w:name="__RefHeading___Toc3959189_1051229030"/>
      <w:bookmarkStart w:id="78" w:name="_Toc26"/>
      <w:bookmarkEnd w:id="76"/>
      <w:bookmarkEnd w:id="77"/>
      <w:r>
        <w:rPr>
          <w:rtl w:val="true"/>
        </w:rPr>
        <w:t xml:space="preserve">المبحث الثاني </w:t>
      </w:r>
      <w:r>
        <w:rPr>
          <w:rtl w:val="true"/>
        </w:rPr>
        <w:t xml:space="preserve">: </w:t>
      </w:r>
      <w:r>
        <w:rPr>
          <w:rtl w:val="true"/>
        </w:rPr>
        <w:t>هل ورد مصطلح الأمر المولوي والإرشادي في الكتاب والسنة؟</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3959191_1051229030"/>
      <w:bookmarkStart w:id="80" w:name="_Toc27"/>
      <w:bookmarkEnd w:id="79"/>
      <w:r>
        <w:rPr>
          <w:rtl w:val="true"/>
        </w:rPr>
        <w:t>اشارة</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671_76469"/>
      <w:bookmarkStart w:id="82" w:name="pg7671_76469"/>
      <w:bookmarkEnd w:id="82"/>
    </w:p>
    <w:p>
      <w:pPr>
        <w:pStyle w:val="BookText"/>
        <w:rPr/>
      </w:pPr>
      <w:bookmarkStart w:id="83" w:name="pg7671_76469"/>
      <w:bookmarkEnd w:id="83"/>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 مصطلح الأمر المولوي والإرشادي في الكتاب والسنة؟</w:t>
      </w:r>
    </w:p>
    <w:p>
      <w:pPr>
        <w:pStyle w:val="BookText"/>
        <w:rPr/>
      </w:pPr>
      <w:r>
        <w:rPr>
          <w:rFonts w:ascii="Amiri" w:hAnsi="Amiri" w:eastAsia="Amiri" w:cs="Amiri"/>
          <w:color w:val="111111"/>
          <w:sz w:val="28"/>
          <w:sz w:val="28"/>
          <w:szCs w:val="28"/>
          <w:rtl w:val="true"/>
          <w:lang w:bidi="ar-SA"/>
        </w:rPr>
        <w:t xml:space="preserve">ثم إن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 والإرشادي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وموصوفاً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الشارع ـ فيما نعلم ـ بهذا اللفظ، إلا أن كلاً من هذه الألفاظ الثلاثة قد ورد في كلام الشارع، وقد ذكرت مادته وبعض مشتقاته في الآيات والروايات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959193_1051229030"/>
      <w:bookmarkStart w:id="85" w:name="_Toc28"/>
      <w:bookmarkEnd w:id="84"/>
      <w:r>
        <w:rPr>
          <w:rtl w:val="true"/>
        </w:rPr>
        <w:t>(</w:t>
      </w:r>
      <w:r>
        <w:rPr>
          <w:rtl w:val="true"/>
        </w:rPr>
        <w:t>المولوي</w:t>
      </w:r>
      <w:r>
        <w:rPr>
          <w:rtl w:val="true"/>
        </w:rPr>
        <w:t xml:space="preserve">) </w:t>
      </w:r>
      <w:r>
        <w:rPr>
          <w:rtl w:val="true"/>
        </w:rPr>
        <w:t>في الكتاب</w:t>
      </w:r>
      <w:bookmarkEnd w:id="85"/>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مولى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بهذه الآية للتعميم الذي سنذكره، من أن للمولى </w:t>
      </w:r>
      <w:bookmarkStart w:id="86" w:name="pg7671_76470"/>
    </w:p>
    <w:p>
      <w:pPr>
        <w:pStyle w:val="BookText"/>
        <w:rPr/>
      </w:pPr>
      <w:bookmarkEnd w:id="86"/>
      <w:r>
        <w:rPr>
          <w:rFonts w:ascii="Amiri" w:hAnsi="Amiri" w:eastAsia="Amiri" w:cs="Amiri"/>
          <w:color w:val="111111"/>
          <w:sz w:val="28"/>
          <w:sz w:val="28"/>
          <w:szCs w:val="28"/>
          <w:rtl w:val="true"/>
          <w:lang w:bidi="ar-SA"/>
        </w:rPr>
        <w:t>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التشريع ومقام الناصح، إضافة إلى مقام 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الذي خصه القوم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وخصه بعضهم بالتكليفي منه، وعممه بعضهم للوضعي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هو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والثاني هو ما نذهب إلى أنه أحد مقامات المولى وأحد شؤونه، وإن الأمر الإرشادي كالمولوي، مقتضى مقامه ومقتضى لطفه وكرمه، وأن أمره بما هو ناصح إذا أمر بما هو مولى ناصحاً، للوجوب، كما إن أمره بما هو مشرّع إذا أمر بما هو مولى، للوجوب</w:t>
      </w:r>
      <w:r>
        <w:rPr>
          <w:rStyle w:val="FootnoteAnchor"/>
          <w:rtl w:val="true"/>
        </w:rPr>
        <w:footnoteReference w:id="110"/>
      </w:r>
      <w:r>
        <w:rPr>
          <w:rFonts w:ascii="Amiri" w:hAnsi="Amiri" w:eastAsia="Amiri" w:cs="Amiri"/>
          <w:color w:val="111111"/>
          <w:sz w:val="28"/>
          <w:sz w:val="28"/>
          <w:szCs w:val="28"/>
          <w:rtl w:val="true"/>
          <w:lang w:bidi="ar-SA"/>
        </w:rPr>
        <w:t>، والفرق بين الوجوبين إنما هو في استحقاق العقاب بالمخالفة على الثاني دون الأول، 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جل اسمه قد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 وقد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959195_1051229030"/>
      <w:bookmarkStart w:id="88" w:name="_Toc29"/>
      <w:bookmarkEnd w:id="87"/>
      <w:r>
        <w:rPr>
          <w:rtl w:val="true"/>
        </w:rPr>
        <w:t>دلالة الآية الكريمة على وجود قسمين للمولوي</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التمسك بالآية للتعميم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الولاية، وفلان مولى فلان أي ذو ولاية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الولاية على ذاته وتصرفاته وشؤونه ومنها ولاية تكليفه ونصحه وإرشاده، فما في </w:t>
      </w:r>
      <w:bookmarkStart w:id="89" w:name="pg7671_76471"/>
    </w:p>
    <w:p>
      <w:pPr>
        <w:pStyle w:val="BookText"/>
        <w:rPr/>
      </w:pPr>
      <w:bookmarkEnd w:id="89"/>
      <w:r>
        <w:rPr>
          <w:rFonts w:ascii="Amiri" w:hAnsi="Amiri" w:eastAsia="Amiri" w:cs="Amiri"/>
          <w:color w:val="111111"/>
          <w:sz w:val="28"/>
          <w:sz w:val="28"/>
          <w:szCs w:val="28"/>
          <w:rtl w:val="true"/>
          <w:lang w:bidi="ar-SA"/>
        </w:rPr>
        <w:t>المفردات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 الأمر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تفسير بالأخص</w:t>
      </w:r>
      <w:r>
        <w:rPr>
          <w:rStyle w:val="FootnoteAnchor"/>
          <w:rtl w:val="true"/>
        </w:rPr>
        <w:footnoteReference w:id="112"/>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 ذات المولّى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بدائرة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أمر نصح العبد أيضاً وإرشاده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أمر عبده من حيث التكليف ومن حيث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بوضوح بملاحظة حال الأب مع أبنائه؛ فإنه ليس آمراً زاجراً دائماً، بل أكثر حاله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والإرشاد، والعرف يرى أن ذلك هو مقتضى ولايته عليهم وكونه ولياً ومولى لهم وكونهم موالي له، ولو لم يفعل عدّ مفرطاً بما هو أب ومولى، لا بما هو صديق أو مؤمن فقط</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959197_1051229030"/>
      <w:bookmarkStart w:id="91" w:name="_Toc30"/>
      <w:bookmarkEnd w:id="90"/>
      <w:r>
        <w:rPr>
          <w:rtl w:val="true"/>
        </w:rPr>
        <w:t>مقتضى مقام المولى</w:t>
      </w:r>
      <w:r>
        <w:rPr>
          <w:rtl w:val="true"/>
        </w:rPr>
        <w:t xml:space="preserve">: </w:t>
      </w:r>
      <w:r>
        <w:rPr>
          <w:rtl w:val="true"/>
        </w:rPr>
        <w:t>الإخبار ناصحاً</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مقام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ناصحاً وليس فقط إنشاء النصح،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بالذل هانت عليه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 والجبن منقصة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وغيرها، إخبار من المولى، لكونه مولى لهم يحب خيرهم وصلاحهم، لا أنه جرد نفسه عن مقام المولوية وتلبس بمقام آخر كما أنه ليس إنشاءً،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w:t>
      </w:r>
      <w:r>
        <w:rPr>
          <w:rStyle w:val="FootnoteAnchor"/>
          <w:rtl w:val="true"/>
        </w:rPr>
        <w:footnoteReference w:id="115"/>
      </w:r>
      <w:r>
        <w:rPr>
          <w:rFonts w:ascii="Amiri" w:hAnsi="Amiri" w:eastAsia="Amiri" w:cs="Amiri"/>
          <w:color w:val="111111"/>
          <w:sz w:val="28"/>
          <w:sz w:val="28"/>
          <w:szCs w:val="28"/>
          <w:rtl w:val="true"/>
          <w:lang w:bidi="ar-SA"/>
        </w:rPr>
        <w:t>الكمال والتكامل لمواليه</w:t>
      </w:r>
      <w:r>
        <w:rPr>
          <w:rFonts w:eastAsia="Amiri" w:cs="Amiri" w:ascii="Amiri" w:hAnsi="Amiri"/>
          <w:color w:val="111111"/>
          <w:sz w:val="28"/>
          <w:szCs w:val="28"/>
          <w:rtl w:val="true"/>
          <w:lang w:bidi="ar-SA"/>
        </w:rPr>
        <w:t xml:space="preserve">. </w:t>
      </w:r>
      <w:bookmarkStart w:id="92" w:name="pg7671_76472"/>
    </w:p>
    <w:p>
      <w:pPr>
        <w:pStyle w:val="BookText"/>
        <w:rPr/>
      </w:pPr>
      <w:bookmarkEnd w:id="92"/>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كان إنشاء للنصح،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والداعي النصح، ويدل عليه بدلالة الإيماء والإشارة ، فتأمل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959199_1051229030"/>
      <w:bookmarkStart w:id="94" w:name="_Toc31"/>
      <w:bookmarkEnd w:id="93"/>
      <w:r>
        <w:rPr>
          <w:rtl w:val="true"/>
        </w:rPr>
        <w:t>هل الآية في مقام الولاية التكوينية فقط؟</w:t>
      </w:r>
      <w:bookmarkEnd w:id="94"/>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 المؤمنين وتدمير الكافرين، معلول لكونه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منطوق الآية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ينصرهم لأنه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في مقام الولاية التكوينية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 بها البعض كالصافي،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ناصرهم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تفسير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تعالى كونه مولى لهم، علة لتدمير الكافرين ونصر المؤمنين، لا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التكوينية، إذ إثبات الشيء لا ينفي ما عداه، بل إن من البديهي أن تعليل أثر بعلةٍ لا يحصرها في ذلك الأثر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نعم قد يستدل للاختصاص هنا بالنصرة بقرينة المقابلة</w:t>
      </w:r>
      <w:r>
        <w:rPr>
          <w:rStyle w:val="FootnoteAnchor"/>
          <w:rtl w:val="true"/>
        </w:rPr>
        <w:footnoteReference w:id="117"/>
      </w:r>
      <w:r>
        <w:rPr>
          <w:rFonts w:ascii="Amiri" w:hAnsi="Amiri" w:eastAsia="Amiri" w:cs="Amiri"/>
          <w:color w:val="111111"/>
          <w:sz w:val="28"/>
          <w:sz w:val="28"/>
          <w:szCs w:val="28"/>
          <w:rtl w:val="true"/>
          <w:lang w:bidi="ar-SA"/>
        </w:rPr>
        <w:t>فيجاب بأن تغيير السياق غير عزيز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للاختصاص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معنى مجمل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ينصر المؤمنين؛ لأنه مولى لهم، وأما الكافرين فلا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مولى لهم ينصرهم من دون اللهسبحانه، وليس نفياً لمولويته </w:t>
      </w:r>
    </w:p>
    <w:p>
      <w:pPr>
        <w:pStyle w:val="BookText"/>
        <w:rPr/>
      </w:pPr>
      <w:r>
        <w:rPr>
          <w:rFonts w:ascii="Amiri" w:hAnsi="Amiri" w:eastAsia="Amiri" w:cs="Amiri"/>
          <w:color w:val="111111"/>
          <w:sz w:val="28"/>
          <w:sz w:val="28"/>
          <w:szCs w:val="28"/>
          <w:rtl w:val="true"/>
          <w:lang w:bidi="ar-SA"/>
        </w:rPr>
        <w:t>سبحانه عنهم مطلقاً، إذ لا شك أنه تعالى مالك لهم وأولى بهم من أنفسهم، فالنفي متوجه إلى شعاع من أشعة المولى لا إلى ذاته وسائر شؤونه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مجمل ما ذكر في الآيات السابقات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وفي المقابل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فتعساً لهم وأضل أعمالهم</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ولحق ذلك كله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وإن الكافرين لا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تلك الموارد فيها التكويني والتشريعي، ومنها الهداية والإرشاد والتوفيق والتسديد الغيبي والظاهري؛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إراءة الطريق ومن الإيصال للمطلوب،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الطريق منشأً أو مخبِراً،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كالمشرع،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أنه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النصر بفعل أو قول أو 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الدليل الخارجي والقرائن القطعية دلت على كون مولويته أعم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الإيراد لا يرد على التمسك بالآية اللاحقة، إذ هي واضحة </w:t>
      </w:r>
      <w:bookmarkStart w:id="95" w:name="pg7671_76474"/>
    </w:p>
    <w:p>
      <w:pPr>
        <w:pStyle w:val="BookText"/>
        <w:rPr/>
      </w:pPr>
      <w:bookmarkEnd w:id="95"/>
      <w:r>
        <w:rPr>
          <w:rFonts w:ascii="IRNazanin" w:hAnsi="IRNazanin" w:eastAsia="IRNazanin"/>
          <w:color w:val="111111"/>
          <w:sz w:val="28"/>
          <w:sz w:val="28"/>
          <w:szCs w:val="28"/>
          <w:rtl w:val="true"/>
          <w:lang w:bidi="fa-IR"/>
        </w:rPr>
        <w:t>الإطلاق والشمول</w:t>
      </w:r>
      <w:r>
        <w:rPr>
          <w:rFonts w:eastAsia="IRNazanin" w:cs="IRNazanin"/>
          <w:color w:val="111111"/>
          <w:sz w:val="28"/>
          <w:szCs w:val="28"/>
          <w:rtl w:val="true"/>
          <w:lang w:bidi="fa-IR"/>
        </w:rPr>
        <w:t>.</w:t>
      </w:r>
    </w:p>
    <w:p>
      <w:pPr>
        <w:pStyle w:val="Heading3"/>
        <w:numPr>
          <w:ilvl w:val="2"/>
          <w:numId w:val="1"/>
        </w:numPr>
        <w:rPr/>
      </w:pPr>
      <w:bookmarkStart w:id="96" w:name="__RefHeading___Toc3959201_1051229030"/>
      <w:bookmarkStart w:id="97" w:name="_Toc32"/>
      <w:bookmarkEnd w:id="96"/>
      <w:r>
        <w:rPr>
          <w:rtl w:val="true"/>
        </w:rPr>
        <w:t xml:space="preserve">آية </w:t>
      </w:r>
      <w:r>
        <w:rPr>
          <w:rtl w:val="true"/>
        </w:rPr>
        <w:t>«</w:t>
      </w:r>
      <w:r>
        <w:rPr>
          <w:rtl w:val="true"/>
        </w:rPr>
        <w:t>الله ولي الذين آمنوا</w:t>
      </w:r>
      <w:r>
        <w:rPr>
          <w:rtl w:val="true"/>
        </w:rPr>
        <w:t>»</w:t>
      </w:r>
      <w:bookmarkEnd w:id="97"/>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ومقتضى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أيضاً ـ بإنشاء أو إخبار ـ لا التشريع فحسب، والآية شاملة لمقامي التشريع والتكوين معاً، خاصة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إخراجهم من الظلمات إلى النور، تشريعي وتكويني، ويشمل إخراجهم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نصحهم وإرشادهم وهدايتهم، كما يشمل تكليفهم بما يخرجهم من الظلمات إلى النور لو التزموا به، كما شمل اللطف التكويني الخاص بهم، والعناية الربانية لخروجهم إلى النور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959203_1051229030"/>
      <w:bookmarkStart w:id="99" w:name="_Toc33"/>
      <w:bookmarkEnd w:id="98"/>
      <w:r>
        <w:rPr>
          <w:rtl w:val="true"/>
        </w:rPr>
        <w:t xml:space="preserve">آية </w:t>
      </w:r>
      <w:r>
        <w:rPr>
          <w:rtl w:val="true"/>
        </w:rPr>
        <w:t>«</w:t>
      </w:r>
      <w:r>
        <w:rPr>
          <w:rtl w:val="true"/>
        </w:rPr>
        <w:t>مولاهم حق</w:t>
      </w:r>
      <w:r>
        <w:rPr>
          <w:rtl w:val="true"/>
        </w:rPr>
        <w:t>»</w:t>
      </w:r>
      <w:bookmarkEnd w:id="99"/>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 إلى الله مولاهم الحق</w:t>
      </w:r>
      <w:r>
        <w:rPr>
          <w:rFonts w:eastAsia="IRNazanin" w:cs="IRNazanin"/>
          <w:color w:val="111111"/>
          <w:sz w:val="28"/>
          <w:szCs w:val="28"/>
          <w:rtl w:val="true"/>
          <w:lang w:bidi="fa-IR"/>
        </w:rPr>
        <w:t>».</w:t>
      </w:r>
      <w:r>
        <w:rPr>
          <w:rStyle w:val="FootnoteAnchor"/>
          <w:rtl w:val="true"/>
        </w:rPr>
        <w:footnoteReference w:id="1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مقام مولويته التكوينية، فهي أجنبية عن المقام،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بهم تكويناً وتشريعاً ومن جميع الجهات</w:t>
      </w:r>
      <w:r>
        <w:rPr>
          <w:rStyle w:val="FootnoteAnchor"/>
          <w:rtl w:val="true"/>
        </w:rPr>
        <w:footnoteReference w:id="122"/>
      </w:r>
      <w:r>
        <w:rPr>
          <w:rFonts w:ascii="Amiri" w:hAnsi="Amiri" w:eastAsia="Amiri" w:cs="Amiri"/>
          <w:color w:val="111111"/>
          <w:sz w:val="28"/>
          <w:sz w:val="28"/>
          <w:szCs w:val="28"/>
          <w:rtl w:val="true"/>
          <w:lang w:bidi="ar-SA"/>
        </w:rPr>
        <w:t xml:space="preserve">، ويؤكده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يؤكده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أي الحكومة التكوينية والتشريعية، إلا لو قيل بالانصراف للأولى، أو قيل بأن السياق سياق التكوين لا </w:t>
      </w:r>
      <w:bookmarkStart w:id="100" w:name="pg7671_76475"/>
    </w:p>
    <w:p>
      <w:pPr>
        <w:pStyle w:val="BookText"/>
        <w:rPr/>
      </w:pPr>
      <w:bookmarkEnd w:id="100"/>
      <w:r>
        <w:rPr>
          <w:rFonts w:ascii="Amiri" w:hAnsi="Amiri" w:eastAsia="Amiri" w:cs="Amiri"/>
          <w:color w:val="111111"/>
          <w:sz w:val="28"/>
          <w:sz w:val="28"/>
          <w:szCs w:val="28"/>
          <w:rtl w:val="true"/>
          <w:lang w:bidi="ar-SA"/>
        </w:rPr>
        <w:t>التشريع ـ فتأمل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959205_1051229030"/>
      <w:bookmarkStart w:id="102" w:name="_Toc34"/>
      <w:bookmarkEnd w:id="101"/>
      <w:r>
        <w:rPr>
          <w:rtl w:val="true"/>
        </w:rPr>
        <w:t xml:space="preserve">آية </w:t>
      </w:r>
      <w:r>
        <w:rPr>
          <w:rtl w:val="true"/>
        </w:rPr>
        <w:t>«</w:t>
      </w:r>
      <w:r>
        <w:rPr>
          <w:rtl w:val="true"/>
        </w:rPr>
        <w:t>وإن تظاهرا عليه</w:t>
      </w:r>
      <w:r>
        <w:rPr>
          <w:rtl w:val="true"/>
        </w:rPr>
        <w:t>»</w:t>
      </w:r>
      <w:bookmarkEnd w:id="102"/>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ومقتضى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الإنشاء والإخبار النافع فحسب، بل العمل على طبق مصلحة عبده أيضاً، وهو ما قد يستظهر من الآية الكريمة، أي فإن الله بما هو مولاه سيدافع عنه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959207_1051229030"/>
      <w:bookmarkStart w:id="104" w:name="_Toc35"/>
      <w:bookmarkEnd w:id="103"/>
      <w:r>
        <w:rPr>
          <w:rtl w:val="true"/>
        </w:rPr>
        <w:t>(</w:t>
      </w:r>
      <w:r>
        <w:rPr>
          <w:rtl w:val="true"/>
        </w:rPr>
        <w:t>الفعل</w:t>
      </w:r>
      <w:r>
        <w:rPr>
          <w:rtl w:val="true"/>
        </w:rPr>
        <w:t xml:space="preserve">) </w:t>
      </w:r>
      <w:r>
        <w:rPr>
          <w:rtl w:val="true"/>
        </w:rPr>
        <w:t>مولوي وإرشادي ك</w:t>
      </w:r>
      <w:r>
        <w:rPr>
          <w:rtl w:val="true"/>
        </w:rPr>
        <w:t>(</w:t>
      </w:r>
      <w:r>
        <w:rPr>
          <w:rtl w:val="true"/>
        </w:rPr>
        <w:t>الأمر</w:t>
      </w:r>
      <w:r>
        <w:rPr>
          <w:rtl w:val="true"/>
        </w:rPr>
        <w:t>)</w:t>
      </w:r>
      <w:bookmarkEnd w:id="104"/>
    </w:p>
    <w:p>
      <w:pPr>
        <w:pStyle w:val="BookText"/>
        <w:rPr/>
      </w:pPr>
      <w:r>
        <w:rPr>
          <w:rFonts w:ascii="Amiri" w:hAnsi="Amiri" w:eastAsia="Amiri" w:cs="Amiri"/>
          <w:color w:val="111111"/>
          <w:sz w:val="28"/>
          <w:sz w:val="28"/>
          <w:szCs w:val="28"/>
          <w:rtl w:val="true"/>
          <w:lang w:bidi="ar-SA"/>
        </w:rPr>
        <w:t xml:space="preserve">وبذلك يظهر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مولوياً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الصادر من المولى بما هو مولى،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أمراً وجبت إطاعته، كما لو أنشأ باللفظ أمراً، وهذا غير سابقه إذ هنالك إشارة للنهي، وهناك فعل هو عين النهي، وذلك كالمنع التكويني من الذهاب بيده، فليس له تنحيتها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ينشأ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وقد يشير بها إلى الأمر، فهي كالإخبار والإنشاء بالألفاظ، فتارة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وأخرى مخبراً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الصادر منه بما هو ناصح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مولى، وجب القبول واستحق العقاب بالرفض، وكذا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مولى، فليس للعبد أن يقتحم، ولو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منشِأً الأمر أو النهي بها، وجب الإمتثال</w:t>
      </w:r>
      <w:r>
        <w:rPr>
          <w:rFonts w:eastAsia="Amiri" w:cs="Amiri" w:ascii="Amiri" w:hAnsi="Amiri"/>
          <w:color w:val="111111"/>
          <w:sz w:val="28"/>
          <w:szCs w:val="28"/>
          <w:rtl w:val="true"/>
          <w:lang w:bidi="ar-SA"/>
        </w:rPr>
        <w:t xml:space="preserve">. </w:t>
      </w:r>
      <w:bookmarkStart w:id="105" w:name="pg7671_76476"/>
    </w:p>
    <w:p>
      <w:pPr>
        <w:pStyle w:val="BookText"/>
        <w:rPr/>
      </w:pPr>
      <w:bookmarkEnd w:id="105"/>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مشفق ومحب وناصح، لم يستحق العقاب بالرد، وكذلك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مشفقاً، سواء قلنا بأن الأمر النصحي ـ والفعل كذلك ـ منه ما هو للوجوب ـ كما التزمه الشيخ والميرزا الشيرازي قدس سرهما ـ أم لا،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الذهاب، بيده، فإن كان بما هو مولى، استحق العقاب بالمخالفة، ولو كان بما هو ناصح، لم يستحق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أعطاه الدواء بما هو مولى أو بما هو مشفق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المقامية وغيرها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959209_1051229030"/>
      <w:bookmarkStart w:id="107" w:name="_Toc36"/>
      <w:bookmarkEnd w:id="106"/>
      <w:r>
        <w:rPr>
          <w:rtl w:val="true"/>
        </w:rPr>
        <w:t>(</w:t>
      </w:r>
      <w:r>
        <w:rPr>
          <w:rtl w:val="true"/>
        </w:rPr>
        <w:t>الفعل المولوي</w:t>
      </w:r>
      <w:r>
        <w:rPr>
          <w:rtl w:val="true"/>
        </w:rPr>
        <w:t xml:space="preserve">) </w:t>
      </w:r>
      <w:r>
        <w:rPr>
          <w:rtl w:val="true"/>
        </w:rPr>
        <w:t>من أهم طرق إثبات ولاية أمير المؤمنين عليه السلام</w:t>
      </w:r>
      <w:bookmarkEnd w:id="107"/>
    </w:p>
    <w:p>
      <w:pPr>
        <w:pStyle w:val="BookText"/>
        <w:rPr/>
      </w:pPr>
      <w:r>
        <w:rPr>
          <w:rFonts w:ascii="Amiri" w:hAnsi="Amiri" w:eastAsia="Amiri" w:cs="Amiri"/>
          <w:color w:val="111111"/>
          <w:sz w:val="28"/>
          <w:sz w:val="28"/>
          <w:szCs w:val="28"/>
          <w:rtl w:val="true"/>
          <w:lang w:bidi="ar-SA"/>
        </w:rPr>
        <w:t xml:space="preserve">ومن الأمثلة 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بفعله ـ كأن أجلسه على عرشه مثلاً ـ ولعل كثيراً من أفعال الرسول الأعظم مع أمير المؤمنين عليهما وآلهما السلام، كانت كذلك، وكذلك مع سبطيه الإمامين الحسن والحسين عليهما السلام بل ومع الأعداء أيضاً والمنافقين، كعزل هذا وذاك، أو حتى عدم نصبه فيما كان يتوقعه ويرومه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إنحصار إثبات ولاية الأمير عليه السلام بأقوال الرسول صلى الله عليه وآله، بل أفعاله أيضاً وما أكثرها، فيها الدلالة البالغة، وهذا باب يفتح منه ألف باب بإذن الله تعالى، ويحتاج إلى تحرٍ واسع ومتابعة جيدة، ولعل الله يقيض بعض الأعلام الغيارى لذلك، إنه الموفق المستعان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صلوات الله عليهما خليفة من بعده ـ في </w:t>
      </w:r>
      <w:bookmarkStart w:id="108" w:name="pg7671_76477"/>
    </w:p>
    <w:p>
      <w:pPr>
        <w:pStyle w:val="BookText"/>
        <w:rPr/>
      </w:pPr>
      <w:bookmarkEnd w:id="108"/>
      <w:r>
        <w:rPr>
          <w:rFonts w:ascii="Amiri" w:hAnsi="Amiri" w:eastAsia="Amiri" w:cs="Amiri"/>
          <w:color w:val="111111"/>
          <w:sz w:val="28"/>
          <w:sz w:val="28"/>
          <w:szCs w:val="28"/>
          <w:rtl w:val="true"/>
          <w:lang w:bidi="ar-SA"/>
        </w:rPr>
        <w:t xml:space="preserve">سفره ـ على 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من الجيش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وعمر لجيش أسامة، وكذا نفس رفعه يدَ علي عليهما السلام يوم الغدير؛ فإنها كلها أفعال وليست مقدمة فقط وليست حاكية فقط كما قد يتوهم، بل هي إنشاء أيضاً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959211_1051229030"/>
      <w:bookmarkStart w:id="110" w:name="_Toc37"/>
      <w:bookmarkEnd w:id="109"/>
      <w:r>
        <w:rPr>
          <w:rtl w:val="true"/>
        </w:rPr>
        <w:t>التقرير المولوي، وكذا الإشارة</w:t>
      </w:r>
      <w:bookmarkEnd w:id="110"/>
    </w:p>
    <w:p>
      <w:pPr>
        <w:pStyle w:val="BookText"/>
        <w:rPr/>
      </w:pPr>
      <w:r>
        <w:rPr>
          <w:rFonts w:ascii="Amiri" w:hAnsi="Amiri" w:eastAsia="Amiri" w:cs="Amiri"/>
          <w:color w:val="111111"/>
          <w:sz w:val="28"/>
          <w:sz w:val="28"/>
          <w:szCs w:val="28"/>
          <w:rtl w:val="true"/>
          <w:lang w:bidi="ar-SA"/>
        </w:rPr>
        <w:t xml:space="preserve">ومما يؤكد ذلك ويوضحه التزام الفقهاء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من مصاديقه ـ حجة،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أخذت الحجية بمعناها اللغوي أي ما يحتج به المولى على عبده، أم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 والمعذِّر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الآخوند قدس سره، أم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التام أو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الأصفهاني قدس سره،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الحجة التكوينية،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الحركة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 أم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القياس وهو ما ذهب إليه الشيخ في معنى الحجية تبعاً للمناطقة، بل ما يقع، هو ما كشف عنه فعله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ودلالتها معتمدة من الأخرس بل ومن غيره أيضاً في الجملة، هي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أفردت بالذكر لكونها أظهر المصاديق وأكثرها دوراناً، ولذلك ذكروا أن إنشاء </w:t>
      </w:r>
      <w:bookmarkStart w:id="111" w:name="pg7671_76478"/>
    </w:p>
    <w:p>
      <w:pPr>
        <w:pStyle w:val="BookText"/>
        <w:rPr/>
      </w:pPr>
      <w:bookmarkEnd w:id="111"/>
      <w:r>
        <w:rPr>
          <w:rFonts w:ascii="Amiri" w:hAnsi="Amiri" w:eastAsia="Amiri" w:cs="Amiri"/>
          <w:color w:val="111111"/>
          <w:sz w:val="28"/>
          <w:sz w:val="28"/>
          <w:szCs w:val="28"/>
          <w:rtl w:val="true"/>
          <w:lang w:bidi="ar-SA"/>
        </w:rPr>
        <w:t>الأخرس الطلاق، هو بوضع عبائتها على رأسها مثلاً ـ فيما عرف منه إرادة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مولوية وإرشادية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959213_1051229030"/>
      <w:bookmarkStart w:id="113" w:name="_Toc38"/>
      <w:bookmarkEnd w:id="112"/>
      <w:r>
        <w:rPr>
          <w:rtl w:val="true"/>
        </w:rPr>
        <w:t xml:space="preserve">آية </w:t>
      </w:r>
      <w:r>
        <w:rPr>
          <w:rtl w:val="true"/>
        </w:rPr>
        <w:t>«</w:t>
      </w:r>
      <w:r>
        <w:rPr>
          <w:rtl w:val="true"/>
        </w:rPr>
        <w:t>وهو الولي الحميد</w:t>
      </w:r>
      <w:r>
        <w:rPr>
          <w:rtl w:val="true"/>
        </w:rPr>
        <w:t>»</w:t>
      </w:r>
      <w:bookmarkEnd w:id="113"/>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الولي الحميد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يتولى أمور الناس</w:t>
      </w:r>
      <w:r>
        <w:rPr>
          <w:rStyle w:val="FootnoteAnchor"/>
          <w:rtl w:val="true"/>
        </w:rPr>
        <w:footnoteReference w:id="126"/>
      </w:r>
      <w:r>
        <w:rPr>
          <w:rFonts w:ascii="Amiri" w:hAnsi="Amiri" w:eastAsia="Amiri" w:cs="Amiri"/>
          <w:color w:val="111111"/>
          <w:sz w:val="28"/>
          <w:sz w:val="28"/>
          <w:szCs w:val="28"/>
          <w:rtl w:val="true"/>
          <w:lang w:bidi="ar-SA"/>
        </w:rPr>
        <w:t>، تكوينيّها وتشريعيّها، بما فيها من أوامر مولوية، ونصائح وإرشادات، فمقام مولويته يقتضي إرشاده ونصحه، لا الأمر المولوي فقط</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المحمود في أفعاله</w:t>
      </w:r>
      <w:r>
        <w:rPr>
          <w:rStyle w:val="FootnoteAnchor"/>
          <w:rtl w:val="true"/>
        </w:rPr>
        <w:footnoteReference w:id="127"/>
      </w:r>
      <w:r>
        <w:rPr>
          <w:rFonts w:ascii="Amiri" w:hAnsi="Amiri" w:eastAsia="Amiri" w:cs="Amiri"/>
          <w:color w:val="111111"/>
          <w:sz w:val="28"/>
          <w:sz w:val="28"/>
          <w:szCs w:val="28"/>
          <w:rtl w:val="true"/>
          <w:lang w:bidi="ar-SA"/>
        </w:rPr>
        <w:t xml:space="preserve">، وأوامره ونواهيه ونصحه وإرشاده، ولعله يؤيده قوله تعالى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بقول أو بفعل، بأمر تكويني أو تشريعي</w:t>
      </w:r>
      <w:r>
        <w:rPr>
          <w:rStyle w:val="FootnoteAnchor"/>
          <w:rtl w:val="true"/>
        </w:rPr>
        <w:footnoteReference w:id="128"/>
      </w:r>
      <w:r>
        <w:rPr>
          <w:rFonts w:ascii="Amiri" w:hAnsi="Amiri" w:eastAsia="Amiri" w:cs="Amiri"/>
          <w:color w:val="111111"/>
          <w:sz w:val="28"/>
          <w:sz w:val="28"/>
          <w:szCs w:val="28"/>
          <w:rtl w:val="true"/>
          <w:lang w:bidi="ar-SA"/>
        </w:rPr>
        <w:t xml:space="preserve">، ولشمول 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كل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 xml:space="preserve">. </w:t>
      </w:r>
      <w:bookmarkStart w:id="114" w:name="pg7671_76479"/>
    </w:p>
    <w:p>
      <w:pPr>
        <w:pStyle w:val="Heading3"/>
        <w:numPr>
          <w:ilvl w:val="2"/>
          <w:numId w:val="1"/>
        </w:numPr>
        <w:rPr/>
      </w:pPr>
      <w:bookmarkStart w:id="115" w:name="__RefHeading___Toc3959215_1051229030"/>
      <w:bookmarkStart w:id="116" w:name="_Toc39"/>
      <w:bookmarkEnd w:id="114"/>
      <w:bookmarkEnd w:id="115"/>
      <w:r>
        <w:rPr>
          <w:rtl w:val="true"/>
        </w:rPr>
        <w:t xml:space="preserve">آية </w:t>
      </w:r>
      <w:r>
        <w:rPr>
          <w:rtl w:val="true"/>
        </w:rPr>
        <w:t>«</w:t>
      </w:r>
      <w:r>
        <w:rPr>
          <w:rtl w:val="true"/>
        </w:rPr>
        <w:t>إنما وليكم الله</w:t>
      </w:r>
      <w:r>
        <w:rPr>
          <w:rtl w:val="true"/>
        </w:rPr>
        <w:t>»</w:t>
      </w:r>
      <w:bookmarkEnd w:id="116"/>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117" w:name="__RefHeading___Toc3959217_1051229030"/>
      <w:bookmarkStart w:id="118" w:name="_Toc40"/>
      <w:bookmarkEnd w:id="117"/>
      <w:r>
        <w:rPr>
          <w:rtl w:val="true"/>
        </w:rPr>
        <w:t>(</w:t>
      </w:r>
      <w:r>
        <w:rPr>
          <w:rtl w:val="true"/>
        </w:rPr>
        <w:t>النصح</w:t>
      </w:r>
      <w:r>
        <w:rPr>
          <w:rtl w:val="true"/>
        </w:rPr>
        <w:t xml:space="preserve">) </w:t>
      </w:r>
      <w:r>
        <w:rPr>
          <w:rtl w:val="true"/>
        </w:rPr>
        <w:t>أصل في المعصومين عليهم السلام، كالتشريع</w:t>
      </w:r>
      <w:bookmarkEnd w:id="118"/>
    </w:p>
    <w:p>
      <w:pPr>
        <w:pStyle w:val="BookText"/>
        <w:rPr/>
      </w:pPr>
      <w:r>
        <w:rPr>
          <w:rFonts w:ascii="Amiri" w:hAnsi="Amiri" w:eastAsia="Amiri" w:cs="Amiri"/>
          <w:color w:val="111111"/>
          <w:sz w:val="28"/>
          <w:sz w:val="28"/>
          <w:szCs w:val="28"/>
          <w:rtl w:val="true"/>
          <w:lang w:bidi="ar-SA"/>
        </w:rPr>
        <w:t xml:space="preserve">وحيث أن الإمام والرسول، هم الأولياء للناس، كما الله سبحانه وتعالى ـ بنص الآية الشريفة ـ وفي طول ولايته تعالى بالبرهان، فإنه يستظهر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فيهم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جل وعلا مشرّع وناصح ومكوّن بمقتضى كونه مولى حقيقياً، وبمقتضى رحمته وكرمهوجوده ولطفه، وقد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 ومقتضياته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خاصة بلحاظ ما رتّبتْه الآية الشريفة من الفائدة على توليهم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فإن توليهم فيما نصحوا به، من أسباب الغلبة، كتوليهم فيما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سواء كان ما نصحوا به بما هو موالي وأولياء، أم بما هم محبون مشفقون، مع قطع النظر عن مقام الولاية، ولعل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للإشارة للأول لمكان الوصف، وإن كان الظاهر أنه أعم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ذكر الله سبحانه 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w:t>
      </w:r>
      <w:bookmarkStart w:id="119" w:name="pg7671_76480"/>
    </w:p>
    <w:p>
      <w:pPr>
        <w:pStyle w:val="BookText"/>
        <w:rPr/>
      </w:pPr>
      <w:bookmarkEnd w:id="119"/>
      <w:r>
        <w:rPr>
          <w:rFonts w:ascii="Amiri" w:hAnsi="Amiri" w:eastAsia="Amiri" w:cs="Amiri"/>
          <w:color w:val="111111"/>
          <w:sz w:val="28"/>
          <w:sz w:val="28"/>
          <w:szCs w:val="28"/>
          <w:rtl w:val="true"/>
          <w:lang w:bidi="ar-SA"/>
        </w:rPr>
        <w:t xml:space="preserve">المؤمنين عليه السلام وتعريفه بهما ـ إضافة إلى دلالتهما على مورد النزول وكونه عليه السلام المقصود لا غيره ـ إشارة إلى أعظم مقومين يتصف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تعالى، أحدهما يرتبط بعلاقته بربه، والآخر يرتبط بعلاقته بمن وُلِّي عليهم، ووصف الله تعالى له بهاتين الصفتين ـ رغم تعدد من يتصف بهما بل كثرتهم ـ دليل على أنه بلغ أعلى درجاتهما؛ لأنهما حقيقتان تشكيكيتان، فليس فوقه فيهما أحد، وإلا كان الله انتخبه وارتضاه هو الولي نظراً لحكمته وعدله، ويؤكد ذلك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إضافة إلى دلالته على الركوع الظاهري، مشير لغاية الخضوع والتذلل لله تعالى وقد أشير إلى جانب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التفسير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المقصود هنا أن من هذا شأنه وهذه صفته وهذا مقامه،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ولي عليهم بلحاظ مقامه وولايته وصفاته، يكون على الأصل من مقتضياتها، على خلاف ما توهم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 المولى بما هو مولى، بل التشريع فحسب</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959219_1051229030"/>
      <w:bookmarkStart w:id="121" w:name="_Toc41"/>
      <w:bookmarkEnd w:id="120"/>
      <w:r>
        <w:rPr>
          <w:rtl w:val="true"/>
        </w:rPr>
        <w:t>مناقشة</w:t>
      </w:r>
      <w:r>
        <w:rPr>
          <w:rtl w:val="true"/>
        </w:rPr>
        <w:t>: (</w:t>
      </w:r>
      <w:r>
        <w:rPr>
          <w:rtl w:val="true"/>
        </w:rPr>
        <w:t>الأصل في مقامهم عليهم السلام المولوية</w:t>
      </w:r>
      <w:r>
        <w:rPr>
          <w:rtl w:val="true"/>
        </w:rPr>
        <w:t>)</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سبق بيانه ـ في الآيات الشريفة ـ يظهر التأمل في قولهم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مقام الإمام،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 المعنى القسيم للنصح</w:t>
      </w:r>
      <w:r>
        <w:rPr>
          <w:rStyle w:val="FootnoteAnchor"/>
          <w:rtl w:val="true"/>
        </w:rPr>
        <w:footnoteReference w:id="133"/>
      </w:r>
      <w:r>
        <w:rPr>
          <w:rFonts w:ascii="Amiri" w:hAnsi="Amiri" w:eastAsia="Amiri" w:cs="Amiri"/>
          <w:color w:val="111111"/>
          <w:sz w:val="28"/>
          <w:sz w:val="28"/>
          <w:szCs w:val="28"/>
          <w:rtl w:val="true"/>
          <w:lang w:bidi="ar-SA"/>
        </w:rPr>
        <w:t xml:space="preserve">أي المولوية بالمعنى الأخص، سواء قصد أن الإمام له مقام واحد فقط </w:t>
      </w:r>
      <w:bookmarkStart w:id="122" w:name="pg7671_76481"/>
    </w:p>
    <w:p>
      <w:pPr>
        <w:pStyle w:val="BookText"/>
        <w:rPr/>
      </w:pPr>
      <w:bookmarkEnd w:id="122"/>
      <w:r>
        <w:rPr>
          <w:rFonts w:ascii="Amiri" w:hAnsi="Amiri" w:eastAsia="Amiri" w:cs="Amiri"/>
          <w:color w:val="111111"/>
          <w:sz w:val="28"/>
          <w:sz w:val="28"/>
          <w:szCs w:val="28"/>
          <w:rtl w:val="true"/>
          <w:lang w:bidi="ar-SA"/>
        </w:rPr>
        <w:t xml:space="preserve">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بما هو إمام</w:t>
      </w:r>
      <w:r>
        <w:rPr>
          <w:rStyle w:val="FootnoteAnchor"/>
          <w:rtl w:val="true"/>
        </w:rPr>
        <w:footnoteReference w:id="134"/>
      </w:r>
      <w:r>
        <w:rPr>
          <w:rFonts w:ascii="Amiri" w:hAnsi="Amiri" w:eastAsia="Amiri" w:cs="Amiri"/>
          <w:color w:val="111111"/>
          <w:sz w:val="28"/>
          <w:sz w:val="28"/>
          <w:szCs w:val="28"/>
          <w:rtl w:val="true"/>
          <w:lang w:bidi="ar-SA"/>
        </w:rPr>
        <w:t>، بل حاله كحال غيره في ثبوت حق النصح له، أم قصد أن المقامين</w:t>
      </w:r>
      <w:r>
        <w:rPr>
          <w:rStyle w:val="FootnoteAnchor"/>
          <w:rtl w:val="true"/>
        </w:rPr>
        <w:footnoteReference w:id="135"/>
      </w:r>
      <w:r>
        <w:rPr>
          <w:rFonts w:ascii="Amiri" w:hAnsi="Amiri" w:eastAsia="Amiri" w:cs="Amiri"/>
          <w:color w:val="111111"/>
          <w:sz w:val="28"/>
          <w:sz w:val="28"/>
          <w:szCs w:val="28"/>
          <w:rtl w:val="true"/>
          <w:lang w:bidi="ar-SA"/>
        </w:rPr>
        <w:t xml:space="preserve">له بما هو إمام، إلا أنالأصل فيهما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بإرادة</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الفرع،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متفرع عليه</w:t>
      </w:r>
      <w:r>
        <w:rPr>
          <w:rStyle w:val="FootnoteAnchor"/>
          <w:rtl w:val="true"/>
        </w:rPr>
        <w:footnoteReference w:id="13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إذ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على إرادة المولوية بالمعنى الأعم لا الأخص، وهو مورد البحث في المقام ـ فليتأمل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959221_1051229030"/>
      <w:bookmarkStart w:id="124" w:name="_Toc42"/>
      <w:bookmarkEnd w:id="123"/>
      <w:r>
        <w:rPr>
          <w:rtl w:val="true"/>
        </w:rPr>
        <w:t>وهل الأصل في أوامرهم عليهم السلام المولوية؟</w:t>
      </w:r>
      <w:bookmarkEnd w:id="124"/>
    </w:p>
    <w:p>
      <w:pPr>
        <w:pStyle w:val="BookText"/>
        <w:rPr/>
      </w:pPr>
      <w:r>
        <w:rPr>
          <w:rFonts w:ascii="Amiri" w:hAnsi="Amiri" w:eastAsia="Amiri" w:cs="Amiri"/>
          <w:color w:val="111111"/>
          <w:sz w:val="28"/>
          <w:sz w:val="28"/>
          <w:szCs w:val="28"/>
          <w:rtl w:val="true"/>
          <w:lang w:bidi="ar-SA"/>
        </w:rPr>
        <w:t xml:space="preserve">لكن هل يصح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الأوامر،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وليلتفت لفرق هذا عن سابقه</w:t>
      </w:r>
      <w:r>
        <w:rPr>
          <w:rStyle w:val="FootnoteAnchor"/>
          <w:rtl w:val="true"/>
        </w:rPr>
        <w:footnoteReference w:id="139"/>
      </w:r>
      <w:r>
        <w:rPr>
          <w:rFonts w:ascii="Amiri" w:hAnsi="Amiri" w:eastAsia="Amiri" w:cs="Amiri"/>
          <w:color w:val="111111"/>
          <w:sz w:val="28"/>
          <w:sz w:val="28"/>
          <w:szCs w:val="28"/>
          <w:rtl w:val="true"/>
          <w:lang w:bidi="ar-SA"/>
        </w:rPr>
        <w:t xml:space="preserve">بمعنى أنها صدرت لجهة الإلزام </w:t>
      </w:r>
      <w:bookmarkStart w:id="125" w:name="pg7671_76482"/>
    </w:p>
    <w:p>
      <w:pPr>
        <w:pStyle w:val="BookText"/>
        <w:rPr/>
      </w:pPr>
      <w:bookmarkEnd w:id="125"/>
      <w:r>
        <w:rPr>
          <w:rFonts w:ascii="Amiri" w:hAnsi="Amiri" w:eastAsia="Amiri" w:cs="Amiri"/>
          <w:color w:val="111111"/>
          <w:sz w:val="28"/>
          <w:sz w:val="28"/>
          <w:szCs w:val="28"/>
          <w:rtl w:val="true"/>
          <w:lang w:bidi="ar-SA"/>
        </w:rPr>
        <w:t xml:space="preserve">واستحقاق العقاب بالترك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بالمعنى الأخص</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Style w:val="FootnoteAnchor"/>
          <w:rtl w:val="true"/>
        </w:rPr>
        <w:footnoteReference w:id="141"/>
      </w:r>
      <w:r>
        <w:rPr>
          <w:rFonts w:ascii="Amiri" w:hAnsi="Amiri" w:eastAsia="Amiri" w:cs="Amiri"/>
          <w:color w:val="111111"/>
          <w:sz w:val="28"/>
          <w:sz w:val="28"/>
          <w:szCs w:val="28"/>
          <w:rtl w:val="true"/>
          <w:lang w:bidi="ar-SA"/>
        </w:rPr>
        <w:t xml:space="preserve">اللازم منها مطلق الإلزام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قسيمه المندرج تحت ما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بالمولوي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الإلزامي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قلنا بوجود النصح الإلزامي، ولو لم نقل به يكون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الأوامر،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ذلك، لا الإرشاد فهي واجبة وجوباً تكليفياً ومخالفتها توجب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لا بتعليل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المولوية ـ بالمعنى الأخص ـ هي مقامه دون المولوية في ضمن فردها الآخر ـ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Style w:val="FootnoteAnchor"/>
          <w:rtl w:val="true"/>
        </w:rPr>
        <w:footnoteReference w:id="142"/>
      </w:r>
      <w:r>
        <w:rPr>
          <w:rFonts w:ascii="Amiri" w:hAnsi="Amiri" w:eastAsia="Amiri" w:cs="Amiri"/>
          <w:color w:val="111111"/>
          <w:sz w:val="28"/>
          <w:sz w:val="28"/>
          <w:szCs w:val="28"/>
          <w:rtl w:val="true"/>
          <w:lang w:bidi="ar-SA"/>
        </w:rPr>
        <w:t>ـ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مقامه، بل لانصراف الأوامر إلى كونها أوامر من المولى بما هو مولى بالمعنى الأخص 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معلوم</w:t>
      </w:r>
      <w:r>
        <w:rPr>
          <w:rStyle w:val="FootnoteAnchor"/>
          <w:rtl w:val="true"/>
        </w:rPr>
        <w:footnoteReference w:id="143"/>
      </w:r>
      <w:r>
        <w:rPr>
          <w:rFonts w:ascii="Amiri" w:hAnsi="Amiri" w:eastAsia="Amiri" w:cs="Amiri"/>
          <w:color w:val="111111"/>
          <w:sz w:val="28"/>
          <w:sz w:val="28"/>
          <w:szCs w:val="28"/>
          <w:rtl w:val="true"/>
          <w:lang w:bidi="ar-SA"/>
        </w:rPr>
        <w:t xml:space="preserve">، فتأمل، ولا الأصل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من إطلاقاته ـ ولا الأصل بمعنى الاستصحاب ـ كما هو واضح، ولا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3959223_1051229030"/>
      <w:bookmarkStart w:id="127" w:name="_Toc43"/>
      <w:bookmarkEnd w:id="126"/>
      <w:r>
        <w:rPr>
          <w:rtl w:val="true"/>
        </w:rPr>
        <w:t>(</w:t>
      </w:r>
      <w:r>
        <w:rPr>
          <w:rtl w:val="true"/>
        </w:rPr>
        <w:t>المولوي</w:t>
      </w:r>
      <w:r>
        <w:rPr>
          <w:rtl w:val="true"/>
        </w:rPr>
        <w:t xml:space="preserve">) </w:t>
      </w:r>
      <w:r>
        <w:rPr>
          <w:rtl w:val="true"/>
        </w:rPr>
        <w:t>في السنة</w:t>
      </w:r>
      <w:r>
        <w:rPr>
          <w:rtl w:val="true"/>
        </w:rPr>
        <w:t>:</w:t>
      </w:r>
      <w:bookmarkEnd w:id="1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bookmarkStart w:id="128" w:name="pg7671_76483"/>
    </w:p>
    <w:p>
      <w:pPr>
        <w:pStyle w:val="Heading3"/>
        <w:numPr>
          <w:ilvl w:val="2"/>
          <w:numId w:val="1"/>
        </w:numPr>
        <w:rPr/>
      </w:pPr>
      <w:bookmarkStart w:id="129" w:name="__RefHeading___Toc3959225_1051229030"/>
      <w:bookmarkStart w:id="130" w:name="_Toc44"/>
      <w:bookmarkEnd w:id="128"/>
      <w:bookmarkEnd w:id="129"/>
      <w:r>
        <w:rPr>
          <w:rtl w:val="true"/>
        </w:rPr>
        <w:t xml:space="preserve">رواية </w:t>
      </w:r>
      <w:r>
        <w:rPr>
          <w:rtl w:val="true"/>
        </w:rPr>
        <w:t>(</w:t>
      </w:r>
      <w:r>
        <w:rPr>
          <w:rtl w:val="true"/>
        </w:rPr>
        <w:t>إني لأولى الناس بالناس</w:t>
      </w:r>
      <w:r>
        <w:rPr>
          <w:rtl w:val="true"/>
        </w:rPr>
        <w:t>)</w:t>
      </w:r>
      <w:bookmarkEnd w:id="130"/>
    </w:p>
    <w:p>
      <w:pPr>
        <w:pStyle w:val="BookText"/>
        <w:rPr/>
      </w:pPr>
      <w:r>
        <w:rPr>
          <w:rFonts w:ascii="Amiri" w:hAnsi="Amiri" w:eastAsia="Amiri" w:cs="Amiri"/>
          <w:color w:val="111111"/>
          <w:sz w:val="28"/>
          <w:sz w:val="28"/>
          <w:szCs w:val="28"/>
          <w:rtl w:val="true"/>
          <w:lang w:bidi="ar-SA"/>
        </w:rPr>
        <w:t>فقد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والظاهر أنه أولى الناس بالناس، في مختلف الجهات، أي تكويناً وتشريعاً ـ فيشمل الأمر والنهي والإرشاد والنصح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ـ النصحي، والنصحي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959227_1051229030"/>
      <w:bookmarkStart w:id="132" w:name="_Toc45"/>
      <w:bookmarkEnd w:id="131"/>
      <w:r>
        <w:rPr>
          <w:rtl w:val="true"/>
        </w:rPr>
        <w:t xml:space="preserve">رواية </w:t>
      </w:r>
      <w:r>
        <w:rPr>
          <w:rtl w:val="true"/>
        </w:rPr>
        <w:t>(</w:t>
      </w:r>
      <w:r>
        <w:rPr>
          <w:rtl w:val="true"/>
        </w:rPr>
        <w:t>فيمن وليت عليه</w:t>
      </w:r>
      <w:r>
        <w:rPr>
          <w:rtl w:val="true"/>
        </w:rPr>
        <w:t>)</w:t>
      </w:r>
      <w:bookmarkEnd w:id="132"/>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ونصب رسول الله صلى الله عليه وآله، بالنص الخاص، بل بالنصوص المستفيضة بل المتواترة الخاصة، فأمره التشريعي مولوي وإرشاده</w:t>
      </w:r>
      <w:r>
        <w:rPr>
          <w:rStyle w:val="FootnoteAnchor"/>
          <w:rtl w:val="true"/>
        </w:rPr>
        <w:footnoteReference w:id="146"/>
      </w:r>
      <w:r>
        <w:rPr>
          <w:rFonts w:ascii="Amiri" w:hAnsi="Amiri" w:eastAsia="Amiri" w:cs="Amiri"/>
          <w:color w:val="111111"/>
          <w:sz w:val="28"/>
          <w:sz w:val="28"/>
          <w:szCs w:val="28"/>
          <w:rtl w:val="true"/>
          <w:lang w:bidi="ar-SA"/>
        </w:rPr>
        <w:t>مولوي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شأن من وُلِّي على قوم ليس الأمر والنهي فقط، بل تحري صلاحهم وإرشادهم ونصحهم فهو بما هو مولى عليهم، مسؤول عن نصحهم وإرشادهم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مسؤول عن نصح الآخر ورعيه ورعايته فلو ترك، استحق الملامة والمذمة أو العقاب، أما الوالي فلو ترك فإنه ملام ومعاتب أو معاقب لجهة مقام ولايته أيضاً؛ إذ يُرى أنه ترك مقتضاها، لا لصرف أنه ترك العمل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راع وكلكم </w:t>
      </w:r>
      <w:bookmarkStart w:id="133" w:name="pg7671_76484"/>
    </w:p>
    <w:p>
      <w:pPr>
        <w:pStyle w:val="BookText"/>
        <w:rPr/>
      </w:pPr>
      <w:bookmarkEnd w:id="133"/>
      <w:r>
        <w:rPr>
          <w:rFonts w:ascii="Amiri" w:hAnsi="Amiri" w:eastAsia="Amiri" w:cs="Amiri"/>
          <w:color w:val="111111"/>
          <w:sz w:val="28"/>
          <w:sz w:val="28"/>
          <w:szCs w:val="28"/>
          <w:rtl w:val="true"/>
          <w:lang w:bidi="ar-SA"/>
        </w:rPr>
        <w:t>مسؤول عن رعيته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وإذا كان إرشاده ونصحه بلحاظ مقامه، مما كُلِّف به ومن مسؤولياته، كان لازمه لزوم الإطاعة فيما إذا كان نصحاً إلزامياً؛ لما ذكروه من التلازم بينهما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ولينذورا قومهم إذا رجعوا إليهم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فإن المتفاهم عرفاً منه هو ذلك</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959229_1051229030"/>
      <w:bookmarkStart w:id="135" w:name="_Toc46"/>
      <w:bookmarkEnd w:id="134"/>
      <w:r>
        <w:rPr>
          <w:rtl w:val="true"/>
        </w:rPr>
        <w:t xml:space="preserve">رواية </w:t>
      </w:r>
      <w:r>
        <w:rPr>
          <w:rtl w:val="true"/>
        </w:rPr>
        <w:t>(</w:t>
      </w:r>
      <w:r>
        <w:rPr>
          <w:rtl w:val="true"/>
        </w:rPr>
        <w:t>نصيحتك لله ولمن وليت أمره</w:t>
      </w:r>
      <w:r>
        <w:rPr>
          <w:rtl w:val="true"/>
        </w:rPr>
        <w:t>)</w:t>
      </w:r>
      <w:bookmarkEnd w:id="135"/>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فإن ذلك دليل على نصيحتك لله ولمن وليت أمره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وقد ولي بنصب مَن نصبه الله ورسوله، فله الولاية الطولية، فأمره مولوي كذلك، وإرشاده قد يكون مولوياً كذلك أي لو أعمل مقامه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959231_1051229030"/>
      <w:bookmarkStart w:id="137" w:name="_Toc47"/>
      <w:bookmarkEnd w:id="136"/>
      <w:r>
        <w:rPr>
          <w:rtl w:val="true"/>
        </w:rPr>
        <w:t xml:space="preserve">المعاني الثلاثة للنصيحة كلها من مقامات </w:t>
      </w:r>
      <w:r>
        <w:rPr>
          <w:rtl w:val="true"/>
        </w:rPr>
        <w:t>(</w:t>
      </w:r>
      <w:r>
        <w:rPr>
          <w:rtl w:val="true"/>
        </w:rPr>
        <w:t>المولى</w:t>
      </w:r>
      <w:r>
        <w:rPr>
          <w:rtl w:val="true"/>
        </w:rPr>
        <w:t>)</w:t>
      </w:r>
      <w:bookmarkEnd w:id="1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على نصيحتك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المطلوب؛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الإخلاص والخلوص في النية والعمل، 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بمعنى تحري صلاح الآخر، بقول أو عمل، كما فصلناه في موضع آخر من الكتاب،وكلها تشهد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ولي أمرهم، ومن مسؤولياته؛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الإخلاص كما هو دليله، وهو من الإحكام كما هو دال عليه، وهو تحري لصلاح المُوَلّى عليه كما هو </w:t>
      </w:r>
      <w:bookmarkStart w:id="138" w:name="pg7671_76485"/>
    </w:p>
    <w:p>
      <w:pPr>
        <w:pStyle w:val="BookText"/>
        <w:rPr/>
      </w:pPr>
      <w:bookmarkEnd w:id="138"/>
      <w:r>
        <w:rPr>
          <w:rFonts w:ascii="Amiri" w:hAnsi="Amiri" w:eastAsia="Amiri" w:cs="Amiri"/>
          <w:color w:val="111111"/>
          <w:sz w:val="28"/>
          <w:sz w:val="28"/>
          <w:szCs w:val="28"/>
          <w:rtl w:val="true"/>
          <w:lang w:bidi="ar-SA"/>
        </w:rPr>
        <w:t>كاشف عنه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مخلِصاً، متقِناً، محكِماً تدبيره، متحرياً صلاح من وُلِّي عليهم، وكلها تقتضي وتوجب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أيضاً ـ بمعناه العرفي المتداول ـ فكلما وجبت عليه تلك الثلاثة، وجب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أمور معاشه ومعاده؛ فإنه مسؤول عنها جميعاً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إدارته، حوسب وعوقب،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بسوء إدارته وفعله، حوسب وعوقب أيضاً، فالنصيحة الواجبة على الوالي هي أعم مما يضمنهما ويكفلهما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وقع</w:t>
      </w:r>
      <w:r>
        <w:rPr>
          <w:rStyle w:val="FootnoteAnchor"/>
          <w:rtl w:val="true"/>
        </w:rPr>
        <w:footnoteReference w:id="151"/>
      </w:r>
      <w:r>
        <w:rPr>
          <w:rFonts w:ascii="IRNazanin" w:hAnsi="IRNazanin" w:eastAsia="IRNazanin"/>
          <w:color w:val="111111"/>
          <w:sz w:val="28"/>
          <w:sz w:val="28"/>
          <w:szCs w:val="28"/>
          <w:rtl w:val="true"/>
          <w:lang w:bidi="fa-IR"/>
        </w:rPr>
        <w:t xml:space="preserve">متعلقاً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المنشَأ بلحاظ مصلحة الآخرة أو الدنيا ـ وهو الضابط الثاني ـ ومما كانت المصلحة فيه معلومة للمأمور قبل الأمر أو لا ـ وهو الضابط السادس ـ ومما توقفت المصلحة على الأمر أو لا ـ وهو الضابط السابع ـ ومما عادت المصلحة للآمر أو المأمور ـ وهو الضابط الثامن ـ</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959233_1051229030"/>
      <w:bookmarkStart w:id="140" w:name="_Toc48"/>
      <w:bookmarkEnd w:id="139"/>
      <w:r>
        <w:rPr>
          <w:rtl w:val="true"/>
        </w:rPr>
        <w:t>فما ورد في الكتاب والسنة مصحح للإصطلاح الأصولي</w:t>
      </w:r>
      <w:bookmarkEnd w:id="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ورد في الآيات والروايات ـ الأعم من المولوي والإرشادي بإصطلاح الفقهاء والأصوليين، يكفي مصححاً لإصطلاحهم </w:t>
      </w:r>
      <w:bookmarkStart w:id="141" w:name="pg7671_76486"/>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الأخص  وأحد الأفراد</w:t>
      </w:r>
      <w:r>
        <w:rPr>
          <w:rStyle w:val="FootnoteAnchor"/>
          <w:rtl w:val="true"/>
        </w:rPr>
        <w:footnoteReference w:id="153"/>
      </w:r>
      <w:r>
        <w:rPr>
          <w:rFonts w:ascii="Amiri" w:hAnsi="Amiri" w:eastAsia="Amiri" w:cs="Amiri"/>
          <w:color w:val="111111"/>
          <w:sz w:val="28"/>
          <w:sz w:val="28"/>
          <w:szCs w:val="28"/>
          <w:rtl w:val="true"/>
          <w:lang w:bidi="ar-SA"/>
        </w:rPr>
        <w:t>إلا أنه لا يصلح أن يكون عندئذٍ محوراً للبحث والنقاش من حيث الإطلاق والتقييد والعموم والخصوص ودلالاته الإلتزامية وغيرها، بل يتبع الأمر حينئذٍ ملاكه ودليله ـ فتدبر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959235_1051229030"/>
      <w:bookmarkStart w:id="143" w:name="_Toc49"/>
      <w:bookmarkEnd w:id="142"/>
      <w:r>
        <w:rPr>
          <w:rtl w:val="true"/>
        </w:rPr>
        <w:t>(</w:t>
      </w:r>
      <w:r>
        <w:rPr>
          <w:rtl w:val="true"/>
        </w:rPr>
        <w:t>الإرشادي</w:t>
      </w:r>
      <w:r>
        <w:rPr>
          <w:rtl w:val="true"/>
        </w:rPr>
        <w:t xml:space="preserve">) </w:t>
      </w:r>
      <w:r>
        <w:rPr>
          <w:rtl w:val="true"/>
        </w:rPr>
        <w:t>في الكتاب</w:t>
      </w:r>
      <w:bookmarkEnd w:id="143"/>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مصدره وعدد من مشتقاته في القرآن الكريم،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آمن يا قوم اتبعوني أهدكم سبيل الرشاد</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144" w:name="__RefHeading___Toc3959237_1051229030"/>
      <w:bookmarkStart w:id="145" w:name="_Toc50"/>
      <w:bookmarkEnd w:id="144"/>
      <w:r>
        <w:rPr>
          <w:rtl w:val="true"/>
        </w:rPr>
        <w:t>«</w:t>
      </w:r>
      <w:r>
        <w:rPr>
          <w:rtl w:val="true"/>
        </w:rPr>
        <w:t>سبيل الرشاد</w:t>
      </w:r>
      <w:r>
        <w:rPr>
          <w:rtl w:val="true"/>
        </w:rPr>
        <w:t xml:space="preserve">» </w:t>
      </w:r>
      <w:r>
        <w:rPr>
          <w:rtl w:val="true"/>
        </w:rPr>
        <w:t>في الآية أعم من الإرشادي والمولوي</w:t>
      </w:r>
      <w:bookmarkEnd w:id="1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أعم من متعلقات الأوامر والنواهي المولوية والإرشادية، بل ومن موارد الإخبار عنه، أي إنه يقع متعلقاً لها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يصح إطلاق الأمر الإرشادي على الأمر المولوي أيضاً، وهو ما ذكره صاحب الجواهر من الإرشاد بالمعنى الأعم ـ كما نقلناه عنه في موضع آخر ـ</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الصلاة والزكاة والحج والخمس ـ وغيرها من الأحكام التكليفية ـ هداية إلى سبيل الرشاد، كذلك الهداية </w:t>
      </w:r>
      <w:bookmarkStart w:id="146" w:name="pg7671_76487"/>
    </w:p>
    <w:p>
      <w:pPr>
        <w:pStyle w:val="BookText"/>
        <w:rPr/>
      </w:pPr>
      <w:bookmarkEnd w:id="146"/>
      <w:r>
        <w:rPr>
          <w:rFonts w:ascii="Amiri" w:hAnsi="Amiri" w:eastAsia="Amiri" w:cs="Amiri"/>
          <w:color w:val="111111"/>
          <w:sz w:val="28"/>
          <w:sz w:val="28"/>
          <w:szCs w:val="28"/>
          <w:rtl w:val="true"/>
          <w:lang w:bidi="ar-SA"/>
        </w:rPr>
        <w:t>إلى شرائط صحة الصلاة</w:t>
      </w:r>
      <w:r>
        <w:rPr>
          <w:rStyle w:val="FootnoteAnchor"/>
          <w:rtl w:val="true"/>
        </w:rPr>
        <w:footnoteReference w:id="155"/>
      </w:r>
      <w:r>
        <w:rPr>
          <w:rFonts w:ascii="Amiri" w:hAnsi="Amiri" w:eastAsia="Amiri" w:cs="Amiri"/>
          <w:color w:val="111111"/>
          <w:sz w:val="28"/>
          <w:sz w:val="28"/>
          <w:szCs w:val="28"/>
          <w:rtl w:val="true"/>
          <w:lang w:bidi="ar-SA"/>
        </w:rPr>
        <w:t>، بل وشرائط القبولأيضاً</w:t>
      </w:r>
      <w:r>
        <w:rPr>
          <w:rStyle w:val="FootnoteAnchor"/>
          <w:rtl w:val="true"/>
        </w:rPr>
        <w:footnoteReference w:id="156"/>
      </w:r>
      <w:r>
        <w:rPr>
          <w:rFonts w:ascii="Amiri" w:hAnsi="Amiri" w:eastAsia="Amiri" w:cs="Amiri"/>
          <w:color w:val="111111"/>
          <w:sz w:val="28"/>
          <w:sz w:val="28"/>
          <w:szCs w:val="28"/>
          <w:rtl w:val="true"/>
          <w:lang w:bidi="ar-SA"/>
        </w:rPr>
        <w:t xml:space="preserve">ـ وغيرها من الأحكام الوضعية ـ هداية إلى سبيل الرشاد، وكما أن الهداية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إلى سبيل الرشاد، كذلك الهداية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الصحيح منها أو الباطل وما الجائز منها</w:t>
      </w:r>
      <w:r>
        <w:rPr>
          <w:rStyle w:val="FootnoteAnchor"/>
          <w:rtl w:val="true"/>
        </w:rPr>
        <w:footnoteReference w:id="157"/>
      </w:r>
      <w:r>
        <w:rPr>
          <w:rFonts w:ascii="Amiri" w:hAnsi="Amiri" w:eastAsia="Amiri" w:cs="Amiri"/>
          <w:color w:val="111111"/>
          <w:sz w:val="28"/>
          <w:sz w:val="28"/>
          <w:szCs w:val="28"/>
          <w:rtl w:val="true"/>
          <w:lang w:bidi="ar-SA"/>
        </w:rPr>
        <w:t>أو اللازم، وشروطها وشروط المتعاقدين وغير ذلك، هداية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الإلتزام به للرشاد، هداية إلى سبيل الرشاد، فكذلك ـ بل ولعله أظهر إنطباقاً</w:t>
      </w:r>
      <w:r>
        <w:rPr>
          <w:rStyle w:val="FootnoteAnchor"/>
          <w:rtl w:val="true"/>
        </w:rPr>
        <w:footnoteReference w:id="158"/>
      </w:r>
      <w:r>
        <w:rPr>
          <w:rFonts w:ascii="Amiri" w:hAnsi="Amiri" w:eastAsia="Amiri" w:cs="Amiri"/>
          <w:color w:val="111111"/>
          <w:sz w:val="28"/>
          <w:sz w:val="28"/>
          <w:szCs w:val="28"/>
          <w:rtl w:val="true"/>
          <w:lang w:bidi="ar-SA"/>
        </w:rPr>
        <w:t>ـ النصح بما يوصل إلى طريق الرشاد، بل وكذلك الإخبار عن طريق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هداية إلى سبيل الرشاد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959239_1051229030"/>
      <w:bookmarkStart w:id="148" w:name="_Toc51"/>
      <w:bookmarkEnd w:id="147"/>
      <w:r>
        <w:rPr>
          <w:rtl w:val="true"/>
        </w:rPr>
        <w:t>كذلك الهداية</w:t>
      </w:r>
      <w:r>
        <w:rPr>
          <w:rtl w:val="true"/>
        </w:rPr>
        <w:t>:</w:t>
      </w:r>
      <w:bookmarkEnd w:id="148"/>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سواء قيل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أم إمضاءً أم إخباراً، وسواء قيل بإفادته الحكم التكليفي أم الوضعي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كالصحة والنفوذ واللزوم مثلاً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فإنه على كلها هداية إلى سبيل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سواء قيل بإفادته الحكم التكليفي أيضاً كما ارتضيناه أم إفادته خصوص الحكم الوضعي ـ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فصلناه في موضع آخر ـ ومثل هذا الكلام جار في الآية التالية ـ كما فصلناه في موضع آخر أيضاً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والرسول وأولي الأمر منكم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ـ بناء على إرشاديته، فإنه نصح ـ وهو مع ذلك هداية إلى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لأنفسكم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فإنه نصح وإرشاد وهداية إلى سبيل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وغيرها، مما هو في دائرة الحكم التكليفي، أو الحكم الوضعي، أو النصح إنشاءً، أو حتى الإخبار ناصحاً</w:t>
      </w:r>
      <w:r>
        <w:rPr>
          <w:rStyle w:val="FootnoteAnchor"/>
          <w:rtl w:val="true"/>
        </w:rPr>
        <w:footnoteReference w:id="169"/>
      </w:r>
      <w:r>
        <w:rPr>
          <w:rFonts w:ascii="Amiri" w:hAnsi="Amiri" w:eastAsia="Amiri" w:cs="Amiri"/>
          <w:color w:val="111111"/>
          <w:sz w:val="28"/>
          <w:sz w:val="28"/>
          <w:szCs w:val="28"/>
          <w:rtl w:val="true"/>
          <w:lang w:bidi="ar-SA"/>
        </w:rPr>
        <w:t>فإنها بأجمعها ـ بأنفسها ـ هداية إلى سبيل الرشاد، كما أن الهداية إليها، هداية إلى الهادي إلى سبيل الرشاد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منصرف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الهداية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الهداية إلى الهادي لسبيل الرشاد</w:t>
      </w:r>
      <w:r>
        <w:rPr>
          <w:rStyle w:val="FootnoteAnchor"/>
          <w:rtl w:val="true"/>
        </w:rPr>
        <w:footnoteReference w:id="171"/>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وبذلك ظهر أن الأمر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إرشاد إلى سبيل الرشاد، كما أن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شهيدين من رجالكم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لإفادته خصوص الحكم الوضعي ـ كما ادعي ـ إرشادي، فهو أعم من المعنى المصطلح للإرشادي، إذ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له ولياً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كلا قسمي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باصطلاحهم ـ بقسميه التكليفي والوضعي، وهو ما سميناه بالمولوي بالمعنى الأخص،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باصطلاحنا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إذ يشمل كلا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تشريعي</w:t>
      </w:r>
      <w:r>
        <w:rPr>
          <w:rStyle w:val="FootnoteAnchor"/>
          <w:rtl w:val="true"/>
        </w:rPr>
        <w:footnoteReference w:id="175"/>
      </w:r>
      <w:r>
        <w:rPr>
          <w:rFonts w:ascii="Amiri" w:hAnsi="Amiri" w:eastAsia="Amiri" w:cs="Amiri"/>
          <w:color w:val="111111"/>
          <w:sz w:val="28"/>
          <w:sz w:val="28"/>
          <w:szCs w:val="28"/>
          <w:rtl w:val="true"/>
          <w:lang w:bidi="ar-SA"/>
        </w:rPr>
        <w:t>ونصحي بل والقسم الثالث وهو الإرشادي لا بلحاظ مقام مولويته ـ فتأمل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العطف التفسيري للولي، بذكر أحد مقاماته أو مسؤولياته وواجباته</w:t>
      </w:r>
      <w:r>
        <w:rPr>
          <w:rFonts w:eastAsia="Amiri" w:cs="Amiri" w:ascii="Amiri" w:hAnsi="Amiri"/>
          <w:color w:val="111111"/>
          <w:sz w:val="28"/>
          <w:szCs w:val="28"/>
          <w:rtl w:val="true"/>
          <w:lang w:bidi="ar-SA"/>
        </w:rPr>
        <w:t xml:space="preserve">. </w:t>
      </w:r>
      <w:bookmarkStart w:id="149" w:name="pg7671_76490"/>
    </w:p>
    <w:p>
      <w:pPr>
        <w:pStyle w:val="Heading3"/>
        <w:numPr>
          <w:ilvl w:val="2"/>
          <w:numId w:val="1"/>
        </w:numPr>
        <w:rPr/>
      </w:pPr>
      <w:bookmarkStart w:id="150" w:name="__RefHeading___Toc3959241_1051229030"/>
      <w:bookmarkStart w:id="151" w:name="_Toc52"/>
      <w:bookmarkEnd w:id="149"/>
      <w:bookmarkEnd w:id="150"/>
      <w:r>
        <w:rPr>
          <w:rtl w:val="true"/>
        </w:rPr>
        <w:t xml:space="preserve">آية </w:t>
      </w:r>
      <w:r>
        <w:rPr>
          <w:rtl w:val="true"/>
        </w:rPr>
        <w:t>«</w:t>
      </w:r>
      <w:r>
        <w:rPr>
          <w:rtl w:val="true"/>
        </w:rPr>
        <w:t>تُعلمن مما عُلِّمتَ رشداً</w:t>
      </w:r>
      <w:r>
        <w:rPr>
          <w:rtl w:val="true"/>
        </w:rPr>
        <w:t>»</w:t>
      </w:r>
      <w:bookmarkEnd w:id="151"/>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مفعول له أو مفعول به أي لأجل الرشد أو علماً ذا رشد، وكما صح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بالرشد يصح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وكما أن العلم بالإنشائيات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الأمر والنصح والإخبار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959243_1051229030"/>
      <w:bookmarkStart w:id="153" w:name="_Toc53"/>
      <w:bookmarkEnd w:id="152"/>
      <w:r>
        <w:rPr>
          <w:rtl w:val="true"/>
        </w:rPr>
        <w:t>(</w:t>
      </w:r>
      <w:r>
        <w:rPr>
          <w:rtl w:val="true"/>
        </w:rPr>
        <w:t>الإرشادي</w:t>
      </w:r>
      <w:r>
        <w:rPr>
          <w:rtl w:val="true"/>
        </w:rPr>
        <w:t xml:space="preserve">) </w:t>
      </w:r>
      <w:r>
        <w:rPr>
          <w:rtl w:val="true"/>
        </w:rPr>
        <w:t>في السنة</w:t>
      </w:r>
      <w:bookmarkEnd w:id="153"/>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بصيغته وهيئته أو بمادته في روايات كثيرة فمنها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959245_1051229030"/>
      <w:bookmarkStart w:id="155" w:name="_Toc54"/>
      <w:bookmarkEnd w:id="154"/>
      <w:r>
        <w:rPr>
          <w:rtl w:val="true"/>
        </w:rPr>
        <w:t xml:space="preserve">رواية </w:t>
      </w:r>
      <w:r>
        <w:rPr>
          <w:rtl w:val="true"/>
        </w:rPr>
        <w:t>(</w:t>
      </w:r>
      <w:r>
        <w:rPr>
          <w:rtl w:val="true"/>
        </w:rPr>
        <w:t>إماماً</w:t>
      </w:r>
      <w:r>
        <w:rPr>
          <w:rtl w:val="true"/>
        </w:rPr>
        <w:t xml:space="preserve">.. </w:t>
      </w:r>
      <w:r>
        <w:rPr>
          <w:rtl w:val="true"/>
        </w:rPr>
        <w:t>يرشدكم السبيل</w:t>
      </w:r>
      <w:r>
        <w:rPr>
          <w:rtl w:val="true"/>
        </w:rPr>
        <w:t>)</w:t>
      </w:r>
      <w:bookmarkEnd w:id="155"/>
    </w:p>
    <w:p>
      <w:pPr>
        <w:pStyle w:val="BookText"/>
        <w:rPr/>
      </w:pP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الطريق ويرشدكم السبيل؟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بصيغة الأمر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أيضاً بهذا المعنى، وقد يكون بصيغة الإخبار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بذلك كله، وأن الواقع الخارجي يشهد بذلك</w:t>
      </w:r>
      <w:r>
        <w:rPr>
          <w:rFonts w:eastAsia="Amiri" w:cs="Amiri" w:ascii="Amiri" w:hAnsi="Amiri"/>
          <w:color w:val="111111"/>
          <w:sz w:val="28"/>
          <w:szCs w:val="28"/>
          <w:rtl w:val="true"/>
          <w:lang w:bidi="ar-SA"/>
        </w:rPr>
        <w:t xml:space="preserve">. </w:t>
      </w:r>
      <w:bookmarkStart w:id="156" w:name="pg7671_76491"/>
    </w:p>
    <w:p>
      <w:pPr>
        <w:pStyle w:val="Heading3"/>
        <w:numPr>
          <w:ilvl w:val="2"/>
          <w:numId w:val="1"/>
        </w:numPr>
        <w:rPr/>
      </w:pPr>
      <w:bookmarkStart w:id="157" w:name="__RefHeading___Toc3959247_1051229030"/>
      <w:bookmarkStart w:id="158" w:name="_Toc55"/>
      <w:bookmarkEnd w:id="156"/>
      <w:bookmarkEnd w:id="157"/>
      <w:r>
        <w:rPr>
          <w:rtl w:val="true"/>
        </w:rPr>
        <w:t>إرشاد السبيل، بالترجي والتمني والإنذار وغيرها</w:t>
      </w:r>
      <w:bookmarkEnd w:id="158"/>
    </w:p>
    <w:p>
      <w:pPr>
        <w:pStyle w:val="BookText"/>
        <w:rPr/>
      </w:pPr>
      <w:r>
        <w:rPr>
          <w:rFonts w:ascii="Amiri" w:hAnsi="Amiri" w:eastAsia="Amiri" w:cs="Amiri"/>
          <w:color w:val="111111"/>
          <w:sz w:val="28"/>
          <w:sz w:val="28"/>
          <w:szCs w:val="28"/>
          <w:rtl w:val="true"/>
          <w:lang w:bidi="ar-SA"/>
        </w:rPr>
        <w:t xml:space="preserve">بل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الإنشاءات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تمتعوا</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على ما ذكروا،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أهده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وغيرها من المعاني الخمسة عشرة التي ذكرت لصيغة الأمر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وإنا وإن ذهبنا إلى كونها دواعي للاستعمال وليست موضوعاً له ولا مستعملاً فيه ـ تبعاً لصاحب الكفاية ـ إلا أن الكلام في أن هذه المعاني لو كانت بغير صيغة الأمر ـ إنشاءً أو إخباراً ـ كقوله في 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تطعني هلكتَ أو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بذلك أو مخبراً، فإن كل ذلك إرشاد للسبيل ـ في المحق ـ فإنه يصدق عليه بالحمل الشايع الصناعي إنه أرشده السبيل بقوله كذا ـ أو حتى بإشارته وفعله ـ</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الكلام في هذه المعاني، لو كانت بصيغة الأمر أيضاً؛ إذ لا يشترط في صدق كونها</w:t>
      </w:r>
      <w:r>
        <w:rPr>
          <w:rStyle w:val="FootnoteAnchor"/>
          <w:rtl w:val="true"/>
        </w:rPr>
        <w:footnoteReference w:id="183"/>
      </w:r>
      <w:r>
        <w:rPr>
          <w:rFonts w:ascii="Amiri" w:hAnsi="Amiri" w:eastAsia="Amiri" w:cs="Amiri"/>
          <w:color w:val="111111"/>
          <w:sz w:val="28"/>
          <w:sz w:val="28"/>
          <w:szCs w:val="28"/>
          <w:rtl w:val="true"/>
          <w:lang w:bidi="ar-SA"/>
        </w:rPr>
        <w:t>إرشاداً للسبيل كونها</w:t>
      </w:r>
      <w:r>
        <w:rPr>
          <w:rStyle w:val="FootnoteAnchor"/>
          <w:rtl w:val="true"/>
        </w:rPr>
        <w:footnoteReference w:id="184"/>
      </w:r>
      <w:r>
        <w:rPr>
          <w:rFonts w:ascii="Amiri" w:hAnsi="Amiri" w:eastAsia="Amiri" w:cs="Amiri"/>
          <w:color w:val="111111"/>
          <w:sz w:val="28"/>
          <w:sz w:val="28"/>
          <w:szCs w:val="28"/>
          <w:rtl w:val="true"/>
          <w:lang w:bidi="ar-SA"/>
        </w:rPr>
        <w:t>جزء الموضوع له أو المستعمل فيه، كما لا يخفى</w:t>
      </w:r>
      <w:r>
        <w:rPr>
          <w:rFonts w:eastAsia="Amiri" w:cs="Amiri" w:ascii="Amiri" w:hAnsi="Amiri"/>
          <w:color w:val="111111"/>
          <w:sz w:val="28"/>
          <w:szCs w:val="28"/>
          <w:rtl w:val="true"/>
          <w:lang w:bidi="ar-SA"/>
        </w:rPr>
        <w:t xml:space="preserve">. </w:t>
      </w:r>
      <w:bookmarkStart w:id="159" w:name="pg7671_76492"/>
    </w:p>
    <w:p>
      <w:pPr>
        <w:pStyle w:val="Heading3"/>
        <w:numPr>
          <w:ilvl w:val="2"/>
          <w:numId w:val="1"/>
        </w:numPr>
        <w:rPr/>
      </w:pPr>
      <w:bookmarkStart w:id="160" w:name="__RefHeading___Toc3959249_1051229030"/>
      <w:bookmarkStart w:id="161" w:name="_Toc56"/>
      <w:bookmarkEnd w:id="159"/>
      <w:bookmarkEnd w:id="160"/>
      <w:r>
        <w:rPr>
          <w:rtl w:val="true"/>
        </w:rPr>
        <w:t xml:space="preserve">رواية </w:t>
      </w:r>
      <w:r>
        <w:rPr>
          <w:rtl w:val="true"/>
        </w:rPr>
        <w:t>(</w:t>
      </w:r>
      <w:r>
        <w:rPr>
          <w:rtl w:val="true"/>
        </w:rPr>
        <w:t>استرشده السبيل</w:t>
      </w:r>
      <w:r>
        <w:rPr>
          <w:rtl w:val="true"/>
        </w:rPr>
        <w:t>)</w:t>
      </w:r>
      <w:bookmarkEnd w:id="161"/>
    </w:p>
    <w:p>
      <w:pPr>
        <w:pStyle w:val="BookText"/>
        <w:rPr/>
      </w:pPr>
      <w:r>
        <w:rPr>
          <w:rFonts w:ascii="Amiri" w:hAnsi="Amiri" w:eastAsia="Amiri" w:cs="Amiri"/>
          <w:color w:val="111111"/>
          <w:sz w:val="28"/>
          <w:sz w:val="28"/>
          <w:szCs w:val="28"/>
          <w:rtl w:val="true"/>
          <w:lang w:bidi="ar-SA"/>
        </w:rPr>
        <w:t>ومنها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وأتوكل على الله واسترشده السبيل المؤدية إلى جنته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استرشاد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كما سبق، بأن يطلب ذلك منه تعالى، بأمر مولوي أو إرشادي أو بإخبار</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959251_1051229030"/>
      <w:bookmarkStart w:id="163" w:name="_Toc57"/>
      <w:bookmarkEnd w:id="162"/>
      <w:r>
        <w:rPr>
          <w:rtl w:val="true"/>
        </w:rPr>
        <w:t xml:space="preserve">رواية </w:t>
      </w:r>
      <w:r>
        <w:rPr>
          <w:rtl w:val="true"/>
        </w:rPr>
        <w:t>(</w:t>
      </w:r>
      <w:r>
        <w:rPr>
          <w:rtl w:val="true"/>
        </w:rPr>
        <w:t>إرشادي وهدايتي له</w:t>
      </w:r>
      <w:r>
        <w:rPr>
          <w:rtl w:val="true"/>
        </w:rPr>
        <w:t>)</w:t>
      </w:r>
      <w:bookmarkEnd w:id="163"/>
    </w:p>
    <w:p>
      <w:pPr>
        <w:pStyle w:val="BookText"/>
        <w:rPr/>
      </w:pPr>
      <w:r>
        <w:rPr>
          <w:rFonts w:ascii="Amiri" w:hAnsi="Amiri" w:eastAsia="Amiri" w:cs="Amiri"/>
          <w:color w:val="111111"/>
          <w:sz w:val="28"/>
          <w:sz w:val="28"/>
          <w:szCs w:val="28"/>
          <w:rtl w:val="true"/>
          <w:lang w:bidi="ar-SA"/>
        </w:rPr>
        <w:t>ومنها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الذنب إليه، إرشادي وهدايتي له، فرب ملوم لا ذنب 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فيصلح دليلاً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المعنى الأعم للإرشادي في بعض الاطلاقات والاستعمالات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مقصوده صلوات الله عليه من الاستشهاد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إرشاده عليه السلام وهدايته له، نابعة من حبه لما يصلحه والصالح له، وهكذا ملوم لا ذنب له، أو وجه الاستشهاد أن الله أمر الناس بإطاعته مما يكرهه كثير منهم وكما أن ذلك ليس ذنباً فإن إرشادي له بما يكرهه، ليس ذنباً ـ فتأمل</w:t>
      </w:r>
      <w:r>
        <w:rPr>
          <w:rFonts w:eastAsia="Amiri" w:cs="Amiri" w:ascii="Amiri" w:hAnsi="Amiri"/>
          <w:color w:val="111111"/>
          <w:sz w:val="28"/>
          <w:szCs w:val="28"/>
          <w:rtl w:val="true"/>
          <w:lang w:bidi="ar-SA"/>
        </w:rPr>
        <w:t xml:space="preserve">. </w:t>
      </w:r>
      <w:bookmarkStart w:id="164" w:name="pg7671_76493"/>
    </w:p>
    <w:p>
      <w:pPr>
        <w:pStyle w:val="Heading3"/>
        <w:numPr>
          <w:ilvl w:val="2"/>
          <w:numId w:val="1"/>
        </w:numPr>
        <w:rPr/>
      </w:pPr>
      <w:bookmarkStart w:id="165" w:name="__RefHeading___Toc3959253_1051229030"/>
      <w:bookmarkStart w:id="166" w:name="_Toc58"/>
      <w:bookmarkEnd w:id="164"/>
      <w:bookmarkEnd w:id="165"/>
      <w:r>
        <w:rPr>
          <w:rtl w:val="true"/>
        </w:rPr>
        <w:t>هل يدل قوله</w:t>
      </w:r>
      <w:r>
        <w:rPr>
          <w:rtl w:val="true"/>
        </w:rPr>
        <w:t>: (</w:t>
      </w:r>
      <w:r>
        <w:rPr>
          <w:rtl w:val="true"/>
        </w:rPr>
        <w:t>أحب إرشادهم</w:t>
      </w:r>
      <w:r>
        <w:rPr>
          <w:rtl w:val="true"/>
        </w:rPr>
        <w:t xml:space="preserve">) </w:t>
      </w:r>
      <w:r>
        <w:rPr>
          <w:rtl w:val="true"/>
        </w:rPr>
        <w:t>على مولوية أمر الإطاعة؟</w:t>
      </w:r>
      <w:bookmarkEnd w:id="166"/>
    </w:p>
    <w:p>
      <w:pPr>
        <w:pStyle w:val="BookText"/>
        <w:rPr/>
      </w:pPr>
      <w:r>
        <w:rPr>
          <w:rFonts w:ascii="Amiri" w:hAnsi="Amiri" w:eastAsia="Amiri" w:cs="Amiri"/>
          <w:color w:val="111111"/>
          <w:sz w:val="28"/>
          <w:sz w:val="28"/>
          <w:szCs w:val="28"/>
          <w:rtl w:val="true"/>
          <w:lang w:bidi="ar-SA"/>
        </w:rPr>
        <w:t xml:space="preserve">وهل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أمر الإطاعة إرشادي؟</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الظاهر العدم، إذ لا حقيقة شرعية ولا اصطلاح خاص للشارع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يحمل كلامه على ما اصطلح عليه الأصوليون من المعنى الأخص للإرشاد، والظاهر أن الإرشاد هنا أريد به معناه الأعم وهو الهداية ـ كما ذكره الجواهر ـ وهو المعنى اللغوي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الأمر المولوي والإرشادي معاً، بل في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أن باعث المولى للأمر بالصلاة والزكاة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إرشادهم إلى ما فيه خير آخرتهم ودنياهم، ولذا يصح تطبيق كلام الإمام عليه السلام على الأمر بالصلاة أيضاً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هو الباعث للإخبار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خاب من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 والجبن منقصة والفقر يخرسالفطن عن حجته</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من سلم </w:t>
      </w:r>
      <w:bookmarkStart w:id="167" w:name="pg7671_76494"/>
    </w:p>
    <w:p>
      <w:pPr>
        <w:pStyle w:val="BookText"/>
        <w:rPr/>
      </w:pPr>
      <w:bookmarkEnd w:id="167"/>
      <w:r>
        <w:rPr>
          <w:rFonts w:ascii="Amiri" w:hAnsi="Amiri" w:eastAsia="Amiri" w:cs="Amiri"/>
          <w:color w:val="111111"/>
          <w:sz w:val="28"/>
          <w:sz w:val="28"/>
          <w:szCs w:val="28"/>
          <w:rtl w:val="true"/>
          <w:lang w:bidi="ar-SA"/>
        </w:rPr>
        <w:t>المسلمون من يده ولسانه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حب الإرشاد في هذه كلها وغيرها، إن لم يكن السبب القريب، فإنه يقع في سلسلة الأسباب ففي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السبب القريب هو المدح والثناء، والإخبار عن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البعيد هو حب إرشاد الناس إلى أن يكونوا مثلهم، وحب معرفة الناس مكانتهم وفضلهم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أو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مصباً ومقصوداً أولاً وبالذات، أو باعتباره مقصوداً ثانياً وبالعرض، فهي دواعي وأغراض طولية، وقد يكون بعضها ظهراً وبعضها بطناً، بل قد تكون كلها وغيرها أيضاً أسباباً عرضية، وذلك ما يحتاج إلى التدبر في كل آية آية على ضوء تفسير وتأويل الروايات الشريفة لها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959255_1051229030"/>
      <w:bookmarkStart w:id="169" w:name="_Toc59"/>
      <w:bookmarkEnd w:id="168"/>
      <w:r>
        <w:rPr>
          <w:rtl w:val="true"/>
        </w:rPr>
        <w:t>قوله عليه السلام</w:t>
      </w:r>
      <w:r>
        <w:rPr>
          <w:rtl w:val="true"/>
        </w:rPr>
        <w:t>: (</w:t>
      </w:r>
      <w:r>
        <w:rPr>
          <w:rtl w:val="true"/>
        </w:rPr>
        <w:t>كلامكم نور وأمركم رشد</w:t>
      </w:r>
      <w:r>
        <w:rPr>
          <w:rtl w:val="true"/>
        </w:rPr>
        <w:t>)</w:t>
      </w:r>
      <w:bookmarkEnd w:id="16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الزيارة الجامعة عن الإمام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 وأمركم رشد ووصيتكم التقوى</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إرادة الأمر بمعنى الطلب، أي الأمر الإنشائي، بقرينة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وصيتكم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الأعم منهما، إلا أن يورد بلزوم إجتماع اللحاظين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المحال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يكون كل منهما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بعضه، ولا فيما إذا كانا طوليين، بل إن كون كل منهما تمام المراد ليس بمحال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ونضيف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الطلب مصداق للأمر بالمعنى الأول</w:t>
      </w:r>
      <w:r>
        <w:rPr>
          <w:rStyle w:val="FootnoteAnchor"/>
          <w:rtl w:val="true"/>
        </w:rPr>
        <w:footnoteReference w:id="195"/>
      </w:r>
      <w:r>
        <w:rPr>
          <w:rFonts w:ascii="IRNazanin" w:hAnsi="IRNazanin" w:eastAsia="IRNazanin"/>
          <w:color w:val="111111"/>
          <w:sz w:val="28"/>
          <w:sz w:val="28"/>
          <w:szCs w:val="28"/>
          <w:rtl w:val="true"/>
          <w:lang w:bidi="fa-IR"/>
        </w:rPr>
        <w:t>فالصغرى</w:t>
      </w:r>
      <w:r>
        <w:rPr>
          <w:rStyle w:val="FootnoteAnchor"/>
          <w:rtl w:val="true"/>
        </w:rPr>
        <w:footnoteReference w:id="196"/>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نفسه رشد، وليس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عليه عرفاً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الرشد ـ لغة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الغي ويستعمل استعمال الهداية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إبراهيم رشده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الأعم من الأمر المولوي </w:t>
      </w:r>
      <w:bookmarkStart w:id="170" w:name="pg7671_76496"/>
    </w:p>
    <w:p>
      <w:pPr>
        <w:pStyle w:val="BookText"/>
        <w:rPr/>
      </w:pPr>
      <w:bookmarkEnd w:id="170"/>
      <w:r>
        <w:rPr>
          <w:rFonts w:ascii="Amiri" w:hAnsi="Amiri" w:eastAsia="Amiri" w:cs="Amiri"/>
          <w:color w:val="111111"/>
          <w:sz w:val="28"/>
          <w:sz w:val="28"/>
          <w:szCs w:val="28"/>
          <w:rtl w:val="true"/>
          <w:lang w:bidi="ar-SA"/>
        </w:rPr>
        <w:t>والأمر الإرشادي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959257_1051229030"/>
      <w:bookmarkStart w:id="172" w:name="_Toc60"/>
      <w:bookmarkEnd w:id="171"/>
      <w:r>
        <w:rPr>
          <w:rtl w:val="true"/>
        </w:rPr>
        <w:t>النتيجة</w:t>
      </w:r>
      <w:r>
        <w:rPr>
          <w:rtl w:val="true"/>
        </w:rPr>
        <w:t>:</w:t>
      </w:r>
      <w:bookmarkEnd w:id="172"/>
    </w:p>
    <w:p>
      <w:pPr>
        <w:pStyle w:val="Heading4"/>
        <w:numPr>
          <w:ilvl w:val="3"/>
          <w:numId w:val="1"/>
        </w:numPr>
        <w:rPr/>
      </w:pPr>
      <w:bookmarkStart w:id="173" w:name="__RefHeading___Toc3959259_1051229030"/>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وبذلك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والروايات، أعم من الأمر المولوي والإرشادي والإخبار؛ فإنها كلها إرشاد، فيصح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المولوي والأمر الإرشادي المصطلحين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الوجوب، أو بداعي الندب، أو بداعي الإنذار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والامتنان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والإرشاد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ما مُثل لها، بها</w:t>
      </w:r>
      <w:r>
        <w:rPr>
          <w:rStyle w:val="FootnoteAnchor"/>
          <w:rtl w:val="true"/>
        </w:rPr>
        <w:footnoteReference w:id="202"/>
      </w:r>
      <w:r>
        <w:rPr>
          <w:rFonts w:ascii="Amiri" w:hAnsi="Amiri" w:eastAsia="Amiri" w:cs="Amiri"/>
          <w:color w:val="111111"/>
          <w:sz w:val="28"/>
          <w:sz w:val="28"/>
          <w:szCs w:val="28"/>
          <w:rtl w:val="true"/>
          <w:lang w:bidi="ar-SA"/>
        </w:rPr>
        <w:t>ـ وغيرها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يصطلح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ما كان بداعي النصح ـ سواء قلنا بإنقسامه للواجب والمندوب أم لا، على ما فصلناه في موضع آخر ـ وذلك لوجود العلاقة المصححة، بل لا حاجة لها عند وضع الاصطلاح وإن رجحت؛ فإن الحاجة لها خاصة بالاستعمال المجازي،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خاص أو عام</w:t>
      </w:r>
      <w:r>
        <w:rPr>
          <w:rFonts w:eastAsia="Amiri" w:cs="Amiri" w:ascii="Amiri" w:hAnsi="Amiri"/>
          <w:color w:val="111111"/>
          <w:sz w:val="28"/>
          <w:szCs w:val="28"/>
          <w:rtl w:val="true"/>
          <w:lang w:bidi="ar-SA"/>
        </w:rPr>
        <w:t xml:space="preserve">. </w:t>
      </w:r>
      <w:bookmarkStart w:id="175" w:name="pg7671_76497"/>
    </w:p>
    <w:p>
      <w:pPr>
        <w:pStyle w:val="Heading4"/>
        <w:numPr>
          <w:ilvl w:val="3"/>
          <w:numId w:val="1"/>
        </w:numPr>
        <w:rPr/>
      </w:pPr>
      <w:bookmarkStart w:id="176" w:name="__RefHeading___Toc3959261_1051229030"/>
      <w:bookmarkStart w:id="177" w:name="_Toc62"/>
      <w:bookmarkEnd w:id="175"/>
      <w:bookmarkEnd w:id="176"/>
      <w:r>
        <w:rPr>
          <w:rtl w:val="true"/>
        </w:rPr>
        <w:t>(</w:t>
      </w:r>
      <w:r>
        <w:rPr>
          <w:rtl w:val="true"/>
        </w:rPr>
        <w:t>الأمر</w:t>
      </w:r>
      <w:r>
        <w:rPr>
          <w:rtl w:val="true"/>
        </w:rPr>
        <w:t xml:space="preserve">) </w:t>
      </w:r>
      <w:r>
        <w:rPr>
          <w:rtl w:val="true"/>
        </w:rPr>
        <w:t>في الكتاب</w:t>
      </w:r>
      <w:bookmarkEnd w:id="177"/>
    </w:p>
    <w:p>
      <w:pPr>
        <w:pStyle w:val="BookText"/>
        <w:rPr/>
      </w:pPr>
      <w:r>
        <w:rPr>
          <w:rFonts w:ascii="Amiri" w:hAnsi="Amiri" w:eastAsia="Amiri" w:cs="Amiri"/>
          <w:color w:val="111111"/>
          <w:sz w:val="28"/>
          <w:sz w:val="28"/>
          <w:szCs w:val="28"/>
          <w:rtl w:val="true"/>
          <w:lang w:bidi="ar-SA"/>
        </w:rPr>
        <w:t xml:space="preserve">هذا كله عن ورود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وتحقيق المراد منهما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ريب في أنه استعمل في الكتاب والسنة، في الطلب بداعي الإرشاد تارة، وبداعي الوجوب أو الندب أخرى ـ على حسب مسلك الآخوند ـ وعلى ما نراه فالأتم القول إنه استعمل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النصح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للوجوب أو الندب، 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وجوباً أو ندباً ـ أخرى، وذلك لإنقسام كليهما لهما، كما أوضحناه في فصل آخر وذهب إليه الشيخ الأنصاري والميرزا الشيرازي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وهو مولوي على مسلكنا من الضابط الأول، وكذا الثالث، بل والرابع، وإرشادي على الضابط الخامس، لكونه من المستقلات العقلية، والسادس والسابع والثامن، وممكن الوجهين على الضابط الثاني</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فإنها من المستقلات العقلية بل لعلها وبعض ما سيأتي، من الفطريات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فإن حسن الأول وقبح الثاني، كلاهما من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 وأمر قومك يأخذوا بأحسنها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يستقل العقل بحسنه، لكن الظاهر أنه مندوب وليس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هو أمر مولوي أو إرشادي؟ وقد حققنا نظائره في مواضع أخرى، ويظهر الفارق في استحقاق الثواب وعدمه، وفي غيره أيضاً على ما ذكرناه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أمروا إلا ليعبدوا إلهاً واحداً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وعبادة الإله الواحد من المستقلات العقلية، فالأمر إرشادي بناء على الضابط الخامس، بل على الضابط الرابع للزوم التسلسل من مولويته ـ كما قيل وقد ناقشنا نظيره في فقه التعاون ـ</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أمره تعالى إياهم تشريعياً، ومن أمره جل اسمه إياهم نصحاً وإرشاداً</w:t>
      </w:r>
      <w:r>
        <w:rPr>
          <w:rFonts w:eastAsia="Amiri" w:cs="Amiri" w:ascii="Amiri" w:hAnsi="Amiri"/>
          <w:color w:val="111111"/>
          <w:sz w:val="28"/>
          <w:szCs w:val="28"/>
          <w:rtl w:val="true"/>
          <w:lang w:bidi="ar-SA"/>
        </w:rPr>
        <w:t xml:space="preserve">. </w:t>
      </w:r>
      <w:bookmarkStart w:id="178" w:name="pg7671_76499"/>
    </w:p>
    <w:p>
      <w:pPr>
        <w:pStyle w:val="Heading4"/>
        <w:numPr>
          <w:ilvl w:val="3"/>
          <w:numId w:val="1"/>
        </w:numPr>
        <w:rPr/>
      </w:pPr>
      <w:bookmarkStart w:id="179" w:name="__RefHeading___Toc3959263_1051229030"/>
      <w:bookmarkStart w:id="180" w:name="_Toc63"/>
      <w:bookmarkEnd w:id="178"/>
      <w:bookmarkEnd w:id="179"/>
      <w:r>
        <w:rPr>
          <w:rtl w:val="true"/>
        </w:rPr>
        <w:t xml:space="preserve">صدق </w:t>
      </w:r>
      <w:r>
        <w:rPr>
          <w:rtl w:val="true"/>
        </w:rPr>
        <w:t>(</w:t>
      </w:r>
      <w:r>
        <w:rPr>
          <w:rtl w:val="true"/>
        </w:rPr>
        <w:t>الأمر</w:t>
      </w:r>
      <w:r>
        <w:rPr>
          <w:rtl w:val="true"/>
        </w:rPr>
        <w:t xml:space="preserve">) </w:t>
      </w:r>
      <w:r>
        <w:rPr>
          <w:rtl w:val="true"/>
        </w:rPr>
        <w:t>حقيقة على الإرشادي</w:t>
      </w:r>
      <w:bookmarkEnd w:id="1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حقيقة على الأمر الإرشادي، بل لا نرى من حالنا فرقاً في صدقه بين كونه إرشادياً أو مولوياً، حسب اختلاف المباني في ملاك المولوية والإرشادية، بل حتى على المبنى الواحد، حسب اختلاف القرائن في دلالتها على كونه مولوياً أو إرشادياً فيما كان ممكناً فيه الوجهان، ثبوتاً كما في غير المستقلات العقلية، وغير ما يلزم منه محاذير كالتسلسل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دخلوا من حيث أمرهم أبوهم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فإن أمره يمكن كونه إرشادياً، كما يمكن كونه مولوياً، ثبوتاً، وأما الإثبات فتابع لما يفهم من اللحن والسياق وسائر القرائن</w:t>
      </w:r>
      <w:r>
        <w:rPr>
          <w:rFonts w:eastAsia="Amiri" w:cs="Amiri" w:ascii="Amiri" w:hAnsi="Amiri"/>
          <w:color w:val="111111"/>
          <w:sz w:val="28"/>
          <w:szCs w:val="28"/>
          <w:rtl w:val="true"/>
          <w:lang w:bidi="ar-SA"/>
        </w:rPr>
        <w:t xml:space="preserve">. </w:t>
      </w:r>
      <w:bookmarkStart w:id="181" w:name="pg7671_76500"/>
    </w:p>
    <w:p>
      <w:pPr>
        <w:pStyle w:val="Heading4"/>
        <w:numPr>
          <w:ilvl w:val="3"/>
          <w:numId w:val="1"/>
        </w:numPr>
        <w:rPr/>
      </w:pPr>
      <w:bookmarkStart w:id="182" w:name="__RefHeading___Toc3959265_1051229030"/>
      <w:bookmarkStart w:id="183" w:name="_Toc64"/>
      <w:bookmarkEnd w:id="181"/>
      <w:bookmarkEnd w:id="182"/>
      <w:r>
        <w:rPr>
          <w:rtl w:val="true"/>
        </w:rPr>
        <w:t>الأمر في السنة</w:t>
      </w:r>
      <w:bookmarkEnd w:id="183"/>
    </w:p>
    <w:p>
      <w:pPr>
        <w:pStyle w:val="BookText"/>
        <w:rPr/>
      </w:pPr>
      <w:r>
        <w:rPr>
          <w:rFonts w:ascii="Amiri" w:hAnsi="Amiri" w:eastAsia="Amiri" w:cs="Amiri"/>
          <w:color w:val="111111"/>
          <w:sz w:val="28"/>
          <w:sz w:val="28"/>
          <w:szCs w:val="28"/>
          <w:rtl w:val="true"/>
          <w:lang w:bidi="ar-SA"/>
        </w:rPr>
        <w:t>وأما الروايات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وقد يستشهد بكلامه صلوات الله عليه على أن بعض ما توهم كون الأمر فيه إرشادياً، مولوي 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مولوي فمتعلقاته كلها مولوية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مصاديق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بيده خزائن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تسأله ليعطيك</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أو إرشادي؟ وقد أشرنا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أنه واجب نفسي كما ذهب إليه المقدس الأردبيلي أو غيري كما لعله المشهور،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أو إرشادي؟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صلى الله عليه وآله ـ 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نصف الشجرة </w:t>
      </w:r>
    </w:p>
    <w:p>
      <w:pPr>
        <w:pStyle w:val="BookText"/>
        <w:rPr/>
      </w:pPr>
      <w:r>
        <w:rPr>
          <w:rFonts w:ascii="IRNazanin" w:hAnsi="IRNazanin" w:eastAsia="IRNazanin"/>
          <w:color w:val="111111"/>
          <w:sz w:val="28"/>
          <w:sz w:val="28"/>
          <w:szCs w:val="28"/>
          <w:rtl w:val="true"/>
          <w:lang w:bidi="fa-IR"/>
        </w:rPr>
        <w:t>ـ فرجع</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 ونظيره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أمرتا ـ أي السماء والأرض ـ بمنافعكم فأطاعتا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فالظاهر أن الأمر في الموردين، أمر تكويني، فهو خارج عن محل البحث وإن كان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وهو منصرف إلى الأمر المولوي، وإن أمكن شموله للإرشادي ـ النصحي ـ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إلا ما حمل من أمر ربه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وأمره النصحي الإرشادي،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كليهما، خاصة على مبنى أجنبية الإرشادية والمولوية عن الموضوع له وعن المستعمل فيه ـ كما هو مبنى الآخوند الخراساني ـ وخاصة على مبنى إنقسام الأمر الإرشادي إلى الوجوب والندب ـ كما هو مبنى الشيخ الأنصاري والميرزا الشيرازي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أمره ـ أي مالك الأشتر ـ فيما طابق الحق</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في موضع آخر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المولوي ـ التشريعي، والمولوي ـ النصحي، والإرشادي ـ النصحي الوجوبي والندبي أيضاً</w:t>
      </w:r>
      <w:r>
        <w:rPr>
          <w:rFonts w:eastAsia="Amiri" w:cs="Amiri" w:ascii="Amiri" w:hAnsi="Amiri"/>
          <w:color w:val="111111"/>
          <w:sz w:val="28"/>
          <w:szCs w:val="28"/>
          <w:rtl w:val="true"/>
          <w:lang w:bidi="ar-SA"/>
        </w:rPr>
        <w:t xml:space="preserve">. </w:t>
      </w:r>
      <w:bookmarkStart w:id="184" w:name="pg7671_76502"/>
    </w:p>
    <w:p>
      <w:pPr>
        <w:pStyle w:val="Heading4"/>
        <w:numPr>
          <w:ilvl w:val="3"/>
          <w:numId w:val="1"/>
        </w:numPr>
        <w:rPr/>
      </w:pPr>
      <w:bookmarkStart w:id="185" w:name="__RefHeading___Toc3959267_1051229030"/>
      <w:bookmarkStart w:id="186" w:name="_Toc65"/>
      <w:bookmarkEnd w:id="184"/>
      <w:bookmarkEnd w:id="185"/>
      <w:r>
        <w:rPr>
          <w:rtl w:val="true"/>
        </w:rPr>
        <w:t>(</w:t>
      </w:r>
      <w:r>
        <w:rPr>
          <w:rtl w:val="true"/>
        </w:rPr>
        <w:t>الحكم</w:t>
      </w:r>
      <w:r>
        <w:rPr>
          <w:rtl w:val="true"/>
        </w:rPr>
        <w:t xml:space="preserve">) </w:t>
      </w:r>
      <w:r>
        <w:rPr>
          <w:rtl w:val="true"/>
        </w:rPr>
        <w:t>في الكتاب والسنة</w:t>
      </w:r>
      <w:bookmarkEnd w:id="186"/>
    </w:p>
    <w:p>
      <w:pPr>
        <w:pStyle w:val="BookText"/>
        <w:rPr/>
      </w:pPr>
      <w:r>
        <w:rPr>
          <w:rFonts w:ascii="IRNazanin" w:hAnsi="IRNazanin" w:eastAsia="IRNazanin"/>
          <w:color w:val="111111"/>
          <w:sz w:val="28"/>
          <w:sz w:val="28"/>
          <w:szCs w:val="28"/>
          <w:rtl w:val="true"/>
          <w:lang w:bidi="fa-IR"/>
        </w:rPr>
        <w:t>وأما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الكتاب والسنة كثيراً بمادته ومختلف مشتقاته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ما هو المراد به؟ وهل يختلف عن المعنى الاصطلاحي للحكم ـ والذي اختلف فيه، على ما سنفصله بعد قليل، إلى عشرة أقوال، فإننا قد نفصله اكثر في المجلد الثاني بإذن الله تعالى، وإن كان موضعه المناسب هو عند بحث إنطباق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إنطباقه عليه بمعناه الوارد في الكتاب والسنة، هو منشأ الأثر، وهو الأهم من بحث إنطباق المعنى الاصطلاحي عليه وإن كان ذا فائدة أيضاً، إلا أنها فائدة فنّية بالأساس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إنطباق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المعنى في الآيات والروايات،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سيكون من الأدلة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إدراج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لكون موضوعه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المكلف ـ كما قالوا، والأعم منه كما ارتأيناه وفصلناه في موضع آخر ـ من حيث الحكم الشرعي</w:t>
      </w:r>
      <w:r>
        <w:rPr>
          <w:rFonts w:eastAsia="Amiri" w:cs="Amiri" w:ascii="Amiri" w:hAnsi="Amiri"/>
          <w:color w:val="111111"/>
          <w:sz w:val="28"/>
          <w:szCs w:val="28"/>
          <w:rtl w:val="true"/>
          <w:lang w:bidi="ar-SA"/>
        </w:rPr>
        <w:t xml:space="preserve">). </w:t>
      </w:r>
      <w:bookmarkStart w:id="187" w:name="pg7671_76503"/>
    </w:p>
    <w:p>
      <w:pPr>
        <w:pStyle w:val="Heading2"/>
        <w:numPr>
          <w:ilvl w:val="1"/>
          <w:numId w:val="1"/>
        </w:numPr>
        <w:rPr/>
      </w:pPr>
      <w:bookmarkStart w:id="188" w:name="__RefHeading___Toc3959269_1051229030"/>
      <w:bookmarkStart w:id="189" w:name="_Toc66"/>
      <w:bookmarkEnd w:id="187"/>
      <w:bookmarkEnd w:id="188"/>
      <w:r>
        <w:rPr>
          <w:rtl w:val="true"/>
        </w:rPr>
        <w:t>المبحث الثالث</w:t>
      </w:r>
      <w:r>
        <w:rPr>
          <w:rtl w:val="true"/>
        </w:rPr>
        <w:t xml:space="preserve">:  </w:t>
      </w:r>
      <w:r>
        <w:rPr>
          <w:rtl w:val="true"/>
        </w:rPr>
        <w:t xml:space="preserve">الوجه في إدراج الأحكام الإرشادية في </w:t>
      </w:r>
      <w:r>
        <w:rPr>
          <w:rtl w:val="true"/>
        </w:rPr>
        <w:t>(</w:t>
      </w:r>
      <w:r>
        <w:rPr>
          <w:rtl w:val="true"/>
        </w:rPr>
        <w:t>الفقه</w:t>
      </w:r>
      <w:r>
        <w:rPr>
          <w:rtl w:val="true"/>
        </w:rPr>
        <w:t>)</w:t>
      </w:r>
      <w:bookmarkEnd w:id="1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959271_1051229030"/>
      <w:bookmarkStart w:id="191" w:name="_Toc67"/>
      <w:bookmarkEnd w:id="190"/>
      <w:r>
        <w:rPr>
          <w:rtl w:val="true"/>
        </w:rPr>
        <w:t>اشارة</w:t>
      </w:r>
      <w:bookmarkEnd w:id="1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إنه 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في الجملة، على الأوامر، والنواهي، والدوالّ والجمل والأحكام،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لأنها ـ لدى التحقيق ـ مولوية، وقد نشأ الخطأ في عدها إرشادية، من خطأ مبنائي في ضابط المولوي والإرشادي، مثل اعتبار أن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لمصلحة أخروية فمولوي وما أنشأ لمصلحة دنيوية فإرشادي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مورد المستقلات العقلية فإرشادي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كما سنفصله في مبحث الضوابط، حيث أشرنا إلى أشهرها وهي تسعة، وكما سنبحث عن الكثير من المصاديق في مطاوي الكتاب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الخطأ قد نشأ من تطبيق كبرى الضابط على المصداق ـ بعد صحة الضابط كما فيمن ذهب إلى أن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أو من كليهما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أمثلة عديدة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حيث توهم أنها إرشادية، نظراً للزوم التسلسل لو كانت مولوية، وقد فصلنا الكلام عنه وعن ما يرد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ههنا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الأوامر الشرعية الواردة في موارد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الأوامر الصادرة من المعصومين الأطهار عليهم السلام، في الشؤون الصحية والطبية وغيرها، حيث توهم أنها على إطلاقها قد صدرت من المولى لا بما هو مولى بل بما هو ناصح، وسيأتي تفصيل ذلك كله بحول الله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لأنها وإن كان إرشادية، حتى على التحقيق ـ وإن كانت دائرتها</w:t>
      </w:r>
      <w:r>
        <w:rPr>
          <w:rStyle w:val="FootnoteAnchor"/>
          <w:rtl w:val="true"/>
        </w:rPr>
        <w:footnoteReference w:id="218"/>
      </w:r>
      <w:r>
        <w:rPr>
          <w:rFonts w:ascii="Amiri" w:hAnsi="Amiri" w:eastAsia="Amiri" w:cs="Amiri"/>
          <w:color w:val="111111"/>
          <w:sz w:val="28"/>
          <w:sz w:val="28"/>
          <w:szCs w:val="28"/>
          <w:rtl w:val="true"/>
          <w:lang w:bidi="ar-SA"/>
        </w:rPr>
        <w:t xml:space="preserve">أضيق بكثير مما ذهب إليه المشهور أو ما لعله المشهور ـ إلا أنها معدودة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حتى القائل بإرشاديتها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ابتني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أو كان ينبغي أن تعد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Style w:val="FootnoteAnchor"/>
          <w:rtl w:val="true"/>
        </w:rPr>
        <w:footnoteReference w:id="219"/>
      </w:r>
      <w:r>
        <w:rPr>
          <w:rFonts w:ascii="Amiri" w:hAnsi="Amiri" w:eastAsia="Amiri" w:cs="Amiri"/>
          <w:color w:val="111111"/>
          <w:sz w:val="28"/>
          <w:sz w:val="28"/>
          <w:szCs w:val="28"/>
          <w:rtl w:val="true"/>
          <w:lang w:bidi="ar-SA"/>
        </w:rPr>
        <w:t>فلما سيأتي مفصلاً من بيان أن الحكم الإرشادي ينقسم كالمولوي ـ إلى واجب ومندوب كما ذهب إليه الشيخ الأنصاري والميرزا الشيرازي رحمة الله تعالى عليهما، بفارق ترتب العقاب وعدمه، أو فارق الاستحقاق وعدمه، أو لغير ذلك من الوجوه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w:t>
      </w:r>
      <w:r>
        <w:rPr>
          <w:rStyle w:val="FootnoteAnchor"/>
          <w:rtl w:val="true"/>
        </w:rPr>
        <w:footnoteReference w:id="220"/>
      </w:r>
      <w:r>
        <w:rPr>
          <w:rFonts w:ascii="Amiri" w:hAnsi="Amiri" w:eastAsia="Amiri" w:cs="Amiri"/>
          <w:color w:val="111111"/>
          <w:sz w:val="28"/>
          <w:sz w:val="28"/>
          <w:szCs w:val="28"/>
          <w:rtl w:val="true"/>
          <w:lang w:bidi="ar-SA"/>
        </w:rPr>
        <w:t xml:space="preserve">فلأن كثيراً من الفروع والمسائل والأحكام الواردة في الكتب الفقهية في شتى الأبواب، هي مما أرشد الشرع إلى لزوم أو حسن </w:t>
      </w:r>
    </w:p>
    <w:p>
      <w:pPr>
        <w:pStyle w:val="BookText"/>
        <w:rPr/>
      </w:pPr>
      <w:r>
        <w:rPr>
          <w:rFonts w:ascii="Amiri" w:hAnsi="Amiri" w:eastAsia="Amiri" w:cs="Amiri"/>
          <w:color w:val="111111"/>
          <w:sz w:val="28"/>
          <w:sz w:val="28"/>
          <w:szCs w:val="28"/>
          <w:rtl w:val="true"/>
          <w:lang w:bidi="ar-SA"/>
        </w:rPr>
        <w:t>فعله أو تركه، أو إلى وضعه</w:t>
      </w:r>
      <w:r>
        <w:rPr>
          <w:rStyle w:val="FootnoteAnchor"/>
          <w:rtl w:val="true"/>
        </w:rPr>
        <w:footnoteReference w:id="221"/>
      </w:r>
      <w:r>
        <w:rPr>
          <w:rFonts w:ascii="Amiri" w:hAnsi="Amiri" w:eastAsia="Amiri" w:cs="Amiri"/>
          <w:color w:val="111111"/>
          <w:sz w:val="28"/>
          <w:sz w:val="28"/>
          <w:szCs w:val="28"/>
          <w:rtl w:val="true"/>
          <w:lang w:bidi="ar-SA"/>
        </w:rPr>
        <w:t>وجعله وثبوته، ولا وجه لالتزام الاستطراد كما سيظهر بعد قليل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أدرجت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عدوها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المولوي أعم من الواجب والمندوب، ومن الحكم التكليفي والوضعي، لا مع اعتبارها مجرد إرشادية للنصح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صرحوا في موارد كثيرة بكون الأمر إرشادياً ومع ذلك أدرجوه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نجد السيد الحكيم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ومع ذلك يبحثه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نجد أن الميرزا الشيرازي رحمه الله، يلزم القائل بضابط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الدنيوية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بأن أوامر غسل الجمعة وكذلك أوامر الاستياك، ستكون عندئذٍ إرشادية، ومع ذلك لا يخرجها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يصرحون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إرشادية، ومع ذلك يبحثون الأول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والمكاتبة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يجد العرف الملقى إليهم الكلام، فارقاً من حيث بحث مثله في الفقه، بين كونه مولوياً أو إرشادياً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نجد كثيراً منهم يصرحون بأن الأمر في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المستقلات </w:t>
      </w:r>
    </w:p>
    <w:p>
      <w:pPr>
        <w:pStyle w:val="BookText"/>
        <w:rPr/>
      </w:pP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ومع ذلك يبحثون مصاديقها مما تعلق بالفروع، في الفقه، وقد ذكرنا في مطاوي هذا البحث، عشرات المصاديق والأمثلة على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حيث حكم العقل به، ومع الالتزام</w:t>
      </w:r>
      <w:r>
        <w:rPr>
          <w:rStyle w:val="FootnoteAnchor"/>
          <w:rtl w:val="true"/>
        </w:rPr>
        <w:footnoteReference w:id="223"/>
      </w:r>
      <w:r>
        <w:rPr>
          <w:rFonts w:ascii="Amiri" w:hAnsi="Amiri" w:eastAsia="Amiri" w:cs="Amiri"/>
          <w:color w:val="111111"/>
          <w:sz w:val="28"/>
          <w:sz w:val="28"/>
          <w:szCs w:val="28"/>
          <w:rtl w:val="true"/>
          <w:lang w:bidi="ar-SA"/>
        </w:rPr>
        <w:t xml:space="preserve">بأن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يستحق عليه العقاب وإن كان الأمر الوارد من الشارع فيه إرشادياً، لتعذر أمره المولوي به؛ لما قالوه من لزوم التسلسل أو تحصيل الحاصل أو غير ذلك، وقد فصلنا الجواب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 الشرع وحكم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معنى قاعدة الملازمة على هذا الرأي وما يلزمه من توالٍ فاسدة</w:t>
      </w:r>
      <w:r>
        <w:rPr>
          <w:rFonts w:eastAsia="Amiri" w:cs="Amiri" w:ascii="Amiri" w:hAnsi="Amiri"/>
          <w:color w:val="111111"/>
          <w:sz w:val="28"/>
          <w:szCs w:val="28"/>
          <w:rtl w:val="true"/>
          <w:lang w:bidi="ar-SA"/>
        </w:rPr>
        <w:t xml:space="preserve">. </w:t>
      </w:r>
      <w:bookmarkStart w:id="192" w:name="pg7671_76509"/>
    </w:p>
    <w:p>
      <w:pPr>
        <w:pStyle w:val="Heading3"/>
        <w:numPr>
          <w:ilvl w:val="2"/>
          <w:numId w:val="1"/>
        </w:numPr>
        <w:rPr/>
      </w:pPr>
      <w:bookmarkStart w:id="193" w:name="__RefHeading___Toc3959273_1051229030"/>
      <w:bookmarkStart w:id="194" w:name="_Toc68"/>
      <w:bookmarkEnd w:id="192"/>
      <w:bookmarkEnd w:id="193"/>
      <w:r>
        <w:rPr>
          <w:rtl w:val="true"/>
        </w:rPr>
        <w:t xml:space="preserve">الاستدلال بجريان مباحث الإطلاق والتقييد وغيرها في </w:t>
      </w:r>
      <w:r>
        <w:rPr>
          <w:rtl w:val="true"/>
        </w:rPr>
        <w:t>(</w:t>
      </w:r>
      <w:r>
        <w:rPr>
          <w:rtl w:val="true"/>
        </w:rPr>
        <w:t>الإرشادي</w:t>
      </w:r>
      <w:r>
        <w:rPr>
          <w:rtl w:val="true"/>
        </w:rPr>
        <w:t>)</w:t>
      </w:r>
      <w:bookmarkEnd w:id="194"/>
    </w:p>
    <w:p>
      <w:pPr>
        <w:pStyle w:val="BookText"/>
        <w:rPr/>
      </w:pPr>
      <w:r>
        <w:rPr>
          <w:rFonts w:ascii="Amiri" w:hAnsi="Amiri" w:eastAsia="Amiri" w:cs="Amiri"/>
          <w:color w:val="111111"/>
          <w:sz w:val="28"/>
          <w:sz w:val="28"/>
          <w:szCs w:val="28"/>
          <w:rtl w:val="true"/>
          <w:lang w:bidi="ar-SA"/>
        </w:rPr>
        <w:t>وعلى أي حال فإنهم رغم التزامهم بإرشادية الأوامر في موطن المستقلات العقلية، إلا أنهم ـ تراهم ـ يبحثون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والتقييد والعموم والخصوص والانصراف وعدمه، في الأوامر والنواهي والدوال عليها، مع أن الملاك على الإرشادية،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والتقييد في المرشد إليه لو كان</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 على ارتكازية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وإن صاروا بضغط الدليل أو ما توهم منه، إلى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لا تختص بالأمر والنهي المولوي بل تشمل الإرشاديين منهما أيضاً، بل إنها لا تختص بالإنشاء، بل تشمل الإخبار أيضاً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إسناد مجيء زيد العالم إلى المتكلم تمسكاً بعموم كلامه، ولو قال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 وقتاً، أمكن التمسك بإطلاقه الأحوالي مثلاً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بحث هذه الأوامر والنواهي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لجهة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فالمقياس ينبغي أن يكون </w:t>
      </w:r>
    </w:p>
    <w:p>
      <w:pPr>
        <w:pStyle w:val="BookText"/>
        <w:rPr/>
      </w:pPr>
      <w:r>
        <w:rPr>
          <w:rFonts w:ascii="Amiri" w:hAnsi="Amiri" w:eastAsia="Amiri" w:cs="Amiri"/>
          <w:color w:val="111111"/>
          <w:sz w:val="28"/>
          <w:sz w:val="28"/>
          <w:szCs w:val="28"/>
          <w:rtl w:val="true"/>
          <w:lang w:bidi="ar-SA"/>
        </w:rPr>
        <w:t>المرشَد إليه لا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عموم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لبي لا إطلاق له، فيكون على هذا، التمسك بعموم المرشِد وخصوصه، دليلاً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حفظ الوديعة مثلاً ـ وإن كان مما استقل به العقل،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يستقل بها، فالأمر والنهي فيها يمكن كونه مولوياً، إلا أن يتمسك بأن كون الأمر منحلاً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من متعلقه ـ وهو الأصل ـ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جزئه الآخر ـ وهو الخصوصيات ـ خلاف القاعدة والأصل والمتفاهم عرفاً فتأمل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وقد بحثنا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 يختلف بين 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فرضه</w:t>
      </w:r>
      <w:r>
        <w:rPr>
          <w:rStyle w:val="FootnoteAnchor"/>
          <w:rtl w:val="true"/>
        </w:rPr>
        <w:footnoteReference w:id="22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عدمه، فإن كان لفظاً كان هو الملاك في العموم والخصوص ـ وإلا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الملاك، وعلى هذا لو وجدنا الفقيه يبحث عن إطلاق وعموم لفظ المرشِد، كشف ذلك عن كونه يرى المرشد إليه لبياً، فتثبت المولوية في الحدود والخصوصيات كما سبق، أو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الأمر مولوياً لا إرشادياً، وهو المطلوب، وفي الصورتين يلزم إدراج الأمر في موطن المستقلات العقلية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 xml:space="preserve">. </w:t>
      </w:r>
      <w:bookmarkStart w:id="195" w:name="pg7671_76511"/>
    </w:p>
    <w:p>
      <w:pPr>
        <w:pStyle w:val="Heading3"/>
        <w:numPr>
          <w:ilvl w:val="2"/>
          <w:numId w:val="1"/>
        </w:numPr>
        <w:rPr/>
      </w:pPr>
      <w:bookmarkStart w:id="196" w:name="__RefHeading___Toc3959275_1051229030"/>
      <w:bookmarkStart w:id="197" w:name="_Toc69"/>
      <w:bookmarkEnd w:id="195"/>
      <w:bookmarkEnd w:id="196"/>
      <w:r>
        <w:rPr>
          <w:rtl w:val="true"/>
        </w:rPr>
        <w:t xml:space="preserve">الأدلة الستة على إدراج </w:t>
      </w:r>
      <w:r>
        <w:rPr>
          <w:rtl w:val="true"/>
        </w:rPr>
        <w:t>(</w:t>
      </w:r>
      <w:r>
        <w:rPr>
          <w:rtl w:val="true"/>
        </w:rPr>
        <w:t>الإرشادية</w:t>
      </w:r>
      <w:r>
        <w:rPr>
          <w:rtl w:val="true"/>
        </w:rPr>
        <w:t xml:space="preserve">) </w:t>
      </w:r>
      <w:r>
        <w:rPr>
          <w:rtl w:val="true"/>
        </w:rPr>
        <w:t>في الفقه</w:t>
      </w:r>
      <w:bookmarkEnd w:id="197"/>
    </w:p>
    <w:p>
      <w:pPr>
        <w:pStyle w:val="BookText"/>
        <w:rPr/>
      </w:pPr>
      <w:r>
        <w:rPr>
          <w:rFonts w:ascii="Amiri" w:hAnsi="Amiri" w:eastAsia="Amiri" w:cs="Amiri"/>
          <w:color w:val="111111"/>
          <w:sz w:val="28"/>
          <w:sz w:val="28"/>
          <w:szCs w:val="28"/>
          <w:rtl w:val="true"/>
          <w:lang w:bidi="ar-SA"/>
        </w:rPr>
        <w:t>والمستظهر لزوم إدراج الأوامر والنواهي الإرشادية</w:t>
      </w:r>
      <w:r>
        <w:rPr>
          <w:rStyle w:val="FootnoteAnchor"/>
          <w:rtl w:val="true"/>
        </w:rPr>
        <w:footnoteReference w:id="227"/>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ما تعلق منها بالطب والصحة، أم ما تعلق بالمعاش والحياة الشخصية، أم ما تعلق منها بمكارم الأخلاق، أم ما تعلق بالصنائع والحرف، أم ما تعلق بالشؤون الاجتماعية، أم ما تعلق بالشؤون السياسية، أم ما تعلق بالشؤون الاقتصادية،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استناداً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الفقه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الأوامر والنواهي إلى مولوية وإرشادية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وجوب التفقه التخييري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حجية رأي الفقيه لغيره</w:t>
      </w:r>
      <w:r>
        <w:rPr>
          <w:rFonts w:eastAsia="Amiri" w:cs="Amiri" w:ascii="Amiri" w:hAnsi="Amiri"/>
          <w:color w:val="111111"/>
          <w:sz w:val="28"/>
          <w:szCs w:val="28"/>
          <w:rtl w:val="true"/>
          <w:lang w:bidi="ar-SA"/>
        </w:rPr>
        <w:t xml:space="preserve">). </w:t>
      </w:r>
      <w:bookmarkStart w:id="198" w:name="pg7671_76512"/>
    </w:p>
    <w:p>
      <w:pPr>
        <w:pStyle w:val="BookText"/>
        <w:rPr/>
      </w:pPr>
      <w:bookmarkEnd w:id="198"/>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التقسيم فقد فصلناه في موضع آخر من الكتاب فليلاحظ، كما فصلنا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بقسميها</w:t>
      </w:r>
      <w:r>
        <w:rPr>
          <w:rStyle w:val="FootnoteAnchor"/>
          <w:rtl w:val="true"/>
        </w:rPr>
        <w:footnoteReference w:id="228"/>
      </w:r>
      <w:r>
        <w:rPr>
          <w:rFonts w:ascii="Amiri" w:hAnsi="Amiri" w:eastAsia="Amiri" w:cs="Amiri"/>
          <w:color w:val="111111"/>
          <w:sz w:val="28"/>
          <w:sz w:val="28"/>
          <w:szCs w:val="28"/>
          <w:rtl w:val="true"/>
          <w:lang w:bidi="ar-SA"/>
        </w:rPr>
        <w:t>في موضع آخر أيضاً</w:t>
      </w:r>
      <w:r>
        <w:rPr>
          <w:rStyle w:val="FootnoteAnchor"/>
          <w:rtl w:val="true"/>
        </w:rPr>
        <w:footnoteReference w:id="229"/>
      </w:r>
      <w:r>
        <w:rPr>
          <w:rFonts w:ascii="Amiri" w:hAnsi="Amiri" w:eastAsia="Amiri" w:cs="Amiri"/>
          <w:color w:val="111111"/>
          <w:sz w:val="28"/>
          <w:sz w:val="28"/>
          <w:szCs w:val="28"/>
          <w:rtl w:val="true"/>
          <w:lang w:bidi="ar-SA"/>
        </w:rPr>
        <w:t>، فلنبحث الثلاثة الأولى ههنا فنقول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959277_1051229030"/>
      <w:bookmarkStart w:id="200" w:name="_Toc70"/>
      <w:bookmarkEnd w:id="199"/>
      <w:r>
        <w:rPr>
          <w:rtl w:val="true"/>
        </w:rPr>
        <w:t>الاستدلال ب</w:t>
      </w:r>
      <w:r>
        <w:rPr>
          <w:rtl w:val="true"/>
        </w:rPr>
        <w:t>(</w:t>
      </w:r>
      <w:r>
        <w:rPr>
          <w:rtl w:val="true"/>
        </w:rPr>
        <w:t>الغاية</w:t>
      </w:r>
      <w:r>
        <w:rPr>
          <w:rtl w:val="true"/>
        </w:rPr>
        <w:t xml:space="preserve">) </w:t>
      </w:r>
      <w:r>
        <w:rPr>
          <w:rtl w:val="true"/>
        </w:rPr>
        <w:t>لعلم الفقه</w:t>
      </w:r>
      <w:bookmarkEnd w:id="200"/>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الفقه، فلأن غاية علم الفقه هي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مدى مطابقة فعل المكلف لأحكام الشارع ومراداته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غاية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إنما يبحث عن الأحكام المجعولة للموضوعات المعينة كالصلاة والصوم وغيرها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عكس الأصول كمبحث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الحائري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الفقه هي عبارة عن الأحكام الواقعية الأولية التي تطلب من حيث نفسها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حكم يقدر المقلد على العمل به بعدما أفتى به المجتهد، بخلاف مسائل الأصول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الواقعية الأولية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يقدر المقلد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ينطبق على مؤدى الأمر والنهي </w:t>
      </w:r>
      <w:bookmarkStart w:id="201" w:name="pg7671_76513"/>
    </w:p>
    <w:p>
      <w:pPr>
        <w:pStyle w:val="BookText"/>
        <w:rPr/>
      </w:pPr>
      <w:bookmarkEnd w:id="201"/>
      <w:r>
        <w:rPr>
          <w:rFonts w:ascii="Amiri" w:hAnsi="Amiri" w:eastAsia="Amiri" w:cs="Amiri"/>
          <w:color w:val="111111"/>
          <w:sz w:val="28"/>
          <w:sz w:val="28"/>
          <w:szCs w:val="28"/>
          <w:rtl w:val="true"/>
          <w:lang w:bidi="ar-SA"/>
        </w:rPr>
        <w:t>الإرشاديين، كانطباقه على المولويين، على جملة من تعاريفه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العدل ووجوب رد الوديعة وحفظ الأمانة، رغم كونها من المستقلات العقلية والذهاب إلى كون الأوامر في مواطنها إرشادية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959279_1051229030"/>
      <w:bookmarkStart w:id="203" w:name="_Toc71"/>
      <w:bookmarkEnd w:id="202"/>
      <w:r>
        <w:rPr>
          <w:rtl w:val="true"/>
        </w:rPr>
        <w:t>الأقوال والمعاني العشرة ل</w:t>
      </w:r>
      <w:r>
        <w:rPr>
          <w:rtl w:val="true"/>
        </w:rPr>
        <w:t>(</w:t>
      </w:r>
      <w:r>
        <w:rPr>
          <w:rtl w:val="true"/>
        </w:rPr>
        <w:t>الحكم</w:t>
      </w:r>
      <w:r>
        <w:rPr>
          <w:rtl w:val="true"/>
        </w:rPr>
        <w:t>)</w:t>
      </w:r>
      <w:bookmarkEnd w:id="203"/>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بتعاريف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خطاب الله المتعلق بأفعال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الإقتضاء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الشرعي المسبوق بالملاك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العرفي الكاشف عن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الفعل أو الترك، مع الإلزام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المنع من الترك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الأحكام التكليفية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التامّة الخبرية</w:t>
      </w:r>
      <w:r>
        <w:rPr>
          <w:rFonts w:eastAsia="Amiri" w:cs="Amiri" w:ascii="Amiri" w:hAnsi="Amiri"/>
          <w:color w:val="111111"/>
          <w:sz w:val="28"/>
          <w:szCs w:val="28"/>
          <w:rtl w:val="true"/>
          <w:lang w:bidi="ar-SA"/>
        </w:rPr>
        <w:t xml:space="preserve">). </w:t>
      </w:r>
      <w:bookmarkStart w:id="204" w:name="pg7671_76514"/>
    </w:p>
    <w:p>
      <w:pPr>
        <w:pStyle w:val="Heading3"/>
        <w:numPr>
          <w:ilvl w:val="2"/>
          <w:numId w:val="1"/>
        </w:numPr>
        <w:rPr/>
      </w:pPr>
      <w:bookmarkStart w:id="205" w:name="__RefHeading___Toc3959281_1051229030"/>
      <w:bookmarkStart w:id="206" w:name="_Toc72"/>
      <w:bookmarkEnd w:id="204"/>
      <w:bookmarkEnd w:id="205"/>
      <w:r>
        <w:rPr>
          <w:rtl w:val="true"/>
        </w:rPr>
        <w:t xml:space="preserve">انطباق أكثر معاني </w:t>
      </w:r>
      <w:r>
        <w:rPr>
          <w:rtl w:val="true"/>
        </w:rPr>
        <w:t>(</w:t>
      </w:r>
      <w:r>
        <w:rPr>
          <w:rtl w:val="true"/>
        </w:rPr>
        <w:t>الحكم</w:t>
      </w:r>
      <w:r>
        <w:rPr>
          <w:rtl w:val="true"/>
        </w:rPr>
        <w:t xml:space="preserve">) </w:t>
      </w:r>
      <w:r>
        <w:rPr>
          <w:rtl w:val="true"/>
        </w:rPr>
        <w:t xml:space="preserve">على </w:t>
      </w:r>
      <w:r>
        <w:rPr>
          <w:rtl w:val="true"/>
        </w:rPr>
        <w:t>(</w:t>
      </w:r>
      <w:r>
        <w:rPr>
          <w:rtl w:val="true"/>
        </w:rPr>
        <w:t>الحكم الإرشادي</w:t>
      </w:r>
      <w:r>
        <w:rPr>
          <w:rtl w:val="true"/>
        </w:rPr>
        <w:t>)</w:t>
      </w:r>
      <w:bookmarkEnd w:id="206"/>
    </w:p>
    <w:p>
      <w:pPr>
        <w:pStyle w:val="BookText"/>
        <w:rPr/>
      </w:pPr>
      <w:r>
        <w:rPr>
          <w:rFonts w:ascii="Amiri" w:hAnsi="Amiri" w:eastAsia="Amiri" w:cs="Amiri"/>
          <w:color w:val="111111"/>
          <w:sz w:val="28"/>
          <w:sz w:val="28"/>
          <w:szCs w:val="28"/>
          <w:rtl w:val="true"/>
          <w:lang w:bidi="ar-SA"/>
        </w:rPr>
        <w:t xml:space="preserve">والظاهر انطباق التعريف الأول للحكم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 الإرشاديين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يقيد بما استحق العقاب على مخالفته ـ وهو المولوي ـ وما لم يستحق ـ وهو الإرشادي ـ حسب الضابط التاسع للإرشادية والمولوية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959283_1051229030"/>
      <w:bookmarkStart w:id="208" w:name="_Toc73"/>
      <w:bookmarkEnd w:id="207"/>
      <w:r>
        <w:rPr>
          <w:rtl w:val="true"/>
        </w:rPr>
        <w:t>انطباق التعريف الأول للحكم</w:t>
      </w:r>
      <w:bookmarkEnd w:id="208"/>
    </w:p>
    <w:p>
      <w:pPr>
        <w:pStyle w:val="Heading3"/>
        <w:numPr>
          <w:ilvl w:val="2"/>
          <w:numId w:val="1"/>
        </w:numPr>
        <w:rPr/>
      </w:pPr>
      <w:bookmarkStart w:id="209" w:name="__RefHeading___Toc3959285_1051229030"/>
      <w:bookmarkStart w:id="210" w:name="_Toc74"/>
      <w:bookmarkEnd w:id="209"/>
      <w:r>
        <w:rPr>
          <w:rtl w:val="true"/>
        </w:rPr>
        <w:t>التمثيل بعشرات الآيات والروايات التي ينطبق عليها التعريف</w:t>
      </w:r>
      <w:r>
        <w:rPr>
          <w:rtl w:val="true"/>
        </w:rPr>
        <w:t>:</w:t>
      </w:r>
      <w:bookmarkEnd w:id="210"/>
    </w:p>
    <w:p>
      <w:pPr>
        <w:pStyle w:val="BookText"/>
        <w:rPr/>
      </w:pPr>
      <w:r>
        <w:rPr>
          <w:rFonts w:ascii="IRNazanin" w:hAnsi="IRNazanin" w:eastAsia="IRNazanin"/>
          <w:color w:val="111111"/>
          <w:sz w:val="28"/>
          <w:sz w:val="28"/>
          <w:szCs w:val="28"/>
          <w:rtl w:val="true"/>
          <w:lang w:bidi="fa-IR"/>
        </w:rPr>
        <w:t>ألا ترى أن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إلى الله</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إرشادي ـ حسب الضابط الرابع والخامس والسادس والسابع والثامن</w:t>
      </w:r>
      <w:r>
        <w:rPr>
          <w:rStyle w:val="FootnoteAnchor"/>
          <w:rtl w:val="true"/>
        </w:rPr>
        <w:footnoteReference w:id="233"/>
      </w:r>
      <w:r>
        <w:rPr>
          <w:rFonts w:ascii="Amiri" w:hAnsi="Amiri" w:eastAsia="Amiri" w:cs="Amiri"/>
          <w:color w:val="111111"/>
          <w:sz w:val="28"/>
          <w:sz w:val="28"/>
          <w:szCs w:val="28"/>
          <w:rtl w:val="true"/>
          <w:lang w:bidi="ar-SA"/>
        </w:rPr>
        <w:t>للمولوي والإرشادي ـ وعلى ما ذهب إليه جمع من الأعلام</w:t>
      </w:r>
      <w:r>
        <w:rPr>
          <w:rStyle w:val="FootnoteAnchor"/>
          <w:rtl w:val="true"/>
        </w:rPr>
        <w:footnoteReference w:id="234"/>
      </w:r>
      <w:r>
        <w:rPr>
          <w:rFonts w:ascii="Amiri" w:hAnsi="Amiri" w:eastAsia="Amiri" w:cs="Amiri"/>
          <w:color w:val="111111"/>
          <w:sz w:val="28"/>
          <w:sz w:val="28"/>
          <w:szCs w:val="28"/>
          <w:rtl w:val="true"/>
          <w:lang w:bidi="ar-SA"/>
        </w:rPr>
        <w:t xml:space="preserve">وهو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ـ أي التوبة ـ واجبة دون شك</w:t>
      </w:r>
      <w:r>
        <w:rPr>
          <w:rStyle w:val="FootnoteAnchor"/>
          <w:rtl w:val="true"/>
        </w:rPr>
        <w:footnoteReference w:id="235"/>
      </w:r>
      <w:r>
        <w:rPr>
          <w:rFonts w:ascii="IRNazanin" w:hAnsi="IRNazanin" w:eastAsia="IRNazanin"/>
          <w:color w:val="111111"/>
          <w:sz w:val="28"/>
          <w:sz w:val="28"/>
          <w:szCs w:val="28"/>
          <w:rtl w:val="true"/>
          <w:lang w:bidi="fa-IR"/>
        </w:rPr>
        <w:t xml:space="preserve">ومحل بحث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كافة الأوامر والنواهي ومطلق الإنشاءات المتعلقة بالمستقلات العقلية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أمروا إلا ليعبدوا الله مخلصين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الدين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أنتتقوا منهم تقاة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وغيرها من عشرات الآيات والروايات الأخرى التي سنبحثها في هذا الكتاب بإذن الله تعالى، والتي ادعي كونها إرشادية نظراً لكونها في مواطن المستقلات العقلية، ومع ذلك لم يخرجها ذلك عن كونها مسائل فقهية، وعن انطباق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ـ وغيره ـ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الملكفين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ـ أي على الدين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ـ أي على الطلاق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كاتبوهم إن علمتم فيهم خيراً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ذهب المشهور إلى كونها أوامر إرشادية، نظراً لدعوى أن الأمر بها لم يكن إلا بلحاظ ما فيها من المصلحة لا غير، أو لغير ذلك ـ وسيأتي تفصيل البحث فيما بعد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شك في أنها أحكام شرعية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بأحكام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سائر المعاني كما سيأتي، وغالبها أو كلها مستحبة شرعاً ويترتب عليها الثواب أيضاً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مثل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احتجموا إذا هاج بكم الدم</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 وتغنموا</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تداووا فإن الذي أنزل الداء أنزل الدواء</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مما سنفصل الحديث عنه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بالطب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ادعي أنها إرشادية، وكلها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تنطبق عليها جملة من التعاريف الأخرى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وهي بين مستحب على الأغلب، وواجب ولو في بعض الصور كما سيأتي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مثل 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التجارة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يحرث بيده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مما سنفصله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ادعي كونها إرشادية نظراً لكون المصلحة الملاحظة فيها هي مصلحة دنيوية، لكن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مما سنفصل الحديث عنه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بالمعاش والحياة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ادعي كونها إرشادية نظراً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لا بما هو مولى، </w:t>
      </w:r>
    </w:p>
    <w:p>
      <w:pPr>
        <w:pStyle w:val="BookText"/>
        <w:rPr/>
      </w:pPr>
      <w:r>
        <w:rPr>
          <w:rFonts w:ascii="Amiri" w:hAnsi="Amiri" w:eastAsia="Amiri" w:cs="Amiri"/>
          <w:color w:val="111111"/>
          <w:sz w:val="28"/>
          <w:sz w:val="28"/>
          <w:szCs w:val="28"/>
          <w:rtl w:val="true"/>
          <w:lang w:bidi="ar-SA"/>
        </w:rPr>
        <w:t xml:space="preserve">وهي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 الأمير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الأعراض بالأموال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وفضول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وفضول النظر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مما سنفصله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وقول الأمير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المضغ</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وقول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بالعسل والحبة السوداء</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وغير ذلك مما سنفصله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بالأكل وخصوصيات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أحكام شرعية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 المكيال والميزان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وغيرها، مما فصلناه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في الشؤون الاقتصادية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هذه وما سبقها وما يلحقها، بحوث فقهية ومسائل شرعية، وإن كان اللازم عدها إرشادية لكونها من المستقلات العقلية</w:t>
      </w:r>
      <w:r>
        <w:rPr>
          <w:rStyle w:val="FootnoteAnchor"/>
          <w:rtl w:val="true"/>
        </w:rPr>
        <w:footnoteReference w:id="262"/>
      </w:r>
      <w:r>
        <w:rPr>
          <w:rFonts w:ascii="Amiri" w:hAnsi="Amiri" w:eastAsia="Amiri" w:cs="Amiri"/>
          <w:color w:val="111111"/>
          <w:sz w:val="28"/>
          <w:sz w:val="28"/>
          <w:szCs w:val="28"/>
          <w:rtl w:val="true"/>
          <w:lang w:bidi="ar-SA"/>
        </w:rPr>
        <w:t>أو لكون المصلحة فيها دنيوية</w:t>
      </w:r>
      <w:r>
        <w:rPr>
          <w:rStyle w:val="FootnoteAnchor"/>
          <w:rtl w:val="true"/>
        </w:rPr>
        <w:footnoteReference w:id="263"/>
      </w:r>
      <w:r>
        <w:rPr>
          <w:rFonts w:ascii="Amiri" w:hAnsi="Amiri" w:eastAsia="Amiri" w:cs="Amiri"/>
          <w:color w:val="111111"/>
          <w:sz w:val="28"/>
          <w:sz w:val="28"/>
          <w:szCs w:val="28"/>
          <w:rtl w:val="true"/>
          <w:lang w:bidi="ar-SA"/>
        </w:rPr>
        <w:t>أو لأن المصلحة معلومة في هذه الموارد للمأمور قبل الأمر</w:t>
      </w:r>
      <w:r>
        <w:rPr>
          <w:rStyle w:val="FootnoteAnchor"/>
          <w:rtl w:val="true"/>
        </w:rPr>
        <w:footnoteReference w:id="264"/>
      </w:r>
      <w:r>
        <w:rPr>
          <w:rFonts w:ascii="IRNazanin" w:hAnsi="IRNazanin" w:eastAsia="IRNazanin"/>
          <w:color w:val="111111"/>
          <w:sz w:val="28"/>
          <w:sz w:val="28"/>
          <w:szCs w:val="28"/>
          <w:rtl w:val="true"/>
          <w:lang w:bidi="fa-IR"/>
        </w:rPr>
        <w:t>أو لأنها تعود للمأمور</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وغيرها، مما سنبحثه تفصيلاً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في الشؤون السياسية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كلها ينطبق عليها تعريف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فامسكوهن بمعروف أو سرحوهن بمعروف</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وغيرها، مما فصلناه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في الشؤون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مسائل فقهية، رغم انطباق بعض ضوابط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211" w:name="pg7671_76519"/>
    </w:p>
    <w:p>
      <w:pPr>
        <w:pStyle w:val="BookText"/>
        <w:rPr/>
      </w:pPr>
      <w:bookmarkEnd w:id="211"/>
      <w:r>
        <w:rPr>
          <w:rFonts w:ascii="Amiri" w:hAnsi="Amiri" w:eastAsia="Amiri" w:cs="Amiri"/>
          <w:color w:val="111111"/>
          <w:sz w:val="28"/>
          <w:sz w:val="28"/>
          <w:szCs w:val="28"/>
          <w:rtl w:val="true"/>
          <w:lang w:bidi="ar-SA"/>
        </w:rPr>
        <w:t>وكذا مثل صحيحة علي بن إبراهيم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وغيرها، مما نقض به الميرزا الشيرازي على من ذهب للضابط الثاني، بلزوم كونها إرشادية لكون مصالحها دنيوية، لكنه لم يخرجه ذلك عن كونه خطاب الله المتعلق بأفعال المكلفين وسيأتي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مثل قول الأمير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ونظم أمركم وصلاح ذات بينكم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وقول الله تعالى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فعظوهن واهجروهن في المضاجع واضربوهن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وغيرها، مما سنفصله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في الشؤون الإدارية وشؤون النظم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جميعاً خطاب الله المتعلق بأفعال المكلفين، رغم كونها حسب جملة من الضوابط، إرشادية كما سيأتي</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959287_1051229030"/>
      <w:bookmarkStart w:id="213" w:name="_Toc75"/>
      <w:bookmarkEnd w:id="212"/>
      <w:r>
        <w:rPr>
          <w:rtl w:val="true"/>
        </w:rPr>
        <w:t>انطباق التعريف الثاني للحكم</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التعريف الثاني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 منطبق على مؤديات الأوامر والنواهي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الإرشادي فيه الاقتضاء ـ كالمولوي ـ سواء أريد بالاقتضاء الأعم من الأربعة فيراد بالتخيير خصوص الإباحة، أم أريد به خصوص الحكمين فيراد بقسيمه الثلاثة الباقية</w:t>
      </w:r>
      <w:r>
        <w:rPr>
          <w:rStyle w:val="FootnoteAnchor"/>
          <w:rtl w:val="true"/>
        </w:rPr>
        <w:footnoteReference w:id="277"/>
      </w:r>
      <w:r>
        <w:rPr>
          <w:rFonts w:ascii="Amiri" w:hAnsi="Amiri" w:eastAsia="Amiri" w:cs="Amiri"/>
          <w:color w:val="111111"/>
          <w:sz w:val="28"/>
          <w:sz w:val="28"/>
          <w:szCs w:val="28"/>
          <w:rtl w:val="true"/>
          <w:lang w:bidi="ar-SA"/>
        </w:rPr>
        <w:t xml:space="preserve">وقد أوضحنا في </w:t>
      </w:r>
      <w:bookmarkStart w:id="214" w:name="pg7671_76520"/>
    </w:p>
    <w:p>
      <w:pPr>
        <w:pStyle w:val="BookText"/>
        <w:rPr/>
      </w:pPr>
      <w:bookmarkEnd w:id="214"/>
      <w:r>
        <w:rPr>
          <w:rFonts w:ascii="Amiri" w:hAnsi="Amiri" w:eastAsia="Amiri" w:cs="Amiri"/>
          <w:color w:val="111111"/>
          <w:sz w:val="28"/>
          <w:sz w:val="28"/>
          <w:szCs w:val="28"/>
          <w:rtl w:val="true"/>
          <w:lang w:bidi="ar-SA"/>
        </w:rPr>
        <w:t>موضع آخر انقسام الإرشادي إلى الإلزامي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الوجوب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ترتب على مخالفته العقاب، خلاف إطلاقه</w:t>
      </w:r>
      <w:r>
        <w:rPr>
          <w:rStyle w:val="FootnoteAnchor"/>
          <w:rtl w:val="true"/>
        </w:rPr>
        <w:footnoteReference w:id="278"/>
      </w:r>
      <w:r>
        <w:rPr>
          <w:rFonts w:ascii="Amiri" w:hAnsi="Amiri" w:eastAsia="Amiri" w:cs="Amiri"/>
          <w:color w:val="111111"/>
          <w:sz w:val="28"/>
          <w:sz w:val="28"/>
          <w:szCs w:val="28"/>
          <w:rtl w:val="true"/>
          <w:lang w:bidi="ar-SA"/>
        </w:rPr>
        <w:t xml:space="preserve">وخلاف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وكذلك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الندب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نظائره الباقية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959289_1051229030"/>
      <w:bookmarkStart w:id="216" w:name="_Toc76"/>
      <w:bookmarkEnd w:id="215"/>
      <w:r>
        <w:rPr>
          <w:rtl w:val="true"/>
        </w:rPr>
        <w:t>انطباق التعريف الثالث للحكم</w:t>
      </w:r>
      <w:bookmarkEnd w:id="216"/>
    </w:p>
    <w:p>
      <w:pPr>
        <w:pStyle w:val="BookText"/>
        <w:rPr/>
      </w:pPr>
      <w:r>
        <w:rPr>
          <w:rFonts w:ascii="Amiri" w:hAnsi="Amiri" w:eastAsia="Amiri" w:cs="Amiri"/>
          <w:color w:val="111111"/>
          <w:sz w:val="28"/>
          <w:sz w:val="28"/>
          <w:szCs w:val="28"/>
          <w:rtl w:val="true"/>
          <w:lang w:bidi="ar-SA"/>
        </w:rPr>
        <w:t>وأما على 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والنهي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المشهور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البعض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الشرعي المسبوق بالملاك 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الوجوب والندب والحرمة والكراهة وكذا الإباحة كلها، اعتبارات شرعية مسبوقة بالملاك والإرادة، وكذلك الأحكام الوضعية كالملكية والزوجية وغيرها فإنها اعتبارات شرعية مسبوقة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الأمر والنهي الإرشاديان؛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ـ بناء على رأي الشيخ والميرزا، وهو القول الثالث في حقيقة الأوامر الإرشادية كما سيأتي من انقسام الأمر الإرشادي أيضاً إلى واجب ومندوب ـ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شرعي مسبوق بالملاك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لتقومهما بالطلب والوجوب أو بالطلب والندب، وإن كان بدون استحقاق للعقاب، فهذا الوجوب أو الندب 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 بالملاك</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دون شك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الاعتبار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والنهي الإرشادي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بناء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الإرشادية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إرشادية ـ طلبية غير إلزامية فهي قسيم للندب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شرعي،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وفرقهما أن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أو لا، أو غير ذلك، كما سيأتي؛ فإن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أوضح على القول الخامس</w:t>
      </w:r>
      <w:r>
        <w:rPr>
          <w:rStyle w:val="FootnoteAnchor"/>
          <w:rtl w:val="true"/>
        </w:rPr>
        <w:footnoteReference w:id="280"/>
      </w:r>
      <w:r>
        <w:rPr>
          <w:rFonts w:ascii="Amiri" w:hAnsi="Amiri" w:eastAsia="Amiri" w:cs="Amiri"/>
          <w:color w:val="111111"/>
          <w:sz w:val="28"/>
          <w:sz w:val="28"/>
          <w:szCs w:val="28"/>
          <w:rtl w:val="true"/>
          <w:lang w:bidi="ar-SA"/>
        </w:rPr>
        <w:t>، لصدور الإيجاب من المولى بما هو مولى وإن كان للنصح</w:t>
      </w:r>
      <w:r>
        <w:rPr>
          <w:rStyle w:val="FootnoteAnchor"/>
          <w:rtl w:val="true"/>
        </w:rPr>
        <w:footnoteReference w:id="281"/>
      </w:r>
      <w:r>
        <w:rPr>
          <w:rFonts w:ascii="Amiri" w:hAnsi="Amiri" w:eastAsia="Amiri" w:cs="Amiri"/>
          <w:color w:val="111111"/>
          <w:sz w:val="28"/>
          <w:sz w:val="28"/>
          <w:szCs w:val="28"/>
          <w:rtl w:val="true"/>
          <w:lang w:bidi="ar-SA"/>
        </w:rPr>
        <w:t>، 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لم نقل بالوجوب والندب في الإرشادي، وصرنا إلى القول  الثاني وأنه صرف طلب بدون إيجاب أو ندب ـ كما ذهب إليه البعض ـ فإنه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النصحي قد أنشأهالشارع وأوجده في عالم الاعتبار أو أبرزه ـ بهذا الأمر الإرشادي ـ مسبوقاً بالملاك والإرادة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صرنا إلى القول الأول بأنه</w:t>
      </w:r>
      <w:r>
        <w:rPr>
          <w:rStyle w:val="FootnoteAnchor"/>
          <w:rtl w:val="true"/>
        </w:rPr>
        <w:footnoteReference w:id="282"/>
      </w:r>
      <w:r>
        <w:rPr>
          <w:rFonts w:ascii="Amiri" w:hAnsi="Amiri" w:eastAsia="Amiri" w:cs="Amiri"/>
          <w:color w:val="111111"/>
          <w:sz w:val="28"/>
          <w:sz w:val="28"/>
          <w:szCs w:val="28"/>
          <w:rtl w:val="true"/>
          <w:lang w:bidi="ar-SA"/>
        </w:rPr>
        <w:t xml:space="preserve">ليس طلباً أصلاً، بدعوى أن الإرشاد قسيم الطلب، فهنا إرشاد ولا طلب،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شرعي</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وإن لم يكن طلباً، لعدم انحصار الاعتبارات الشرعية في الطلب، إلا أن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يقيد، كما لا ضرورة ولا حاجة له، كما أنه مسبوق بالملاك والإرادة،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الإرشادي</w:t>
      </w:r>
      <w:r>
        <w:rPr>
          <w:rFonts w:eastAsia="Amiri" w:cs="Amiri" w:ascii="Amiri" w:hAnsi="Amiri"/>
          <w:color w:val="111111"/>
          <w:sz w:val="28"/>
          <w:szCs w:val="28"/>
          <w:rtl w:val="true"/>
          <w:lang w:bidi="ar-SA"/>
        </w:rPr>
        <w:t xml:space="preserve">. </w:t>
      </w:r>
      <w:bookmarkStart w:id="217" w:name="pg7671_76522"/>
    </w:p>
    <w:p>
      <w:pPr>
        <w:pStyle w:val="Heading3"/>
        <w:numPr>
          <w:ilvl w:val="2"/>
          <w:numId w:val="1"/>
        </w:numPr>
        <w:rPr/>
      </w:pPr>
      <w:bookmarkStart w:id="218" w:name="__RefHeading___Toc3959291_1051229030"/>
      <w:bookmarkStart w:id="219" w:name="_Toc77"/>
      <w:bookmarkEnd w:id="217"/>
      <w:bookmarkEnd w:id="218"/>
      <w:r>
        <w:rPr>
          <w:rtl w:val="true"/>
        </w:rPr>
        <w:t>انطباق التعريف الرابع للحكم</w:t>
      </w:r>
      <w:bookmarkEnd w:id="219"/>
    </w:p>
    <w:p>
      <w:pPr>
        <w:pStyle w:val="BookText"/>
        <w:rPr/>
      </w:pPr>
      <w:r>
        <w:rPr>
          <w:rFonts w:ascii="Amiri" w:hAnsi="Amiri" w:eastAsia="Amiri" w:cs="Amiri"/>
          <w:color w:val="111111"/>
          <w:sz w:val="28"/>
          <w:sz w:val="28"/>
          <w:szCs w:val="28"/>
          <w:rtl w:val="true"/>
          <w:lang w:bidi="ar-SA"/>
        </w:rPr>
        <w:t>وأما التعريف الرابع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المولوي بالمعنى الأعم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كما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المولوي ـ تكليفاً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غير الإلزامي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وعلى القول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الندب كذلك</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وعلى القول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في ضمن الوجوب ولا الندب</w:t>
      </w:r>
      <w:r>
        <w:rPr>
          <w:rStyle w:val="FootnoteAnchor"/>
          <w:rtl w:val="true"/>
        </w:rPr>
        <w:footnoteReference w:id="287"/>
      </w:r>
      <w:r>
        <w:rPr>
          <w:rFonts w:ascii="Amiri" w:hAnsi="Amiri" w:eastAsia="Amiri" w:cs="Amiri"/>
          <w:color w:val="111111"/>
          <w:sz w:val="28"/>
          <w:sz w:val="28"/>
          <w:szCs w:val="28"/>
          <w:rtl w:val="true"/>
          <w:lang w:bidi="ar-SA"/>
        </w:rPr>
        <w:t>ـ كما هو مفروض هذا القول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إليه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ينقض بكل إخبارات الشارع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كونها أحكاماً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إشكال مبنائي على هذا التعريف، ويرتفع بإضافة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يتم النقض؛ إذ الإرشاد إنشاء دون الإخبار</w:t>
      </w:r>
      <w:r>
        <w:rPr>
          <w:rFonts w:eastAsia="Amiri" w:cs="Amiri" w:ascii="Amiri" w:hAnsi="Amiri"/>
          <w:color w:val="111111"/>
          <w:sz w:val="28"/>
          <w:szCs w:val="28"/>
          <w:rtl w:val="true"/>
          <w:lang w:bidi="ar-SA"/>
        </w:rPr>
        <w:t xml:space="preserve">. </w:t>
      </w:r>
      <w:bookmarkStart w:id="220" w:name="pg7671_76523"/>
    </w:p>
    <w:p>
      <w:pPr>
        <w:pStyle w:val="Heading3"/>
        <w:numPr>
          <w:ilvl w:val="2"/>
          <w:numId w:val="1"/>
        </w:numPr>
        <w:rPr/>
      </w:pPr>
      <w:bookmarkStart w:id="221" w:name="__RefHeading___Toc3959293_1051229030"/>
      <w:bookmarkStart w:id="222" w:name="_Toc78"/>
      <w:bookmarkEnd w:id="220"/>
      <w:bookmarkEnd w:id="221"/>
      <w:r>
        <w:rPr>
          <w:rtl w:val="true"/>
        </w:rPr>
        <w:t>انطباق التعريف الخامس</w:t>
      </w:r>
      <w:bookmarkEnd w:id="222"/>
    </w:p>
    <w:p>
      <w:pPr>
        <w:pStyle w:val="BookText"/>
        <w:rPr/>
      </w:pPr>
      <w:r>
        <w:rPr>
          <w:rFonts w:ascii="Amiri" w:hAnsi="Amiri" w:eastAsia="Amiri" w:cs="Amiri"/>
          <w:color w:val="111111"/>
          <w:sz w:val="28"/>
          <w:sz w:val="28"/>
          <w:szCs w:val="28"/>
          <w:rtl w:val="true"/>
          <w:lang w:bidi="ar-SA"/>
        </w:rPr>
        <w:t>وأما التعريف الخامس</w:t>
      </w:r>
      <w:r>
        <w:rPr>
          <w:rStyle w:val="FootnoteAnchor"/>
          <w:rtl w:val="true"/>
        </w:rPr>
        <w:footnoteReference w:id="289"/>
      </w:r>
      <w:r>
        <w:rPr>
          <w:rFonts w:ascii="Amiri" w:hAnsi="Amiri" w:eastAsia="Amiri" w:cs="Amiri"/>
          <w:color w:val="111111"/>
          <w:sz w:val="28"/>
          <w:sz w:val="28"/>
          <w:szCs w:val="28"/>
          <w:rtl w:val="true"/>
          <w:lang w:bidi="ar-SA"/>
        </w:rPr>
        <w:t>، فبعد وضوح أن المبحوث في الفقه ليس الوجوب فقط، بل الأحكام الخمسة، بل والأحكام الوضعية أيضاً، فهو أخص على أي حال فلا يضر عدم انطباقه على الأوامر الإرشادية، إنه على جملة من الأقوال</w:t>
      </w:r>
      <w:r>
        <w:rPr>
          <w:rStyle w:val="FootnoteAnchor"/>
          <w:rtl w:val="true"/>
        </w:rPr>
        <w:footnoteReference w:id="290"/>
      </w:r>
      <w:r>
        <w:rPr>
          <w:rFonts w:ascii="Amiri" w:hAnsi="Amiri" w:eastAsia="Amiri" w:cs="Amiri"/>
          <w:color w:val="111111"/>
          <w:sz w:val="28"/>
          <w:sz w:val="28"/>
          <w:szCs w:val="28"/>
          <w:rtl w:val="true"/>
          <w:lang w:bidi="ar-SA"/>
        </w:rPr>
        <w:t xml:space="preserve">فإن الإلزام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223" w:name="__RefHeading___Toc3959295_1051229030"/>
      <w:bookmarkStart w:id="224" w:name="_Toc79"/>
      <w:bookmarkEnd w:id="223"/>
      <w:r>
        <w:rPr>
          <w:rtl w:val="true"/>
        </w:rPr>
        <w:t>الحال في التعاريف السادسة إلى التاسعة</w:t>
      </w:r>
      <w:bookmarkEnd w:id="224"/>
    </w:p>
    <w:p>
      <w:pPr>
        <w:pStyle w:val="BookText"/>
        <w:rPr/>
      </w:pPr>
      <w:r>
        <w:rPr>
          <w:rFonts w:ascii="Amiri" w:hAnsi="Amiri" w:eastAsia="Amiri" w:cs="Amiri"/>
          <w:color w:val="111111"/>
          <w:sz w:val="28"/>
          <w:sz w:val="28"/>
          <w:szCs w:val="28"/>
          <w:rtl w:val="true"/>
          <w:lang w:bidi="ar-SA"/>
        </w:rPr>
        <w:t>وبما سبق ظهر تمامية المطلب</w:t>
      </w:r>
      <w:r>
        <w:rPr>
          <w:rStyle w:val="FootnoteAnchor"/>
          <w:rtl w:val="true"/>
        </w:rPr>
        <w:footnoteReference w:id="292"/>
      </w:r>
      <w:r>
        <w:rPr>
          <w:rFonts w:ascii="Amiri" w:hAnsi="Amiri" w:eastAsia="Amiri" w:cs="Amiri"/>
          <w:color w:val="111111"/>
          <w:sz w:val="28"/>
          <w:sz w:val="28"/>
          <w:szCs w:val="28"/>
          <w:rtl w:val="true"/>
          <w:lang w:bidi="ar-SA"/>
        </w:rPr>
        <w:t>، على التعريف السادس أيضاً، إلا على القول الأول من الأقوال الستة في حقيقة الأمر الإرشادي، ولعله كذلك على القول الثاني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التعريف السابع والثامن للحكم، فإن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أجنبية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فالنقاش مبنائي، إذ لا دليل ولا وجه لإنحصار المباحث الفقهية بالسابع كما هو واضح</w:t>
      </w:r>
      <w:r>
        <w:rPr>
          <w:rStyle w:val="FootnoteAnchor"/>
          <w:rtl w:val="true"/>
        </w:rPr>
        <w:footnoteReference w:id="293"/>
      </w:r>
      <w:r>
        <w:rPr>
          <w:rFonts w:ascii="Amiri" w:hAnsi="Amiri" w:eastAsia="Amiri" w:cs="Amiri"/>
          <w:color w:val="111111"/>
          <w:sz w:val="28"/>
          <w:sz w:val="28"/>
          <w:szCs w:val="28"/>
          <w:rtl w:val="true"/>
          <w:lang w:bidi="ar-SA"/>
        </w:rPr>
        <w:t>وبالثامن كذلك، وسيأتي توضيحه بإذن الله تعالى</w:t>
      </w:r>
      <w:r>
        <w:rPr>
          <w:rStyle w:val="FootnoteAnchor"/>
          <w:rtl w:val="true"/>
        </w:rPr>
        <w:footnoteReference w:id="294"/>
      </w:r>
      <w:r>
        <w:rPr>
          <w:rFonts w:ascii="Amiri" w:hAnsi="Amiri" w:eastAsia="Amiri" w:cs="Amiri"/>
          <w:color w:val="111111"/>
          <w:sz w:val="28"/>
          <w:sz w:val="28"/>
          <w:szCs w:val="28"/>
          <w:rtl w:val="true"/>
          <w:lang w:bidi="ar-SA"/>
        </w:rPr>
        <w:t xml:space="preserve">، إضافة إلى أنهما لا يعدان </w:t>
      </w:r>
    </w:p>
    <w:p>
      <w:pPr>
        <w:pStyle w:val="BookText"/>
        <w:rPr/>
      </w:pPr>
      <w:r>
        <w:rPr>
          <w:rFonts w:ascii="Amiri" w:hAnsi="Amiri" w:eastAsia="Amiri" w:cs="Amiri"/>
          <w:color w:val="111111"/>
          <w:sz w:val="28"/>
          <w:sz w:val="28"/>
          <w:szCs w:val="28"/>
          <w:rtl w:val="true"/>
          <w:lang w:bidi="ar-SA"/>
        </w:rPr>
        <w:t>تعريفاً للحكم بل هما تفسير بالمصداق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التعريفان التاسع والعاشر فهما أجنبيان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Style w:val="FootnoteAnchor"/>
          <w:rtl w:val="true"/>
        </w:rPr>
        <w:footnoteReference w:id="295"/>
      </w:r>
      <w:r>
        <w:rPr>
          <w:rFonts w:ascii="Amiri" w:hAnsi="Amiri" w:eastAsia="Amiri" w:cs="Amiri"/>
          <w:color w:val="111111"/>
          <w:sz w:val="28"/>
          <w:sz w:val="28"/>
          <w:szCs w:val="28"/>
          <w:rtl w:val="true"/>
          <w:lang w:bidi="ar-SA"/>
        </w:rPr>
        <w:t>على أنهما جاريان ـ على فرض عدم الأجنبية ـ في الإرشادي، كالمولوي</w:t>
      </w:r>
      <w:r>
        <w:rPr>
          <w:rStyle w:val="FootnoteAnchor"/>
          <w:rtl w:val="true"/>
        </w:rPr>
        <w:footnoteReference w:id="296"/>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خلاصة هذا الجواب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الإرشادي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العقلي؛ لأن العقل شرع من باطن، وهو إحدى الحجتين ـ فتأمل</w:t>
      </w:r>
      <w:r>
        <w:rPr>
          <w:rFonts w:eastAsia="Amiri" w:cs="Amiri" w:ascii="Amiri" w:hAnsi="Amiri"/>
          <w:color w:val="111111"/>
          <w:sz w:val="28"/>
          <w:szCs w:val="28"/>
          <w:rtl w:val="true"/>
          <w:lang w:bidi="ar-SA"/>
        </w:rPr>
        <w:t>.</w:t>
      </w:r>
      <w:r>
        <w:rPr>
          <w:rStyle w:val="FootnoteAnchor"/>
          <w:rtl w:val="true"/>
        </w:rPr>
        <w:footnoteReference w:id="297"/>
      </w:r>
      <w:bookmarkStart w:id="225" w:name="pg7671_76525"/>
    </w:p>
    <w:p>
      <w:pPr>
        <w:pStyle w:val="Heading3"/>
        <w:numPr>
          <w:ilvl w:val="2"/>
          <w:numId w:val="1"/>
        </w:numPr>
        <w:rPr/>
      </w:pPr>
      <w:bookmarkStart w:id="226" w:name="__RefHeading___Toc3959297_1051229030"/>
      <w:bookmarkStart w:id="227" w:name="_Toc80"/>
      <w:bookmarkEnd w:id="225"/>
      <w:bookmarkEnd w:id="226"/>
      <w:r>
        <w:rPr>
          <w:rtl w:val="true"/>
        </w:rPr>
        <w:t>الاستدلال ب</w:t>
      </w:r>
      <w:r>
        <w:rPr>
          <w:rtl w:val="true"/>
        </w:rPr>
        <w:t>(</w:t>
      </w:r>
      <w:r>
        <w:rPr>
          <w:rtl w:val="true"/>
        </w:rPr>
        <w:t>موضوع علم الفقه</w:t>
      </w:r>
      <w:r>
        <w:rPr>
          <w:rtl w:val="true"/>
        </w:rPr>
        <w:t>):</w:t>
      </w:r>
      <w:bookmarkEnd w:id="227"/>
    </w:p>
    <w:p>
      <w:pPr>
        <w:pStyle w:val="Heading4"/>
        <w:numPr>
          <w:ilvl w:val="3"/>
          <w:numId w:val="1"/>
        </w:numPr>
        <w:rPr/>
      </w:pPr>
      <w:bookmarkStart w:id="228" w:name="__RefHeading___Toc3959299_1051229030"/>
      <w:bookmarkStart w:id="229" w:name="_Toc81"/>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وأما موضوع علم الفقه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w:t>
      </w:r>
      <w:r>
        <w:rPr>
          <w:rStyle w:val="FootnoteAnchor"/>
          <w:rtl w:val="true"/>
        </w:rPr>
        <w:footnoteReference w:id="298"/>
      </w:r>
      <w:r>
        <w:rPr>
          <w:rFonts w:ascii="Amiri" w:hAnsi="Amiri" w:eastAsia="Amiri" w:cs="Amiri"/>
          <w:color w:val="111111"/>
          <w:sz w:val="28"/>
          <w:sz w:val="28"/>
          <w:szCs w:val="28"/>
          <w:rtl w:val="true"/>
          <w:lang w:bidi="ar-SA"/>
        </w:rPr>
        <w:t>من حيث الحكم الشرعي</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موضوع علم النحو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من حيث الإعراب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من حيث الاقتضاء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الأصفهاني رحمه الله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وقد ظهر لك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مفاد ا لأمر والنهي الإرشاديين بناء على التعاريف الستة الأولى للحكم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التعريف السابع والثامن وبعد بطلان السابع</w:t>
      </w:r>
      <w:r>
        <w:rPr>
          <w:rStyle w:val="FootnoteAnchor"/>
          <w:rtl w:val="true"/>
        </w:rPr>
        <w:footnoteReference w:id="301"/>
      </w:r>
      <w:r>
        <w:rPr>
          <w:rFonts w:ascii="Amiri" w:hAnsi="Amiri" w:eastAsia="Amiri" w:cs="Amiri"/>
          <w:color w:val="111111"/>
          <w:sz w:val="28"/>
          <w:sz w:val="28"/>
          <w:szCs w:val="28"/>
          <w:rtl w:val="true"/>
          <w:lang w:bidi="ar-SA"/>
        </w:rPr>
        <w:t xml:space="preserve">كما فصلناه في الأصول ـ مباحث القطع ـ الجزء الأول، يبقى الثامن وهو دعوى أن </w:t>
      </w:r>
      <w:bookmarkStart w:id="230" w:name="pg7671_76526"/>
    </w:p>
    <w:p>
      <w:pPr>
        <w:pStyle w:val="BookText"/>
        <w:rPr/>
      </w:pPr>
      <w:bookmarkEnd w:id="230"/>
      <w:r>
        <w:rPr>
          <w:rFonts w:ascii="Amiri" w:hAnsi="Amiri" w:eastAsia="Amiri" w:cs="Amiri"/>
          <w:color w:val="111111"/>
          <w:sz w:val="28"/>
          <w:sz w:val="28"/>
          <w:szCs w:val="28"/>
          <w:rtl w:val="true"/>
          <w:lang w:bidi="ar-SA"/>
        </w:rPr>
        <w:t xml:space="preserve">الحكم الشرعي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التكليفية الخمسة والأحكام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علم الفقه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من حيث الحكم التكليفي والوضعي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يرد عليه بعد أن التخصيص بهما دعوى بلا دليل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959301_1051229030"/>
      <w:bookmarkStart w:id="232" w:name="_Toc82"/>
      <w:bookmarkEnd w:id="231"/>
      <w:r>
        <w:rPr>
          <w:rtl w:val="true"/>
        </w:rPr>
        <w:t>أولاً</w:t>
      </w:r>
      <w:r>
        <w:rPr>
          <w:rtl w:val="true"/>
        </w:rPr>
        <w:t xml:space="preserve">: </w:t>
      </w:r>
      <w:r>
        <w:rPr>
          <w:rtl w:val="true"/>
        </w:rPr>
        <w:t>الغرض أعم</w:t>
      </w:r>
      <w:bookmarkEnd w:id="232"/>
    </w:p>
    <w:p>
      <w:pPr>
        <w:pStyle w:val="BookText"/>
        <w:rPr/>
      </w:pPr>
      <w:r>
        <w:rPr>
          <w:rFonts w:ascii="Amiri" w:hAnsi="Amiri" w:eastAsia="Amiri" w:cs="Amiri"/>
          <w:color w:val="111111"/>
          <w:sz w:val="28"/>
          <w:sz w:val="28"/>
          <w:szCs w:val="28"/>
          <w:rtl w:val="true"/>
          <w:lang w:bidi="ar-SA"/>
        </w:rPr>
        <w:t>فإن موضوع كل علم يتحدد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المايز بين العلوم، وما ذهب إليه المشهور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تمايز العلوم إنما هو بتمايز الموضوعات ولو بالحيثيات</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فإنه وإن صح، إلا أنه يعود إلى تمايز الأغراض، فإنها هي علة تضييق الموضوع وتوسعته ذاتاً أو جهة، وهي المدخِل لجملة مسائل في علمٍ، والمخرِج لجملة أخرى،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قبل قليل أن الغرض من الفقه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ما كان بأمر مولوي أو إرشادي ومما كان تكليفاً أو وضعاً أو إرشاداً ـ على التعاريف الستة الأولى للحكم بل وعلى التعريف التاسع والعاشر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وبتعبير آخر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أفعال المكلفين لمرادات الشارع وأحكامه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وهو حاصل في الإرشادي كالمولوي تماماً</w:t>
      </w:r>
      <w:r>
        <w:rPr>
          <w:rFonts w:eastAsia="Amiri" w:cs="Amiri" w:ascii="Amiri" w:hAnsi="Amiri"/>
          <w:color w:val="111111"/>
          <w:sz w:val="28"/>
          <w:szCs w:val="28"/>
          <w:rtl w:val="true"/>
          <w:lang w:bidi="ar-SA"/>
        </w:rPr>
        <w:t xml:space="preserve">. </w:t>
      </w:r>
      <w:bookmarkStart w:id="233" w:name="pg7671_76527"/>
    </w:p>
    <w:p>
      <w:pPr>
        <w:pStyle w:val="BookText"/>
        <w:rPr/>
      </w:pPr>
      <w:bookmarkEnd w:id="233"/>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أوامر الشارع</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وذلك حاصل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أن العبد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طابق فعله مراد الشارع وحكمه بالعدل وأداء الأمانة، ويصدق عليه حقيقة أنه قد امتثل أمره، رغم أنها من المستقلات العقلية، ولعل المشهور أن الأمر في مواطنها إرشادي، وقد فصلنا ذلك في مواضع أخرى من الكتاب فليلاحظ</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959303_1051229030"/>
      <w:bookmarkStart w:id="235" w:name="_Toc83"/>
      <w:bookmarkEnd w:id="234"/>
      <w:r>
        <w:rPr>
          <w:rtl w:val="true"/>
        </w:rPr>
        <w:t>ثانياً</w:t>
      </w:r>
      <w:r>
        <w:rPr>
          <w:rtl w:val="true"/>
        </w:rPr>
        <w:t xml:space="preserve">: </w:t>
      </w:r>
      <w:r>
        <w:rPr>
          <w:rtl w:val="true"/>
        </w:rPr>
        <w:t>الموضوع أعم من الفعل</w:t>
      </w:r>
      <w:bookmarkEnd w:id="23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الفقه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من حيث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موضوعه أعم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يشمل موضوعه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للأحكام التالية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كالطهارة والنجاسة والبلوغ والحرية والمالكية والزوجية والعدالة والفسق والكفر والولاية والسلطنة، وغيرها من الأحكام الوضعية، فإن البحث عنها بحث عن مسائل فقهية، وليس موضوعها فعل المكلف، كما أنها ليست أفعالاً للمكلف، بل هي صفات له فهي ليست عوارض ذاتية لفعل المكلف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الفقه إذن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المكلف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الكثير من مباحث الإرث</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موضوعها ذات المكلف، وذلك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حيازة المباحات، أو السفر والحضر والإقامة، والبناء والاستيراد والتصدير وغيرها، دون مانع من الحكومة أو ضريبة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فكمانعية كونه محدثاً بالحدث الأكبر والأصغر عن انعقاد الصلاة مثلاً</w:t>
      </w:r>
      <w:r>
        <w:rPr>
          <w:rStyle w:val="FootnoteAnchor"/>
          <w:rtl w:val="true"/>
        </w:rPr>
        <w:footnoteReference w:id="307"/>
      </w:r>
      <w:r>
        <w:rPr>
          <w:rFonts w:ascii="Amiri" w:hAnsi="Amiri" w:eastAsia="Amiri" w:cs="Amiri"/>
          <w:color w:val="111111"/>
          <w:sz w:val="28"/>
          <w:sz w:val="28"/>
          <w:szCs w:val="28"/>
          <w:rtl w:val="true"/>
          <w:lang w:bidi="ar-SA"/>
        </w:rPr>
        <w:t>وكذلك شرطية كونها في غير طهر المواقعة مثلاً لصحة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وكشرطية الطهارة ومستورية العورة</w:t>
      </w:r>
      <w:r>
        <w:rPr>
          <w:rStyle w:val="FootnoteAnchor"/>
          <w:rtl w:val="true"/>
        </w:rPr>
        <w:footnoteReference w:id="308"/>
      </w:r>
      <w:r>
        <w:rPr>
          <w:rFonts w:ascii="Amiri" w:hAnsi="Amiri" w:eastAsia="Amiri" w:cs="Amiri"/>
          <w:color w:val="111111"/>
          <w:sz w:val="28"/>
          <w:sz w:val="28"/>
          <w:szCs w:val="28"/>
          <w:rtl w:val="true"/>
          <w:lang w:bidi="ar-SA"/>
        </w:rPr>
        <w:t xml:space="preserve">لصحة الصلاة فموضوع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ـ بعضه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للصلاة وإن أمكن إرجاعه لما سبق</w:t>
      </w:r>
      <w:r>
        <w:rPr>
          <w:rStyle w:val="FootnoteAnchor"/>
          <w:rtl w:val="true"/>
        </w:rPr>
        <w:footnoteReference w:id="309"/>
      </w:r>
      <w:r>
        <w:rPr>
          <w:rFonts w:ascii="Amiri" w:hAnsi="Amiri" w:eastAsia="Amiri" w:cs="Amiri"/>
          <w:color w:val="111111"/>
          <w:sz w:val="28"/>
          <w:sz w:val="28"/>
          <w:szCs w:val="28"/>
          <w:rtl w:val="true"/>
          <w:lang w:bidi="ar-SA"/>
        </w:rPr>
        <w:t>، أو العكس، والملاك لسان الدليل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ما كان من العوارض الذاتية للأعيان الخارجية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كطهارة الماء والنبات وأقسام من الحيوان، ونجاسة الكلب والخنزير والبول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مثل سببية دلوك الشمس لوجوب الصلاة؛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المسألة، وهو ليس فعل المكلف وما يرتبط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الصلاة حكم شرعي وضعي لأنه مجعول للشارع، وقد فصلنا الجواب عن شبهة المحقق الخراساني رحمه الله في كونها غير مجعولة، في مباحث الأصول ـ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وشرائط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مالية له، لا يصح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المعيب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فإن موضوع الحكم الشرعي ـ وهو الخيار ـ أمر آخر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أو فعله أو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إعادته للفعل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مآله إلى أنه إذا باعه معيباً كان له الخيار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للمعيب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الخيار؛ فإنه وإن صح ذلك إلا أنه لا داعي له بعد كون مصب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موضوعات مسائل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ينطبق عليها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الجوهر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وقد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مضى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المسموع منه كالجهر في الصلاة والاخفات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كالقيام والركوع والسجود ـ على رأي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اليتيم والنظر للأجنبية والأكل للمحرم، والعدل والإحسان وما أشبه، فتخصيصه بالأخير، غير تام</w:t>
      </w:r>
      <w:r>
        <w:rPr>
          <w:rFonts w:eastAsia="Amiri" w:cs="Amiri" w:ascii="Amiri" w:hAnsi="Amiri"/>
          <w:color w:val="111111"/>
          <w:sz w:val="28"/>
          <w:szCs w:val="28"/>
          <w:rtl w:val="true"/>
          <w:lang w:bidi="ar-SA"/>
        </w:rPr>
        <w:t xml:space="preserve">. </w:t>
      </w:r>
      <w:bookmarkStart w:id="236" w:name="pg7671_76530"/>
    </w:p>
    <w:p>
      <w:pPr>
        <w:pStyle w:val="Heading4"/>
        <w:numPr>
          <w:ilvl w:val="3"/>
          <w:numId w:val="1"/>
        </w:numPr>
        <w:rPr/>
      </w:pPr>
      <w:bookmarkStart w:id="237" w:name="__RefHeading___Toc3959305_1051229030"/>
      <w:bookmarkStart w:id="238" w:name="_Toc84"/>
      <w:bookmarkEnd w:id="236"/>
      <w:bookmarkEnd w:id="237"/>
      <w:r>
        <w:rPr>
          <w:rtl w:val="true"/>
        </w:rPr>
        <w:t>ثالثاً</w:t>
      </w:r>
      <w:r>
        <w:rPr>
          <w:rtl w:val="true"/>
        </w:rPr>
        <w:t xml:space="preserve">: </w:t>
      </w:r>
      <w:r>
        <w:rPr>
          <w:rtl w:val="true"/>
        </w:rPr>
        <w:t>الأعمية من المكلف</w:t>
      </w:r>
      <w:bookmarkEnd w:id="238"/>
    </w:p>
    <w:p>
      <w:pPr>
        <w:pStyle w:val="BookText"/>
        <w:rPr/>
      </w:pPr>
      <w:r>
        <w:rPr>
          <w:rFonts w:ascii="Amiri" w:hAnsi="Amiri" w:eastAsia="Amiri" w:cs="Amiri"/>
          <w:color w:val="111111"/>
          <w:sz w:val="28"/>
          <w:sz w:val="28"/>
          <w:szCs w:val="28"/>
          <w:rtl w:val="true"/>
          <w:lang w:bidi="ar-SA"/>
        </w:rPr>
        <w:t xml:space="preserve">وذلك لشموله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ممن فيه اقتضاؤه ـ ككل ما يتعلق بأعيان المجانين والصبيان من الأحكام الوضعية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الشرعي، وهو الضمان، وإن كان الحكم التكليفي بدفع العوض، على وليه، ويصلح هذا الجواب شاهداً على ما ذكرناه من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يشترط في درج المسألة في الفقه،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لم يترتب على مخالفته استحقاق العقاب ـ مسألة فقهية، بل تصلح مطلق الأحكام الوضعية شاهداً على ذلك</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959307_1051229030"/>
      <w:bookmarkStart w:id="240" w:name="_Toc85"/>
      <w:bookmarkEnd w:id="239"/>
      <w:r>
        <w:rPr>
          <w:rtl w:val="true"/>
        </w:rPr>
        <w:t>رابعاً</w:t>
      </w:r>
      <w:r>
        <w:rPr>
          <w:rtl w:val="true"/>
        </w:rPr>
        <w:t xml:space="preserve">: </w:t>
      </w:r>
      <w:r>
        <w:rPr>
          <w:rtl w:val="true"/>
        </w:rPr>
        <w:t xml:space="preserve">وهو أعم من </w:t>
      </w:r>
      <w:r>
        <w:rPr>
          <w:rtl w:val="true"/>
        </w:rPr>
        <w:t>(</w:t>
      </w:r>
      <w:r>
        <w:rPr>
          <w:rtl w:val="true"/>
        </w:rPr>
        <w:t>الحكم</w:t>
      </w:r>
      <w:r>
        <w:rPr>
          <w:rtl w:val="true"/>
        </w:rPr>
        <w:t xml:space="preserve">) </w:t>
      </w:r>
      <w:r>
        <w:rPr>
          <w:rtl w:val="true"/>
        </w:rPr>
        <w:t xml:space="preserve">لشموله </w:t>
      </w:r>
      <w:r>
        <w:rPr>
          <w:rtl w:val="true"/>
        </w:rPr>
        <w:t>(</w:t>
      </w:r>
      <w:r>
        <w:rPr>
          <w:rtl w:val="true"/>
        </w:rPr>
        <w:t>الموضوع</w:t>
      </w:r>
      <w:r>
        <w:rPr>
          <w:rtl w:val="true"/>
        </w:rPr>
        <w:t>)</w:t>
      </w:r>
      <w:bookmarkEnd w:id="24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حيثيته</w:t>
      </w:r>
      <w:r>
        <w:rPr>
          <w:rStyle w:val="FootnoteAnchor"/>
          <w:rtl w:val="true"/>
        </w:rPr>
        <w:footnoteReference w:id="312"/>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يشمل الموضوع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ريب أن العلم بموضوعات الأحكام الشرعية</w:t>
      </w:r>
      <w:r>
        <w:rPr>
          <w:rStyle w:val="FootnoteAnchor"/>
          <w:rtl w:val="true"/>
        </w:rPr>
        <w:footnoteReference w:id="313"/>
      </w:r>
      <w:r>
        <w:rPr>
          <w:rFonts w:ascii="Amiri" w:hAnsi="Amiri" w:eastAsia="Amiri" w:cs="Amiri"/>
          <w:color w:val="111111"/>
          <w:sz w:val="28"/>
          <w:sz w:val="28"/>
          <w:szCs w:val="28"/>
          <w:rtl w:val="true"/>
          <w:lang w:bidi="ar-SA"/>
        </w:rPr>
        <w:t xml:space="preserve">كالوضوء والصلاة والحج وغيرها، بتعاريفها وبأجزائها وشرائطها وموانعها وقواطعها، من شأن الفقيه، ومما يبحث في الفقه دون ريب، وإنها مسائل فقهية، بل وكذا مثل تحديد الماء الكر والجاري وغيرهما، </w:t>
      </w:r>
      <w:bookmarkStart w:id="241" w:name="pg7671_76531"/>
    </w:p>
    <w:p>
      <w:pPr>
        <w:pStyle w:val="BookText"/>
        <w:rPr/>
      </w:pPr>
      <w:bookmarkEnd w:id="241"/>
      <w:r>
        <w:rPr>
          <w:rFonts w:ascii="Amiri" w:hAnsi="Amiri" w:eastAsia="Amiri" w:cs="Amiri"/>
          <w:color w:val="111111"/>
          <w:sz w:val="28"/>
          <w:sz w:val="28"/>
          <w:szCs w:val="28"/>
          <w:rtl w:val="true"/>
          <w:lang w:bidi="ar-SA"/>
        </w:rPr>
        <w:t xml:space="preserve">ومثل تحديد الأخت الرضاعية أو الرضعة المحرمة، ومثل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وأشباههما كثير، ولا وجه لإلتزام الاستطراد فيها</w:t>
      </w:r>
      <w:r>
        <w:rPr>
          <w:rStyle w:val="FootnoteAnchor"/>
          <w:rtl w:val="true"/>
        </w:rPr>
        <w:footnoteReference w:id="314"/>
      </w:r>
      <w:r>
        <w:rPr>
          <w:rFonts w:ascii="Amiri" w:hAnsi="Amiri" w:eastAsia="Amiri" w:cs="Amiri"/>
          <w:color w:val="111111"/>
          <w:sz w:val="28"/>
          <w:sz w:val="28"/>
          <w:szCs w:val="28"/>
          <w:rtl w:val="true"/>
          <w:lang w:bidi="ar-SA"/>
        </w:rPr>
        <w:t xml:space="preserve">، ولو بدعوى أنها من المبادئ التصورية أو التصديقية، خاصة مع لحاظ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حقيقة لذلك، فإنه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وحدودها والتفقه فيها، يعد مقدمة للتفقه في الدين بل الحق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إلا أن يجاب أن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بحث عن فعل المكلف ـ لأنها فعله ـ من حيث الحكم الشرعي ـ أي الجزئية والشرطية وشبهها ـ وهي كلها أحكام وضعية، ومآل البحث عن أن القنوت جزء أم لا مثلاً إلى أن الشرع هل حكم بجزئيته وجعلها ـ ولو بتوجيه الأمر للمركب ـ جزءاً أو لا؟ بل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حيث وجوبه ـ فتأمل</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242" w:name="__RefHeading___Toc3959309_1051229030"/>
      <w:bookmarkStart w:id="243" w:name="_Toc86"/>
      <w:bookmarkEnd w:id="242"/>
      <w:r>
        <w:rPr>
          <w:rtl w:val="true"/>
        </w:rPr>
        <w:t>خامساً</w:t>
      </w:r>
      <w:r>
        <w:rPr>
          <w:rtl w:val="true"/>
        </w:rPr>
        <w:t xml:space="preserve">: </w:t>
      </w:r>
      <w:r>
        <w:rPr>
          <w:rtl w:val="true"/>
        </w:rPr>
        <w:t xml:space="preserve">ولشموله </w:t>
      </w:r>
      <w:r>
        <w:rPr>
          <w:rtl w:val="true"/>
        </w:rPr>
        <w:t>(</w:t>
      </w:r>
      <w:r>
        <w:rPr>
          <w:rtl w:val="true"/>
        </w:rPr>
        <w:t>الحقوق</w:t>
      </w:r>
      <w:r>
        <w:rPr>
          <w:rtl w:val="true"/>
        </w:rPr>
        <w:t>)</w:t>
      </w:r>
      <w:bookmarkEnd w:id="243"/>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تعلق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القول به ـ</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ما تعلق منها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بالمعقود عليها</w:t>
      </w:r>
      <w:r>
        <w:rPr>
          <w:rFonts w:eastAsia="Amiri" w:cs="Amiri" w:ascii="Amiri" w:hAnsi="Amiri"/>
          <w:color w:val="111111"/>
          <w:sz w:val="28"/>
          <w:szCs w:val="28"/>
          <w:rtl w:val="true"/>
          <w:lang w:bidi="ar-SA"/>
        </w:rPr>
        <w:t xml:space="preserve">. </w:t>
      </w:r>
      <w:bookmarkStart w:id="244" w:name="pg7671_76532"/>
    </w:p>
    <w:p>
      <w:pPr>
        <w:pStyle w:val="BookText"/>
        <w:rPr/>
      </w:pPr>
      <w:bookmarkEnd w:id="244"/>
      <w:r>
        <w:rPr>
          <w:rFonts w:ascii="Amiri" w:hAnsi="Amiri" w:eastAsia="Amiri" w:cs="Amiri"/>
          <w:color w:val="111111"/>
          <w:sz w:val="28"/>
          <w:sz w:val="28"/>
          <w:szCs w:val="28"/>
          <w:rtl w:val="true"/>
          <w:lang w:bidi="ar-SA"/>
        </w:rPr>
        <w:t>أم ما تعلق منها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ينقسم على حسبها بين ما تعلق بعين أو عرض أو حق، كحق الخيار وحق الشفعة، وقد يمثل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بالعقد؛ فإنه متعلق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العقد هو الاعتبار، إن فسرنا العقد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به سببه إن فسرنا العقد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إنشاءين متلازمين، ابتدائي ومطاوعي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أو بعرض إذا أريد به الكيفية الحاصلة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وضعية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959311_1051229030"/>
      <w:bookmarkStart w:id="246" w:name="_Toc87"/>
      <w:bookmarkEnd w:id="245"/>
      <w:r>
        <w:rPr>
          <w:rtl w:val="true"/>
        </w:rPr>
        <w:t>النتيجة</w:t>
      </w:r>
      <w:r>
        <w:rPr>
          <w:rtl w:val="true"/>
        </w:rPr>
        <w:t>:</w:t>
      </w:r>
      <w:bookmarkEnd w:id="246"/>
    </w:p>
    <w:p>
      <w:pPr>
        <w:pStyle w:val="Heading4"/>
        <w:numPr>
          <w:ilvl w:val="3"/>
          <w:numId w:val="1"/>
        </w:numPr>
        <w:rPr/>
      </w:pPr>
      <w:bookmarkStart w:id="247" w:name="__RefHeading___Toc3959313_1051229030"/>
      <w:bookmarkStart w:id="248" w:name="_Toc88"/>
      <w:bookmarkEnd w:id="247"/>
      <w:r>
        <w:rPr>
          <w:rtl w:val="true"/>
        </w:rPr>
        <w:t>اشارة</w:t>
      </w:r>
      <w:bookmarkEnd w:id="2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الفقه المنطبق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أعم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هو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كالتروك في أبواب الصوم والحج وغيرها،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كل ذلك مندرج في المباحث الفقهية والمسائل الفقهية، ومما يتعلق به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السبب في ذلك الشمول، وأن الجامع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اشتراكها جميعاً في الدخل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لا جامع حقيقي بينها ولا جنس لها، إذ لا جامع بين المقولات العالية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بالعنوان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أن الأوامر والنواهي الإرشادية أيضاً دخيلة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والأحكام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أكثر تعاريفه وعلى حسب أكثر الأقوال في حقيقة الأمر الإرشادي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عرفت</w:t>
      </w:r>
      <w:r>
        <w:rPr>
          <w:rStyle w:val="FootnoteAnchor"/>
          <w:rtl w:val="true"/>
        </w:rPr>
        <w:footnoteReference w:id="318"/>
      </w:r>
      <w:r>
        <w:rPr>
          <w:rFonts w:ascii="Amiri" w:hAnsi="Amiri" w:eastAsia="Amiri" w:cs="Amiri"/>
          <w:color w:val="111111"/>
          <w:sz w:val="28"/>
          <w:sz w:val="28"/>
          <w:szCs w:val="28"/>
          <w:rtl w:val="true"/>
          <w:lang w:bidi="ar-SA"/>
        </w:rPr>
        <w:t xml:space="preserve">أن دخول الأوامر الإرشادية والنواهي الإرشادية،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 ما له من العرض العريض ـ هو على الأصل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إنه لا يضر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الإرشادي، إذ يكفي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مؤديات الأوامر الشرعية الإرشادية ـ كما فصلناه عند نقل رأي الشيخ الأنصاري من انقسام الأمر الإرشادي إلى الواجب والمندوب ـ فكان لابد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واجبات ومستحبات ـ وإن خَلَت عن استحقاق العقاب، على ما هو الفارق الإني بين النحوين من الأوامر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المكلف ـ بل الأعم كما سبق ـ من حيث الوجوب والحرمة ـ مولويين كانا أو </w:t>
      </w:r>
      <w:bookmarkStart w:id="249" w:name="pg7671_76534"/>
    </w:p>
    <w:p>
      <w:pPr>
        <w:pStyle w:val="BookText"/>
        <w:rPr/>
      </w:pPr>
      <w:bookmarkEnd w:id="249"/>
      <w:r>
        <w:rPr>
          <w:rFonts w:ascii="Amiri" w:hAnsi="Amiri" w:eastAsia="Amiri" w:cs="Amiri"/>
          <w:color w:val="111111"/>
          <w:sz w:val="28"/>
          <w:sz w:val="28"/>
          <w:szCs w:val="28"/>
          <w:rtl w:val="true"/>
          <w:lang w:bidi="ar-SA"/>
        </w:rPr>
        <w:t>إرشاديين ـ وكذا الكراهة والاستحباب بل الإباحة أيضاً</w:t>
      </w:r>
      <w:r>
        <w:rPr>
          <w:rStyle w:val="FootnoteAnchor"/>
          <w:rtl w:val="true"/>
        </w:rPr>
        <w:footnoteReference w:id="319"/>
      </w:r>
      <w:r>
        <w:rPr>
          <w:rFonts w:ascii="Amiri" w:hAnsi="Amiri" w:eastAsia="Amiri" w:cs="Amiri"/>
          <w:color w:val="111111"/>
          <w:sz w:val="28"/>
          <w:sz w:val="28"/>
          <w:szCs w:val="28"/>
          <w:rtl w:val="true"/>
          <w:lang w:bidi="ar-SA"/>
        </w:rPr>
        <w:t>ومن حيث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المكلف ـ بل الأعم ـ من حيث الحكم الشرعي ومن حيث الوجوب والحرمة الإرشاديين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خصص الحكم الشرعي بالمولوي بالمعنى الأخص الذي به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ـ بل الأعم كما سبق ـ من حيث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والشرطية وغيرها، مما ينطبق عليه موضوع علم الفقه، وكما أن مسائله هي مسائل فقهية، على الرغم من أن الحكم الشرعي الوضعي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دون استحقاق للعقاب عليه بذاته، ولا يخرجه عدم استحقاق العقاب عليه، عن كونه من صميم الفقه،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من حيث الحكم الإلزامي أو الندبي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الوجوبالإرشادي وكذا الندبي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مما يترتب عليه استحقاق العقاب، أو مما يترتب عليه العقاب وإن ترتب عليه الاستحقاق بَدْواً ـ على احتمال بيّناه في موضع آخر ـ فليلاحظ</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959315_1051229030"/>
      <w:bookmarkStart w:id="251" w:name="_Toc89"/>
      <w:bookmarkEnd w:id="250"/>
      <w:r>
        <w:rPr>
          <w:rtl w:val="true"/>
        </w:rPr>
        <w:t>الاستناد إلى تعريف المشهور لعلم الفقه</w:t>
      </w:r>
      <w:bookmarkEnd w:id="251"/>
    </w:p>
    <w:p>
      <w:pPr>
        <w:pStyle w:val="BookText"/>
        <w:rPr/>
      </w:pPr>
      <w:r>
        <w:rPr>
          <w:rFonts w:ascii="Amiri" w:hAnsi="Amiri" w:eastAsia="Amiri" w:cs="Amiri"/>
          <w:color w:val="111111"/>
          <w:sz w:val="28"/>
          <w:sz w:val="28"/>
          <w:szCs w:val="28"/>
          <w:rtl w:val="true"/>
          <w:lang w:bidi="ar-SA"/>
        </w:rPr>
        <w:t xml:space="preserve">وبذلك كله يظهر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فإنه حسب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الشرعية الفرعية عن أدلتها التفصيلية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بان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موارد </w:t>
      </w:r>
      <w:bookmarkStart w:id="252" w:name="pg7671_76535"/>
    </w:p>
    <w:p>
      <w:pPr>
        <w:pStyle w:val="BookText"/>
        <w:rPr/>
      </w:pPr>
      <w:bookmarkEnd w:id="252"/>
      <w:r>
        <w:rPr>
          <w:rFonts w:ascii="Amiri" w:hAnsi="Amiri" w:eastAsia="Amiri" w:cs="Amiri"/>
          <w:color w:val="111111"/>
          <w:sz w:val="28"/>
          <w:sz w:val="28"/>
          <w:szCs w:val="28"/>
          <w:rtl w:val="true"/>
          <w:lang w:bidi="ar-SA"/>
        </w:rPr>
        <w:t xml:space="preserve">الأوامر الإرشادية ومؤدياتها، بناء على التعاريف الستة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والتاسع والعاشر، فإن مؤدياتها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شرعية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الاقتضاء والتخيير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محمولات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شرعي مسبوق بالملاك والإرادة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الفعل أو الترك مع الإلزام تارة وبدونه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ـ على حسب رأي الشيخ والميرزا كما فصلناه في محله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959317_1051229030"/>
      <w:bookmarkStart w:id="254" w:name="_Toc90"/>
      <w:bookmarkEnd w:id="253"/>
      <w:r>
        <w:rPr>
          <w:rtl w:val="true"/>
        </w:rPr>
        <w:t>وجه الإشكال على هذا التعريف</w:t>
      </w:r>
      <w:bookmarkEnd w:id="254"/>
    </w:p>
    <w:p>
      <w:pPr>
        <w:pStyle w:val="BookText"/>
        <w:rPr/>
      </w:pPr>
      <w:r>
        <w:rPr>
          <w:rFonts w:ascii="Amiri" w:hAnsi="Amiri" w:eastAsia="Amiri" w:cs="Amiri"/>
          <w:color w:val="111111"/>
          <w:sz w:val="28"/>
          <w:sz w:val="28"/>
          <w:szCs w:val="28"/>
          <w:rtl w:val="true"/>
          <w:lang w:bidi="ar-SA"/>
        </w:rPr>
        <w:t>كما ظهر وجه الإشكال في هذا التعريف</w:t>
      </w:r>
      <w:r>
        <w:rPr>
          <w:rStyle w:val="FootnoteAnchor"/>
          <w:rtl w:val="true"/>
        </w:rPr>
        <w:footnoteReference w:id="320"/>
      </w:r>
      <w:r>
        <w:rPr>
          <w:rFonts w:ascii="Amiri" w:hAnsi="Amiri" w:eastAsia="Amiri" w:cs="Amiri"/>
          <w:color w:val="111111"/>
          <w:sz w:val="28"/>
          <w:sz w:val="28"/>
          <w:szCs w:val="28"/>
          <w:rtl w:val="true"/>
          <w:lang w:bidi="ar-SA"/>
        </w:rPr>
        <w:t>، فإن الفقه أعم من ذلك،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العلم أو الظن المعتبر</w:t>
      </w:r>
      <w:r>
        <w:rPr>
          <w:rStyle w:val="FootnoteAnchor"/>
          <w:rtl w:val="true"/>
        </w:rPr>
        <w:footnoteReference w:id="32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الفرعية التكليفية الخمسة والوضعية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العملية المقررة للشاك في مقام العمل كما في موارد الأصول</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 العقلية والعقلائية</w:t>
      </w:r>
      <w:r>
        <w:rPr>
          <w:rStyle w:val="FootnoteAnchor"/>
          <w:rtl w:val="true"/>
        </w:rPr>
        <w:footnoteReference w:id="323"/>
      </w:r>
      <w:r>
        <w:rPr>
          <w:rFonts w:ascii="Amiri" w:hAnsi="Amiri" w:eastAsia="Amiri" w:cs="Amiri"/>
          <w:color w:val="111111"/>
          <w:sz w:val="28"/>
          <w:sz w:val="28"/>
          <w:szCs w:val="28"/>
          <w:rtl w:val="true"/>
          <w:lang w:bidi="ar-SA"/>
        </w:rPr>
        <w:t>كحكم العقل بالبراءة والتخيير العقليين، وكالاستصحاب بناء على حجيته من باب بناء العقلاء</w:t>
      </w:r>
      <w:r>
        <w:rPr>
          <w:rFonts w:eastAsia="Amiri" w:cs="Amiri" w:ascii="Amiri" w:hAnsi="Amiri"/>
          <w:color w:val="111111"/>
          <w:sz w:val="28"/>
          <w:szCs w:val="28"/>
          <w:rtl w:val="true"/>
          <w:lang w:bidi="ar-SA"/>
        </w:rPr>
        <w:t xml:space="preserve">. </w:t>
      </w:r>
      <w:bookmarkStart w:id="255" w:name="pg7671_76536"/>
    </w:p>
    <w:p>
      <w:pPr>
        <w:pStyle w:val="BookText"/>
        <w:rPr/>
      </w:pPr>
      <w:bookmarkEnd w:id="255"/>
      <w:r>
        <w:rPr>
          <w:rFonts w:ascii="Amiri" w:hAnsi="Amiri" w:eastAsia="Amiri" w:cs="Amiri"/>
          <w:color w:val="111111"/>
          <w:sz w:val="28"/>
          <w:sz w:val="28"/>
          <w:szCs w:val="28"/>
          <w:rtl w:val="true"/>
          <w:lang w:bidi="ar-SA"/>
        </w:rPr>
        <w:t>وإن أمكن إعادة هذا للأول، بناء على قاعدة الملازمة على بعض صورها والأقوال فيها</w:t>
      </w:r>
      <w:r>
        <w:rPr>
          <w:rStyle w:val="FootnoteAnchor"/>
          <w:rtl w:val="true"/>
        </w:rPr>
        <w:footnoteReference w:id="324"/>
      </w:r>
      <w:r>
        <w:rPr>
          <w:rFonts w:ascii="Amiri" w:hAnsi="Amiri" w:eastAsia="Amiri" w:cs="Amiri"/>
          <w:color w:val="111111"/>
          <w:sz w:val="28"/>
          <w:sz w:val="28"/>
          <w:szCs w:val="28"/>
          <w:rtl w:val="true"/>
          <w:lang w:bidi="ar-SA"/>
        </w:rPr>
        <w:t xml:space="preserve">،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 العقل وحكم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والموضوعات المستنبطة أو المخترعة، العبادية وغيرها، كما فصلنا الحديث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مباحث الأصول كتاب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والأحكام الإرشادية؛ فإن التفقه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ما كان منها بلحاظ مصالح الآخرة، أو بلحاظ محبوبيته للمولى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لو أردنا التحفظ على هذا التعريف فإنه لابد من تعريف علم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الفرعية الشرعية منها والعقلية والعقلائية، والأصول العملية، والموضوعات المستنبطة الشرعية، والأحكام الإرشادية، عن أدلتها التفصيلية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المولوية والإرشادية، وتعميم الأحكام الشرعية للعقلية؛ لعودها للشارع مآلاً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959319_1051229030"/>
      <w:bookmarkStart w:id="257" w:name="_Toc91"/>
      <w:bookmarkEnd w:id="256"/>
      <w:r>
        <w:rPr>
          <w:rtl w:val="true"/>
        </w:rPr>
        <w:t>الاستناد للآيات لشمول الحكم ل</w:t>
      </w:r>
      <w:r>
        <w:rPr>
          <w:rtl w:val="true"/>
        </w:rPr>
        <w:t>(</w:t>
      </w:r>
      <w:r>
        <w:rPr>
          <w:rtl w:val="true"/>
        </w:rPr>
        <w:t>لإرشادي</w:t>
      </w:r>
      <w:r>
        <w:rPr>
          <w:rtl w:val="true"/>
        </w:rPr>
        <w:t>)</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الاستناد لعدد من الآيات الكريمة والروايات الشريفة، التي قد يظهر منها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أن لا تعبدوا إلا إياه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فإن هذا الأمر لكونه متعلقاً بما استقل به العقل، أمر إرشادي، حسب مسلك كثير من الأصوليين، في أن الأوامر والنواهي في مواطن المستقلات العقلية، إرشادية، ومع ذلك عبر الله تعالى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له، ولا ريب في صحة إسناد هذا الحكم للشارع إستناداً لهذه الآية الشريفة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أعم من السلطان وملك الأمر والنهي، ومن القضاء، ومن الحكم بمعنى إيجاد الاعتبار أي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الحكم التكويني والحكم التشريعي ولذا 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في أمر العبادة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الحكم والأمر إلا لله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وذلك تفسير بالمصداق، ولذا قال الوالد في 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بين الناس حكماً تكوينياً وتشريعياً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اختلفتم فيه من شيء فحكمه إلى الله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فإن من البديهي اختلاف الأمة في أمر الاستشهاد في الطلاق مثلاً، وإن حكمه إلى الله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إرشادي لصحة وقوع الطلاق ـ على المشهور ـ وليس مولوياً دالاً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شمول موارد الخلاف للكثير من موارد الأوامر والنواهي الإرشادية،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ذلك كله إلى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البرهان والصافي</w:t>
      </w:r>
      <w:r>
        <w:rPr>
          <w:rStyle w:val="FootnoteAnchor"/>
          <w:rtl w:val="true"/>
        </w:rPr>
        <w:footnoteReference w:id="33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للمحق بالثواب والمدح، وللمبطل بالعقاب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تبيان الصواب إلى اللهبنصب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المجمع</w:t>
      </w:r>
      <w:r>
        <w:rPr>
          <w:rStyle w:val="FootnoteAnchor"/>
          <w:rtl w:val="true"/>
        </w:rPr>
        <w:footnoteReference w:id="332"/>
      </w:r>
      <w:r>
        <w:rPr>
          <w:rFonts w:ascii="Amiri" w:hAnsi="Amiri" w:eastAsia="Amiri" w:cs="Amiri"/>
          <w:color w:val="111111"/>
          <w:sz w:val="28"/>
          <w:sz w:val="28"/>
          <w:szCs w:val="28"/>
          <w:rtl w:val="true"/>
          <w:lang w:bidi="ar-SA"/>
        </w:rPr>
        <w:t>،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تفسير بالمصداق؛ ولذا قال الصافي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اختلفتم فيه من تأول المتشابه فارجعوا إلى المحكم من الكتاب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الاختلاف في شؤون العقل العملي والعقل النظري، كالاختلاف في وجوب كذا عقلاً أو شرعاً، أو حرمته مولوياً أو إرشادياً، إلا أن يدعى الانصراف للأول، وأن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شأن النزول في نزاع الزبير وأنصاري في مسيل ماء، ويؤيده أيضاً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تعاقدوا عليه، لئن أمات الله محمداً، ألا يردوا هذا الأمر في بني هاشم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كما في رواية الإمام الباقر عليه السلام، لكن المورد لا يخصص الوارد،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القضاء </w:t>
      </w:r>
      <w:bookmarkStart w:id="258" w:name="pg7671_76539"/>
    </w:p>
    <w:p>
      <w:pPr>
        <w:pStyle w:val="BookText"/>
        <w:rPr/>
      </w:pPr>
      <w:bookmarkEnd w:id="258"/>
      <w:r>
        <w:rPr>
          <w:rFonts w:ascii="Amiri" w:hAnsi="Amiri" w:eastAsia="Amiri" w:cs="Amiri"/>
          <w:color w:val="111111"/>
          <w:sz w:val="28"/>
          <w:sz w:val="28"/>
          <w:szCs w:val="28"/>
          <w:rtl w:val="true"/>
          <w:lang w:bidi="ar-SA"/>
        </w:rPr>
        <w:t xml:space="preserve">في عمل اختلفوا فيه أو رأي وقول وحكم اختلفوا فيه؛ ولذا قال السيد السبزواري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 باب التطبيق، وإن الحكم أعم من التشريعي والتكويني</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يحكموك في القضايا التي يختصمون فيها ويتشاجرون ويتنازعون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ـ فتأمل والله العالم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959321_1051229030"/>
      <w:bookmarkStart w:id="260" w:name="_Toc92"/>
      <w:bookmarkEnd w:id="259"/>
      <w:r>
        <w:rPr>
          <w:rtl w:val="true"/>
        </w:rPr>
        <w:t>الاستناد للروايات لشمول الحكم ل</w:t>
      </w:r>
      <w:r>
        <w:rPr>
          <w:rtl w:val="true"/>
        </w:rPr>
        <w:t>(</w:t>
      </w:r>
      <w:r>
        <w:rPr>
          <w:rtl w:val="true"/>
        </w:rPr>
        <w:t>الإرشادي</w:t>
      </w:r>
      <w:r>
        <w:rPr>
          <w:rtl w:val="true"/>
        </w:rPr>
        <w:t>)</w:t>
      </w:r>
      <w:bookmarkEnd w:id="260"/>
    </w:p>
    <w:p>
      <w:pPr>
        <w:pStyle w:val="BookText"/>
        <w:rPr/>
      </w:pPr>
      <w:r>
        <w:rPr>
          <w:rFonts w:ascii="Amiri" w:hAnsi="Amiri" w:eastAsia="Amiri" w:cs="Amiri"/>
          <w:color w:val="111111"/>
          <w:sz w:val="28"/>
          <w:sz w:val="28"/>
          <w:szCs w:val="28"/>
          <w:rtl w:val="true"/>
          <w:lang w:bidi="ar-SA"/>
        </w:rPr>
        <w:t>ومن الروايات قول أمير المؤمنين ومولى الموحدين عليه صلوات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نبأ ما قبلكم وخبر ما بعدكم وحكم ما بينكم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فإن القرآن ممتلئ بالأحكام الإرشادية كالأحكام المولوية، وقد ذكرنا في الكتاب أمثلة كثيرة لذلك، إلا أن يستند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وفيه أن السياق يقضي بإرادة الأعم، فلاحظ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 ما قبلكم وخبر ما بعدكم وحكم ما بينكم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سنته ـ أي رسول الله صلى الله عليه وآله ـ الرشد، وكلامه الفصل، وحكمه العدل</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قضائه، لعله بدوي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وقد قطعتم ـ والخطاب للعصاة ـ قيد الإسلام، وعطلتم حدوده، وأمتم أحكامه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والأحكام التي أماتوها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 والجهاد والصلاة والصوم ـ أصلاً أو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الإرشادية،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والوفاء بالعهد والإصلاح والهجرة، ومنها أيضاً في جانب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والفواحش والنزاع والاغتيال والاختيال،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فعلها أو فعل المضاد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الحديث عن ذلك، ووجه القول بالإرشادية في الآيات والروايات الواردة فيها، في فصل آخر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أبتدئك بتعليم كتاب الله عز وجل وتأويله، وشرائع الإسلام، وأحكامه وحلاله وحرامه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وغير خفي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مؤديات الأوامر المولوية والإرشادية، خاصة على مبنى الشيخ الأنصاري والميرزا الشيرازي قدس سرهما من انقسام الحكم الإرشادي إلى واجب ومندوب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أمر إرشادي حسب ضابط أنه كل ما ورد في موطن المستقلات العقلية؟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إرشادياً، بدعوى لزوم التسلسل </w:t>
      </w:r>
    </w:p>
    <w:p>
      <w:pPr>
        <w:pStyle w:val="BookText"/>
        <w:rPr/>
      </w:pPr>
      <w:r>
        <w:rPr>
          <w:rFonts w:ascii="Amiri" w:hAnsi="Amiri" w:eastAsia="Amiri" w:cs="Amiri"/>
          <w:color w:val="111111"/>
          <w:sz w:val="28"/>
          <w:sz w:val="28"/>
          <w:szCs w:val="28"/>
          <w:rtl w:val="true"/>
          <w:lang w:bidi="ar-SA"/>
        </w:rPr>
        <w:t xml:space="preserve">من كونه مولوياً؟ كما أشرنا لذلك والأجوبة في موطن آخر وفصلناه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أحكام الإسلام؟ إما لأنها من المستقلات العقلية، أو لأنها مما يلزم من مولويتها التسلسل كأوامر الطاعة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1" w:name="pg7671_76542"/>
    </w:p>
    <w:p>
      <w:pPr>
        <w:pStyle w:val="Heading4"/>
        <w:numPr>
          <w:ilvl w:val="3"/>
          <w:numId w:val="1"/>
        </w:numPr>
        <w:rPr/>
      </w:pPr>
      <w:bookmarkStart w:id="262" w:name="__RefHeading___Toc3959323_1051229030"/>
      <w:bookmarkStart w:id="263" w:name="_Toc93"/>
      <w:bookmarkEnd w:id="261"/>
      <w:bookmarkEnd w:id="262"/>
      <w:r>
        <w:rPr>
          <w:rtl w:val="true"/>
        </w:rPr>
        <w:t>من أظهر مصاديق الأوامر الإرشادية من غير الشارع</w:t>
      </w:r>
      <w:bookmarkEnd w:id="263"/>
    </w:p>
    <w:p>
      <w:pPr>
        <w:pStyle w:val="BookText"/>
        <w:rPr/>
      </w:pPr>
      <w:r>
        <w:rPr>
          <w:rFonts w:ascii="Amiri" w:hAnsi="Amiri" w:eastAsia="Amiri" w:cs="Amiri"/>
          <w:color w:val="111111"/>
          <w:sz w:val="28"/>
          <w:sz w:val="28"/>
          <w:szCs w:val="28"/>
          <w:rtl w:val="true"/>
          <w:lang w:bidi="ar-SA"/>
        </w:rPr>
        <w:t>ثم إن من أظهر المصاديق التي ذكرت أو يمكن أن تذكر للأوامر الإرشادية في دائرة العرف العام أو الخاص</w:t>
      </w:r>
      <w:r>
        <w:rPr>
          <w:rStyle w:val="FootnoteAnchor"/>
          <w:rtl w:val="true"/>
        </w:rPr>
        <w:footnoteReference w:id="343"/>
      </w:r>
      <w:r>
        <w:rPr>
          <w:rFonts w:ascii="Amiri" w:hAnsi="Amiri" w:eastAsia="Amiri" w:cs="Amiri"/>
          <w:color w:val="111111"/>
          <w:sz w:val="28"/>
          <w:sz w:val="28"/>
          <w:szCs w:val="28"/>
          <w:rtl w:val="true"/>
          <w:lang w:bidi="ar-SA"/>
        </w:rPr>
        <w:t>، وفي الموالي العرفية، والتي نرى بعضها مولوية بالمعنى الأخص ونرى كثيراً منها مولوية بالمعنى الأعم</w:t>
      </w:r>
      <w:r>
        <w:rPr>
          <w:rStyle w:val="FootnoteAnchor"/>
          <w:rtl w:val="true"/>
        </w:rPr>
        <w:footnoteReference w:id="344"/>
      </w:r>
      <w:r>
        <w:rPr>
          <w:rFonts w:ascii="Amiri" w:hAnsi="Amiri" w:eastAsia="Amiri" w:cs="Amiri"/>
          <w:color w:val="111111"/>
          <w:sz w:val="28"/>
          <w:sz w:val="28"/>
          <w:szCs w:val="28"/>
          <w:rtl w:val="true"/>
          <w:lang w:bidi="ar-SA"/>
        </w:rPr>
        <w:t>، أو إرشادية ـ وجوبية على أقل التقادير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ونواهي مختلف الأخصائيين وأصحاب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كالمحامي وكالمستشار الاقتصادي أو السياسي أو الحقوقي وغيرهم، وكالمهندس،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ونواهي الواعظ والناصح، وسيأتي الفرق بينهما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ونواهي مطلق النظير لنظيره، كصديق لصديق أو خطيب لخطيب أو مرجع لمرجع، أو شركة لشركة أو دولة لدولة، بما </w:t>
      </w:r>
    </w:p>
    <w:p>
      <w:pPr>
        <w:pStyle w:val="BookText"/>
        <w:rPr/>
      </w:pPr>
      <w:r>
        <w:rPr>
          <w:rFonts w:ascii="Amiri" w:hAnsi="Amiri" w:eastAsia="Amiri" w:cs="Amiri"/>
          <w:color w:val="111111"/>
          <w:sz w:val="28"/>
          <w:sz w:val="28"/>
          <w:szCs w:val="28"/>
          <w:rtl w:val="true"/>
          <w:lang w:bidi="ar-SA"/>
        </w:rPr>
        <w:t>هو كذلك</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بناء 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المولوي فقط، أو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 لزوم كليهما، أو حسب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أوامر الأعلى للأدنى،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بلحاظ مقام مولويته ـ على ما نراه من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أو لا بلحاظ محبوبيته له ـ على ما يراه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أو فيما كانت المصلحة والمفسدة دنيوية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أو في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ـ أو في خصوص ما يلزم من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أو تحصيل الحاصل أو التسلسل أو تعدد العقاب أو تعدد استحقاقه، كأوامر الإطاعة ـ حسب رأي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ـ أو إذا كانت المصلحة معلومة للمأمور قبل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ـ أو إذا لم تتوقف المصلحة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أو ما عادت المصلحة للمأمور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ـ أو ما لم يترتب عليه ثواب ولا عقاب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إلى كل من تلك الضوابط التسعة، علم أو أكثر، وسيأتي تفصيلها بإذن الله تعالى</w:t>
      </w:r>
      <w:r>
        <w:rPr>
          <w:rFonts w:eastAsia="Amiri" w:cs="Amiri" w:ascii="Amiri" w:hAnsi="Amiri"/>
          <w:color w:val="111111"/>
          <w:sz w:val="28"/>
          <w:szCs w:val="28"/>
          <w:rtl w:val="true"/>
          <w:lang w:bidi="ar-SA"/>
        </w:rPr>
        <w:t xml:space="preserve">. </w:t>
      </w:r>
      <w:bookmarkStart w:id="264" w:name="pg7671_76544"/>
    </w:p>
    <w:p>
      <w:pPr>
        <w:pStyle w:val="Heading4"/>
        <w:numPr>
          <w:ilvl w:val="3"/>
          <w:numId w:val="1"/>
        </w:numPr>
        <w:rPr/>
      </w:pPr>
      <w:bookmarkStart w:id="265" w:name="__RefHeading___Toc3959325_1051229030"/>
      <w:bookmarkStart w:id="266" w:name="_Toc94"/>
      <w:bookmarkEnd w:id="264"/>
      <w:bookmarkEnd w:id="265"/>
      <w:r>
        <w:rPr>
          <w:rtl w:val="true"/>
        </w:rPr>
        <w:t>وأما الأوامر الإرشادية الصادرة من الشارع</w:t>
      </w:r>
      <w:bookmarkEnd w:id="266"/>
    </w:p>
    <w:p>
      <w:pPr>
        <w:pStyle w:val="BookText"/>
        <w:rPr/>
      </w:pPr>
      <w:r>
        <w:rPr>
          <w:rFonts w:ascii="Amiri" w:hAnsi="Amiri" w:eastAsia="Amiri" w:cs="Amiri"/>
          <w:color w:val="111111"/>
          <w:sz w:val="28"/>
          <w:sz w:val="28"/>
          <w:szCs w:val="28"/>
          <w:rtl w:val="true"/>
          <w:lang w:bidi="ar-SA"/>
        </w:rPr>
        <w:t>وأما في دائرة الأوامر الشرعية، ومختلف الأوامر والنواهي والأحكام الواردة في القرآن الكريم والمأثورة عن المعصومين عليهم السلام، سواء في أصول الدين، أم أصول الفقه، أم الفقه ومطلق العبادات والعقود والإيقاعات والأحكام ـ حسب تقسيم الشرائع الرباعي ـ، أم الواردة في الشؤون السياسية والاجتماعية والحقوقية، أم الواردة في الطب والتجارة والاقتصاد والصناعة والأخلاق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المصاديق لها كثيرة جداً، لعلها تتجاوز الآلاف بل عشرات الآلاف من الآيات والروايات</w:t>
      </w:r>
      <w:r>
        <w:rPr>
          <w:rStyle w:val="FootnoteAnchor"/>
          <w:rtl w:val="true"/>
        </w:rPr>
        <w:footnoteReference w:id="346"/>
      </w:r>
      <w:r>
        <w:rPr>
          <w:rFonts w:ascii="Amiri" w:hAnsi="Amiri" w:eastAsia="Amiri" w:cs="Amiri"/>
          <w:color w:val="111111"/>
          <w:sz w:val="28"/>
          <w:sz w:val="28"/>
          <w:szCs w:val="28"/>
          <w:rtl w:val="true"/>
          <w:lang w:bidi="ar-SA"/>
        </w:rPr>
        <w:t xml:space="preserve">والتي ادعي أو يمكن أن يدعي أنها إرشادية، والتي نرى إن كثيراً منها مولوية، وقد ورد الكثير الكثير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شطراً كبيراً منها السيد الوالد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بعض الأعلام، الكثير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الاقتصادية في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الكثير من الأوامر والنواهي الطبية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959327_1051229030"/>
      <w:bookmarkStart w:id="268" w:name="_Toc95"/>
      <w:bookmarkEnd w:id="267"/>
      <w:r>
        <w:rPr>
          <w:rtl w:val="true"/>
        </w:rPr>
        <w:t>إشارة للبحث السندي</w:t>
      </w:r>
      <w:bookmarkEnd w:id="2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السندي فإنه لا حاجة إليه على تقدير كونها إرشادية بالمعنى المعهود ـ فتأمل</w:t>
      </w:r>
      <w:r>
        <w:rPr>
          <w:rStyle w:val="FootnoteAnchor"/>
          <w:rtl w:val="true"/>
        </w:rPr>
        <w:footnoteReference w:id="347"/>
      </w:r>
      <w:r>
        <w:rPr>
          <w:rFonts w:ascii="Amiri" w:hAnsi="Amiri" w:eastAsia="Amiri" w:cs="Amiri"/>
          <w:color w:val="111111"/>
          <w:sz w:val="28"/>
          <w:sz w:val="28"/>
          <w:szCs w:val="28"/>
          <w:rtl w:val="true"/>
          <w:lang w:bidi="ar-SA"/>
        </w:rPr>
        <w:t>، لكنه مما يحتاج إليه على تقدير الالتزام بالمولوية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التشريعية والمولوية النصحية، أو الإرشادية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الوجوبية كما سنفصله لاحقاً بإذن الله تعالى، ويكفي في العديد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تواترها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تواترها بالمضمون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احتفافها بالقرائن المفيدة للعلم، أو الاطمئنان، أو مطابقتها للأصول والقواعد، ومنها مطابقتها لصريح حكم العقل كما في موارد المستقلات العقلية، كما يمكن التمسك بقاعدة التسامح في أدلة السنن على تقدير كونها إرشادية ـ ندبية ـ أو مولوية ـ ندبية ـ</w:t>
      </w:r>
      <w:r>
        <w:rPr>
          <w:rFonts w:eastAsia="Amiri" w:cs="Amiri" w:ascii="Amiri" w:hAnsi="Amiri"/>
          <w:color w:val="111111"/>
          <w:sz w:val="28"/>
          <w:szCs w:val="28"/>
          <w:rtl w:val="true"/>
          <w:lang w:bidi="ar-SA"/>
        </w:rPr>
        <w:t xml:space="preserve">. </w:t>
      </w:r>
      <w:bookmarkStart w:id="269" w:name="pg7671_76546"/>
    </w:p>
    <w:p>
      <w:pPr>
        <w:pStyle w:val="Heading4"/>
        <w:numPr>
          <w:ilvl w:val="3"/>
          <w:numId w:val="1"/>
        </w:numPr>
        <w:rPr/>
      </w:pPr>
      <w:bookmarkStart w:id="270" w:name="__RefHeading___Toc3959329_1051229030"/>
      <w:bookmarkStart w:id="271" w:name="_Toc96"/>
      <w:bookmarkEnd w:id="269"/>
      <w:bookmarkEnd w:id="270"/>
      <w:r>
        <w:rPr>
          <w:rtl w:val="true"/>
        </w:rPr>
        <w:t>الوجوه والأقوال الستة في الألوف من الأوامر والنواهي المدعى كونها إرشادية</w:t>
      </w:r>
      <w:bookmarkEnd w:id="271"/>
    </w:p>
    <w:p>
      <w:pPr>
        <w:pStyle w:val="BookText"/>
        <w:rPr/>
      </w:pPr>
      <w:r>
        <w:rPr>
          <w:rFonts w:ascii="Amiri" w:hAnsi="Amiri" w:eastAsia="Amiri" w:cs="Amiri"/>
          <w:color w:val="111111"/>
          <w:sz w:val="28"/>
          <w:sz w:val="28"/>
          <w:szCs w:val="28"/>
          <w:rtl w:val="true"/>
          <w:lang w:bidi="ar-SA"/>
        </w:rPr>
        <w:t>والبحث في أمثال هذه الأوامر والنواهي والدوالّ، يمكن أن يقع في أنها هل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 بدون طلب ـ لكونه قسيمه</w:t>
      </w:r>
      <w:r>
        <w:rPr>
          <w:rStyle w:val="FootnoteAnchor"/>
          <w:rtl w:val="true"/>
        </w:rPr>
        <w:footnoteReference w:id="348"/>
      </w:r>
      <w:r>
        <w:rPr>
          <w:rFonts w:ascii="Amiri" w:hAnsi="Amiri" w:eastAsia="Amiri" w:cs="Amiri"/>
          <w:color w:val="111111"/>
          <w:sz w:val="28"/>
          <w:sz w:val="28"/>
          <w:szCs w:val="28"/>
          <w:rtl w:val="true"/>
          <w:lang w:bidi="ar-SA"/>
        </w:rPr>
        <w:t>ـ كما هو أحد الآراء في الإرشادي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إرشادية ـ طلبية بدون إيجاب ولا ندب لكونه قسيمهما دونه</w:t>
      </w:r>
      <w:r>
        <w:rPr>
          <w:rStyle w:val="FootnoteAnchor"/>
          <w:rtl w:val="true"/>
        </w:rPr>
        <w:footnoteReference w:id="349"/>
      </w:r>
      <w:r>
        <w:rPr>
          <w:rFonts w:ascii="Amiri" w:hAnsi="Amiri" w:eastAsia="Amiri" w:cs="Amiri"/>
          <w:color w:val="111111"/>
          <w:sz w:val="28"/>
          <w:sz w:val="28"/>
          <w:szCs w:val="28"/>
          <w:rtl w:val="true"/>
          <w:lang w:bidi="ar-SA"/>
        </w:rPr>
        <w:t>ـ كما هو رأي ثان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طلبية ـ وجوبية، وإرشادية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طلبية ـ ندبية ـ وهو الرأي الذي ذهب إليه الشيخ قدس سره،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إرشادية ـ طلبية ـ غير إلزامية فيكون قسيماً للندب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إرشادية ـ مولوية</w:t>
      </w:r>
      <w:r>
        <w:rPr>
          <w:rStyle w:val="FootnoteAnchor"/>
          <w:rtl w:val="true"/>
        </w:rPr>
        <w:footnoteReference w:id="350"/>
      </w:r>
      <w:r>
        <w:rPr>
          <w:rFonts w:ascii="Amiri" w:hAnsi="Amiri" w:eastAsia="Amiri" w:cs="Amiri"/>
          <w:color w:val="111111"/>
          <w:sz w:val="28"/>
          <w:sz w:val="28"/>
          <w:szCs w:val="28"/>
          <w:rtl w:val="true"/>
          <w:lang w:bidi="ar-SA"/>
        </w:rPr>
        <w:t xml:space="preserve">للإيجاب تارة وللندب أخرى، وما كان </w:t>
      </w:r>
    </w:p>
    <w:p>
      <w:pPr>
        <w:pStyle w:val="BookText"/>
        <w:rPr/>
      </w:pPr>
      <w:r>
        <w:rPr>
          <w:rFonts w:ascii="Amiri" w:hAnsi="Amiri" w:eastAsia="Amiri" w:cs="Amiri"/>
          <w:color w:val="111111"/>
          <w:sz w:val="28"/>
          <w:sz w:val="28"/>
          <w:szCs w:val="28"/>
          <w:rtl w:val="true"/>
          <w:lang w:bidi="ar-SA"/>
        </w:rPr>
        <w:t>للإيجاب فمع رفع العقاب لو خالف، مع استحقاقه، أو بدونه</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العكس من المولوي بالمعنى الأخص فإنه يستحق على خلافه العقاب ولم يرفع</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ليست إرشادية بل مولوية بالمعنى الأخص؟</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حال الصغريات، فرع تشخيص الضابط في المولوي والإرشادي أولاً، وتشخيص كُنه وماهية ومعنى الإرشادي ثانياً، ومعرفة هل الأمر ظاهر في المولوية بالوضع أو مستعمل فيها أو لا، بل هي مجرد داعي كما ذهب إليه الآخوند، والظهور فيها لاقتضاء المقام أو غيره ثالثاً، ثم الإرشادي من الأمر هل هو ظاهر في الإلزام رابعاً، وملاحظة قرائن الحال والمقال في كل مصداق مصداق خامساً، وغير ذلك</w:t>
      </w:r>
      <w:r>
        <w:rPr>
          <w:rStyle w:val="FootnoteAnchor"/>
          <w:rtl w:val="true"/>
        </w:rPr>
        <w:footnoteReference w:id="353"/>
      </w:r>
      <w:r>
        <w:rPr>
          <w:rFonts w:ascii="Amiri" w:hAnsi="Amiri" w:eastAsia="Amiri" w:cs="Amiri"/>
          <w:color w:val="111111"/>
          <w:sz w:val="28"/>
          <w:sz w:val="28"/>
          <w:szCs w:val="28"/>
          <w:rtl w:val="true"/>
          <w:lang w:bidi="ar-SA"/>
        </w:rPr>
        <w:t>وسنتطرق لذلك في البحوث القادمة بإذن الله تعالى</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7671_76549"/>
      <w:bookmarkStart w:id="273" w:name="pg7671_76549"/>
      <w:bookmarkEnd w:id="273"/>
    </w:p>
    <w:p>
      <w:pPr>
        <w:pStyle w:val="Heading2"/>
        <w:numPr>
          <w:ilvl w:val="1"/>
          <w:numId w:val="1"/>
        </w:numPr>
        <w:rPr/>
      </w:pPr>
      <w:bookmarkStart w:id="274" w:name="pg7671_76549"/>
      <w:bookmarkStart w:id="275" w:name="__RefHeading___Toc3959331_1051229030"/>
      <w:bookmarkStart w:id="276" w:name="_Toc97"/>
      <w:bookmarkEnd w:id="274"/>
      <w:bookmarkEnd w:id="275"/>
      <w:r>
        <w:rPr>
          <w:rtl w:val="true"/>
        </w:rPr>
        <w:t>المبحث الرابع</w:t>
      </w:r>
      <w:r>
        <w:rPr>
          <w:rtl w:val="true"/>
        </w:rPr>
        <w:t xml:space="preserve">: </w:t>
      </w:r>
      <w:r>
        <w:rPr>
          <w:rtl w:val="true"/>
        </w:rPr>
        <w:t xml:space="preserve">هل مبحث </w:t>
      </w:r>
      <w:r>
        <w:rPr>
          <w:rtl w:val="true"/>
        </w:rPr>
        <w:t>(</w:t>
      </w:r>
      <w:r>
        <w:rPr>
          <w:rtl w:val="true"/>
        </w:rPr>
        <w:t>الأوامر الإرشادية</w:t>
      </w:r>
      <w:r>
        <w:rPr>
          <w:rtl w:val="true"/>
        </w:rPr>
        <w:t xml:space="preserve">) </w:t>
      </w:r>
      <w:r>
        <w:rPr>
          <w:rtl w:val="true"/>
        </w:rPr>
        <w:t>من المباحث الأصولية؟</w:t>
      </w:r>
      <w:bookmarkEnd w:id="2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3959333_1051229030"/>
      <w:bookmarkStart w:id="278" w:name="_Toc98"/>
      <w:bookmarkEnd w:id="277"/>
      <w:r>
        <w:rPr>
          <w:rtl w:val="true"/>
        </w:rPr>
        <w:t>اشارة</w:t>
      </w:r>
      <w:bookmarkEnd w:id="2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ضرورة أن تعد مباحث الأوامر والنواهي الإرشادية</w:t>
      </w:r>
      <w:r>
        <w:rPr>
          <w:rStyle w:val="FootnoteAnchor"/>
          <w:rtl w:val="true"/>
        </w:rPr>
        <w:footnoteReference w:id="354"/>
      </w:r>
      <w:r>
        <w:rPr>
          <w:rFonts w:ascii="Amiri" w:hAnsi="Amiri" w:eastAsia="Amiri" w:cs="Amiri"/>
          <w:color w:val="111111"/>
          <w:sz w:val="28"/>
          <w:sz w:val="28"/>
          <w:szCs w:val="28"/>
          <w:rtl w:val="true"/>
          <w:lang w:bidi="ar-SA"/>
        </w:rPr>
        <w:t>من الأصول ـ بعضها من مسائله وبعضها من مبادئه التصورية أو التصديقية، فبيان ذلك والدليل عليه هو</w:t>
      </w:r>
      <w:r>
        <w:rPr>
          <w:rFonts w:eastAsia="Amiri" w:cs="Amiri" w:ascii="Amiri" w:hAnsi="Amiri"/>
          <w:color w:val="111111"/>
          <w:sz w:val="28"/>
          <w:szCs w:val="28"/>
          <w:rtl w:val="true"/>
          <w:lang w:bidi="ar-SA"/>
        </w:rPr>
        <w:t xml:space="preserve">: </w:t>
      </w:r>
      <w:bookmarkStart w:id="279" w:name="pg7671_76552"/>
    </w:p>
    <w:p>
      <w:pPr>
        <w:pStyle w:val="Heading3"/>
        <w:numPr>
          <w:ilvl w:val="2"/>
          <w:numId w:val="1"/>
        </w:numPr>
        <w:rPr/>
      </w:pPr>
      <w:bookmarkStart w:id="280" w:name="__RefHeading___Toc3959335_1051229030"/>
      <w:bookmarkStart w:id="281" w:name="_Toc99"/>
      <w:bookmarkEnd w:id="279"/>
      <w:bookmarkEnd w:id="280"/>
      <w:r>
        <w:rPr>
          <w:rtl w:val="true"/>
        </w:rPr>
        <w:t>أولاً</w:t>
      </w:r>
      <w:r>
        <w:rPr>
          <w:rtl w:val="true"/>
        </w:rPr>
        <w:t xml:space="preserve">: </w:t>
      </w:r>
      <w:r>
        <w:rPr>
          <w:rtl w:val="true"/>
        </w:rPr>
        <w:t>أجزاء العلوم</w:t>
      </w:r>
      <w:bookmarkEnd w:id="281"/>
    </w:p>
    <w:p>
      <w:pPr>
        <w:pStyle w:val="Heading4"/>
        <w:numPr>
          <w:ilvl w:val="3"/>
          <w:numId w:val="1"/>
        </w:numPr>
        <w:rPr/>
      </w:pPr>
      <w:bookmarkStart w:id="282" w:name="__RefHeading___Toc3959337_1051229030"/>
      <w:bookmarkStart w:id="283" w:name="_Toc10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فإن هنالك بحوثاً ثلاثة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959339_1051229030"/>
      <w:bookmarkStart w:id="285" w:name="_Toc101"/>
      <w:bookmarkEnd w:id="284"/>
      <w:r>
        <w:rPr>
          <w:rtl w:val="true"/>
        </w:rPr>
        <w:t>أ</w:t>
      </w:r>
      <w:r>
        <w:rPr>
          <w:rtl w:val="true"/>
        </w:rPr>
        <w:t xml:space="preserve">- </w:t>
      </w:r>
      <w:r>
        <w:rPr>
          <w:rtl w:val="true"/>
        </w:rPr>
        <w:t>الضابط في الأمر المولوي والإرشادي</w:t>
      </w:r>
      <w:bookmarkEnd w:id="2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الأمر المولوي والإرشادي،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أنشأ بلحاظ المصلحة الدنيوية، والمولوي ما أنشأ بلحاظ المصلحة الأخروية؟ أم إن الإرشادي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كان محبوباً للمولى وقد صدر لجهة محبوبيته؟ أم إنه هو كل ما لم يصدر من المولى بما هو مولى أي معملاً مقام مولويته والمولوي ما كان كذلك، بقيد إذا كان في مقام التشريع، أو لا، والمولوي بعكسه ـ كما فصلنا الحديث عن هذه الضوابط الثلاثة وسائر الضوابط في فصل الضوابط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مبنى الكثير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هذا المبحث ينبغي أن يعد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الأصول؛ فإنها هي القضايا الثابتة في مرتبة سابقة والمبرهن عليها في علم سابق ويعتمدها العلم اللاحق كمقدمات مسلّمة لأقيسته، وذلك كحجية خبر الواحد بالنسبة لعلم </w:t>
      </w:r>
      <w:bookmarkStart w:id="286" w:name="pg7671_76553"/>
    </w:p>
    <w:p>
      <w:pPr>
        <w:pStyle w:val="BookText"/>
        <w:rPr/>
      </w:pPr>
      <w:bookmarkEnd w:id="286"/>
      <w:r>
        <w:rPr>
          <w:rFonts w:ascii="Amiri" w:hAnsi="Amiri" w:eastAsia="Amiri" w:cs="Amiri"/>
          <w:color w:val="111111"/>
          <w:sz w:val="28"/>
          <w:sz w:val="28"/>
          <w:szCs w:val="28"/>
          <w:rtl w:val="true"/>
          <w:lang w:bidi="ar-SA"/>
        </w:rPr>
        <w:t xml:space="preserve">الفقه، كما أنه لو كان البحث عن صرف المفهوم والمعنى كان 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في مباحث الأصول وجهاً لعد مثل هذا ولاحقه من مسائله، فليلاحظ وليتأمل فيه، وسيأتي وجه آخر لإثبات ذلك بل وجوه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959341_1051229030"/>
      <w:bookmarkStart w:id="288" w:name="_Toc102"/>
      <w:bookmarkEnd w:id="287"/>
      <w:r>
        <w:rPr>
          <w:rtl w:val="true"/>
        </w:rPr>
        <w:t>ب ـ هل الأمر ظاهر في المولوية؟</w:t>
      </w:r>
      <w:bookmarkEnd w:id="2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ـ مادة وصيغة ـ ظاهر في المولوية؟ أو لا؟</w:t>
      </w:r>
      <w:r>
        <w:rPr>
          <w:rStyle w:val="FootnoteAnchor"/>
          <w:rtl w:val="true"/>
        </w:rPr>
        <w:footnoteReference w:id="355"/>
      </w:r>
      <w:r>
        <w:rPr>
          <w:rFonts w:ascii="Amiri" w:hAnsi="Amiri" w:eastAsia="Amiri" w:cs="Amiri"/>
          <w:color w:val="111111"/>
          <w:sz w:val="28"/>
          <w:sz w:val="28"/>
          <w:szCs w:val="28"/>
          <w:rtl w:val="true"/>
          <w:lang w:bidi="ar-SA"/>
        </w:rPr>
        <w:t>وكذلك النهي سواء كان بصيغة إنشاء أم كان إخباراً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مسألة أصولية</w:t>
      </w:r>
      <w:r>
        <w:rPr>
          <w:rFonts w:eastAsia="Amiri" w:cs="Amiri" w:ascii="Amiri" w:hAnsi="Amiri"/>
          <w:color w:val="111111"/>
          <w:sz w:val="28"/>
          <w:szCs w:val="28"/>
          <w:rtl w:val="true"/>
          <w:lang w:bidi="ar-SA"/>
        </w:rPr>
        <w:t>.</w:t>
      </w:r>
      <w:r>
        <w:rPr>
          <w:rStyle w:val="FootnoteAnchor"/>
          <w:rtl w:val="true"/>
        </w:rPr>
        <w:footnoteReference w:id="356"/>
      </w:r>
    </w:p>
    <w:p>
      <w:pPr>
        <w:pStyle w:val="Heading4"/>
        <w:numPr>
          <w:ilvl w:val="3"/>
          <w:numId w:val="1"/>
        </w:numPr>
        <w:rPr/>
      </w:pPr>
      <w:bookmarkStart w:id="289" w:name="__RefHeading___Toc3959343_1051229030"/>
      <w:bookmarkStart w:id="290" w:name="_Toc103"/>
      <w:bookmarkEnd w:id="289"/>
      <w:r>
        <w:rPr>
          <w:rtl w:val="true"/>
        </w:rPr>
        <w:t xml:space="preserve">ج ـ هل </w:t>
      </w:r>
      <w:r>
        <w:rPr>
          <w:rtl w:val="true"/>
        </w:rPr>
        <w:t>(</w:t>
      </w:r>
      <w:r>
        <w:rPr>
          <w:rtl w:val="true"/>
        </w:rPr>
        <w:t>الإرشادي</w:t>
      </w:r>
      <w:r>
        <w:rPr>
          <w:rtl w:val="true"/>
        </w:rPr>
        <w:t xml:space="preserve">) </w:t>
      </w:r>
      <w:r>
        <w:rPr>
          <w:rtl w:val="true"/>
        </w:rPr>
        <w:t>ظاهر في الإلزام؟</w:t>
      </w:r>
      <w:bookmarkEnd w:id="290"/>
    </w:p>
    <w:p>
      <w:pPr>
        <w:pStyle w:val="Heading5"/>
        <w:numPr>
          <w:ilvl w:val="4"/>
          <w:numId w:val="1"/>
        </w:numPr>
        <w:rPr/>
      </w:pPr>
      <w:bookmarkStart w:id="291" w:name="__RefHeading___Toc3959345_1051229030"/>
      <w:bookmarkStart w:id="292" w:name="_Toc104"/>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من الأمر أو النهي للإرشاد، هل هو ظاهر في الإلزام بالفعل أو الترك ـ على ما أوضحناه من مسلك الشيخ والميرزا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إنقسام الأمر الإرشادي إلى واجب ومندوب ـ أو 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مسألة أصولية كذلك</w:t>
      </w:r>
      <w:r>
        <w:rPr>
          <w:rFonts w:eastAsia="Amiri" w:cs="Amiri" w:ascii="Amiri" w:hAnsi="Amiri"/>
          <w:color w:val="111111"/>
          <w:sz w:val="28"/>
          <w:szCs w:val="28"/>
          <w:rtl w:val="true"/>
          <w:lang w:bidi="ar-SA"/>
        </w:rPr>
        <w:t xml:space="preserve">. </w:t>
      </w:r>
      <w:bookmarkStart w:id="293" w:name="pg7671_76554"/>
    </w:p>
    <w:p>
      <w:pPr>
        <w:pStyle w:val="Heading5"/>
        <w:numPr>
          <w:ilvl w:val="4"/>
          <w:numId w:val="1"/>
        </w:numPr>
        <w:rPr/>
      </w:pPr>
      <w:bookmarkStart w:id="294" w:name="__RefHeading___Toc3959347_1051229030"/>
      <w:bookmarkStart w:id="295" w:name="_Toc105"/>
      <w:bookmarkEnd w:id="293"/>
      <w:bookmarkEnd w:id="294"/>
      <w:r>
        <w:rPr>
          <w:rtl w:val="true"/>
        </w:rPr>
        <w:t>الدليل على مبنى القدماء</w:t>
      </w:r>
      <w:bookmarkEnd w:id="295"/>
    </w:p>
    <w:p>
      <w:pPr>
        <w:pStyle w:val="BookText"/>
        <w:rPr/>
      </w:pPr>
      <w:r>
        <w:rPr>
          <w:rFonts w:ascii="Amiri" w:hAnsi="Amiri" w:eastAsia="Amiri" w:cs="Amiri"/>
          <w:color w:val="111111"/>
          <w:sz w:val="28"/>
          <w:sz w:val="28"/>
          <w:szCs w:val="28"/>
          <w:rtl w:val="true"/>
          <w:lang w:bidi="ar-SA"/>
        </w:rPr>
        <w:t xml:space="preserve">ويمكن إثبات كونها بأجمعها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مسلك القدماء ومبناهم إذ إنهم قد إرتأوا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 والمسائل، والمبادئ</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والمبادئ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تصورية وتصديقية، وأضاف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الأحكامية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لكن الظاهر رجوعها 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قوماً 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أجزاء العلم، وذلك كجملة من مباحث الإجتهاد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الرباعي لأجزاء العلم هو الأوفق بالقواعد، والأقرب للاعتبار، وللغاية من 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عليه جرت سيرة علماء كل فن وعلم في تصنيفاتهم عادة، ولذا نجدهم رغم تصريحهم بأن هذه البحوث من المبادئ التصورية أو التصديقية أو الأحكامية، فإنهم يدرجونها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وما ذلك إلا لأنه المحقق للغرض من كتابة ذلك العلم وبه تتم الفائدة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كونه من مسائل علم سابق مرتبةً، ولا تصريحهم بأنها من المبادئ، فإنهما باعتبارين ـ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مسائله، باعتبارٍ،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مبادئه، باعتبار آخر، وهو كونه من مسائل علم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 وممهداً لمسائل لاحقة، وعلى أي فإنه لو لم يسلم بذلك، فإنه لا كلام في كونها من المبادئ التصورية والتصديقية</w:t>
      </w:r>
      <w:r>
        <w:rPr>
          <w:rFonts w:eastAsia="Amiri" w:cs="Amiri" w:ascii="Amiri" w:hAnsi="Amiri"/>
          <w:color w:val="111111"/>
          <w:sz w:val="28"/>
          <w:szCs w:val="28"/>
          <w:rtl w:val="true"/>
          <w:lang w:bidi="ar-SA"/>
        </w:rPr>
        <w:t xml:space="preserve">. </w:t>
      </w:r>
      <w:bookmarkStart w:id="296" w:name="pg7671_76556"/>
    </w:p>
    <w:p>
      <w:pPr>
        <w:pStyle w:val="Heading3"/>
        <w:numPr>
          <w:ilvl w:val="2"/>
          <w:numId w:val="1"/>
        </w:numPr>
        <w:rPr/>
      </w:pPr>
      <w:bookmarkStart w:id="297" w:name="__RefHeading___Toc3959349_1051229030"/>
      <w:bookmarkStart w:id="298" w:name="_Toc106"/>
      <w:bookmarkEnd w:id="296"/>
      <w:bookmarkEnd w:id="297"/>
      <w:r>
        <w:rPr>
          <w:rtl w:val="true"/>
        </w:rPr>
        <w:t>ثانياً</w:t>
      </w:r>
      <w:r>
        <w:rPr>
          <w:rtl w:val="true"/>
        </w:rPr>
        <w:t xml:space="preserve">: </w:t>
      </w:r>
      <w:r>
        <w:rPr>
          <w:rtl w:val="true"/>
        </w:rPr>
        <w:t>موضوع علم الأصول</w:t>
      </w:r>
      <w:bookmarkEnd w:id="298"/>
    </w:p>
    <w:p>
      <w:pPr>
        <w:pStyle w:val="Heading4"/>
        <w:numPr>
          <w:ilvl w:val="3"/>
          <w:numId w:val="1"/>
        </w:numPr>
        <w:rPr/>
      </w:pPr>
      <w:bookmarkStart w:id="299" w:name="__RefHeading___Toc3959351_1051229030"/>
      <w:bookmarkStart w:id="300" w:name="_Toc107"/>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فإن موضوع علم الأصول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صاحب الفصول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من حيث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صاحب القوانين رحمه الله، ولعله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المنطبق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الكفاية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مسألة لها دخل في تعيين الوظيفة الفعلية، إذ لا موضوع لعلم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المصباح رحمه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يستنبط منه الأحكام الشرعية من حيث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السيد الوالد رحمه الله في الأصول</w:t>
      </w:r>
      <w:r>
        <w:rPr>
          <w:rFonts w:eastAsia="Amiri" w:cs="Amiri" w:ascii="Amiri" w:hAnsi="Amiri"/>
          <w:color w:val="111111"/>
          <w:sz w:val="28"/>
          <w:szCs w:val="28"/>
          <w:rtl w:val="true"/>
          <w:lang w:bidi="ar-SA"/>
        </w:rPr>
        <w:t xml:space="preserve">. </w:t>
      </w:r>
      <w:bookmarkStart w:id="301" w:name="pg7671_76557"/>
    </w:p>
    <w:p>
      <w:pPr>
        <w:pStyle w:val="Heading4"/>
        <w:numPr>
          <w:ilvl w:val="3"/>
          <w:numId w:val="1"/>
        </w:numPr>
        <w:rPr/>
      </w:pPr>
      <w:bookmarkStart w:id="302" w:name="__RefHeading___Toc3959353_1051229030"/>
      <w:bookmarkStart w:id="303" w:name="_Toc108"/>
      <w:bookmarkEnd w:id="301"/>
      <w:bookmarkEnd w:id="302"/>
      <w:r>
        <w:rPr>
          <w:rtl w:val="true"/>
        </w:rPr>
        <w:t>المباحث الثلاثة ينطبق عليها موضوع الأصول</w:t>
      </w:r>
      <w:bookmarkEnd w:id="303"/>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ظهور الأمر في المولوية ـ ولو بالقرائن المقامية العامة ـ وكذلك البحث عن ظهور الأمر الإرشادي ـ بعد قيام الدليل عليه ـ في الإلزام، وكذا ضابط المولوي والإرشادي ـ فتأمل</w:t>
      </w:r>
      <w:r>
        <w:rPr>
          <w:rStyle w:val="FootnoteAnchor"/>
          <w:rtl w:val="true"/>
        </w:rPr>
        <w:footnoteReference w:id="360"/>
      </w:r>
      <w:r>
        <w:rPr>
          <w:rFonts w:ascii="Amiri" w:hAnsi="Amiri" w:eastAsia="Amiri" w:cs="Amiri"/>
          <w:color w:val="111111"/>
          <w:sz w:val="28"/>
          <w:sz w:val="28"/>
          <w:szCs w:val="28"/>
          <w:rtl w:val="true"/>
          <w:lang w:bidi="ar-SA"/>
        </w:rPr>
        <w:t xml:space="preserve">، مما ينطبق عليه موضوع علم الأصول؛ وذلك تبعاً لما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قاعدة الملازمة بين حكمي الشرع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تأسيس الأصل الكلي في المقام، من أنَّه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بإمكان إدراج كل ذلك ـ بدءً من مثل الصحيح والأعم والمشتق والأوامر والنواهي وهل الأمر ظاهر في الوجوب أم لا؟ وهل هو ظاهر في المولوية أم لا؟ وهل الإرشادي منه يلزم إتباعه ولو في الجملة أم لا؟، ومروراً بمثل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تعريف موضوعه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المنطبق على موضوعات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خبر الواحد وظاهر الكتاب، كما ينطبق على المشتق والصحيح والأعم وحكم العقل بكذا، كما ينطبق محموله، فإن الأولين محمولهما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الأخير، والأوسطان محمولهما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حقيقة أو مجازاً في المتلبس أو المنقضي أو في الصحيح والأعم </w:t>
      </w:r>
      <w:bookmarkStart w:id="304" w:name="pg7671_76558"/>
    </w:p>
    <w:p>
      <w:pPr>
        <w:pStyle w:val="BookText"/>
        <w:rPr/>
      </w:pPr>
      <w:bookmarkEnd w:id="304"/>
      <w:r>
        <w:rPr>
          <w:rFonts w:ascii="Amiri" w:hAnsi="Amiri" w:eastAsia="Amiri" w:cs="Amiri"/>
          <w:color w:val="111111"/>
          <w:sz w:val="28"/>
          <w:sz w:val="28"/>
          <w:szCs w:val="28"/>
          <w:rtl w:val="true"/>
          <w:lang w:bidi="ar-SA"/>
        </w:rPr>
        <w:t>ومآله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بناء على ما ذهب إليه الآخوند،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يستنبط منه الأحكام من حيث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السيد الوالد،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هذين التعريفين شاملان لكل ما سبق فتأمل</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ونضيف هنا بأن موضوع علم الأصول بناء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بوصف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منطبق على كلتا المسألتين المطروحتين ههنا، وهما هل الأمر ظاهر في المولوي؟ وهل الأمر الإرشادي ظاهر في الإلزام؟</w:t>
      </w:r>
    </w:p>
    <w:p>
      <w:pPr>
        <w:pStyle w:val="Heading4"/>
        <w:numPr>
          <w:ilvl w:val="3"/>
          <w:numId w:val="1"/>
        </w:numPr>
        <w:rPr/>
      </w:pPr>
      <w:bookmarkStart w:id="305" w:name="__RefHeading___Toc3959355_1051229030"/>
      <w:bookmarkStart w:id="306" w:name="_Toc109"/>
      <w:bookmarkEnd w:id="305"/>
      <w:r>
        <w:rPr>
          <w:rtl w:val="true"/>
        </w:rPr>
        <w:t>بيان ذلك</w:t>
      </w:r>
      <w:r>
        <w:rPr>
          <w:rtl w:val="true"/>
        </w:rPr>
        <w:t>:</w:t>
      </w:r>
      <w:bookmarkEnd w:id="306"/>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بالدوال على الأحكام الإرشادية، كما هي مشحونة بالدوال على الأحكام المولوية، سواء كانت بصيغة الإنشاء أم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يعرف منه الحكم المولوي، كذلك يعرف منه الحكم الإرشادي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البحث حينئذٍ عن أن الأمر لو ورد في الكتاب والسنة، فهل هو ظاهر في ـ أو هل الأصل فيه</w:t>
      </w:r>
      <w:r>
        <w:rPr>
          <w:rStyle w:val="FootnoteAnchor"/>
          <w:rtl w:val="true"/>
        </w:rPr>
        <w:footnoteReference w:id="363"/>
      </w:r>
      <w:r>
        <w:rPr>
          <w:rFonts w:ascii="Amiri" w:hAnsi="Amiri" w:eastAsia="Amiri" w:cs="Amiri"/>
          <w:color w:val="111111"/>
          <w:sz w:val="28"/>
          <w:sz w:val="28"/>
          <w:szCs w:val="28"/>
          <w:rtl w:val="true"/>
          <w:lang w:bidi="ar-SA"/>
        </w:rPr>
        <w:t xml:space="preserve">ـ المولوية أم لا؟ ثم لو علم كونه إرشادياً ـ بالقرينة ـ فهل هو ظاهر في الإلزام أم لا؟ </w:t>
      </w:r>
      <w:bookmarkStart w:id="307" w:name="pg7671_76559"/>
    </w:p>
    <w:p>
      <w:pPr>
        <w:pStyle w:val="BookText"/>
        <w:rPr/>
      </w:pPr>
      <w:bookmarkEnd w:id="307"/>
      <w:r>
        <w:rPr>
          <w:rFonts w:ascii="Amiri" w:hAnsi="Amiri" w:eastAsia="Amiri" w:cs="Amiri"/>
          <w:color w:val="111111"/>
          <w:sz w:val="28"/>
          <w:sz w:val="28"/>
          <w:szCs w:val="28"/>
          <w:rtl w:val="true"/>
          <w:lang w:bidi="ar-SA"/>
        </w:rPr>
        <w:t xml:space="preserve">نعم لا يجري ذلك في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959357_1051229030"/>
      <w:bookmarkStart w:id="309" w:name="_Toc110"/>
      <w:bookmarkEnd w:id="308"/>
      <w:r>
        <w:rPr>
          <w:rtl w:val="true"/>
        </w:rPr>
        <w:t>النقض بإندراج الطب والتاريخ في الفقه وجوابه</w:t>
      </w:r>
      <w:bookmarkEnd w:id="309"/>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دل عليه الكتاب والسنة، من الأصول، وإلا اندرج الطب والتاريخ مثلاً، فيه أيضاً؟</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يلزم من عدّهم موضوع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مع إضافة قيد بوصف الدليلية</w:t>
      </w:r>
      <w:r>
        <w:rPr>
          <w:rStyle w:val="FootnoteAnchor"/>
          <w:rtl w:val="true"/>
        </w:rPr>
        <w:footnoteReference w:id="364"/>
      </w:r>
      <w:r>
        <w:rPr>
          <w:rFonts w:ascii="Amiri" w:hAnsi="Amiri" w:eastAsia="Amiri" w:cs="Amiri"/>
          <w:color w:val="111111"/>
          <w:sz w:val="28"/>
          <w:sz w:val="28"/>
          <w:szCs w:val="28"/>
          <w:rtl w:val="true"/>
          <w:lang w:bidi="ar-SA"/>
        </w:rPr>
        <w:t>وهو مما يستشكل به على من أطلق، ولذا قيد الوالد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اللازم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الدلالة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موضوع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من حيث الإعراب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فالإيراد غير وارد في المقام؛ نظراً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موضع آخر من الكتاب فليلاحظ</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الأدلة الأربعة من حيث الحكم الشرعي المتعلق </w:t>
      </w:r>
      <w:bookmarkStart w:id="310" w:name="pg7671_76560"/>
    </w:p>
    <w:p>
      <w:pPr>
        <w:pStyle w:val="BookText"/>
        <w:rPr/>
      </w:pPr>
      <w:bookmarkEnd w:id="310"/>
      <w:r>
        <w:rPr>
          <w:rFonts w:ascii="Amiri" w:hAnsi="Amiri" w:eastAsia="Amiri" w:cs="Amiri"/>
          <w:color w:val="111111"/>
          <w:sz w:val="28"/>
          <w:sz w:val="28"/>
          <w:szCs w:val="28"/>
          <w:rtl w:val="true"/>
          <w:lang w:bidi="ar-SA"/>
        </w:rPr>
        <w:t>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الطب والتاريخ، ولا المعارف والكلام</w:t>
      </w:r>
      <w:r>
        <w:rPr>
          <w:rFonts w:eastAsia="Amiri" w:cs="Amiri" w:ascii="Amiri" w:hAnsi="Amiri"/>
          <w:color w:val="111111"/>
          <w:sz w:val="28"/>
          <w:szCs w:val="28"/>
          <w:rtl w:val="true"/>
          <w:lang w:bidi="ar-SA"/>
        </w:rPr>
        <w:t>.</w:t>
      </w:r>
      <w:r>
        <w:rPr>
          <w:rStyle w:val="FootnoteAnchor"/>
          <w:rtl w:val="true"/>
        </w:rPr>
        <w:footnoteReference w:id="365"/>
      </w:r>
    </w:p>
    <w:p>
      <w:pPr>
        <w:pStyle w:val="Heading4"/>
        <w:numPr>
          <w:ilvl w:val="3"/>
          <w:numId w:val="1"/>
        </w:numPr>
        <w:rPr/>
      </w:pPr>
      <w:bookmarkStart w:id="311" w:name="__RefHeading___Toc3959359_1051229030"/>
      <w:bookmarkStart w:id="312" w:name="_Toc111"/>
      <w:bookmarkEnd w:id="311"/>
      <w:r>
        <w:rPr>
          <w:rtl w:val="true"/>
        </w:rPr>
        <w:t>الإشكال بأن الحكم الإرشادي ليس عارضاً ذاتياً لموضوع الأصول</w:t>
      </w:r>
      <w:bookmarkEnd w:id="312"/>
    </w:p>
    <w:p>
      <w:pPr>
        <w:pStyle w:val="Heading5"/>
        <w:numPr>
          <w:ilvl w:val="4"/>
          <w:numId w:val="1"/>
        </w:numPr>
        <w:rPr/>
      </w:pPr>
      <w:bookmarkStart w:id="313" w:name="__RefHeading___Toc3959361_1051229030"/>
      <w:bookmarkStart w:id="314" w:name="_Toc11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العوارض الذاتية لموضوع الأصول؟</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959363_1051229030"/>
      <w:bookmarkStart w:id="316" w:name="_Toc113"/>
      <w:bookmarkEnd w:id="315"/>
      <w:r>
        <w:rPr/>
        <w:t>1</w:t>
      </w:r>
      <w:r>
        <w:rPr>
          <w:rtl w:val="true"/>
        </w:rPr>
        <w:t xml:space="preserve">- </w:t>
      </w:r>
      <w:r>
        <w:rPr>
          <w:rtl w:val="true"/>
        </w:rPr>
        <w:t xml:space="preserve">البحث عن </w:t>
      </w:r>
      <w:r>
        <w:rPr>
          <w:rtl w:val="true"/>
        </w:rPr>
        <w:t>(</w:t>
      </w:r>
      <w:r>
        <w:rPr>
          <w:rtl w:val="true"/>
        </w:rPr>
        <w:t>الحجية</w:t>
      </w:r>
      <w:r>
        <w:rPr>
          <w:rtl w:val="true"/>
        </w:rPr>
        <w:t xml:space="preserve">) </w:t>
      </w:r>
      <w:r>
        <w:rPr>
          <w:rtl w:val="true"/>
        </w:rPr>
        <w:t>وهو عارض ذاتي</w:t>
      </w:r>
      <w:bookmarkEnd w:id="31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البحث فيه كوزان البحث في الأمر المولوي، إذ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الكتاب والسنة على الأحكام الإرشادية المستفادة منها، كالبحث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الأحكام المولوية المستفادة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الذاتية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959365_1051229030"/>
      <w:bookmarkStart w:id="318" w:name="_Toc114"/>
      <w:bookmarkEnd w:id="317"/>
      <w:r>
        <w:rPr/>
        <w:t>2</w:t>
      </w:r>
      <w:r>
        <w:rPr>
          <w:rtl w:val="true"/>
        </w:rPr>
        <w:t xml:space="preserve">- </w:t>
      </w:r>
      <w:r>
        <w:rPr>
          <w:rtl w:val="true"/>
        </w:rPr>
        <w:t xml:space="preserve">وعن </w:t>
      </w:r>
      <w:r>
        <w:rPr>
          <w:rtl w:val="true"/>
        </w:rPr>
        <w:t>(</w:t>
      </w:r>
      <w:r>
        <w:rPr>
          <w:rtl w:val="true"/>
        </w:rPr>
        <w:t>الظهور</w:t>
      </w:r>
      <w:r>
        <w:rPr>
          <w:rtl w:val="true"/>
        </w:rPr>
        <w:t xml:space="preserve">) </w:t>
      </w:r>
      <w:r>
        <w:rPr>
          <w:rtl w:val="true"/>
        </w:rPr>
        <w:t>وهو ذاتي</w:t>
      </w:r>
      <w:bookmarkEnd w:id="31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في المولوية أو الإرشادية، ثم عن ظهور الأمر والنهي الإرشاديين في الإلزام وعدمه،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الذاتية للكتاب والسنة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البحث الثاني صغروي والبحث الأول كبروي، وإن كان الثاني بدوره يقع كبرى لصغريات ظواهر الكتاب؛ إذ يقال</w:t>
      </w:r>
      <w:r>
        <w:rPr>
          <w:rFonts w:eastAsia="Amiri" w:cs="Amiri" w:ascii="Amiri" w:hAnsi="Amiri"/>
          <w:color w:val="111111"/>
          <w:sz w:val="28"/>
          <w:szCs w:val="28"/>
          <w:rtl w:val="true"/>
          <w:lang w:bidi="ar-SA"/>
        </w:rPr>
        <w:t xml:space="preserve">: </w:t>
      </w:r>
      <w:bookmarkStart w:id="319" w:name="pg7671_76561"/>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وكل أمر ظاهر في الوجوب، فهذا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 في الوجوب، وكل ظاهر في الوجوب حجة، فهذا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وكل أمر ظاهر في الوجوب المولوي، فهذا ظاهر في الوجوب المولوي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إرشادي، وكل أمر إرشادي ظاهر ـ أو الأصل فيه ـ الإلزام، فهذا كذلك</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959367_1051229030"/>
      <w:bookmarkStart w:id="321" w:name="_Toc115"/>
      <w:bookmarkEnd w:id="320"/>
      <w:r>
        <w:rPr/>
        <w:t>3</w:t>
      </w:r>
      <w:r>
        <w:rPr>
          <w:rtl w:val="true"/>
        </w:rPr>
        <w:t xml:space="preserve">- </w:t>
      </w:r>
      <w:r>
        <w:rPr>
          <w:rtl w:val="true"/>
        </w:rPr>
        <w:t>النقاش في الكبرى</w:t>
      </w:r>
      <w:bookmarkEnd w:id="32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الكبرى، إذ لا نسلم أن موضوع العلم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يبحث فيه عن عوارضه الذاتية أي 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الآخوند، إذا أريد بالذاتي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يعرض بواسطة أمر داخلي أعم وما يعرض بواسطة أمر خارجي مساوٍ</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والصحيح هو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الواسطة في العروض مطلقاً، ليعم الذاتي وبعض الغريب بإصطلاح الكفاية،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يعرض بواسطةامر داخلي وإن كان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مطلق ذي الواسطة في الثبوت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أيضاً، كما لا يخفى وسنشير له في الهامش بإضافةٍ، كما هو، كالثاني، غير مقصود للآخوند وإن أوهمه ظاهر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الثبوت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وبذلك تبين أنه حيث لا يهم أن تكون المحمولات ـ أي محمولات المسائل ـ أعراضاً ذاتية أو غريبة، لا يهم أن يكون محمول العلم عرضاً ذاتياً أو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أوضحناه في </w:t>
      </w:r>
    </w:p>
    <w:p>
      <w:pPr>
        <w:pStyle w:val="BookText"/>
        <w:rPr/>
      </w:pPr>
      <w:r>
        <w:rPr>
          <w:rFonts w:ascii="Amiri" w:hAnsi="Amiri" w:eastAsia="Amiri" w:cs="Amiri"/>
          <w:color w:val="111111"/>
          <w:sz w:val="28"/>
          <w:sz w:val="28"/>
          <w:szCs w:val="28"/>
          <w:rtl w:val="true"/>
          <w:lang w:bidi="ar-SA"/>
        </w:rPr>
        <w:t>مباحث الأصول كتاب القطع</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وقال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إن الإلتزام بعدم الواسطة في العروض، من رأس من باب لزوم ما لا يلزم؛ والسر فيه أن حقيقة كل علم عبارة عن مجموع قضايا متفرقة يجمعها الإشتراك في ترتب غرض خاص، ونفس تلك القضايا مسائل العلم، ومن الواضح أن محمولات هذه المسائل أعراض ذاتية لموضوعاتها وبهذا يتم أمر العلم، ولا يبحث عن ثبوت شيء للموضوع الجامع دائماً في نفس العلم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وسيأتي بعد قليل مزيد إيضاح لذلك بإذن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كبرى اشتراطه في موضوع العلم في الأصول، مباحث القطع، المجلد الأول</w:t>
      </w:r>
      <w:r>
        <w:rPr>
          <w:rFonts w:eastAsia="Amiri" w:cs="Amiri" w:ascii="Amiri" w:hAnsi="Amiri"/>
          <w:color w:val="111111"/>
          <w:sz w:val="28"/>
          <w:szCs w:val="28"/>
          <w:rtl w:val="true"/>
          <w:lang w:bidi="ar-SA"/>
        </w:rPr>
        <w:t xml:space="preserve">. </w:t>
      </w:r>
      <w:bookmarkStart w:id="322" w:name="pg7671_76563"/>
    </w:p>
    <w:p>
      <w:pPr>
        <w:pStyle w:val="Heading3"/>
        <w:numPr>
          <w:ilvl w:val="2"/>
          <w:numId w:val="1"/>
        </w:numPr>
        <w:rPr/>
      </w:pPr>
      <w:bookmarkStart w:id="323" w:name="__RefHeading___Toc3959369_1051229030"/>
      <w:bookmarkStart w:id="324" w:name="_Toc116"/>
      <w:bookmarkEnd w:id="322"/>
      <w:bookmarkEnd w:id="323"/>
      <w:r>
        <w:rPr>
          <w:rtl w:val="true"/>
        </w:rPr>
        <w:t>ثالثاً</w:t>
      </w:r>
      <w:r>
        <w:rPr>
          <w:rtl w:val="true"/>
        </w:rPr>
        <w:t xml:space="preserve">: </w:t>
      </w:r>
      <w:r>
        <w:rPr>
          <w:rtl w:val="true"/>
        </w:rPr>
        <w:t>مسائل علم الأصول</w:t>
      </w:r>
      <w:bookmarkEnd w:id="324"/>
    </w:p>
    <w:p>
      <w:pPr>
        <w:pStyle w:val="Heading4"/>
        <w:numPr>
          <w:ilvl w:val="3"/>
          <w:numId w:val="1"/>
        </w:numPr>
        <w:rPr/>
      </w:pPr>
      <w:bookmarkStart w:id="325" w:name="__RefHeading___Toc3959371_1051229030"/>
      <w:bookmarkStart w:id="326" w:name="_Toc11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ومسائل علم الأصول، دليل آخر،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كافة المسائل التي تتعلق بالأوامر والنواهي والإنشاءات الإرشادية</w:t>
      </w:r>
      <w:r>
        <w:rPr>
          <w:rStyle w:val="FootnoteAnchor"/>
          <w:rtl w:val="true"/>
        </w:rPr>
        <w:footnoteReference w:id="369"/>
      </w:r>
      <w:r>
        <w:rPr>
          <w:rFonts w:ascii="Amiri" w:hAnsi="Amiri" w:eastAsia="Amiri" w:cs="Amiri"/>
          <w:color w:val="111111"/>
          <w:sz w:val="28"/>
          <w:sz w:val="28"/>
          <w:szCs w:val="28"/>
          <w:rtl w:val="true"/>
          <w:lang w:bidi="ar-SA"/>
        </w:rPr>
        <w:t xml:space="preserve">، تعد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لإنطباق ضابط المسألة الأصولية عليها، وسنكتفي بذكر رأي الميرزا النائيني في ضابط المسألة الأصولية، لأنه الرأي المنصور</w:t>
      </w:r>
      <w:r>
        <w:rPr>
          <w:rFonts w:eastAsia="Amiri" w:cs="Amiri" w:ascii="Amiri" w:hAnsi="Amiri"/>
          <w:color w:val="111111"/>
          <w:sz w:val="28"/>
          <w:szCs w:val="28"/>
          <w:rtl w:val="true"/>
          <w:lang w:bidi="ar-SA"/>
        </w:rPr>
        <w:t>.</w:t>
      </w:r>
      <w:r>
        <w:rPr>
          <w:rStyle w:val="FootnoteAnchor"/>
          <w:rtl w:val="true"/>
        </w:rPr>
        <w:footnoteReference w:id="370"/>
      </w:r>
    </w:p>
    <w:p>
      <w:pPr>
        <w:pStyle w:val="Heading4"/>
        <w:numPr>
          <w:ilvl w:val="3"/>
          <w:numId w:val="1"/>
        </w:numPr>
        <w:rPr/>
      </w:pPr>
      <w:bookmarkStart w:id="327" w:name="__RefHeading___Toc3959373_1051229030"/>
      <w:bookmarkStart w:id="328" w:name="_Toc118"/>
      <w:bookmarkEnd w:id="327"/>
      <w:r>
        <w:rPr>
          <w:rtl w:val="true"/>
        </w:rPr>
        <w:t>الميرزا النائيني</w:t>
      </w:r>
      <w:r>
        <w:rPr>
          <w:rtl w:val="true"/>
        </w:rPr>
        <w:t>: (</w:t>
      </w:r>
      <w:r>
        <w:rPr>
          <w:rtl w:val="true"/>
        </w:rPr>
        <w:t>مسائل الأصول ثلاثة أنواع</w:t>
      </w:r>
      <w:r>
        <w:rPr>
          <w:rtl w:val="true"/>
        </w:rPr>
        <w:t>)</w:t>
      </w:r>
      <w:bookmarkEnd w:id="328"/>
    </w:p>
    <w:p>
      <w:pPr>
        <w:pStyle w:val="BookText"/>
        <w:rPr/>
      </w:pPr>
      <w:r>
        <w:rPr>
          <w:rFonts w:ascii="Amiri" w:hAnsi="Amiri" w:eastAsia="Amiri" w:cs="Amiri"/>
          <w:color w:val="111111"/>
          <w:sz w:val="28"/>
          <w:sz w:val="28"/>
          <w:szCs w:val="28"/>
          <w:rtl w:val="true"/>
          <w:lang w:bidi="ar-SA"/>
        </w:rPr>
        <w:t xml:space="preserve">فقد ذهب الميرزا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المبحوث عنها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مسائل يبحث فيها عن دلالة الألفاظ بما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مباحث المشتق والصحيح والأعم وأشباهها، منها، وكذلك مبحث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مادة وصيغة ـ ظاهر في المولوية؟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كان منه للإرشاد، هل هو ظاهر في الإلزام؟ </w:t>
      </w:r>
      <w:bookmarkStart w:id="329" w:name="pg7671_76564"/>
    </w:p>
    <w:p>
      <w:pPr>
        <w:pStyle w:val="BookText"/>
        <w:rPr/>
      </w:pPr>
      <w:bookmarkEnd w:id="32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حال الأحكام ولو لم تكن مدلولاً عليها بشيء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والاحتياط العقليين، ومنه أيضاً الأحكام الإلزامية العقلية فيما لا عقاب عليه، مما لو كان أمر به الشارع كان أمراً إرشادياً، أو فقل إن العقل يحكم به حكماً إرشادياً ـ أي لا باعتبار كونه حجة باطنة، بل بلحاظٍ صرفٍ للمصلحة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دليلية الدليل، كمباحث حجية خبر الواحد والكتاب وغيرهما من مباحث الحجية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وهذا يشمل ـ إطلاقاً أو ملاكاً ـ البحث عن حجية خبر الواحد وغيره، على الحكم الإرشادي؛ لما فصلناه في موضع آخر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حقيقة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النقض والإبرام في كلامه فليراجع</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959375_1051229030"/>
      <w:bookmarkStart w:id="331" w:name="_Toc119"/>
      <w:bookmarkEnd w:id="330"/>
      <w:r>
        <w:rPr>
          <w:rtl w:val="true"/>
        </w:rPr>
        <w:t xml:space="preserve">أعمية </w:t>
      </w:r>
      <w:r>
        <w:rPr>
          <w:rtl w:val="true"/>
        </w:rPr>
        <w:t>(</w:t>
      </w:r>
      <w:r>
        <w:rPr>
          <w:rtl w:val="true"/>
        </w:rPr>
        <w:t>العارض</w:t>
      </w:r>
      <w:r>
        <w:rPr>
          <w:rtl w:val="true"/>
        </w:rPr>
        <w:t xml:space="preserve">) </w:t>
      </w:r>
      <w:r>
        <w:rPr>
          <w:rtl w:val="true"/>
        </w:rPr>
        <w:t>لا تخرج المسألة عن العلم</w:t>
      </w:r>
      <w:bookmarkEnd w:id="3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Style w:val="FootnoteAnchor"/>
          <w:rtl w:val="true"/>
        </w:rPr>
        <w:footnoteReference w:id="372"/>
      </w:r>
      <w:r>
        <w:rPr>
          <w:rFonts w:ascii="Amiri" w:hAnsi="Amiri" w:eastAsia="Amiri" w:cs="Amiri"/>
          <w:color w:val="111111"/>
          <w:sz w:val="28"/>
          <w:sz w:val="28"/>
          <w:szCs w:val="28"/>
          <w:rtl w:val="true"/>
          <w:lang w:bidi="ar-SA"/>
        </w:rPr>
        <w:t>لا يخرج المسألة عن العلم، مبنى</w:t>
      </w:r>
      <w:r>
        <w:rPr>
          <w:rStyle w:val="FootnoteAnchor"/>
          <w:rtl w:val="true"/>
        </w:rPr>
        <w:footnoteReference w:id="373"/>
      </w:r>
      <w:r>
        <w:rPr>
          <w:rFonts w:ascii="IRNazanin" w:hAnsi="IRNazanin" w:eastAsia="IRNazanin"/>
          <w:color w:val="111111"/>
          <w:sz w:val="28"/>
          <w:sz w:val="28"/>
          <w:szCs w:val="28"/>
          <w:rtl w:val="true"/>
          <w:lang w:bidi="fa-IR"/>
        </w:rPr>
        <w:t>، وأوضحنا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العارض ـ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كظهور الأمر في الوجوب أو فيالمولوية، أو الإرشادي في الإلزام ـ وإن لم يكن خاصاً بذاته بما ورد في الكتاب والسنة إلا أنه كما قال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البحث فيه</w:t>
      </w:r>
      <w:r>
        <w:rPr>
          <w:rStyle w:val="FootnoteAnchor"/>
          <w:rtl w:val="true"/>
        </w:rPr>
        <w:footnoteReference w:id="374"/>
      </w:r>
      <w:r>
        <w:rPr>
          <w:rFonts w:ascii="IRNazanin" w:hAnsi="IRNazanin" w:eastAsia="IRNazanin"/>
          <w:color w:val="111111"/>
          <w:sz w:val="28"/>
          <w:sz w:val="28"/>
          <w:szCs w:val="28"/>
          <w:rtl w:val="true"/>
          <w:lang w:bidi="fa-IR"/>
        </w:rPr>
        <w:t>عنهما</w:t>
      </w:r>
      <w:r>
        <w:rPr>
          <w:rStyle w:val="FootnoteAnchor"/>
          <w:rtl w:val="true"/>
        </w:rPr>
        <w:footnoteReference w:id="375"/>
      </w:r>
      <w:r>
        <w:rPr>
          <w:rFonts w:ascii="Amiri" w:hAnsi="Amiri" w:eastAsia="Amiri" w:cs="Amiri"/>
          <w:color w:val="111111"/>
          <w:sz w:val="28"/>
          <w:sz w:val="28"/>
          <w:szCs w:val="28"/>
          <w:rtl w:val="true"/>
          <w:lang w:bidi="ar-SA"/>
        </w:rPr>
        <w:t>إنما هو بالنسبة لما ورد فيهما</w:t>
      </w:r>
      <w:r>
        <w:rPr>
          <w:rStyle w:val="FootnoteAnchor"/>
          <w:rtl w:val="true"/>
        </w:rPr>
        <w:footnoteReference w:id="376"/>
      </w:r>
      <w:r>
        <w:rPr>
          <w:rFonts w:ascii="Amiri" w:hAnsi="Amiri" w:eastAsia="Amiri" w:cs="Amiri"/>
          <w:color w:val="111111"/>
          <w:sz w:val="28"/>
          <w:sz w:val="28"/>
          <w:szCs w:val="28"/>
          <w:rtl w:val="true"/>
          <w:lang w:bidi="ar-SA"/>
        </w:rPr>
        <w:t>، وإن أفاد في غيرهما، كما أن البحث في الطب عن خصوص بدن الإنسان وإن أفاد لبدن الحيوان أيضاً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اعتباراً ولحاظاً، وقد أوضحناه في مباحث الأصول، ودفعنا بعض ما ربما يورد عليه فراجع</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7671_76567"/>
      <w:bookmarkStart w:id="333" w:name="pg7671_76567"/>
      <w:bookmarkEnd w:id="333"/>
    </w:p>
    <w:p>
      <w:pPr>
        <w:pStyle w:val="Heading3"/>
        <w:numPr>
          <w:ilvl w:val="2"/>
          <w:numId w:val="1"/>
        </w:numPr>
        <w:rPr/>
      </w:pPr>
      <w:bookmarkStart w:id="334" w:name="pg7671_76567"/>
      <w:bookmarkStart w:id="335" w:name="__RefHeading___Toc3959377_1051229030"/>
      <w:bookmarkStart w:id="336" w:name="_Toc120"/>
      <w:bookmarkEnd w:id="334"/>
      <w:bookmarkEnd w:id="335"/>
      <w:r>
        <w:rPr>
          <w:rtl w:val="true"/>
        </w:rPr>
        <w:t>رابعاً</w:t>
      </w:r>
      <w:r>
        <w:rPr>
          <w:rtl w:val="true"/>
        </w:rPr>
        <w:t xml:space="preserve">: </w:t>
      </w:r>
      <w:r>
        <w:rPr>
          <w:rtl w:val="true"/>
        </w:rPr>
        <w:t>الغاية من علم الأصول</w:t>
      </w:r>
      <w:bookmarkEnd w:id="336"/>
    </w:p>
    <w:p>
      <w:pPr>
        <w:pStyle w:val="Heading4"/>
        <w:numPr>
          <w:ilvl w:val="3"/>
          <w:numId w:val="1"/>
        </w:numPr>
        <w:rPr/>
      </w:pPr>
      <w:bookmarkStart w:id="337" w:name="__RefHeading___Toc3959379_1051229030"/>
      <w:bookmarkStart w:id="338" w:name="_Toc121"/>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فإن الغاية من علم الأصول</w:t>
      </w:r>
      <w:r>
        <w:rPr>
          <w:rStyle w:val="FootnoteAnchor"/>
          <w:rtl w:val="true"/>
        </w:rPr>
        <w:footnoteReference w:id="378"/>
      </w:r>
      <w:r>
        <w:rPr>
          <w:rFonts w:ascii="Amiri" w:hAnsi="Amiri" w:eastAsia="Amiri" w:cs="Amiri"/>
          <w:color w:val="111111"/>
          <w:sz w:val="28"/>
          <w:sz w:val="28"/>
          <w:szCs w:val="28"/>
          <w:rtl w:val="true"/>
          <w:lang w:bidi="ar-SA"/>
        </w:rPr>
        <w:t>مما تصلح للتمسك بها، فإنها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عدها السيد البروجردي رحمه الله هي موضوع علم الأصول، وقد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الأصول</w:t>
      </w:r>
      <w:r>
        <w:rPr>
          <w:rStyle w:val="FootnoteAnchor"/>
          <w:rtl w:val="true"/>
        </w:rPr>
        <w:footnoteReference w:id="379"/>
      </w:r>
      <w:r>
        <w:rPr>
          <w:rFonts w:ascii="Amiri" w:hAnsi="Amiri" w:eastAsia="Amiri" w:cs="Amiri"/>
          <w:color w:val="111111"/>
          <w:sz w:val="28"/>
          <w:sz w:val="28"/>
          <w:szCs w:val="28"/>
          <w:rtl w:val="true"/>
          <w:lang w:bidi="ar-SA"/>
        </w:rPr>
        <w:t>، والأمر سهل لكونهما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مسائله أو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ذلك القول في موضوعه، أو القول بأن موضوعه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بوصف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 صاحب القوانين والفصول</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959381_1051229030"/>
      <w:bookmarkStart w:id="340" w:name="_Toc122"/>
      <w:bookmarkEnd w:id="339"/>
      <w:r>
        <w:rPr>
          <w:rtl w:val="true"/>
        </w:rPr>
        <w:t xml:space="preserve">الغاية هي </w:t>
      </w:r>
      <w:r>
        <w:rPr>
          <w:rtl w:val="true"/>
        </w:rPr>
        <w:t>(</w:t>
      </w:r>
      <w:r>
        <w:rPr>
          <w:rtl w:val="true"/>
        </w:rPr>
        <w:t>الإحتجاج</w:t>
      </w:r>
      <w:r>
        <w:rPr>
          <w:rtl w:val="true"/>
        </w:rPr>
        <w:t>)</w:t>
      </w:r>
      <w:r>
        <w:rPr>
          <w:rtl w:val="true"/>
        </w:rPr>
        <w:t xml:space="preserve">، </w:t>
      </w:r>
      <w:r>
        <w:rPr>
          <w:rtl w:val="true"/>
        </w:rPr>
        <w:t>(</w:t>
      </w:r>
      <w:r>
        <w:rPr>
          <w:rtl w:val="true"/>
        </w:rPr>
        <w:t>ومعاني الحجة</w:t>
      </w:r>
      <w:r>
        <w:rPr>
          <w:rtl w:val="true"/>
        </w:rPr>
        <w:t>)</w:t>
      </w:r>
      <w:bookmarkEnd w:id="340"/>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فسواء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معناها اللغوي أي ما يحتج به المولى على عبده وبالعكس، فإن غاية الأصول بناءً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على المولى وعلى العبيد</w:t>
      </w:r>
      <w:r>
        <w:rPr>
          <w:rStyle w:val="FootnoteAnchor"/>
          <w:rtl w:val="true"/>
        </w:rPr>
        <w:footnoteReference w:id="380"/>
      </w:r>
      <w:r>
        <w:rPr>
          <w:rFonts w:ascii="Amiri" w:hAnsi="Amiri" w:eastAsia="Amiri" w:cs="Amiri"/>
          <w:color w:val="111111"/>
          <w:sz w:val="28"/>
          <w:sz w:val="28"/>
          <w:szCs w:val="28"/>
          <w:rtl w:val="true"/>
          <w:lang w:bidi="ar-SA"/>
        </w:rPr>
        <w:t>بجعل حكم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الكاشف التام أو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قلنا هي الإنكشاف ـ كما ذهب إليه الأصفهاني ـ فإن غاية الأصول على هذا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بالأدلة الأربعة عن الأحكام الشرعية أو إنكشافها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المنجز والمعذر ـ كما ذهب إليه الآخوند ـ فإن غاية الفقه هي اتخاذ الأدلة الأربعة منجزة لدى إصابة الفقيه ومعذرة لدى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فإن غاية الأصول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بجعل الأدلة الأربعة، أوسط في القياس، لإثبات الحكم الشرعي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صرنا إلى قول الميرزا النائيني في معنى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bookmarkStart w:id="341" w:name="pg7671_76568"/>
    </w:p>
    <w:p>
      <w:pPr>
        <w:pStyle w:val="BookText"/>
        <w:rPr/>
      </w:pPr>
      <w:bookmarkEnd w:id="341"/>
      <w:r>
        <w:rPr>
          <w:rFonts w:ascii="Amiri" w:hAnsi="Amiri" w:eastAsia="Amiri" w:cs="Amiri"/>
          <w:color w:val="111111"/>
          <w:sz w:val="28"/>
          <w:sz w:val="28"/>
          <w:szCs w:val="28"/>
          <w:rtl w:val="true"/>
          <w:lang w:bidi="ar-SA"/>
        </w:rPr>
        <w:t>سائر الأقوال العشرة التي فصّل الحديث عنها في مباحث الأصول كتاب القطع وأشرنا لها في هذا الكتاب إشارة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هذه الغاية لعلم الأصول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بأدلته على الأحكام الشرعية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الأحكام الإرشادية كجريانها في الأحكام المولوية تماماً؛ إذ قد أوضحنا فيالبحث السابق إبتناء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نوعي الأوامر المولوية والإرشادية، وامتلائه بكلا نوعي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الأحكام الإرشادية وجوبية كانت أو ندبية، هي الغاية لعلم الأصول أيضاً،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الأحكام المولوية غاية له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959383_1051229030"/>
      <w:bookmarkStart w:id="343" w:name="_Toc123"/>
      <w:bookmarkEnd w:id="342"/>
      <w:r>
        <w:rPr>
          <w:rtl w:val="true"/>
        </w:rPr>
        <w:t>الأحكام الإرشادية كثيرة ومبتلى بها</w:t>
      </w:r>
      <w:bookmarkEnd w:id="343"/>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الإرشادية هي من أشد ما يبتلى به المكلف، ولا تعدِم من آثار الأحكام المولوية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إنها مما تترتب عليها آثار كثيرة فقهية وأصولية وكلامة، وقد أشرنا لبعض الآثار والثمار في موضع آخر وفصلنا الحديث أكثر في مباحث الأصول، كتاب الملازمة بين حكم العقل وحكم الشرع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هنا إلى كثرتها، فإن كافة الأوامر والنواهي الإرشادية الواردة في مواطن المستقلات العقلية، بناء على مبنى كثير من الأصوليين كالفقيه الهمداني في مصباحه والمظفر في أصوله وغيرهما من كونها إرشادية، تعد مؤدياتها أحكاماً إرشادية وجوبية أو ندبية، محرمة أو </w:t>
      </w:r>
      <w:bookmarkStart w:id="344" w:name="pg7671_76569"/>
    </w:p>
    <w:p>
      <w:pPr>
        <w:pStyle w:val="BookText"/>
        <w:rPr/>
      </w:pPr>
      <w:bookmarkEnd w:id="344"/>
      <w:r>
        <w:rPr>
          <w:rFonts w:ascii="Amiri" w:hAnsi="Amiri" w:eastAsia="Amiri" w:cs="Amiri"/>
          <w:color w:val="111111"/>
          <w:sz w:val="28"/>
          <w:sz w:val="28"/>
          <w:szCs w:val="28"/>
          <w:rtl w:val="true"/>
          <w:lang w:bidi="ar-SA"/>
        </w:rPr>
        <w:t>مكروهة، وقد ذكرنا في مباحث الأصول، أن المستقلات العقلية لدى التتبع، هي بالعشرات ولعلها بالمئات، وهي أمهات المسائل في مختلف أبعاد الفقه وأبوابه، وقد أشرنا إلى الكثير منها في مباحث هذا الكتاب في مواضع متفرقة</w:t>
      </w:r>
      <w:r>
        <w:rPr>
          <w:rStyle w:val="FootnoteAnchor"/>
          <w:rtl w:val="true"/>
        </w:rPr>
        <w:footnoteReference w:id="381"/>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هنالك المئات بل الألوف من الأحكام التي عدت إرشادية، لكون مصلحتها دنيوية، أو لكون مصلحتها معلومة للمأمور قبل الأمر أو لغير ذلك، على ما فصلناه في بحث الضوابط، وأشرنا لمسائل كثيرة من مصاديقه في مطاوي الكتاب</w:t>
      </w:r>
      <w:r>
        <w:rPr>
          <w:rStyle w:val="FootnoteAnchor"/>
          <w:rtl w:val="true"/>
        </w:rPr>
        <w:footnoteReference w:id="382"/>
      </w:r>
      <w:r>
        <w:rPr>
          <w:rFonts w:ascii="Amiri" w:hAnsi="Amiri" w:eastAsia="Amiri" w:cs="Amiri"/>
          <w:color w:val="111111"/>
          <w:sz w:val="28"/>
          <w:sz w:val="28"/>
          <w:szCs w:val="28"/>
          <w:rtl w:val="true"/>
          <w:lang w:bidi="ar-SA"/>
        </w:rPr>
        <w:t>ـ مما يثبت إلقاء نظرة سريعة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ابتناء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إلى جوار ابتنائه على الأحكام المولوية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959385_1051229030"/>
      <w:bookmarkStart w:id="346" w:name="_Toc124"/>
      <w:bookmarkEnd w:id="345"/>
      <w:r>
        <w:rPr>
          <w:rtl w:val="true"/>
        </w:rPr>
        <w:t xml:space="preserve">الغاية </w:t>
      </w:r>
      <w:r>
        <w:rPr>
          <w:rtl w:val="true"/>
        </w:rPr>
        <w:t>(</w:t>
      </w:r>
      <w:r>
        <w:rPr>
          <w:rtl w:val="true"/>
        </w:rPr>
        <w:t>الحجة</w:t>
      </w:r>
      <w:r>
        <w:rPr>
          <w:rtl w:val="true"/>
        </w:rPr>
        <w:t xml:space="preserve">) </w:t>
      </w:r>
      <w:r>
        <w:rPr>
          <w:rtl w:val="true"/>
        </w:rPr>
        <w:t xml:space="preserve">أو </w:t>
      </w:r>
      <w:r>
        <w:rPr>
          <w:rtl w:val="true"/>
        </w:rPr>
        <w:t>(</w:t>
      </w:r>
      <w:r>
        <w:rPr>
          <w:rtl w:val="true"/>
        </w:rPr>
        <w:t>المؤمن</w:t>
      </w:r>
      <w:r>
        <w:rPr>
          <w:rtl w:val="true"/>
        </w:rPr>
        <w:t>)</w:t>
      </w:r>
      <w:r>
        <w:rPr>
          <w:rtl w:val="true"/>
        </w:rPr>
        <w:t>؟</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علم الأصول ـ أو موضوعه ـ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المولى، سواء ترتب عليه عقاب أم لا، بل سواء كان فيه استحقاق عقاب أم لا؟ كما فصلنا </w:t>
      </w:r>
    </w:p>
    <w:p>
      <w:pPr>
        <w:pStyle w:val="BookText"/>
        <w:rPr/>
      </w:pPr>
      <w:r>
        <w:rPr>
          <w:rFonts w:ascii="Amiri" w:hAnsi="Amiri" w:eastAsia="Amiri" w:cs="Amiri"/>
          <w:color w:val="111111"/>
          <w:sz w:val="28"/>
          <w:sz w:val="28"/>
          <w:szCs w:val="28"/>
          <w:rtl w:val="true"/>
          <w:lang w:bidi="ar-SA"/>
        </w:rPr>
        <w:t>هذاالتفكيك في مبحث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الأصولي حيث كان يبحث عن الحجة في الفقه، وحيث كانت أهم حجتين، هما الكتاب والسنة ـ لندرة موارد حكم العقل والإجماع ـ وكان الكتاب والسنة معتمدين على الظواهر في الأغلب شبه المستغرق من الموارد، فكان لابد للأصولي من أن 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الأمر ظاهر في الوجوب أم لا؟ وكذا النهي؟ وهل هو ظاهر في المولوية أم لا؟ وإذا كان للإرشاد فهل هو للإلزام أم لا؟، وعن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والمعاملات ووضعها للصحيح أو الأعم،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فإنهاوإن لم تكن خاصة بالكتاب والسنة بل عامة فقد يتوهم إنها من المبادئ التصديقية لعلم الأصل</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امتلاء الكتاب والسنة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الأحكام الإرشادية، واستخدام أدوات العموم أو الإطلاق فيها وكون موضوعاتها من المشتق وغيره</w:t>
      </w:r>
      <w:r>
        <w:rPr>
          <w:rFonts w:eastAsia="Amiri" w:cs="Amiri" w:ascii="Amiri" w:hAnsi="Amiri"/>
          <w:color w:val="111111"/>
          <w:sz w:val="28"/>
          <w:szCs w:val="28"/>
          <w:rtl w:val="true"/>
          <w:lang w:bidi="ar-SA"/>
        </w:rPr>
        <w:t xml:space="preserve">. </w:t>
      </w:r>
      <w:bookmarkStart w:id="347" w:name="pg7671_76571"/>
    </w:p>
    <w:p>
      <w:pPr>
        <w:pStyle w:val="Heading3"/>
        <w:numPr>
          <w:ilvl w:val="2"/>
          <w:numId w:val="1"/>
        </w:numPr>
        <w:rPr/>
      </w:pPr>
      <w:bookmarkStart w:id="348" w:name="__RefHeading___Toc3959387_1051229030"/>
      <w:bookmarkStart w:id="349" w:name="_Toc125"/>
      <w:bookmarkEnd w:id="347"/>
      <w:bookmarkEnd w:id="348"/>
      <w:r>
        <w:rPr>
          <w:rtl w:val="true"/>
        </w:rPr>
        <w:t>خامساً</w:t>
      </w:r>
      <w:r>
        <w:rPr>
          <w:rtl w:val="true"/>
        </w:rPr>
        <w:t xml:space="preserve">: </w:t>
      </w:r>
      <w:r>
        <w:rPr>
          <w:rtl w:val="true"/>
        </w:rPr>
        <w:t>تعريف علم الأصول</w:t>
      </w:r>
      <w:bookmarkEnd w:id="349"/>
    </w:p>
    <w:p>
      <w:pPr>
        <w:pStyle w:val="Heading4"/>
        <w:numPr>
          <w:ilvl w:val="3"/>
          <w:numId w:val="1"/>
        </w:numPr>
        <w:rPr/>
      </w:pPr>
      <w:bookmarkStart w:id="350" w:name="__RefHeading___Toc3959389_1051229030"/>
      <w:bookmarkStart w:id="351" w:name="_Toc126"/>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فإن تعريف علم الأصول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بكيفية الاستنباط مما يستنبط منه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السيد الوالد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التي يمكن أن تقع في طريق استنباط الأحكام أو التي ينتهي إليها الفقيه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الآخوند</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التي تقع بنفسها في طريق استنباط الأحكام الشرعية الكلية الإلهية، من دون حاجة ا لى ضميمة كبرى أو صغرى أصولية أخرى إليها</w:t>
      </w:r>
      <w:r>
        <w:rPr>
          <w:rFonts w:eastAsia="Amiri" w:cs="Amiri" w:ascii="Amiri" w:hAnsi="Amiri"/>
          <w:color w:val="111111"/>
          <w:sz w:val="28"/>
          <w:szCs w:val="28"/>
          <w:rtl w:val="true"/>
          <w:lang w:bidi="ar-SA"/>
        </w:rPr>
        <w:t>).</w:t>
      </w:r>
      <w:r>
        <w:rPr>
          <w:rStyle w:val="FootnoteAnchor"/>
          <w:rtl w:val="true"/>
        </w:rPr>
        <w:footnoteReference w:id="387"/>
      </w:r>
      <w:bookmarkStart w:id="352" w:name="pg7671_76572"/>
    </w:p>
    <w:p>
      <w:pPr>
        <w:pStyle w:val="Heading4"/>
        <w:numPr>
          <w:ilvl w:val="3"/>
          <w:numId w:val="1"/>
        </w:numPr>
        <w:rPr/>
      </w:pPr>
      <w:bookmarkStart w:id="353" w:name="__RefHeading___Toc3959391_1051229030"/>
      <w:bookmarkStart w:id="354" w:name="_Toc127"/>
      <w:bookmarkEnd w:id="352"/>
      <w:bookmarkEnd w:id="353"/>
      <w:r>
        <w:rPr>
          <w:rtl w:val="true"/>
        </w:rPr>
        <w:t xml:space="preserve">صدق </w:t>
      </w:r>
      <w:r>
        <w:rPr>
          <w:rtl w:val="true"/>
        </w:rPr>
        <w:t>(</w:t>
      </w:r>
      <w:r>
        <w:rPr>
          <w:rtl w:val="true"/>
        </w:rPr>
        <w:t>الحكم</w:t>
      </w:r>
      <w:r>
        <w:rPr>
          <w:rtl w:val="true"/>
        </w:rPr>
        <w:t xml:space="preserve">) </w:t>
      </w:r>
      <w:r>
        <w:rPr>
          <w:rtl w:val="true"/>
        </w:rPr>
        <w:t>لغة وعرفاً على الإرشادي</w:t>
      </w:r>
      <w:bookmarkEnd w:id="354"/>
    </w:p>
    <w:p>
      <w:pPr>
        <w:pStyle w:val="BookText"/>
        <w:rPr/>
      </w:pPr>
      <w:r>
        <w:rPr>
          <w:rFonts w:ascii="Amiri" w:hAnsi="Amiri" w:eastAsia="Amiri" w:cs="Amiri"/>
          <w:color w:val="111111"/>
          <w:sz w:val="28"/>
          <w:sz w:val="28"/>
          <w:szCs w:val="28"/>
          <w:rtl w:val="true"/>
          <w:lang w:bidi="ar-SA"/>
        </w:rPr>
        <w:t xml:space="preserve">ومن الواضح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الإرشادي الوجوبي أو الندبي، حقيقة، على حسب أكثر تعاريفه العشرة التي أُشير إليها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صدقه عليه لغة وعرفاً حقيقة، فإنه يطلق عليه دون حاجة لوجه مصحح أو قرينة صارفة، كما أن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Style w:val="FootnoteAnchor"/>
          <w:rtl w:val="true"/>
        </w:rPr>
        <w:footnoteReference w:id="388"/>
      </w:r>
      <w:r>
        <w:rPr>
          <w:rFonts w:ascii="Amiri" w:hAnsi="Amiri" w:eastAsia="Amiri" w:cs="Amiri"/>
          <w:color w:val="111111"/>
          <w:sz w:val="28"/>
          <w:sz w:val="28"/>
          <w:szCs w:val="28"/>
          <w:rtl w:val="true"/>
          <w:lang w:bidi="ar-SA"/>
        </w:rPr>
        <w:t xml:space="preserve">أو فقل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قرينة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ذكرناه مراراً من أن المولوية والإرشادية ليسا جزء الموضوع له ولا المستعمل فيه، بل هي دواعٍ للاستعمال كما ذهب إليه الآخوند، وأوضحنا هنالك الحال أيضاً على سائر الأقوال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تعميم مسائل الأصول، التي مهدت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لاستنباط أحكامها، لِما ينتهي إليه الفقيه في مقام العمل، أي للأصول العملية ـ كما صنعه الآخوند ـ وهو ما يقبله الآخرون وإن لم يعبروا بهذا التعبير، بل ارتاؤوا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للوظيفة بإرادة المعنى الأعم منه</w:t>
      </w:r>
      <w:r>
        <w:rPr>
          <w:rStyle w:val="FootnoteAnchor"/>
          <w:rtl w:val="true"/>
        </w:rPr>
        <w:footnoteReference w:id="389"/>
      </w:r>
      <w:r>
        <w:rPr>
          <w:rFonts w:ascii="Amiri" w:hAnsi="Amiri" w:eastAsia="Amiri" w:cs="Amiri"/>
          <w:color w:val="111111"/>
          <w:sz w:val="28"/>
          <w:sz w:val="28"/>
          <w:szCs w:val="28"/>
          <w:rtl w:val="true"/>
          <w:lang w:bidi="ar-SA"/>
        </w:rPr>
        <w:t xml:space="preserve">، يمكن </w:t>
      </w:r>
    </w:p>
    <w:p>
      <w:pPr>
        <w:pStyle w:val="BookText"/>
        <w:rPr/>
      </w:pPr>
      <w:r>
        <w:rPr>
          <w:rFonts w:ascii="Amiri" w:hAnsi="Amiri" w:eastAsia="Amiri" w:cs="Amiri"/>
          <w:color w:val="111111"/>
          <w:sz w:val="28"/>
          <w:sz w:val="28"/>
          <w:szCs w:val="28"/>
          <w:rtl w:val="true"/>
          <w:lang w:bidi="ar-SA"/>
        </w:rPr>
        <w:t>الاستناد إليه</w:t>
      </w:r>
      <w:r>
        <w:rPr>
          <w:rStyle w:val="FootnoteAnchor"/>
          <w:rtl w:val="true"/>
        </w:rPr>
        <w:footnoteReference w:id="390"/>
      </w:r>
      <w:r>
        <w:rPr>
          <w:rFonts w:ascii="Amiri" w:hAnsi="Amiri" w:eastAsia="Amiri" w:cs="Amiri"/>
          <w:color w:val="111111"/>
          <w:sz w:val="28"/>
          <w:sz w:val="28"/>
          <w:szCs w:val="28"/>
          <w:rtl w:val="true"/>
          <w:lang w:bidi="ar-SA"/>
        </w:rPr>
        <w:t>أيضاً في عدم الحصر في الحكم بالمعنى الأخص وصحة شموله للإرشادي ـ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تعريف الأصول على هذا ـ حسب تعريف المشهور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الأحكام الشرعية المولوية والإرشادية والوظائف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بكيفية الاستنباط مما يستنبط منه الحكم المولوي أو الإرشادي أو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الشق الثالث لتعريف الآخوند أيضاً وهكذا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أقل من أن حالها حال مباحث المشتق والصحيح والأعم</w:t>
      </w:r>
      <w:r>
        <w:rPr>
          <w:rFonts w:eastAsia="Amiri" w:cs="Amiri" w:ascii="Amiri" w:hAnsi="Amiri"/>
          <w:color w:val="111111"/>
          <w:sz w:val="28"/>
          <w:szCs w:val="28"/>
          <w:rtl w:val="true"/>
          <w:lang w:bidi="ar-SA"/>
        </w:rPr>
        <w:t xml:space="preserve">. </w:t>
      </w:r>
      <w:bookmarkStart w:id="355" w:name="pg7671_76574"/>
    </w:p>
    <w:p>
      <w:pPr>
        <w:pStyle w:val="Heading4"/>
        <w:numPr>
          <w:ilvl w:val="3"/>
          <w:numId w:val="1"/>
        </w:numPr>
        <w:rPr/>
      </w:pPr>
      <w:bookmarkStart w:id="356" w:name="__RefHeading___Toc3959393_1051229030"/>
      <w:bookmarkStart w:id="357" w:name="_Toc128"/>
      <w:bookmarkEnd w:id="355"/>
      <w:bookmarkEnd w:id="356"/>
      <w:r>
        <w:rPr>
          <w:rtl w:val="true"/>
        </w:rPr>
        <w:t>كافة البحوث الأصولية جارية في الأحكام الإرشادية</w:t>
      </w:r>
      <w:bookmarkEnd w:id="357"/>
    </w:p>
    <w:p>
      <w:pPr>
        <w:pStyle w:val="BookText"/>
        <w:rPr/>
      </w:pPr>
      <w:r>
        <w:rPr>
          <w:rFonts w:ascii="Amiri" w:hAnsi="Amiri" w:eastAsia="Amiri" w:cs="Amiri"/>
          <w:color w:val="111111"/>
          <w:sz w:val="28"/>
          <w:sz w:val="28"/>
          <w:szCs w:val="28"/>
          <w:rtl w:val="true"/>
          <w:lang w:bidi="ar-SA"/>
        </w:rPr>
        <w:t xml:space="preserve">ثم إن كل البحوث المطروحة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الأحكام الإرشادية كجريانها في الأحكام المولوية تماماً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959395_1051229030"/>
      <w:bookmarkStart w:id="359" w:name="_Toc129"/>
      <w:bookmarkEnd w:id="358"/>
      <w:r>
        <w:rPr>
          <w:rtl w:val="true"/>
        </w:rPr>
        <w:t>مباحث الأصول</w:t>
      </w:r>
      <w:r>
        <w:rPr>
          <w:rtl w:val="true"/>
        </w:rPr>
        <w:t xml:space="preserve">: </w:t>
      </w:r>
      <w:r>
        <w:rPr>
          <w:rtl w:val="true"/>
        </w:rPr>
        <w:t>خمسة أقسام</w:t>
      </w:r>
      <w:bookmarkEnd w:id="359"/>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مباحث علم الأصول تنقسم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كمباحث المشتق، والصحيح والأعم، والأوامر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كظهور الأمر في الوجوب، وظهوره إذا وقع عقيب الحظر في الإباحة، وكذا كون العام المخصص بالمنفصل ـ أو حتى المتصل أيضاً</w:t>
      </w:r>
      <w:r>
        <w:rPr>
          <w:rStyle w:val="FootnoteAnchor"/>
          <w:rtl w:val="true"/>
        </w:rPr>
        <w:footnoteReference w:id="391"/>
      </w:r>
      <w:r>
        <w:rPr>
          <w:rFonts w:ascii="Amiri" w:hAnsi="Amiri" w:eastAsia="Amiri" w:cs="Amiri"/>
          <w:color w:val="111111"/>
          <w:sz w:val="28"/>
          <w:sz w:val="28"/>
          <w:szCs w:val="28"/>
          <w:rtl w:val="true"/>
          <w:lang w:bidi="ar-SA"/>
        </w:rPr>
        <w:t>ـ ظاهراً في تمام الباقي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أي الأدلة الإجتهادية، كخبر الواحد والشهرة والإجماع المنقول وحجية أحد </w:t>
      </w:r>
    </w:p>
    <w:p>
      <w:pPr>
        <w:pStyle w:val="BookText"/>
        <w:rPr/>
      </w:pPr>
      <w:r>
        <w:rPr>
          <w:rFonts w:ascii="Amiri" w:hAnsi="Amiri" w:eastAsia="Amiri" w:cs="Amiri"/>
          <w:color w:val="111111"/>
          <w:sz w:val="28"/>
          <w:sz w:val="28"/>
          <w:szCs w:val="28"/>
          <w:rtl w:val="true"/>
          <w:lang w:bidi="ar-SA"/>
        </w:rPr>
        <w:t xml:space="preserve">الخبرين عند التعارض، وحجية الظن الإنسدادي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عليه يمكن عده من الحجج اللفظية،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دعوى الإجماع على عدم رضى الشارع بالامتثال الإجمالي والاحتياط، أو على اتخاذ الاحتياط هو القاعدة والمسلك العام، وتفصيله في مظآنه، وكذا حجية ظواهر الكتاب لغير من خوطب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الاستلزامات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كالتلازم بين وجوب الشيء ووجوب مقدمته وكذا استحبابه واستحبابه، وبين الأمر بالشيء والنهي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الشرعي،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 وليس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ونظائرها في سائر صحاحه، للاستصحاب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الشك في العنوان والمحصل وأطراف العلم الإجمالي،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وكالظن الانسدادي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يمكن عد الأول والأخير، من الثالث</w:t>
      </w:r>
      <w:r>
        <w:rPr>
          <w:rStyle w:val="FootnoteAnchor"/>
          <w:rtl w:val="true"/>
        </w:rPr>
        <w:footnoteReference w:id="392"/>
      </w:r>
      <w:r>
        <w:rPr>
          <w:rFonts w:ascii="Amiri" w:hAnsi="Amiri" w:eastAsia="Amiri" w:cs="Amiri"/>
          <w:color w:val="111111"/>
          <w:sz w:val="28"/>
          <w:sz w:val="28"/>
          <w:szCs w:val="28"/>
          <w:rtl w:val="true"/>
          <w:lang w:bidi="ar-SA"/>
        </w:rPr>
        <w:t xml:space="preserve">، كما يمكن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الرابع ومن الثاني، على حسب متعلقه</w:t>
      </w:r>
      <w:r>
        <w:rPr>
          <w:rFonts w:eastAsia="Amiri" w:cs="Amiri" w:ascii="Amiri" w:hAnsi="Amiri"/>
          <w:color w:val="111111"/>
          <w:sz w:val="28"/>
          <w:szCs w:val="28"/>
          <w:rtl w:val="true"/>
          <w:lang w:bidi="ar-SA"/>
        </w:rPr>
        <w:t>.</w:t>
      </w:r>
      <w:r>
        <w:rPr>
          <w:rStyle w:val="FootnoteAnchor"/>
          <w:rtl w:val="true"/>
        </w:rPr>
        <w:footnoteReference w:id="393"/>
      </w:r>
      <w:bookmarkStart w:id="360" w:name="pg7671_76576"/>
    </w:p>
    <w:p>
      <w:pPr>
        <w:pStyle w:val="Heading4"/>
        <w:numPr>
          <w:ilvl w:val="3"/>
          <w:numId w:val="1"/>
        </w:numPr>
        <w:rPr/>
      </w:pPr>
      <w:bookmarkStart w:id="361" w:name="__RefHeading___Toc3959397_1051229030"/>
      <w:bookmarkStart w:id="362" w:name="_Toc130"/>
      <w:bookmarkEnd w:id="360"/>
      <w:bookmarkEnd w:id="361"/>
      <w:r>
        <w:rPr>
          <w:rtl w:val="true"/>
        </w:rPr>
        <w:t>الإرشادية والمولوية، دواعي أو معاني أو</w:t>
      </w:r>
      <w:r>
        <w:rPr>
          <w:rtl w:val="true"/>
        </w:rPr>
        <w:t>..</w:t>
      </w:r>
      <w:r>
        <w:rPr>
          <w:rtl w:val="true"/>
        </w:rPr>
        <w:t>؟</w:t>
      </w:r>
      <w:bookmarkEnd w:id="362"/>
    </w:p>
    <w:p>
      <w:pPr>
        <w:pStyle w:val="BookText"/>
        <w:rPr/>
      </w:pPr>
      <w:r>
        <w:rPr>
          <w:rFonts w:ascii="Amiri" w:hAnsi="Amiri" w:eastAsia="Amiri" w:cs="Amiri"/>
          <w:color w:val="111111"/>
          <w:sz w:val="28"/>
          <w:sz w:val="28"/>
          <w:szCs w:val="28"/>
          <w:rtl w:val="true"/>
          <w:lang w:bidi="ar-SA"/>
        </w:rPr>
        <w:t xml:space="preserve">وهذه كلها كما تجري في الأوامر المولوية تجري في الأوامر الإرشادية، خاصة على مسلك الشيخ الأنصاري والميرزا الشيرازي من انقسامها إلى الواجب والمندوب، فكيف على مسلكنا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سواء التزمنا بأن الإرشادية والمولوية والتهديد والتعجيز وغيرها، دواعي، وليست من معاني الصيغة، بل ولا مما استعملت فيها، لا على نحو الحقيقة ولا على نحو المجاز، بل 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كما هو مسلك الآخوند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أم التزمنا بأن الصيغة قد استعملت في معاني عديدة بنحو الاشتراك اللفظي كما لعله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قلنا بأنها حقيقة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اعتبار الفعل على ذمة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في غيره كما اختاره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كذلك بعد القرينة</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الأمرين المولوي والإرشادي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للفعل على ذمة المخاطب وقد أبرز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أوضحناه في موضع آخر</w:t>
      </w:r>
      <w:r>
        <w:rPr>
          <w:rFonts w:eastAsia="Amiri" w:cs="Amiri" w:ascii="Amiri" w:hAnsi="Amiri"/>
          <w:color w:val="111111"/>
          <w:sz w:val="28"/>
          <w:szCs w:val="28"/>
          <w:rtl w:val="true"/>
          <w:lang w:bidi="ar-SA"/>
        </w:rPr>
        <w:t>.</w:t>
      </w:r>
      <w:r>
        <w:rPr>
          <w:rStyle w:val="FootnoteAnchor"/>
          <w:rtl w:val="true"/>
        </w:rPr>
        <w:footnoteReference w:id="396"/>
      </w:r>
      <w:bookmarkStart w:id="363" w:name="pg7671_76577"/>
    </w:p>
    <w:p>
      <w:pPr>
        <w:pStyle w:val="Heading4"/>
        <w:numPr>
          <w:ilvl w:val="3"/>
          <w:numId w:val="1"/>
        </w:numPr>
        <w:rPr/>
      </w:pPr>
      <w:bookmarkStart w:id="364" w:name="__RefHeading___Toc3959399_1051229030"/>
      <w:bookmarkStart w:id="365" w:name="_Toc131"/>
      <w:bookmarkEnd w:id="363"/>
      <w:bookmarkEnd w:id="364"/>
      <w:r>
        <w:rPr>
          <w:rtl w:val="true"/>
        </w:rPr>
        <w:t>جريان الأقسام الخمسة في الأوامر الإرشادية</w:t>
      </w:r>
      <w:bookmarkEnd w:id="365"/>
    </w:p>
    <w:p>
      <w:pPr>
        <w:pStyle w:val="Heading4"/>
        <w:numPr>
          <w:ilvl w:val="3"/>
          <w:numId w:val="1"/>
        </w:numPr>
        <w:rPr/>
      </w:pPr>
      <w:bookmarkStart w:id="366" w:name="__RefHeading___Toc3959401_1051229030"/>
      <w:bookmarkStart w:id="367" w:name="_Toc132"/>
      <w:bookmarkEnd w:id="366"/>
      <w:r>
        <w:rPr>
          <w:rtl w:val="true"/>
        </w:rPr>
        <w:t>وتوضيح الجريان</w:t>
      </w:r>
      <w:r>
        <w:rPr>
          <w:rtl w:val="true"/>
        </w:rPr>
        <w:t>:</w:t>
      </w:r>
      <w:bookmarkEnd w:id="367"/>
    </w:p>
    <w:p>
      <w:pPr>
        <w:pStyle w:val="Heading5"/>
        <w:numPr>
          <w:ilvl w:val="4"/>
          <w:numId w:val="1"/>
        </w:numPr>
        <w:rPr/>
      </w:pPr>
      <w:bookmarkStart w:id="368" w:name="__RefHeading___Toc3959403_1051229030"/>
      <w:bookmarkStart w:id="369" w:name="_Toc133"/>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إن البحوث السابقة في العناوين الخمسة كلها جارية في الأوامر والنواهي والأحكام الإرشادية وذلك</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959405_1051229030"/>
      <w:bookmarkStart w:id="371" w:name="_Toc134"/>
      <w:bookmarkEnd w:id="370"/>
      <w:r>
        <w:rPr/>
        <w:t>1</w:t>
      </w:r>
      <w:r>
        <w:rPr>
          <w:rtl w:val="true"/>
        </w:rPr>
        <w:t xml:space="preserve">- </w:t>
      </w:r>
      <w:r>
        <w:rPr>
          <w:rtl w:val="true"/>
        </w:rPr>
        <w:t>جريان مباحث الألفاظ</w:t>
      </w:r>
      <w:bookmarkEnd w:id="371"/>
    </w:p>
    <w:p>
      <w:pPr>
        <w:pStyle w:val="BookText"/>
        <w:rPr/>
      </w:pPr>
      <w:r>
        <w:rPr>
          <w:rFonts w:ascii="Amiri" w:hAnsi="Amiri" w:eastAsia="Amiri" w:cs="Amiri"/>
          <w:color w:val="111111"/>
          <w:sz w:val="28"/>
          <w:sz w:val="28"/>
          <w:szCs w:val="28"/>
          <w:rtl w:val="true"/>
          <w:lang w:bidi="ar-SA"/>
        </w:rPr>
        <w:t>كجريان مباحث الألفاظ في الأوامر والنواهي والأحكام المولوية حذو القذة بالقذة، إذ 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الإرشادي ظاهر</w:t>
      </w:r>
      <w:r>
        <w:rPr>
          <w:rStyle w:val="FootnoteAnchor"/>
          <w:rtl w:val="true"/>
        </w:rPr>
        <w:footnoteReference w:id="397"/>
      </w:r>
      <w:r>
        <w:rPr>
          <w:rFonts w:ascii="Amiri" w:hAnsi="Amiri" w:eastAsia="Amiri" w:cs="Amiri"/>
          <w:color w:val="111111"/>
          <w:sz w:val="28"/>
          <w:sz w:val="28"/>
          <w:szCs w:val="28"/>
          <w:rtl w:val="true"/>
          <w:lang w:bidi="ar-SA"/>
        </w:rPr>
        <w:t>في مطلق الطلب، أو في الوجوب أو الندب، أو مشترك لفظي، أو كالمشترك</w:t>
      </w:r>
      <w:r>
        <w:rPr>
          <w:rStyle w:val="FootnoteAnchor"/>
          <w:rtl w:val="true"/>
        </w:rPr>
        <w:footnoteReference w:id="398"/>
      </w:r>
      <w:r>
        <w:rPr>
          <w:rFonts w:ascii="Amiri" w:hAnsi="Amiri" w:eastAsia="Amiri" w:cs="Amiri"/>
          <w:color w:val="111111"/>
          <w:sz w:val="28"/>
          <w:sz w:val="28"/>
          <w:szCs w:val="28"/>
          <w:rtl w:val="true"/>
          <w:lang w:bidi="ar-SA"/>
        </w:rPr>
        <w:t>وماذا لو وقع عقيب الحظر الإرشادي بل المولوي؟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ظهور العام الإرشادي المخصّص بالمنفصل أو المتصل؟وواضح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w:t>
      </w:r>
      <w:r>
        <w:rPr>
          <w:rStyle w:val="FootnoteAnchor"/>
          <w:rtl w:val="true"/>
        </w:rPr>
        <w:footnoteReference w:id="399"/>
      </w:r>
      <w:r>
        <w:rPr>
          <w:rFonts w:ascii="Amiri" w:hAnsi="Amiri" w:eastAsia="Amiri" w:cs="Amiri"/>
          <w:color w:val="111111"/>
          <w:sz w:val="28"/>
          <w:sz w:val="28"/>
          <w:szCs w:val="28"/>
          <w:rtl w:val="true"/>
          <w:lang w:bidi="ar-SA"/>
        </w:rPr>
        <w:t xml:space="preserve">هو مما يتعلق به الأمر الإرشادي كالمولوي، فتجري فيه مباحثه، فهل هو حقيقة في خصوص المتلبس بالمبدأ أم فيما انقضى عنه، بل وحتى فيما سيتلبس، لكن بلحاظ </w:t>
      </w:r>
      <w:bookmarkStart w:id="372" w:name="pg7671_76578"/>
    </w:p>
    <w:p>
      <w:pPr>
        <w:pStyle w:val="BookText"/>
        <w:rPr/>
      </w:pPr>
      <w:bookmarkEnd w:id="372"/>
      <w:r>
        <w:rPr>
          <w:rFonts w:ascii="IRNazanin" w:hAnsi="IRNazanin" w:eastAsia="IRNazanin"/>
          <w:color w:val="111111"/>
          <w:sz w:val="28"/>
          <w:sz w:val="28"/>
          <w:szCs w:val="28"/>
          <w:rtl w:val="true"/>
          <w:lang w:bidi="fa-IR"/>
        </w:rPr>
        <w:t>حال التلبس؟</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أسماء العبادات أم المعاملات، كلما وقع أحدها متعلقاً للأمر الإرشادي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373" w:name="__RefHeading___Toc3959407_1051229030"/>
      <w:bookmarkStart w:id="374" w:name="_Toc135"/>
      <w:bookmarkEnd w:id="373"/>
      <w:r>
        <w:rPr/>
        <w:t>2</w:t>
      </w:r>
      <w:r>
        <w:rPr>
          <w:rtl w:val="true"/>
        </w:rPr>
        <w:t xml:space="preserve">- </w:t>
      </w:r>
      <w:r>
        <w:rPr>
          <w:rtl w:val="true"/>
        </w:rPr>
        <w:t>جريان مباحث الحجج اللفظية</w:t>
      </w:r>
      <w:bookmarkEnd w:id="374"/>
    </w:p>
    <w:p>
      <w:pPr>
        <w:pStyle w:val="BookText"/>
        <w:rPr/>
      </w:pPr>
      <w:r>
        <w:rPr>
          <w:rFonts w:ascii="Amiri" w:hAnsi="Amiri" w:eastAsia="Amiri" w:cs="Amiri"/>
          <w:color w:val="111111"/>
          <w:sz w:val="28"/>
          <w:sz w:val="28"/>
          <w:szCs w:val="28"/>
          <w:rtl w:val="true"/>
          <w:lang w:bidi="ar-SA"/>
        </w:rPr>
        <w:t>كما تجري مباحث الحجج اللفظية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الإرشادية، وكذا الشهرة والإجماع المنقول؟</w:t>
      </w:r>
    </w:p>
    <w:p>
      <w:pPr>
        <w:pStyle w:val="BookText"/>
        <w:rPr/>
      </w:pPr>
      <w:r>
        <w:rPr>
          <w:rFonts w:ascii="Amiri" w:hAnsi="Amiri" w:eastAsia="Amiri" w:cs="Amiri"/>
          <w:color w:val="111111"/>
          <w:sz w:val="28"/>
          <w:sz w:val="28"/>
          <w:szCs w:val="28"/>
          <w:rtl w:val="true"/>
          <w:lang w:bidi="ar-SA"/>
        </w:rPr>
        <w:t>ولعله يقال بأن الأمر فيه أسهل وأهون وأن العقلاء يتوسعون في ضوابط حجيته نظراً لارتفاع</w:t>
      </w:r>
      <w:r>
        <w:rPr>
          <w:rStyle w:val="FootnoteAnchor"/>
          <w:rtl w:val="true"/>
        </w:rPr>
        <w:footnoteReference w:id="400"/>
      </w:r>
      <w:r>
        <w:rPr>
          <w:rFonts w:ascii="Amiri" w:hAnsi="Amiri" w:eastAsia="Amiri" w:cs="Amiri"/>
          <w:color w:val="111111"/>
          <w:sz w:val="28"/>
          <w:sz w:val="28"/>
          <w:szCs w:val="28"/>
          <w:rtl w:val="true"/>
          <w:lang w:bidi="ar-SA"/>
        </w:rPr>
        <w:t>العقاب فيه، أكثر، وتفصيله في محله، ولعلنا نوفق له في المجلد الثاني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هي بنحو المولوية أو الإرشاد؟</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صرف إرشاد لبناء العقلاء مع تصرف الشارع فيه بتوسعة أو تضييق أو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ومعانيها، جارٍ في الدال على الحكم الإرشادي كجريانه في الدوال على الحكم المولوي؟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يجري بعض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التام</w:t>
      </w:r>
      <w:r>
        <w:rPr>
          <w:rStyle w:val="FootnoteAnchor"/>
          <w:rtl w:val="true"/>
        </w:rPr>
        <w:footnoteReference w:id="401"/>
      </w:r>
      <w:r>
        <w:rPr>
          <w:rFonts w:ascii="Amiri" w:hAnsi="Amiri" w:eastAsia="Amiri" w:cs="Amiri"/>
          <w:color w:val="111111"/>
          <w:sz w:val="28"/>
          <w:sz w:val="28"/>
          <w:szCs w:val="28"/>
          <w:rtl w:val="true"/>
          <w:lang w:bidi="ar-SA"/>
        </w:rPr>
        <w:t>أو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الأصفهاني في معنى الحجية،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يحتج به المولى على عبده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يترتب عليه العقاب، بل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تلزم الحركة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أيضاً، على مسلك الشيخ من كون الإرشاد للوجوب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أوسط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انتخبه الشيخ معنى للحجية، وهو المعنى المنطقي للحجية، جارٍ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يجري أيضاً على حسب تعريف الميرزا النائيني للحجة إذ عرفها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الشرعية من الطرق والأمارات، التي تقع وسطاً لإثبات متعلقاتها بحسب الجعل الشرعي، من دون أن يكون بينها وبين المتعلقات علقة ثبوتية بوجه من الوجوه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وذلك بأدنى تصرف، إذ قد فصلنا في موضع آخر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الإرشادية ـ الوجوبية والندبية وقسيماهما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الإرشادية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مسلك الآخوند، إذ لا عقوبة في الإرشادي، وإن كان للوجوب كما أسلفنا بيانه</w:t>
      </w:r>
      <w:r>
        <w:rPr>
          <w:rFonts w:eastAsia="Amiri" w:cs="Amiri" w:ascii="Amiri" w:hAnsi="Amiri"/>
          <w:color w:val="111111"/>
          <w:sz w:val="28"/>
          <w:szCs w:val="28"/>
          <w:rtl w:val="true"/>
          <w:lang w:bidi="ar-SA"/>
        </w:rPr>
        <w:t xml:space="preserve">. </w:t>
      </w:r>
      <w:bookmarkStart w:id="375" w:name="pg7671_76580"/>
    </w:p>
    <w:p>
      <w:pPr>
        <w:pStyle w:val="BookText"/>
        <w:rPr/>
      </w:pPr>
      <w:bookmarkEnd w:id="375"/>
      <w:r>
        <w:rPr>
          <w:rFonts w:ascii="Amiri" w:hAnsi="Amiri" w:eastAsia="Amiri" w:cs="Amiri"/>
          <w:color w:val="111111"/>
          <w:sz w:val="28"/>
          <w:sz w:val="28"/>
          <w:szCs w:val="28"/>
          <w:rtl w:val="true"/>
          <w:lang w:bidi="ar-SA"/>
        </w:rPr>
        <w:t>اللهم إلا لو أريد بالتنجيز والتعذير معنى أعم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نعم يبقى أن بحث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إرادة أيها، فإنها من المبادئ التصورية والتصديقية لعلم الأصول، وهذا جار على كلا تقديري كون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مولوياً أو إرشادياً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وكذلك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الإنسدادي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حجة في الإرشادي كالمولوي؟ وماذا لو تعارض خبران إرشاديان أحدهما موجب والآخر محرم مثلاً؟ وهل ظواهر الكتاب من أوامر ونواهي إرشادية، حجة لغير من خوطب بها؟ وهكذا</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959409_1051229030"/>
      <w:bookmarkStart w:id="377" w:name="_Toc136"/>
      <w:bookmarkEnd w:id="376"/>
      <w:r>
        <w:rPr/>
        <w:t>3</w:t>
      </w:r>
      <w:r>
        <w:rPr>
          <w:rtl w:val="true"/>
        </w:rPr>
        <w:t xml:space="preserve">- </w:t>
      </w:r>
      <w:r>
        <w:rPr>
          <w:rtl w:val="true"/>
        </w:rPr>
        <w:t>جريان مباحث الاستلزامات</w:t>
      </w:r>
      <w:bookmarkEnd w:id="377"/>
    </w:p>
    <w:p>
      <w:pPr>
        <w:pStyle w:val="BookText"/>
        <w:rPr/>
      </w:pPr>
      <w:r>
        <w:rPr>
          <w:rFonts w:ascii="Amiri" w:hAnsi="Amiri" w:eastAsia="Amiri" w:cs="Amiri"/>
          <w:color w:val="111111"/>
          <w:sz w:val="28"/>
          <w:sz w:val="28"/>
          <w:szCs w:val="28"/>
          <w:rtl w:val="true"/>
          <w:lang w:bidi="ar-SA"/>
        </w:rPr>
        <w:t>كما تجري مباحث الاستلزامات ومطلق الحجج العقلية، فهل يستلزم وجوب الشيء إرشادياً وجوب مقدمته؟ واستحبابه استحبابه؟</w:t>
      </w:r>
    </w:p>
    <w:p>
      <w:pPr>
        <w:pStyle w:val="BookText"/>
        <w:rPr/>
      </w:pPr>
      <w:r>
        <w:rPr>
          <w:rFonts w:ascii="Amiri" w:hAnsi="Amiri" w:eastAsia="Amiri" w:cs="Amiri"/>
          <w:color w:val="111111"/>
          <w:sz w:val="28"/>
          <w:sz w:val="28"/>
          <w:szCs w:val="28"/>
          <w:rtl w:val="true"/>
          <w:lang w:bidi="ar-SA"/>
        </w:rPr>
        <w:t>وكذلك هل الحكم بالاستلزام ـ لورود حكم به ـ مولوي أو إرشادي</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ثم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المقدمة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الشرع حكماً ثانياً ـ بعد حكم العقل ـ مولوياً بما حكم به العقل؟ بل هل يعقل ذلك؟ أو إنه يرشد له؟ وهناك صور عديدة ذكرناها في بحث الملازمة من الأصول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مولوي؟ أو إرشادي؟</w:t>
      </w:r>
      <w:bookmarkStart w:id="378" w:name="pg7671_76581"/>
    </w:p>
    <w:p>
      <w:pPr>
        <w:pStyle w:val="BookText"/>
        <w:rPr/>
      </w:pPr>
      <w:bookmarkEnd w:id="378"/>
      <w:r>
        <w:rPr>
          <w:rFonts w:ascii="Amiri" w:hAnsi="Amiri" w:eastAsia="Amiri" w:cs="Amiri"/>
          <w:color w:val="111111"/>
          <w:sz w:val="28"/>
          <w:sz w:val="28"/>
          <w:szCs w:val="28"/>
          <w:rtl w:val="true"/>
          <w:lang w:bidi="ar-SA"/>
        </w:rPr>
        <w:t xml:space="preserve">وهل وجوب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بالإنبساط، أم الترشح، أم بمعنى اللابدية العقلية فقط؟</w:t>
      </w:r>
    </w:p>
    <w:p>
      <w:pPr>
        <w:pStyle w:val="BookText"/>
        <w:rPr/>
      </w:pPr>
      <w:r>
        <w:rPr>
          <w:rFonts w:ascii="Amiri" w:hAnsi="Amiri" w:eastAsia="Amiri" w:cs="Amiri"/>
          <w:color w:val="111111"/>
          <w:sz w:val="28"/>
          <w:sz w:val="28"/>
          <w:szCs w:val="28"/>
          <w:rtl w:val="true"/>
          <w:lang w:bidi="ar-SA"/>
        </w:rPr>
        <w:t>وهل يستلزم الأمر بالشيء إرشادياً، النهي عن ضده؟</w:t>
      </w:r>
    </w:p>
    <w:p>
      <w:pPr>
        <w:pStyle w:val="BookText"/>
        <w:rPr/>
      </w:pPr>
      <w:r>
        <w:rPr>
          <w:rFonts w:ascii="Amiri" w:hAnsi="Amiri" w:eastAsia="Amiri" w:cs="Amiri"/>
          <w:color w:val="111111"/>
          <w:sz w:val="28"/>
          <w:sz w:val="28"/>
          <w:szCs w:val="28"/>
          <w:rtl w:val="true"/>
          <w:lang w:bidi="ar-SA"/>
        </w:rPr>
        <w:t>وهل يجتمع الأمر والنهي الإرشاديان في شيء واحد؟</w:t>
      </w:r>
    </w:p>
    <w:p>
      <w:pPr>
        <w:pStyle w:val="BookText"/>
        <w:rPr/>
      </w:pPr>
      <w:r>
        <w:rPr>
          <w:rFonts w:ascii="Amiri" w:hAnsi="Amiri" w:eastAsia="Amiri" w:cs="Amiri"/>
          <w:color w:val="111111"/>
          <w:sz w:val="28"/>
          <w:sz w:val="28"/>
          <w:szCs w:val="28"/>
          <w:rtl w:val="true"/>
          <w:lang w:bidi="ar-SA"/>
        </w:rPr>
        <w:t>وغير خفي أن بعض أدلة الإمكان والامتناع 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يجتمع الأمر المولوي والنهي الإرشادي أو العكس؟</w:t>
      </w:r>
    </w:p>
    <w:p>
      <w:pPr>
        <w:pStyle w:val="Heading5"/>
        <w:numPr>
          <w:ilvl w:val="4"/>
          <w:numId w:val="1"/>
        </w:numPr>
        <w:rPr/>
      </w:pPr>
      <w:bookmarkStart w:id="379" w:name="__RefHeading___Toc3959411_1051229030"/>
      <w:bookmarkStart w:id="380" w:name="_Toc137"/>
      <w:bookmarkEnd w:id="379"/>
      <w:r>
        <w:rPr/>
        <w:t>4</w:t>
      </w:r>
      <w:r>
        <w:rPr>
          <w:rtl w:val="true"/>
        </w:rPr>
        <w:t xml:space="preserve">- </w:t>
      </w:r>
      <w:r>
        <w:rPr>
          <w:rtl w:val="true"/>
        </w:rPr>
        <w:t>جريان مباحث الأصول الشرعية</w:t>
      </w:r>
      <w:bookmarkEnd w:id="380"/>
    </w:p>
    <w:p>
      <w:pPr>
        <w:pStyle w:val="BookText"/>
        <w:rPr/>
      </w:pPr>
      <w:r>
        <w:rPr>
          <w:rFonts w:ascii="Amiri" w:hAnsi="Amiri" w:eastAsia="Amiri" w:cs="Amiri"/>
          <w:color w:val="111111"/>
          <w:sz w:val="28"/>
          <w:sz w:val="28"/>
          <w:szCs w:val="28"/>
          <w:rtl w:val="true"/>
          <w:lang w:bidi="ar-SA"/>
        </w:rPr>
        <w:t>وكذلك مباحث الأصول العملية الشرعية، إذ يبحث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الشرعية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الإرشادي؟ وإن لم تجر عن العقاب؛ إذ الفرض أنه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لحكم العقل أم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هل إنه بما هو مولى قد رفع الأحكام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إنه بهذه الجملة ونظائرها أرشد إلى حكم العقل فقط؟وتظهر الثمرة في التمسك بالإطلاق والتقييد؛ إذ يصح على المولوية دون الإرشادية؛ إذ على الإرشادية يكون المرجع هو الدليل اللبي وهو مما لا إطلاق له، إلا أن يعد إطلاق الدال كاشفاً عنه ـ فتأمل، وقد فصلناه في موضع 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الإرشادي فبناء على إرشادية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ذهبوا إليه فلو شك </w:t>
      </w:r>
    </w:p>
    <w:p>
      <w:pPr>
        <w:pStyle w:val="BookText"/>
        <w:rPr/>
      </w:pPr>
      <w:r>
        <w:rPr>
          <w:rFonts w:ascii="Amiri" w:hAnsi="Amiri" w:eastAsia="Amiri" w:cs="Amiri"/>
          <w:color w:val="111111"/>
          <w:sz w:val="28"/>
          <w:sz w:val="28"/>
          <w:szCs w:val="28"/>
          <w:rtl w:val="true"/>
          <w:lang w:bidi="ar-SA"/>
        </w:rPr>
        <w:t>في شموله للدين الضئيل أو للكتابة ولو بالآلة، أو إذا تداين الأب من ابنه، فهل يتمسك بالإطلاق</w:t>
      </w:r>
      <w:r>
        <w:rPr>
          <w:rStyle w:val="FootnoteAnchor"/>
          <w:rtl w:val="true"/>
        </w:rPr>
        <w:footnoteReference w:id="407"/>
      </w:r>
      <w:r>
        <w:rPr>
          <w:rFonts w:ascii="Amiri" w:hAnsi="Amiri" w:eastAsia="Amiri" w:cs="Amiri"/>
          <w:color w:val="111111"/>
          <w:sz w:val="28"/>
          <w:sz w:val="28"/>
          <w:szCs w:val="28"/>
          <w:rtl w:val="true"/>
          <w:lang w:bidi="ar-SA"/>
        </w:rPr>
        <w:t>لشموله له؟ ـ وهذا مثال للإطلاق ـ وهو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مثال الاستصحاب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الشبهة الحكمية في استمرار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يكتبه حين الاستدانة، للأزمنة اللاحقة، إذا لم يستفد حكمه من إطلاق الآية نفسها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فهل يستصحب؟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البحث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مبناهم من كونها الإرشادية، والبحث جار كذلك عند الشك في المقتضي والمانع؟</w:t>
      </w:r>
      <w:r>
        <w:rPr>
          <w:rStyle w:val="FootnoteAnchor"/>
          <w:rtl w:val="true"/>
        </w:rPr>
        <w:footnoteReference w:id="408"/>
      </w:r>
      <w:r>
        <w:rPr>
          <w:rFonts w:ascii="Amiri" w:hAnsi="Amiri" w:eastAsia="Amiri" w:cs="Amiri"/>
          <w:color w:val="111111"/>
          <w:sz w:val="28"/>
          <w:sz w:val="28"/>
          <w:szCs w:val="28"/>
          <w:rtl w:val="true"/>
          <w:lang w:bidi="ar-SA"/>
        </w:rPr>
        <w:t>وكليهما عند الشك في كل من وجود المانع أو مانعية الموجود؟</w:t>
      </w:r>
      <w:r>
        <w:rPr>
          <w:rStyle w:val="FootnoteAnchor"/>
          <w:rtl w:val="true"/>
        </w:rPr>
        <w:footnoteReference w:id="409"/>
      </w:r>
      <w:r>
        <w:rPr>
          <w:rFonts w:ascii="Amiri" w:hAnsi="Amiri" w:eastAsia="Amiri" w:cs="Amiri"/>
          <w:color w:val="111111"/>
          <w:sz w:val="28"/>
          <w:sz w:val="28"/>
          <w:szCs w:val="28"/>
          <w:rtl w:val="true"/>
          <w:lang w:bidi="ar-SA"/>
        </w:rPr>
        <w:t xml:space="preserve">وهل هو حجة بالنسبة لمثبتاتة العقلية والعرفية </w:t>
      </w:r>
      <w:bookmarkStart w:id="381" w:name="pg7671_76583"/>
    </w:p>
    <w:p>
      <w:pPr>
        <w:pStyle w:val="BookText"/>
        <w:rPr/>
      </w:pPr>
      <w:bookmarkEnd w:id="381"/>
      <w:r>
        <w:rPr>
          <w:rFonts w:ascii="Amiri" w:hAnsi="Amiri" w:eastAsia="Amiri" w:cs="Amiri"/>
          <w:color w:val="111111"/>
          <w:sz w:val="28"/>
          <w:sz w:val="28"/>
          <w:szCs w:val="28"/>
          <w:rtl w:val="true"/>
          <w:lang w:bidi="ar-SA"/>
        </w:rPr>
        <w:t>كالشرعية أم لا</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البحوث</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الشبهات البدوية، أم في أطراف العلم الإجمالي بوجود حكم إرشادي؟ 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959413_1051229030"/>
      <w:bookmarkStart w:id="383" w:name="_Toc138"/>
      <w:bookmarkEnd w:id="382"/>
      <w:r>
        <w:rPr/>
        <w:t>5</w:t>
      </w:r>
      <w:r>
        <w:rPr>
          <w:rtl w:val="true"/>
        </w:rPr>
        <w:t xml:space="preserve">- </w:t>
      </w:r>
      <w:r>
        <w:rPr>
          <w:rtl w:val="true"/>
        </w:rPr>
        <w:t>جريان مباحث الأصول العقلية</w:t>
      </w:r>
      <w:bookmarkEnd w:id="3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عن العقاب ـ إذ لا عقاب في الإرشادي ـ بل عن العتاب؟ إذ قد ذكرنا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يحكم بقبح العقاب بلا بيان فقط بل بقبح العتاب والملامة بلا بيان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اقتصروا على الأول؛ لأنه هو الضرر الأجلى، أو لأنه الأكثر ابتلاءً، أو لأن مطمح نظرهم كان المؤمّن من العقاب، أو للغفلة، أو لشبه ذلك كتعميم العقاب للعتاب فإنه من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الشك في العنوان والمحصل للحكم الإرشادي وفي أطراف العلم الإجمالي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الإنسدادي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حجة في الإرشادي كالمولوي؟ </w:t>
      </w:r>
      <w:bookmarkStart w:id="384" w:name="pg7671_76584"/>
    </w:p>
    <w:p>
      <w:pPr>
        <w:pStyle w:val="Heading4"/>
        <w:numPr>
          <w:ilvl w:val="3"/>
          <w:numId w:val="1"/>
        </w:numPr>
        <w:rPr/>
      </w:pPr>
      <w:bookmarkStart w:id="385" w:name="__RefHeading___Toc3959415_1051229030"/>
      <w:bookmarkStart w:id="386" w:name="_Toc139"/>
      <w:bookmarkEnd w:id="384"/>
      <w:bookmarkEnd w:id="385"/>
      <w:r>
        <w:rPr>
          <w:rtl w:val="true"/>
        </w:rPr>
        <w:t>تلخيص فيه تحصيل وتفصيل</w:t>
      </w:r>
      <w:bookmarkEnd w:id="386"/>
    </w:p>
    <w:p>
      <w:pPr>
        <w:pStyle w:val="Heading4"/>
        <w:numPr>
          <w:ilvl w:val="3"/>
          <w:numId w:val="1"/>
        </w:numPr>
        <w:rPr/>
      </w:pPr>
      <w:bookmarkStart w:id="387" w:name="__RefHeading___Toc3959417_1051229030"/>
      <w:bookmarkStart w:id="388" w:name="_Toc140"/>
      <w:bookmarkEnd w:id="387"/>
      <w:r>
        <w:rPr>
          <w:rtl w:val="true"/>
        </w:rPr>
        <w:t>والحاصل</w:t>
      </w:r>
      <w:r>
        <w:rPr>
          <w:rtl w:val="true"/>
        </w:rPr>
        <w:t>:</w:t>
      </w:r>
      <w:bookmarkEnd w:id="388"/>
    </w:p>
    <w:p>
      <w:pPr>
        <w:pStyle w:val="BookText"/>
        <w:rPr/>
      </w:pPr>
      <w:r>
        <w:rPr>
          <w:rFonts w:ascii="Amiri" w:hAnsi="Amiri" w:eastAsia="Amiri" w:cs="Amiri"/>
          <w:color w:val="111111"/>
          <w:sz w:val="28"/>
          <w:sz w:val="28"/>
          <w:szCs w:val="28"/>
          <w:rtl w:val="true"/>
          <w:lang w:bidi="ar-SA"/>
        </w:rPr>
        <w:t>إنه لا يخلوا إما أن نقول بأن ما توجه له الأمر أو النهي الإرشادي</w:t>
      </w:r>
      <w:r>
        <w:rPr>
          <w:rStyle w:val="FootnoteAnchor"/>
          <w:rtl w:val="true"/>
        </w:rPr>
        <w:footnoteReference w:id="412"/>
      </w:r>
      <w:r>
        <w:rPr>
          <w:rFonts w:ascii="Amiri" w:hAnsi="Amiri" w:eastAsia="Amiri" w:cs="Amiri"/>
          <w:color w:val="111111"/>
          <w:sz w:val="28"/>
          <w:sz w:val="28"/>
          <w:szCs w:val="28"/>
          <w:rtl w:val="true"/>
          <w:lang w:bidi="ar-SA"/>
        </w:rPr>
        <w:t>، مندرج في علم الفقه، كالمولوي منها، أو لا؟</w:t>
      </w:r>
    </w:p>
    <w:p>
      <w:pPr>
        <w:pStyle w:val="Heading4"/>
        <w:numPr>
          <w:ilvl w:val="3"/>
          <w:numId w:val="1"/>
        </w:numPr>
        <w:rPr/>
      </w:pPr>
      <w:bookmarkStart w:id="389" w:name="__RefHeading___Toc3959419_1051229030"/>
      <w:bookmarkStart w:id="390" w:name="_Toc141"/>
      <w:bookmarkEnd w:id="389"/>
      <w:r>
        <w:rPr>
          <w:rtl w:val="true"/>
        </w:rPr>
        <w:t>على القول باندراج الأحكام الإرشادية في الفقه</w:t>
      </w:r>
      <w:bookmarkEnd w:id="3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بالاندراج، فلا شبهة حينئذٍ في أن تشخيص مصاديق كل منها وبيان كونه واجباً إرشادياً أو مندوباً كذلك، على القول بكون الإرشادي ينقسم إلى القسمين أيضاً، كبيان كونه واجباً بالوجوب المولوي أو مستحباً كذلك، يكون من مسائل علم الفقه؛ فإن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المكلف ـ أو الأعم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فصلنا أعميته من الحكم المولوي والحكم الإرشادي إذا كان للوجوب أو الندب، وعلى هذا يكون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الأحكام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مسائل علم الأصول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bookmarkStart w:id="391" w:name="pg7671_76585"/>
    </w:p>
    <w:p>
      <w:pPr>
        <w:pStyle w:val="BookText"/>
        <w:rPr/>
      </w:pPr>
      <w:bookmarkEnd w:id="391"/>
      <w:r>
        <w:rPr>
          <w:rFonts w:ascii="Amiri" w:hAnsi="Amiri" w:eastAsia="Amiri" w:cs="Amiri"/>
          <w:color w:val="111111"/>
          <w:sz w:val="28"/>
          <w:sz w:val="28"/>
          <w:szCs w:val="28"/>
          <w:rtl w:val="true"/>
          <w:lang w:bidi="ar-SA"/>
        </w:rPr>
        <w:t xml:space="preserve">العقلية أو اللفظية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الأحكام المولوية، والوظائف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يكون بحث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وأيها المراد، من المبادئ التصورية أو التصديقية على المشهور، أو من مسائله على بعض الوجوه التي ذكرناها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بحث معنى المولوي والإرشادي وحدود كل منهما، كذلك مبدءً تصورياً، ويكون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 تصديقياً على المشهور ومسألة أصولية على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أرشد الشارع إلى أمرٍ، مما لم يكن مولوياً ـ نصحياً ولا إرشادياً للوجوب أو للندب</w:t>
      </w:r>
      <w:r>
        <w:rPr>
          <w:rStyle w:val="FootnoteAnchor"/>
          <w:rtl w:val="true"/>
        </w:rPr>
        <w:footnoteReference w:id="413"/>
      </w:r>
      <w:r>
        <w:rPr>
          <w:rFonts w:ascii="Amiri" w:hAnsi="Amiri" w:eastAsia="Amiri" w:cs="Amiri"/>
          <w:color w:val="111111"/>
          <w:sz w:val="28"/>
          <w:sz w:val="28"/>
          <w:szCs w:val="28"/>
          <w:rtl w:val="true"/>
          <w:lang w:bidi="ar-SA"/>
        </w:rPr>
        <w:t>، بل لصرف ملاحظة مصلحة المتعلق دون أي دخل لذاته الشريفة فيه ودون أي إعمال إلزام ولو باعتبارٍ غير اعتبار مولويته</w:t>
      </w:r>
      <w:r>
        <w:rPr>
          <w:rStyle w:val="FootnoteAnchor"/>
          <w:rtl w:val="true"/>
        </w:rPr>
        <w:footnoteReference w:id="414"/>
      </w:r>
      <w:r>
        <w:rPr>
          <w:rFonts w:ascii="Amiri" w:hAnsi="Amiri" w:eastAsia="Amiri" w:cs="Amiri"/>
          <w:color w:val="111111"/>
          <w:sz w:val="28"/>
          <w:sz w:val="28"/>
          <w:szCs w:val="28"/>
          <w:rtl w:val="true"/>
          <w:lang w:bidi="ar-SA"/>
        </w:rPr>
        <w:t xml:space="preserve">، فإنه لا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الأدلة عليه من الأصول؛ لعدم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عندئذٍ لا حقيقة ولا عرفاً بأي معنى من المعاني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كما سبق</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959421_1051229030"/>
      <w:bookmarkStart w:id="393" w:name="_Toc142"/>
      <w:bookmarkEnd w:id="392"/>
      <w:r>
        <w:rPr>
          <w:rtl w:val="true"/>
        </w:rPr>
        <w:t>على القوم بعدم اندراجها في الفقه</w:t>
      </w:r>
      <w:bookmarkEnd w:id="3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بالعدم وأن مؤديات الأوامر والنواهي الإرشادية، خارجة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معرفة الضابط للأمرين ثم تطبيقه </w:t>
      </w:r>
    </w:p>
    <w:p>
      <w:pPr>
        <w:pStyle w:val="BookText"/>
        <w:rPr/>
      </w:pPr>
      <w:r>
        <w:rPr>
          <w:rFonts w:ascii="Amiri" w:hAnsi="Amiri" w:eastAsia="Amiri" w:cs="Amiri"/>
          <w:color w:val="111111"/>
          <w:sz w:val="28"/>
          <w:sz w:val="28"/>
          <w:szCs w:val="28"/>
          <w:rtl w:val="true"/>
          <w:lang w:bidi="ar-SA"/>
        </w:rPr>
        <w:t>على الصغريات، لإدراج ما انطبق عليه ضابط المولوية في الفقه، وغيره، في علم آخر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فيكون تحديد الضابط مسألة أصولية</w:t>
      </w:r>
      <w:r>
        <w:rPr>
          <w:rStyle w:val="FootnoteAnchor"/>
          <w:rtl w:val="true"/>
        </w:rPr>
        <w:footnoteReference w:id="416"/>
      </w:r>
      <w:r>
        <w:rPr>
          <w:rFonts w:ascii="Amiri" w:hAnsi="Amiri" w:eastAsia="Amiri" w:cs="Amiri"/>
          <w:color w:val="111111"/>
          <w:sz w:val="28"/>
          <w:sz w:val="28"/>
          <w:szCs w:val="28"/>
          <w:rtl w:val="true"/>
          <w:lang w:bidi="ar-SA"/>
        </w:rPr>
        <w:t>أو من المبادئ التصديقية لعلم الأصول، وكذلك بحث ظهور الأمر في المولوية أو الإرشادية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إذ يكون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أو لا، حال معرفة الضابط في ما يدل على العموم أو الإطلاق، أو الدوالّ على الوجوب أو الندب، أو الإباحة كالأمر عقيب الحضر، في كونها مسائل أصولية ـ كما أوضحناه في عنوان أجزاء العلوم وعنوان مسائل علم الأصول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المولوية أم لا؟ فإنه أوضح؛ إذ وزانه هو وزان هل الأمر ظاهر في الوجوب أم لا؟ كما أشرنا له في الهامش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ذلك يبحث عنه في علم الأصول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ـ كما ذكرناه في مبحث الغاية،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الأصولية ينطبق على المقام وهو ـ كما ذهب إليه الميرزا النائيني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مسألة كانت كبرى لقياس الاستنباط</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بالكبريات التي لو انضمت إليها </w:t>
      </w:r>
    </w:p>
    <w:p>
      <w:pPr>
        <w:pStyle w:val="BookText"/>
        <w:rPr/>
      </w:pPr>
      <w:r>
        <w:rPr>
          <w:rFonts w:ascii="Amiri" w:hAnsi="Amiri" w:eastAsia="Amiri" w:cs="Amiri"/>
          <w:color w:val="111111"/>
          <w:sz w:val="28"/>
          <w:sz w:val="28"/>
          <w:szCs w:val="28"/>
          <w:rtl w:val="true"/>
          <w:lang w:bidi="ar-SA"/>
        </w:rPr>
        <w:t>صغرياتها، يستنتج منها حكم فرعي كلي</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وقد أشرنا لبعض بحث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يخرج مبحث ظهور الأمر الإرشادي ـ ولو بالأصل، بعد ثبوت إرشاديته بالقرينة ـ في الوجوب أو الندب أو مطلق الطلب، وظهور العام الإرشادي في الشمول، وغيرها عن مسائل الأصول، وكذلك مباحث دلالة الأمر الإرشادي على الفور أو التراخي أو المرة أو التكرار أو غير ذلك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7671_76589"/>
      <w:bookmarkStart w:id="395" w:name="pg7671_76589"/>
      <w:bookmarkEnd w:id="395"/>
    </w:p>
    <w:p>
      <w:pPr>
        <w:pStyle w:val="Heading2"/>
        <w:numPr>
          <w:ilvl w:val="1"/>
          <w:numId w:val="1"/>
        </w:numPr>
        <w:rPr/>
      </w:pPr>
      <w:bookmarkStart w:id="396" w:name="pg7671_76589"/>
      <w:bookmarkStart w:id="397" w:name="__RefHeading___Toc3959423_1051229030"/>
      <w:bookmarkStart w:id="398" w:name="_Toc143"/>
      <w:bookmarkEnd w:id="396"/>
      <w:bookmarkEnd w:id="397"/>
      <w:r>
        <w:rPr>
          <w:rtl w:val="true"/>
        </w:rPr>
        <w:t>المبحث الخامس</w:t>
      </w:r>
      <w:r>
        <w:rPr>
          <w:rtl w:val="true"/>
        </w:rPr>
        <w:t xml:space="preserve">: </w:t>
      </w:r>
      <w:r>
        <w:rPr>
          <w:rtl w:val="true"/>
        </w:rPr>
        <w:t xml:space="preserve">من موارد الابتلاء في </w:t>
      </w:r>
      <w:r>
        <w:rPr>
          <w:rtl w:val="true"/>
        </w:rPr>
        <w:t>(</w:t>
      </w:r>
      <w:r>
        <w:rPr>
          <w:rtl w:val="true"/>
        </w:rPr>
        <w:t>أصول الدين</w:t>
      </w:r>
      <w:r>
        <w:rPr>
          <w:rtl w:val="true"/>
        </w:rPr>
        <w:t xml:space="preserve">) </w:t>
      </w:r>
      <w:r>
        <w:rPr>
          <w:rtl w:val="true"/>
        </w:rPr>
        <w:t>و</w:t>
      </w:r>
      <w:r>
        <w:rPr>
          <w:rtl w:val="true"/>
        </w:rPr>
        <w:t>(</w:t>
      </w:r>
      <w:r>
        <w:rPr>
          <w:rtl w:val="true"/>
        </w:rPr>
        <w:t>أصول الفقه</w:t>
      </w:r>
      <w:r>
        <w:rPr>
          <w:rtl w:val="true"/>
        </w:rPr>
        <w:t xml:space="preserve">) </w:t>
      </w:r>
      <w:r>
        <w:rPr>
          <w:rtl w:val="true"/>
        </w:rPr>
        <w:t>و</w:t>
      </w:r>
      <w:r>
        <w:rPr>
          <w:rtl w:val="true"/>
        </w:rPr>
        <w:t>(</w:t>
      </w:r>
      <w:r>
        <w:rPr>
          <w:rtl w:val="true"/>
        </w:rPr>
        <w:t>القواعد الفقهية</w:t>
      </w:r>
      <w:r>
        <w:rPr>
          <w:rtl w:val="true"/>
        </w:rPr>
        <w:t xml:space="preserve">) </w:t>
      </w:r>
      <w:r>
        <w:rPr>
          <w:rtl w:val="true"/>
        </w:rPr>
        <w:t>و</w:t>
      </w:r>
      <w:r>
        <w:rPr>
          <w:rtl w:val="true"/>
        </w:rPr>
        <w:t>(</w:t>
      </w:r>
      <w:r>
        <w:rPr>
          <w:rtl w:val="true"/>
        </w:rPr>
        <w:t>الفقه</w:t>
      </w:r>
      <w:r>
        <w:rPr>
          <w:rtl w:val="true"/>
        </w:rPr>
        <w:t>)</w:t>
      </w:r>
      <w:bookmarkEnd w:id="3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3959425_1051229030"/>
      <w:bookmarkStart w:id="400" w:name="_Toc144"/>
      <w:bookmarkEnd w:id="399"/>
      <w:r>
        <w:rPr>
          <w:rtl w:val="true"/>
        </w:rPr>
        <w:t>اشارة</w:t>
      </w:r>
      <w:bookmarkEnd w:id="4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7671_76591"/>
      <w:bookmarkStart w:id="402" w:name="pg7671_76591"/>
      <w:bookmarkEnd w:id="402"/>
    </w:p>
    <w:p>
      <w:pPr>
        <w:pStyle w:val="Heading3"/>
        <w:numPr>
          <w:ilvl w:val="2"/>
          <w:numId w:val="1"/>
        </w:numPr>
        <w:rPr/>
      </w:pPr>
      <w:bookmarkStart w:id="403" w:name="pg7671_76591"/>
      <w:bookmarkStart w:id="404" w:name="__RefHeading___Toc3959427_1051229030"/>
      <w:bookmarkStart w:id="405" w:name="_Toc145"/>
      <w:bookmarkEnd w:id="403"/>
      <w:bookmarkEnd w:id="404"/>
      <w:r>
        <w:rPr>
          <w:rtl w:val="true"/>
        </w:rPr>
        <w:t>من موارد الابتلاء في أصول الدين</w:t>
      </w:r>
      <w:bookmarkEnd w:id="405"/>
    </w:p>
    <w:p>
      <w:pPr>
        <w:pStyle w:val="BookText"/>
        <w:rPr/>
      </w:pPr>
      <w:r>
        <w:rPr>
          <w:rFonts w:ascii="Amiri" w:hAnsi="Amiri" w:eastAsia="Amiri" w:cs="Amiri"/>
          <w:color w:val="111111"/>
          <w:sz w:val="28"/>
          <w:sz w:val="28"/>
          <w:szCs w:val="28"/>
          <w:rtl w:val="true"/>
          <w:lang w:bidi="ar-SA"/>
        </w:rPr>
        <w:t>النظر والمعرفة ـ للمبدأ وصفاته وما يتعلق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الرسل ونصب الأوصياء والمعاد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وهذان يرتبطان بموارد الابتلاء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يمكن ارتباطه بأصول الدين وبالفقه ـ كلاحقه ـ تبعاً لمتعلقه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التوبة</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وسنفصل الحديث عن هذه العناوين في المجلد الثاني من هذا </w:t>
      </w:r>
      <w:bookmarkStart w:id="406" w:name="pg7671_76592"/>
    </w:p>
    <w:p>
      <w:pPr>
        <w:pStyle w:val="BookText"/>
        <w:rPr/>
      </w:pPr>
      <w:bookmarkEnd w:id="406"/>
      <w:r>
        <w:rPr>
          <w:rFonts w:ascii="Amiri" w:hAnsi="Amiri" w:eastAsia="Amiri" w:cs="Amiri"/>
          <w:color w:val="111111"/>
          <w:sz w:val="28"/>
          <w:sz w:val="28"/>
          <w:szCs w:val="28"/>
          <w:rtl w:val="true"/>
          <w:lang w:bidi="ar-SA"/>
        </w:rPr>
        <w:t>الكتاب بإذن الله تعالى، كما سنترك الحديث حول بعض العناوين الآتية للمجلد الثاني بلطف الله، ونشير إليها ههنا إشارة عابرة فقط، فنقول</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3959429_1051229030"/>
      <w:bookmarkStart w:id="408" w:name="_Toc146"/>
      <w:bookmarkEnd w:id="407"/>
      <w:r>
        <w:rPr>
          <w:rtl w:val="true"/>
        </w:rPr>
        <w:t xml:space="preserve">من موارد الابتلاء في </w:t>
      </w:r>
      <w:r>
        <w:rPr>
          <w:rtl w:val="true"/>
        </w:rPr>
        <w:t>(</w:t>
      </w:r>
      <w:r>
        <w:rPr>
          <w:rtl w:val="true"/>
        </w:rPr>
        <w:t>أصول الفقه</w:t>
      </w:r>
      <w:r>
        <w:rPr>
          <w:rtl w:val="true"/>
        </w:rPr>
        <w:t>)</w:t>
      </w:r>
      <w:bookmarkEnd w:id="408"/>
    </w:p>
    <w:p>
      <w:pPr>
        <w:pStyle w:val="Heading4"/>
        <w:numPr>
          <w:ilvl w:val="3"/>
          <w:numId w:val="1"/>
        </w:numPr>
        <w:rPr/>
      </w:pPr>
      <w:bookmarkStart w:id="409" w:name="__RefHeading___Toc3959431_1051229030"/>
      <w:bookmarkStart w:id="410" w:name="_Toc147"/>
      <w:bookmarkEnd w:id="409"/>
      <w:r>
        <w:rPr/>
        <w:t>1</w:t>
      </w:r>
      <w:r>
        <w:rPr>
          <w:rtl w:val="true"/>
        </w:rPr>
        <w:t xml:space="preserve">- </w:t>
      </w:r>
      <w:r>
        <w:rPr>
          <w:rtl w:val="true"/>
        </w:rPr>
        <w:t>البراءة العقلية</w:t>
      </w:r>
      <w:bookmarkEnd w:id="410"/>
    </w:p>
    <w:p>
      <w:pPr>
        <w:pStyle w:val="Heading5"/>
        <w:numPr>
          <w:ilvl w:val="4"/>
          <w:numId w:val="1"/>
        </w:numPr>
        <w:rPr/>
      </w:pPr>
      <w:bookmarkStart w:id="411" w:name="__RefHeading___Toc3959433_1051229030"/>
      <w:bookmarkStart w:id="412" w:name="_Toc148"/>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العقلية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إليه، وإلى ما استقل به العقل من رفع العقاب والمؤاخذة، ورفع الحكم في مرحلة الظاهر، عن الجاهل به قصوراً، حسناً ولزوماً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الملاك السابق في المولوية، أي إنه بما هو مولى رفع ما وَضَعَه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الرفع تأسيس مطلقاً؟ أو في الجملة؟ أعم من كونه تأسيساً مولوياً ابتداءً أو إمضاءً</w:t>
      </w:r>
      <w:r>
        <w:rPr>
          <w:rStyle w:val="FootnoteAnchor"/>
          <w:rtl w:val="true"/>
        </w:rPr>
        <w:footnoteReference w:id="422"/>
      </w:r>
      <w:r>
        <w:rPr>
          <w:rFonts w:ascii="Amiri" w:hAnsi="Amiri" w:eastAsia="Amiri" w:cs="Amiri"/>
          <w:color w:val="111111"/>
          <w:sz w:val="28"/>
          <w:sz w:val="28"/>
          <w:szCs w:val="28"/>
          <w:rtl w:val="true"/>
          <w:lang w:bidi="ar-SA"/>
        </w:rPr>
        <w:t>، أو إرشاد؟ وإن كان يستلزم الإمضاء إلا أنه قد يكون بلحاظه وقد لا يكون بلحاظه ـ فتأمل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الشارع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 ما لا نعلمه ـ حكماً أو عقاباً ـ بهذا الحديث، بل وبمثل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أم أنه مرشد فقط إلى حكم العقل؟ </w:t>
      </w:r>
      <w:bookmarkStart w:id="413" w:name="pg7671_76593"/>
    </w:p>
    <w:p>
      <w:pPr>
        <w:pStyle w:val="BookText"/>
        <w:rPr/>
      </w:pPr>
      <w:bookmarkEnd w:id="413"/>
      <w:r>
        <w:rPr>
          <w:rFonts w:ascii="Amiri" w:hAnsi="Amiri" w:eastAsia="Amiri" w:cs="Amiri"/>
          <w:color w:val="111111"/>
          <w:sz w:val="28"/>
          <w:sz w:val="28"/>
          <w:szCs w:val="28"/>
          <w:rtl w:val="true"/>
          <w:lang w:bidi="ar-SA"/>
        </w:rPr>
        <w:t>فهو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على ما فصلناه في موضع آخر من هذا الكتاب، وسيتضح اختلاف ذلك، حسب الاختلاف في 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المولوي والإرشادي،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959435_1051229030"/>
      <w:bookmarkStart w:id="415" w:name="_Toc149"/>
      <w:bookmarkEnd w:id="414"/>
      <w:r>
        <w:rPr>
          <w:rtl w:val="true"/>
        </w:rPr>
        <w:t>التحقيق</w:t>
      </w:r>
      <w:r>
        <w:rPr>
          <w:rtl w:val="true"/>
        </w:rPr>
        <w:t xml:space="preserve">: </w:t>
      </w:r>
      <w:r>
        <w:rPr>
          <w:rtl w:val="true"/>
        </w:rPr>
        <w:t xml:space="preserve">الفرق بين الأقوال في معنى </w:t>
      </w:r>
      <w:r>
        <w:rPr>
          <w:rtl w:val="true"/>
        </w:rPr>
        <w:t>(</w:t>
      </w:r>
      <w:r>
        <w:rPr>
          <w:rtl w:val="true"/>
        </w:rPr>
        <w:t>الرفع</w:t>
      </w:r>
      <w:r>
        <w:rPr>
          <w:rtl w:val="true"/>
        </w:rPr>
        <w:t>)</w:t>
      </w:r>
      <w:bookmarkEnd w:id="415"/>
    </w:p>
    <w:p>
      <w:pPr>
        <w:pStyle w:val="Heading5"/>
        <w:numPr>
          <w:ilvl w:val="4"/>
          <w:numId w:val="1"/>
        </w:numPr>
        <w:rPr/>
      </w:pPr>
      <w:bookmarkStart w:id="416" w:name="__RefHeading___Toc3959437_1051229030"/>
      <w:bookmarkStart w:id="417" w:name="_Toc150"/>
      <w:bookmarkEnd w:id="416"/>
      <w:r>
        <w:rPr>
          <w:rtl w:val="true"/>
        </w:rPr>
        <w:t>وتحقيق ذلك</w:t>
      </w:r>
      <w:r>
        <w:rPr>
          <w:rtl w:val="true"/>
        </w:rPr>
        <w:t>:</w:t>
      </w:r>
      <w:bookmarkEnd w:id="417"/>
    </w:p>
    <w:p>
      <w:pPr>
        <w:pStyle w:val="BookText"/>
        <w:rPr/>
      </w:pPr>
      <w:r>
        <w:rPr>
          <w:rFonts w:ascii="Amiri" w:hAnsi="Amiri" w:eastAsia="Amiri" w:cs="Amiri"/>
          <w:color w:val="111111"/>
          <w:sz w:val="28"/>
          <w:sz w:val="28"/>
          <w:szCs w:val="28"/>
          <w:rtl w:val="true"/>
          <w:lang w:bidi="ar-SA"/>
        </w:rPr>
        <w:t xml:space="preserve">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إذا قلنا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الحكم في مرحلة الظاهر، لاحتمال كونه إرشاداً إلى البراءة العقلية إذا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بالبرهان الإني</w:t>
      </w:r>
      <w:r>
        <w:rPr>
          <w:rStyle w:val="FootnoteAnchor"/>
          <w:rtl w:val="true"/>
        </w:rPr>
        <w:footnoteReference w:id="426"/>
      </w:r>
      <w:r>
        <w:rPr>
          <w:rFonts w:ascii="Amiri" w:hAnsi="Amiri" w:eastAsia="Amiri" w:cs="Amiri"/>
          <w:color w:val="111111"/>
          <w:sz w:val="28"/>
          <w:sz w:val="28"/>
          <w:szCs w:val="28"/>
          <w:rtl w:val="true"/>
          <w:lang w:bidi="ar-SA"/>
        </w:rPr>
        <w:t>على رفع الحكم في مرحلة الظاهر، أو دلالته بدلالة الاقتضاء عليه؛ إذ لا معنى لبقاء الحكم في مرحلة الظاهر مع رفع العقاب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بقائه</w:t>
      </w:r>
      <w:r>
        <w:rPr>
          <w:rStyle w:val="FootnoteAnchor"/>
          <w:rtl w:val="true"/>
        </w:rPr>
        <w:footnoteReference w:id="427"/>
      </w:r>
      <w:r>
        <w:rPr>
          <w:rFonts w:ascii="Amiri" w:hAnsi="Amiri" w:eastAsia="Amiri" w:cs="Amiri"/>
          <w:color w:val="111111"/>
          <w:sz w:val="28"/>
          <w:sz w:val="28"/>
          <w:szCs w:val="28"/>
          <w:rtl w:val="true"/>
          <w:lang w:bidi="ar-SA"/>
        </w:rPr>
        <w:t>تساوق كونه بياناً، ومع القول بعدم كونه كذلك</w:t>
      </w:r>
      <w:r>
        <w:rPr>
          <w:rStyle w:val="FootnoteAnchor"/>
          <w:rtl w:val="true"/>
        </w:rPr>
        <w:footnoteReference w:id="428"/>
      </w:r>
      <w:r>
        <w:rPr>
          <w:rFonts w:ascii="Amiri" w:hAnsi="Amiri" w:eastAsia="Amiri" w:cs="Amiri"/>
          <w:color w:val="111111"/>
          <w:sz w:val="28"/>
          <w:sz w:val="28"/>
          <w:szCs w:val="28"/>
          <w:rtl w:val="true"/>
          <w:lang w:bidi="ar-SA"/>
        </w:rPr>
        <w:t xml:space="preserve">فإبقاؤه أي 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كذلك لو قلنا 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يَعُد إليه بأن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الحكم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ما إذا قلنا 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الواقع ـ مما قيل </w:t>
      </w:r>
      <w:bookmarkStart w:id="418" w:name="pg7671_76594"/>
    </w:p>
    <w:p>
      <w:pPr>
        <w:pStyle w:val="BookText"/>
        <w:rPr/>
      </w:pPr>
      <w:bookmarkEnd w:id="418"/>
      <w:r>
        <w:rPr>
          <w:rFonts w:ascii="Amiri" w:hAnsi="Amiri" w:eastAsia="Amiri" w:cs="Amiri"/>
          <w:color w:val="111111"/>
          <w:sz w:val="28"/>
          <w:sz w:val="28"/>
          <w:szCs w:val="28"/>
          <w:rtl w:val="true"/>
          <w:lang w:bidi="ar-SA"/>
        </w:rPr>
        <w:t>باستلزامه التصويب</w:t>
      </w:r>
      <w:r>
        <w:rPr>
          <w:rStyle w:val="FootnoteAnchor"/>
          <w:rtl w:val="true"/>
        </w:rPr>
        <w:footnoteReference w:id="429"/>
      </w:r>
      <w:r>
        <w:rPr>
          <w:rFonts w:ascii="Amiri" w:hAnsi="Amiri" w:eastAsia="Amiri" w:cs="Amiri"/>
          <w:color w:val="111111"/>
          <w:sz w:val="28"/>
          <w:sz w:val="28"/>
          <w:szCs w:val="28"/>
          <w:rtl w:val="true"/>
          <w:lang w:bidi="ar-SA"/>
        </w:rPr>
        <w:t>ـ فإن قاعدة قبح العقاب بلا يبان، لا تتحدث عن رفع الحكم الواقعي، فلا مجال لاحتمال إرشادية حديث الرفع ـ على هذا ـ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ذهب إليه الشيخ من أن رفع الحكم المشكوك، إنما هو بعدم إيجاب الاحتياط فالمرفوع بحديث الرفع إذن ـ على رأيه ـ هو وجوب الاحتياط</w:t>
      </w:r>
      <w:r>
        <w:rPr>
          <w:rStyle w:val="FootnoteAnchor"/>
          <w:rtl w:val="true"/>
        </w:rPr>
        <w:footnoteReference w:id="430"/>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ولا وجه لإرشاديته إذ لا تشمل البراءة العقلية وهي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فإنه لا يقبح إيجابه عقلاً، بل العقل يحسنه، اللهم إلا بناء على القول بأن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بالعبد،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 إليه، لا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ظهور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959439_1051229030"/>
      <w:bookmarkStart w:id="420" w:name="_Toc151"/>
      <w:bookmarkEnd w:id="419"/>
      <w:r>
        <w:rPr>
          <w:rtl w:val="true"/>
        </w:rPr>
        <w:t>المراد بالموصول في حديث الرفع</w:t>
      </w:r>
      <w:bookmarkEnd w:id="420"/>
    </w:p>
    <w:p>
      <w:pPr>
        <w:pStyle w:val="BookText"/>
        <w:rPr/>
      </w:pPr>
      <w:r>
        <w:rPr>
          <w:rFonts w:ascii="Amiri" w:hAnsi="Amiri" w:eastAsia="Amiri" w:cs="Amiri"/>
          <w:color w:val="111111"/>
          <w:sz w:val="28"/>
          <w:sz w:val="28"/>
          <w:szCs w:val="28"/>
          <w:rtl w:val="true"/>
          <w:lang w:bidi="ar-SA"/>
        </w:rPr>
        <w:t xml:space="preserve">ثم إنه لا فرق فيما ذكر بين ما إذا قلنا بأن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 من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الشبهة الحكمية والموضوعية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قلنا بأن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سواء قلنا بأن إطلاقه يشمل ما لو كان منشأ الجهل بالحكم عدم وصوله إلى المكلف </w:t>
      </w:r>
      <w:bookmarkStart w:id="421" w:name="pg7671_76595"/>
    </w:p>
    <w:p>
      <w:pPr>
        <w:pStyle w:val="BookText"/>
        <w:rPr/>
      </w:pPr>
      <w:bookmarkEnd w:id="421"/>
      <w:r>
        <w:rPr>
          <w:rFonts w:ascii="Amiri" w:hAnsi="Amiri" w:eastAsia="Amiri" w:cs="Amiri"/>
          <w:color w:val="111111"/>
          <w:sz w:val="28"/>
          <w:sz w:val="28"/>
          <w:szCs w:val="28"/>
          <w:rtl w:val="true"/>
          <w:lang w:bidi="ar-SA"/>
        </w:rPr>
        <w:t>ـ وهو المعبر عنه بالشبهة الحكمية ـ أو كان منشؤه الأمور الخارجية ـ وهو موارد الشبهة الموضوعية ـ لتكون نتيجته كسابقه</w:t>
      </w:r>
      <w:r>
        <w:rPr>
          <w:rStyle w:val="FootnoteAnchor"/>
          <w:rtl w:val="true"/>
        </w:rPr>
        <w:footnoteReference w:id="431"/>
      </w:r>
      <w:r>
        <w:rPr>
          <w:rFonts w:ascii="IRNazanin" w:hAnsi="IRNazanin" w:eastAsia="IRNazanin"/>
          <w:color w:val="111111"/>
          <w:sz w:val="28"/>
          <w:sz w:val="28"/>
          <w:szCs w:val="28"/>
          <w:rtl w:val="true"/>
          <w:lang w:bidi="fa-IR"/>
        </w:rPr>
        <w:t>،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قلنا بأن المراد بالموصول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 الفعل الصادر من المكلف في الخارج، أي الفعل غير المعلوم عنوانه للمكلف، كما إذا لم يعلم بأن شرب هذا السائل شرب ماء أو شرب بول، فيختص الحديث بالشبهة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يفصل في البراءة العقلية ويقال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الشبهة الموضوعية؛ إذ بعد العلم بالحكم، يلزمنا العقل بالاحتياط لإحرازه، دون ما لو كان الشك في الحكم نفسه، فيكون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ناسخاً لحكم العقل بالاحتياط، ولا وجه لإرشاديته، ويبقى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شمل الشبهتين ـ كما سبق في الفرضين الأولين ـ بناء على مولويته في الموضوعية، فإنه قد يرجح ذلك مولويته في الحكمية أيضاً، لئلا يلزم محذور كون حديث الرفع مولوياً وإرشادياً في آن واحد، لكن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وليست موضوعاً له ولا مستعملاً فيه فلا إشكال من هذه الجهة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959441_1051229030"/>
      <w:bookmarkStart w:id="423" w:name="_Toc152"/>
      <w:bookmarkEnd w:id="422"/>
      <w:r>
        <w:rPr>
          <w:rtl w:val="true"/>
        </w:rPr>
        <w:t>هل يشمل حديث الرفع، الدفعَ؟</w:t>
      </w:r>
      <w:bookmarkEnd w:id="42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أيضاً بين ما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الدفع أم لا؟ نظراً لأنه ظاهر في إزالة الشيء الثابت، فلا يعم منع المقتضي من التأثير في وجود مقتضاه وهو الدفع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يفهم منه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المحصلة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يجعل الحكم الظاهري أو مرحلة التنجز ـ ابتداءً ـ في حق كل مَن لا يصله الحكم، كما أنه يرفع الحكم الظاهري والتنجز ـ بعد وضعه ـ عن كل من لا يصله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عرفاً بل دقة أيضاً الدفع لا الرفع فإنه من البداية لم يضع مرتبة التنجز على من لا يصله، لا إنه وضعه ثم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بلغوية الوضع ثم الرفع، فلابد من أراده الدفع من حديث الرفع اللهم إلا لضرب القانون ثم الاستثناء، فلذلك عبر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القانون ثم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التمسك بإطلاق المستثنى منه لدى الشك ـ كما ذكر الوالد على ما ببالي في موضع آخر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ثبوت تلك الأحكام في الأديان السابقة ولو في الجملة، فإنه يكفى مصححاً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عليه مجاز، بعلاقة المشارفة أو الأوْل، فيصح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تحقق المقتضي مع مقدمات قريبة فكأنه موجود وقد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فإن الرفع والدفع كلاهما مما يستقل به العقل، فيبقى لإحتمال الإرشادية في حديث الرفع، وجه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ثبوتاً، وأما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المولوية، لانطباق الضابط الأول للمولوية عليه، وكذا في ما سبق وسيأتي إن شاء الله تعالى</w:t>
      </w:r>
      <w:r>
        <w:rPr>
          <w:rFonts w:eastAsia="Amiri" w:cs="Amiri" w:ascii="Amiri" w:hAnsi="Amiri"/>
          <w:color w:val="111111"/>
          <w:sz w:val="28"/>
          <w:szCs w:val="28"/>
          <w:rtl w:val="true"/>
          <w:lang w:bidi="ar-SA"/>
        </w:rPr>
        <w:t xml:space="preserve">. </w:t>
      </w:r>
      <w:bookmarkStart w:id="424" w:name="pg7671_76597"/>
    </w:p>
    <w:p>
      <w:pPr>
        <w:pStyle w:val="Heading5"/>
        <w:numPr>
          <w:ilvl w:val="4"/>
          <w:numId w:val="1"/>
        </w:numPr>
        <w:rPr/>
      </w:pPr>
      <w:bookmarkStart w:id="425" w:name="__RefHeading___Toc3959443_1051229030"/>
      <w:bookmarkStart w:id="426" w:name="_Toc153"/>
      <w:bookmarkEnd w:id="424"/>
      <w:bookmarkEnd w:id="425"/>
      <w:r>
        <w:rPr>
          <w:rtl w:val="true"/>
        </w:rPr>
        <w:t>اختلاف الحال في الأحكام التكليفية والوضعية</w:t>
      </w:r>
      <w:bookmarkEnd w:id="426"/>
    </w:p>
    <w:p>
      <w:pPr>
        <w:pStyle w:val="BookText"/>
        <w:rPr/>
      </w:pPr>
      <w:r>
        <w:rPr>
          <w:rFonts w:ascii="Amiri" w:hAnsi="Amiri" w:eastAsia="Amiri" w:cs="Amiri"/>
          <w:color w:val="111111"/>
          <w:sz w:val="28"/>
          <w:sz w:val="28"/>
          <w:szCs w:val="28"/>
          <w:rtl w:val="true"/>
          <w:lang w:bidi="ar-SA"/>
        </w:rPr>
        <w:t xml:space="preserve">ثم إنه يختلف الحال لو قلنا بأن حديث الرفع خاص بالأحكام التكليفية عما إذا قلنا إنه يعم الوضعية أيضاً؛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رفع الوجوب أو العقاب لو ترك الواجب المشكوك، ولا يقتضي رفع الجزئية للجزء المشكوك، وإن اقتضى رفع حرمة الترك، وكذلك الحال في كل الأقسام الثلاثة التي ذكرها الآخوند على تفصيل ـ وسيأتي تفصيله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حديث الرفع لا مجال لدعوى ارشاديته في رفعه للأحكام الوضعية؛ لعدم مشموليتها للبراءة العقلية، ليكون الحديث إرشاداً إليها، نعم هو محتمل المولوية والإرشادية ثبوتاً ـ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لما سبق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شهر رمضان لوجوب الكفارة، فإنه مجرى حديث الرفع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فلو أُكره عليه أو أُجبر أو كان جاهلاً قصوراً،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وجوبها عليه على الجاهل، خصوصاً القاصر والمقصر غير الملتفت حين الإفطار</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يقتضي حديث الرفع، رفع السببية؟ الظاهر نعم؛ للتلازم عرفاً بين الرفعين</w:t>
      </w:r>
      <w:r>
        <w:rPr>
          <w:rFonts w:eastAsia="Amiri" w:cs="Amiri" w:ascii="Amiri" w:hAnsi="Amiri"/>
          <w:color w:val="111111"/>
          <w:sz w:val="28"/>
          <w:szCs w:val="28"/>
          <w:rtl w:val="true"/>
          <w:lang w:bidi="ar-SA"/>
        </w:rPr>
        <w:t xml:space="preserve">. </w:t>
      </w:r>
      <w:bookmarkStart w:id="427" w:name="pg7671_76598"/>
    </w:p>
    <w:p>
      <w:pPr>
        <w:pStyle w:val="Heading5"/>
        <w:numPr>
          <w:ilvl w:val="4"/>
          <w:numId w:val="1"/>
        </w:numPr>
        <w:rPr/>
      </w:pPr>
      <w:bookmarkStart w:id="428" w:name="__RefHeading___Toc3959445_1051229030"/>
      <w:bookmarkStart w:id="429" w:name="_Toc154"/>
      <w:bookmarkEnd w:id="427"/>
      <w:bookmarkEnd w:id="428"/>
      <w:r>
        <w:rPr>
          <w:rtl w:val="true"/>
        </w:rPr>
        <w:t>البراءة العقلية في التكاليف الإلزامية وغيرها</w:t>
      </w:r>
      <w:bookmarkEnd w:id="429"/>
    </w:p>
    <w:p>
      <w:pPr>
        <w:pStyle w:val="BookText"/>
        <w:rPr/>
      </w:pPr>
      <w:r>
        <w:rPr>
          <w:rFonts w:ascii="Amiri" w:hAnsi="Amiri" w:eastAsia="Amiri" w:cs="Amiri"/>
          <w:color w:val="111111"/>
          <w:sz w:val="28"/>
          <w:sz w:val="28"/>
          <w:szCs w:val="28"/>
          <w:rtl w:val="true"/>
          <w:lang w:bidi="ar-SA"/>
        </w:rPr>
        <w:t>كما أنه يختلف الحال في بحث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قلنا بأن البراءة العقلية خاصة بموارد الشك في التكاليف الإلزامية، ولا تجري في غيرها، بلحاظ أن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غير الإلزامي لا عقاب عليه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وقلنا بأن البراءة الشرعية أعم، فهي تشمل المستحبات والمكروهات، سواء أطلقنا شمولها لها أم فصلنا بجريانها في التكاليف الضمنية دون الاستقلالية كما ذهب البعض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بناءً على ذلك ـ مولوي في غير موارد جريان البراءة العقلية أي في غير التكاليف الإلزامية، وإرشادي ـ أي محتملة ـ فيها</w:t>
      </w:r>
      <w:r>
        <w:rPr>
          <w:rStyle w:val="FootnoteAnchor"/>
          <w:rtl w:val="true"/>
        </w:rPr>
        <w:footnoteReference w:id="435"/>
      </w:r>
      <w:r>
        <w:rPr>
          <w:rFonts w:ascii="Amiri" w:hAnsi="Amiri" w:eastAsia="Amiri" w:cs="Amiri"/>
          <w:color w:val="111111"/>
          <w:sz w:val="28"/>
          <w:sz w:val="28"/>
          <w:szCs w:val="28"/>
          <w:rtl w:val="true"/>
          <w:lang w:bidi="ar-SA"/>
        </w:rPr>
        <w:t xml:space="preserve">، وقد ذكرنا في موضع آخر أن من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بالإطلاق دون الإرشادية ـ على تفصيل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سبق من مثال حديث الرفع، وبغيره ـ كما فصلناه في موضع آخر أيضاً ـ يظهر أن بحث المولوية والإرشادية غير خاص بالأوامر والنواهي بل شامل لمطلق الإنشاءات</w:t>
      </w:r>
      <w:r>
        <w:rPr>
          <w:rStyle w:val="FootnoteAnchor"/>
          <w:rtl w:val="true"/>
        </w:rPr>
        <w:footnoteReference w:id="436"/>
      </w:r>
      <w:r>
        <w:rPr>
          <w:rFonts w:ascii="Amiri" w:hAnsi="Amiri" w:eastAsia="Amiri" w:cs="Amiri"/>
          <w:color w:val="111111"/>
          <w:sz w:val="28"/>
          <w:sz w:val="28"/>
          <w:szCs w:val="28"/>
          <w:rtl w:val="true"/>
          <w:lang w:bidi="ar-SA"/>
        </w:rPr>
        <w:t xml:space="preserve">بل وإن كانت بشكل جملة خبرية، فيشمل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بيد الشارع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أمره بيد الشارع بما هو شارع</w:t>
      </w:r>
      <w:r>
        <w:rPr>
          <w:rFonts w:eastAsia="Amiri" w:cs="Amiri" w:ascii="Amiri" w:hAnsi="Amiri"/>
          <w:color w:val="111111"/>
          <w:sz w:val="28"/>
          <w:szCs w:val="28"/>
          <w:rtl w:val="true"/>
          <w:lang w:bidi="ar-SA"/>
        </w:rPr>
        <w:t xml:space="preserve">. </w:t>
      </w:r>
      <w:bookmarkStart w:id="430" w:name="pg7671_76599"/>
    </w:p>
    <w:p>
      <w:pPr>
        <w:pStyle w:val="Heading5"/>
        <w:numPr>
          <w:ilvl w:val="4"/>
          <w:numId w:val="1"/>
        </w:numPr>
        <w:rPr/>
      </w:pPr>
      <w:bookmarkStart w:id="431" w:name="__RefHeading___Toc3959447_1051229030"/>
      <w:bookmarkStart w:id="432" w:name="_Toc155"/>
      <w:bookmarkEnd w:id="430"/>
      <w:bookmarkEnd w:id="431"/>
      <w:r>
        <w:rPr>
          <w:rtl w:val="true"/>
        </w:rPr>
        <w:t>التفصيل بين الأقسام الثلاثة للحكم الوضعي</w:t>
      </w:r>
      <w:bookmarkEnd w:id="432"/>
    </w:p>
    <w:p>
      <w:pPr>
        <w:pStyle w:val="BookText"/>
        <w:rPr/>
      </w:pPr>
      <w:r>
        <w:rPr>
          <w:rFonts w:ascii="Amiri" w:hAnsi="Amiri" w:eastAsia="Amiri" w:cs="Amiri"/>
          <w:color w:val="111111"/>
          <w:sz w:val="28"/>
          <w:sz w:val="28"/>
          <w:szCs w:val="28"/>
          <w:rtl w:val="true"/>
          <w:lang w:bidi="ar-SA"/>
        </w:rPr>
        <w:t>وعلى هذا فإن بحث المولوية والإرشادية يشمل كل الأحكام الوضعية، سواء قلنا بكونها مجعولة بتبع جعل منشأ انتزاعها وهو الأحكام التكليفية كما هو رأي الشيخ الأنصاري قدس سره، أم قلنا بكونها مجعولة بالاستقلال، وسواء قلنا بإمكان جعلها استقلالاً أم 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فصلنا بين ما يمكن جعله استقلالاً بإنشائه، كما يمكن جعله تبعاً للتكليف لكونه منشأ انتزاعه وذلك كالزوجية والملكية والحرية والرقية والحجية والولاية ـ وهذا هو ثالث أقسام الآخوند الخراساني قدس سره ـ فكل خطاب من الشارع دال على أحدها، يمكن فيه ثبوتاً كونه مولوياً كما يمكن كونه إرشادياً وقد ذكرنا في مطاوي الكتاب آيات وروايات عديدة</w:t>
      </w:r>
      <w:r>
        <w:rPr>
          <w:rStyle w:val="FootnoteAnchor"/>
          <w:rtl w:val="true"/>
        </w:rPr>
        <w:footnoteReference w:id="437"/>
      </w:r>
      <w:r>
        <w:rPr>
          <w:rFonts w:ascii="Amiri" w:hAnsi="Amiri" w:eastAsia="Amiri" w:cs="Amiri"/>
          <w:color w:val="111111"/>
          <w:sz w:val="28"/>
          <w:sz w:val="28"/>
          <w:szCs w:val="28"/>
          <w:rtl w:val="true"/>
          <w:lang w:bidi="ar-SA"/>
        </w:rPr>
        <w:t>دالة على هذه الأحكام وفصلنا فيها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ما لا يمكن جعله تشريعاً أبداً، لا استقلالاً ولا تبعاً للتكليف، وإن كان مجعولاً تكويناً عرضاً بعين جعل موضوعه تكويناً، وذلك كالسببية والشرطية والمانعية والرافعية لما هو سبب التكليف وشرطه ومانعه ورافعه، وذلك مثل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لوجوب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للتكليف بالحج وكذا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للتكليف بالصلاة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عنها، وهذا هو أول أقسام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رأيه بالتفصيل في مباحث الأصول كتاب القطع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يكون منتزعاً من التكليف كالجزئية والشرطة والمانعية لما هو جزء أو شرط أو مانع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كشرطية الاستقبال والتستر ومانعية أجزاء غير المأكول، فهو مجعولبتبع جعل التكليف فيمكن جعله بالتبع لا استقلالاً كما هو رأي الآخوند في ثاني أقسامه، وقد أوضحنا في مباحث الأصول إمكان جعل هذا القسم استقلالاً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على رأي الآخوند فإن المولوية غير متعقلة في أول أقسامه</w:t>
      </w:r>
      <w:r>
        <w:rPr>
          <w:rStyle w:val="FootnoteAnchor"/>
          <w:rtl w:val="true"/>
        </w:rPr>
        <w:footnoteReference w:id="438"/>
      </w:r>
      <w:r>
        <w:rPr>
          <w:rFonts w:ascii="Amiri" w:hAnsi="Amiri" w:eastAsia="Amiri" w:cs="Amiri"/>
          <w:color w:val="111111"/>
          <w:sz w:val="28"/>
          <w:sz w:val="28"/>
          <w:szCs w:val="28"/>
          <w:rtl w:val="true"/>
          <w:lang w:bidi="ar-SA"/>
        </w:rPr>
        <w:t>مطلقاً، وهي ممكنة في ثالث أقسامه</w:t>
      </w:r>
      <w:r>
        <w:rPr>
          <w:rStyle w:val="FootnoteAnchor"/>
          <w:rtl w:val="true"/>
        </w:rPr>
        <w:footnoteReference w:id="439"/>
      </w:r>
      <w:r>
        <w:rPr>
          <w:rFonts w:ascii="Amiri" w:hAnsi="Amiri" w:eastAsia="Amiri" w:cs="Amiri"/>
          <w:color w:val="111111"/>
          <w:sz w:val="28"/>
          <w:sz w:val="28"/>
          <w:szCs w:val="28"/>
          <w:rtl w:val="true"/>
          <w:lang w:bidi="ar-SA"/>
        </w:rPr>
        <w:t>مطلقاً، والتفصيل جار في ثاني أقسامه فتمكن المولوية تبعاً 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صرنا إليه فإنها فيها بأجمعها ممكنة، والإثبات تابع للسان الدليل والقرائن، بعد معرفة الضابط للمولوي والإرشادي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الحال على رأي الشيخ أيضاً، فلا يستشكل بأنه كيف يمكن رفع الأحكام الوضعية أو وضعها مولوياً وهي ليست مجعولة بالاستقلال؟ فلابد من كونها إرشادية؟</w:t>
      </w:r>
    </w:p>
    <w:p>
      <w:pPr>
        <w:pStyle w:val="BookText"/>
        <w:rPr/>
      </w:pPr>
      <w:r>
        <w:rPr>
          <w:rFonts w:ascii="Amiri" w:hAnsi="Amiri" w:eastAsia="Amiri" w:cs="Amiri"/>
          <w:color w:val="111111"/>
          <w:sz w:val="28"/>
          <w:sz w:val="28"/>
          <w:szCs w:val="28"/>
          <w:rtl w:val="true"/>
          <w:lang w:bidi="ar-SA"/>
        </w:rPr>
        <w:t>إذ الظاهر إمكان المولوية و تبعيتها لمنشأ الانتزاع، فإن جُعِل مولوياً تشريعاً كانت</w:t>
      </w:r>
      <w:r>
        <w:rPr>
          <w:rStyle w:val="FootnoteAnchor"/>
          <w:rtl w:val="true"/>
        </w:rPr>
        <w:footnoteReference w:id="440"/>
      </w:r>
      <w:r>
        <w:rPr>
          <w:rFonts w:ascii="Amiri" w:hAnsi="Amiri" w:eastAsia="Amiri" w:cs="Amiri"/>
          <w:color w:val="111111"/>
          <w:sz w:val="28"/>
          <w:sz w:val="28"/>
          <w:szCs w:val="28"/>
          <w:rtl w:val="true"/>
          <w:lang w:bidi="ar-SA"/>
        </w:rPr>
        <w:t>كذلك، أو مولوياً نصحياً كانت مثله، وإن كان صرف النصح كانت كذلك، أو صرف الإخبار فهي مخبر عنها كذلك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القول في حديث الرفع وتمامه يستدعي مجالاً آخر والله المستعان</w:t>
      </w:r>
      <w:r>
        <w:rPr>
          <w:rFonts w:eastAsia="Amiri" w:cs="Amiri" w:ascii="Amiri" w:hAnsi="Amiri"/>
          <w:color w:val="111111"/>
          <w:sz w:val="28"/>
          <w:szCs w:val="28"/>
          <w:rtl w:val="true"/>
          <w:lang w:bidi="ar-SA"/>
        </w:rPr>
        <w:t xml:space="preserve">. </w:t>
      </w:r>
      <w:bookmarkStart w:id="433" w:name="pg7671_76601"/>
    </w:p>
    <w:p>
      <w:pPr>
        <w:pStyle w:val="Heading4"/>
        <w:numPr>
          <w:ilvl w:val="3"/>
          <w:numId w:val="1"/>
        </w:numPr>
        <w:rPr/>
      </w:pPr>
      <w:bookmarkStart w:id="434" w:name="__RefHeading___Toc3959449_1051229030"/>
      <w:bookmarkStart w:id="435" w:name="_Toc156"/>
      <w:bookmarkEnd w:id="433"/>
      <w:bookmarkEnd w:id="434"/>
      <w:r>
        <w:rPr/>
        <w:t>2</w:t>
      </w:r>
      <w:r>
        <w:rPr>
          <w:rtl w:val="true"/>
        </w:rPr>
        <w:t>- (</w:t>
      </w:r>
      <w:r>
        <w:rPr>
          <w:rtl w:val="true"/>
        </w:rPr>
        <w:t>التخيير</w:t>
      </w:r>
      <w:r>
        <w:rPr>
          <w:rtl w:val="true"/>
        </w:rPr>
        <w:t>)</w:t>
      </w:r>
      <w:bookmarkEnd w:id="435"/>
    </w:p>
    <w:p>
      <w:pPr>
        <w:pStyle w:val="Heading5"/>
        <w:numPr>
          <w:ilvl w:val="4"/>
          <w:numId w:val="1"/>
        </w:numPr>
        <w:rPr/>
      </w:pPr>
      <w:bookmarkStart w:id="436" w:name="__RefHeading___Toc3959451_1051229030"/>
      <w:bookmarkStart w:id="437" w:name="_Toc157"/>
      <w:bookmarkEnd w:id="436"/>
      <w:r>
        <w:rPr>
          <w:rtl w:val="true"/>
        </w:rPr>
        <w:t>الأقسام الثلاثة للتخيير</w:t>
      </w:r>
      <w:bookmarkEnd w:id="43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الخبرين المتعارضين عند فقد المرجحات ـ وهو تخيير شرعي ثابت بدليل خاص،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ـ فهل هو مولوي أو إرشادي؟ فعلى القول بالضابط الخامس للمولوية والإرشادية</w:t>
      </w:r>
      <w:r>
        <w:rPr>
          <w:rStyle w:val="FootnoteAnchor"/>
          <w:rtl w:val="true"/>
        </w:rPr>
        <w:footnoteReference w:id="442"/>
      </w:r>
      <w:r>
        <w:rPr>
          <w:rFonts w:ascii="Amiri" w:hAnsi="Amiri" w:eastAsia="Amiri" w:cs="Amiri"/>
          <w:color w:val="111111"/>
          <w:sz w:val="28"/>
          <w:sz w:val="28"/>
          <w:szCs w:val="28"/>
          <w:rtl w:val="true"/>
          <w:lang w:bidi="ar-SA"/>
        </w:rPr>
        <w:t>، والقول بأن التخيير في هذه الصورة من المستقلات العقلية، لا السقوط، فإنه إرشادي، وأما على إنكار هذا الضابط والصيرورة للضابط الأول</w:t>
      </w:r>
      <w:r>
        <w:rPr>
          <w:rStyle w:val="FootnoteAnchor"/>
          <w:rtl w:val="true"/>
        </w:rPr>
        <w:footnoteReference w:id="443"/>
      </w:r>
      <w:r>
        <w:rPr>
          <w:rFonts w:ascii="Amiri" w:hAnsi="Amiri" w:eastAsia="Amiri" w:cs="Amiri"/>
          <w:color w:val="111111"/>
          <w:sz w:val="28"/>
          <w:sz w:val="28"/>
          <w:szCs w:val="28"/>
          <w:rtl w:val="true"/>
          <w:lang w:bidi="ar-SA"/>
        </w:rPr>
        <w:t>ـ كما صرنا إليه ـ أو على القول باستقلال العقل بالسقوط، فإن التخيير هنا يكون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محط البحث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بمعنى هل المولى بما هو مولى، أنشأ حكماً اعتبارياً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إنه أرشد إلى حكم عقلي أو قاعدة عقلائية في المقام؟</w:t>
      </w:r>
      <w:r>
        <w:rPr>
          <w:rStyle w:val="FootnoteAnchor"/>
          <w:rtl w:val="true"/>
        </w:rPr>
        <w:footnoteReference w:id="44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التزاحم ـ ووجود الملاك في </w:t>
      </w:r>
      <w:bookmarkStart w:id="438" w:name="pg7671_76602"/>
    </w:p>
    <w:p>
      <w:pPr>
        <w:pStyle w:val="BookText"/>
        <w:rPr/>
      </w:pPr>
      <w:bookmarkEnd w:id="438"/>
      <w:r>
        <w:rPr>
          <w:rFonts w:ascii="Amiri" w:hAnsi="Amiri" w:eastAsia="Amiri" w:cs="Amiri"/>
          <w:color w:val="111111"/>
          <w:sz w:val="28"/>
          <w:sz w:val="28"/>
          <w:szCs w:val="28"/>
          <w:rtl w:val="true"/>
          <w:lang w:bidi="ar-SA"/>
        </w:rPr>
        <w:t>كل منهما مع عدم القدرة على الجمع بدون كون أحدهما أهم ـ والأمر فيه أوضح، لاستقلال العقل به، فلو ورد بالتخيير نص، فيجري البحث أنه هل هو مولوي أو إرشادي؟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العقلي الثابت بضميمة الدليل الشرعي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خارجاً بعدم وجوب الجمع بين إكرام فردين منهم، فإنه مخير بينهما عقلاً، فلو ورد نص بالتخيير هنا فهل هو مولوي أو إرشادي؟</w:t>
      </w:r>
    </w:p>
    <w:p>
      <w:pPr>
        <w:pStyle w:val="BookText"/>
        <w:rPr/>
      </w:pPr>
      <w:r>
        <w:rPr>
          <w:rFonts w:ascii="Amiri" w:hAnsi="Amiri" w:eastAsia="Amiri" w:cs="Amiri"/>
          <w:color w:val="111111"/>
          <w:sz w:val="28"/>
          <w:sz w:val="28"/>
          <w:szCs w:val="28"/>
          <w:rtl w:val="true"/>
          <w:lang w:bidi="ar-SA"/>
        </w:rPr>
        <w:t>ومن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الاجتهاد والتقليد والاحتياط، فيما علم إجمالاً بوجود أحكام كثيرة للمولى، وعدم إهمالها، وعدم صحة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لاستلزامه الخروج من الدين، وعدم إيجاب الاحتياط أو الاجتهاد تعييناً؛ لاستلزامه العسر والحرج، وعدم مرجعية قواعد كالقرعة أو كل أصل أصل في موطنه، فإن التخيير بين هذه الطرق الثلاثة إليها، عقلي، فلو ورد نص به فهل هو إرشادي؟ أم إنه مولوي؟ فعلى الضابط الخامس لا محيص عن الإرشادية وعلى الضابط الثاني</w:t>
      </w:r>
      <w:r>
        <w:rPr>
          <w:rStyle w:val="FootnoteAnchor"/>
          <w:rtl w:val="true"/>
        </w:rPr>
        <w:footnoteReference w:id="445"/>
      </w:r>
      <w:r>
        <w:rPr>
          <w:rFonts w:ascii="IRNazanin" w:hAnsi="IRNazanin" w:eastAsia="IRNazanin"/>
          <w:color w:val="111111"/>
          <w:sz w:val="28"/>
          <w:sz w:val="28"/>
          <w:szCs w:val="28"/>
          <w:rtl w:val="true"/>
          <w:lang w:bidi="fa-IR"/>
        </w:rPr>
        <w:t>والثالث</w:t>
      </w:r>
      <w:r>
        <w:rPr>
          <w:rStyle w:val="FootnoteAnchor"/>
          <w:rtl w:val="true"/>
        </w:rPr>
        <w:footnoteReference w:id="446"/>
      </w:r>
      <w:r>
        <w:rPr>
          <w:rFonts w:ascii="Amiri" w:hAnsi="Amiri" w:eastAsia="Amiri" w:cs="Amiri"/>
          <w:color w:val="111111"/>
          <w:sz w:val="28"/>
          <w:sz w:val="28"/>
          <w:szCs w:val="28"/>
          <w:rtl w:val="true"/>
          <w:lang w:bidi="ar-SA"/>
        </w:rPr>
        <w:t>والأول وبعض آخر، فإنه مولوي</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3959453_1051229030"/>
      <w:bookmarkStart w:id="440" w:name="_Toc158"/>
      <w:bookmarkEnd w:id="439"/>
      <w:r>
        <w:rPr>
          <w:rtl w:val="true"/>
        </w:rPr>
        <w:t>الدوران في التوصليات والتعبديات</w:t>
      </w:r>
      <w:bookmarkEnd w:id="4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بيان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استقلال العقل في أي واحد منها، بنحو آخر في موارد دوران الأمر بين المحذورين ـ مما يمكن فيه </w:t>
      </w:r>
    </w:p>
    <w:p>
      <w:pPr>
        <w:pStyle w:val="BookText"/>
        <w:rPr/>
      </w:pPr>
      <w:r>
        <w:rPr>
          <w:rFonts w:ascii="Amiri" w:hAnsi="Amiri" w:eastAsia="Amiri" w:cs="Amiri"/>
          <w:color w:val="111111"/>
          <w:sz w:val="28"/>
          <w:sz w:val="28"/>
          <w:szCs w:val="28"/>
          <w:rtl w:val="true"/>
          <w:lang w:bidi="ar-SA"/>
        </w:rPr>
        <w:t>دعوى استقلال العقل بالتخيير ـ إذ أن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الواقعة ـ كدوران إنقاذ هذا الغريق بين كونه واجباً أو حراماً؛ لدوران أمره بين كونه مؤمناً محقون الدم أو كافراً حربياً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وحدتها أيضاً ـ كما لو دار أمر صلاتها بين الوجوب والحرمة، لاحتمالها الحيض أو الطهر مع عدم إحراز أحدهما ولو بالاستصحاب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فيهما مع تعددها</w:t>
      </w:r>
      <w:r>
        <w:rPr>
          <w:rStyle w:val="FootnoteAnchor"/>
          <w:rtl w:val="true"/>
        </w:rPr>
        <w:footnoteReference w:id="447"/>
      </w:r>
      <w:r>
        <w:rPr>
          <w:rFonts w:ascii="Amiri" w:hAnsi="Amiri" w:eastAsia="Amiri" w:cs="Amiri"/>
          <w:color w:val="111111"/>
          <w:sz w:val="28"/>
          <w:sz w:val="28"/>
          <w:szCs w:val="28"/>
          <w:rtl w:val="true"/>
          <w:lang w:bidi="ar-SA"/>
        </w:rPr>
        <w:t>كما لو أقسم على فعل أمر وترك آخر، ثم اشتبها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الصورة الأولى، ذهب صاحب الكفاية إلى التخيير بينهما عقلاً والحكم بالإباحة شرعاً، والتزم المحقق النائيني بالتخيير عقلاً ولم يلتزم بأي حكم ظاهري شرعاً، وقيل بالتخيير شرعاً، وقيل بتقديم احتمال الحرمة؛ لأن دفع المفسدة أولى من جلب المنفعة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حول هذه الصور الثلاثة وتفصيل الأقوال فيها والمحاكمة بينها طويل فليراجع مظآنه، إلا أن القصد هنا مجرد الإشارة إلى ما يرتبط بالمقام إجمالاً وأنه على القول بالتخيير عقلاً، فإن النص لو ورد بالتخيير فإنه يحتمل فيه الإرشاد والمولوية، وأما على القولبالحرمة أو التخيير شرعاً فلا</w:t>
      </w:r>
      <w:r>
        <w:rPr>
          <w:rStyle w:val="FootnoteAnchor"/>
          <w:rtl w:val="true"/>
        </w:rPr>
        <w:footnoteReference w:id="448"/>
      </w:r>
      <w:r>
        <w:rPr>
          <w:rFonts w:ascii="Amiri" w:hAnsi="Amiri" w:eastAsia="Amiri" w:cs="Amiri"/>
          <w:color w:val="111111"/>
          <w:sz w:val="28"/>
          <w:sz w:val="28"/>
          <w:szCs w:val="28"/>
          <w:rtl w:val="true"/>
          <w:lang w:bidi="ar-SA"/>
        </w:rPr>
        <w:t xml:space="preserve">فتدبر جيداً، ولعلنا نرجع لتفصيل ذلك في المجلد الثاني </w:t>
      </w:r>
      <w:bookmarkStart w:id="441" w:name="pg7671_76604"/>
    </w:p>
    <w:p>
      <w:pPr>
        <w:pStyle w:val="BookText"/>
        <w:rPr/>
      </w:pPr>
      <w:bookmarkEnd w:id="441"/>
      <w:r>
        <w:rPr>
          <w:rFonts w:ascii="IRNazanin" w:hAnsi="IRNazanin" w:eastAsia="IRNazanin"/>
          <w:color w:val="111111"/>
          <w:sz w:val="28"/>
          <w:sz w:val="28"/>
          <w:szCs w:val="28"/>
          <w:rtl w:val="true"/>
          <w:lang w:bidi="fa-IR"/>
        </w:rPr>
        <w:t>بإذن الله تعالى</w:t>
      </w:r>
      <w:r>
        <w:rPr>
          <w:rFonts w:eastAsia="IRNazanin" w:cs="IRNazanin"/>
          <w:color w:val="111111"/>
          <w:sz w:val="28"/>
          <w:szCs w:val="28"/>
          <w:rtl w:val="true"/>
          <w:lang w:bidi="fa-IR"/>
        </w:rPr>
        <w:t>.</w:t>
      </w:r>
    </w:p>
    <w:p>
      <w:pPr>
        <w:pStyle w:val="Heading5"/>
        <w:numPr>
          <w:ilvl w:val="4"/>
          <w:numId w:val="1"/>
        </w:numPr>
        <w:rPr/>
      </w:pPr>
      <w:bookmarkStart w:id="442" w:name="__RefHeading___Toc3959455_1051229030"/>
      <w:bookmarkStart w:id="443" w:name="_Toc159"/>
      <w:bookmarkEnd w:id="442"/>
      <w:r>
        <w:rPr>
          <w:rtl w:val="true"/>
        </w:rPr>
        <w:t>من الثمرات</w:t>
      </w:r>
      <w:bookmarkEnd w:id="443"/>
    </w:p>
    <w:p>
      <w:pPr>
        <w:pStyle w:val="BookText"/>
        <w:rPr/>
      </w:pPr>
      <w:r>
        <w:rPr>
          <w:rFonts w:ascii="Amiri" w:hAnsi="Amiri" w:eastAsia="Amiri" w:cs="Amiri"/>
          <w:color w:val="111111"/>
          <w:sz w:val="28"/>
          <w:sz w:val="28"/>
          <w:szCs w:val="28"/>
          <w:rtl w:val="true"/>
          <w:lang w:bidi="ar-SA"/>
        </w:rPr>
        <w:t xml:space="preserve">ثم إنه قد يظهر الأثر في عقد القلب وعدمه، أو الرضا والإنكار والتكذيب، أو كونه هتكاً أو لا، لو بنى على عدمه قولاً وفعلاً، أو يتعدى للحرمة وعدمها؟ وسيأتي تفصيل ذلك ووجوه الأخذ والرد فيه مع ذكر ثمرات أخرى عديدة، في الجزء الثاني بإذن الله تعالى، كما وسيأتي في آخر الكتاب بإذن الله تعالى بحث حول الوجوب التخييري للاجتهاد والتقليد في الأحكام الإرشادية، كالمولوية، تماماً، كما سنبحث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ومولويته أو إرشاديته، مما أشرنا إليه هنا إجمالاً وتفاصيل أخرى عديدة، في المجلد الثاني إذا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959457_1051229030"/>
      <w:bookmarkStart w:id="445" w:name="_Toc160"/>
      <w:bookmarkEnd w:id="444"/>
      <w:r>
        <w:rPr/>
        <w:t>3</w:t>
      </w:r>
      <w:r>
        <w:rPr>
          <w:rtl w:val="true"/>
        </w:rPr>
        <w:t>- (</w:t>
      </w:r>
      <w:r>
        <w:rPr>
          <w:rtl w:val="true"/>
        </w:rPr>
        <w:t>الاحتياط</w:t>
      </w:r>
      <w:r>
        <w:rPr>
          <w:rtl w:val="true"/>
        </w:rPr>
        <w:t>)</w:t>
      </w:r>
      <w:bookmarkEnd w:id="445"/>
    </w:p>
    <w:p>
      <w:pPr>
        <w:pStyle w:val="Heading5"/>
        <w:numPr>
          <w:ilvl w:val="4"/>
          <w:numId w:val="1"/>
        </w:numPr>
        <w:rPr/>
      </w:pPr>
      <w:bookmarkStart w:id="446" w:name="__RefHeading___Toc3959459_1051229030"/>
      <w:bookmarkStart w:id="447" w:name="_Toc161"/>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مولوي أو إرشادي لحكم العقل أو الفطرة بالاحتياط، فلا عقوبة أخرى ـ أو لا وجوب آخر أيضاً ـ وراء وجوب العنوان الواقعي المفوَّت بترك الاحتياط ووراء عقوبته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يستند في أصل الاحتياط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w:t>
      </w:r>
      <w:bookmarkStart w:id="448" w:name="pg7671_76605"/>
    </w:p>
    <w:p>
      <w:pPr>
        <w:pStyle w:val="BookText"/>
        <w:rPr/>
      </w:pPr>
      <w:bookmarkEnd w:id="448"/>
      <w:r>
        <w:rPr>
          <w:rFonts w:ascii="Amiri" w:hAnsi="Amiri" w:eastAsia="Amiri" w:cs="Amiri"/>
          <w:color w:val="111111"/>
          <w:sz w:val="28"/>
          <w:sz w:val="28"/>
          <w:szCs w:val="28"/>
          <w:rtl w:val="true"/>
          <w:lang w:bidi="ar-SA"/>
        </w:rPr>
        <w:t>تُقَاتِهِ</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فإن الحكم بالبراءة في ما شك في حكمه، اقتفاء لما لا علم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فإن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في الشبهة التحريمية، أو ترك العمل بأطراف الشبهة الوجوبية،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فيما يتعلق بشؤون الآخرة ـ مما أقل أهوالها وعقوباتها، أكبر من أهوال الدهر مجتمعة ـ إلقاء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بعض الكلام في ذلك</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959461_1051229030"/>
      <w:bookmarkStart w:id="450" w:name="_Toc162"/>
      <w:bookmarkEnd w:id="449"/>
      <w:r>
        <w:rPr>
          <w:rtl w:val="true"/>
        </w:rPr>
        <w:t>قبح الاحتياط بالجملة، وحسنه في الجملة</w:t>
      </w:r>
      <w:bookmarkEnd w:id="450"/>
    </w:p>
    <w:p>
      <w:pPr>
        <w:pStyle w:val="BookText"/>
        <w:rPr/>
      </w:pPr>
      <w:r>
        <w:rPr>
          <w:rFonts w:ascii="Amiri" w:hAnsi="Amiri" w:eastAsia="Amiri" w:cs="Amiri"/>
          <w:color w:val="111111"/>
          <w:sz w:val="28"/>
          <w:sz w:val="28"/>
          <w:szCs w:val="28"/>
          <w:rtl w:val="true"/>
          <w:lang w:bidi="ar-SA"/>
        </w:rPr>
        <w:t xml:space="preserve">إنه لا ريب في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الكلي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لا ذاتاً بل لأدائه لاختلال النظام، المختلف باختلاف الوضع العام، وباختلاف الأفراد وحالاتهم؛ فإن الجمع بين كل المحتملات، والأخذ بالاحتياط في جميع الشبهات يؤدي للاختلال عادة، ولاستلزامه العسر والحرج الشديدين المستنكرين عقلاً ولتفويته الأهم عادة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ريب في حسنه الذاتي، وحسنه الفعلي فيما لم يؤد للاختلال، ونظائره، وذلك لسببيته لإحراز أغراض المولى، وحسن تحفظ العبد عليها، فكون الاحتياط الشمولي قبيحاً للمحذور الخارجي، لا ينافي حسن التبعيض فيه بالقدر الذي لا يؤدي لتلك المحاذير</w:t>
      </w:r>
      <w:r>
        <w:rPr>
          <w:rFonts w:eastAsia="Amiri" w:cs="Amiri" w:ascii="Amiri" w:hAnsi="Amiri"/>
          <w:color w:val="111111"/>
          <w:sz w:val="28"/>
          <w:szCs w:val="28"/>
          <w:rtl w:val="true"/>
          <w:lang w:bidi="ar-SA"/>
        </w:rPr>
        <w:t xml:space="preserve">. </w:t>
      </w:r>
      <w:bookmarkStart w:id="451" w:name="pg7671_76606"/>
    </w:p>
    <w:p>
      <w:pPr>
        <w:pStyle w:val="BookText"/>
        <w:rPr/>
      </w:pPr>
      <w:bookmarkEnd w:id="451"/>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الصورة الأولى قطعاً بل الثانية، وحينئذٍ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لحكم العقل بالاحتياط أم هو مولوي؟</w:t>
      </w:r>
    </w:p>
    <w:p>
      <w:pPr>
        <w:pStyle w:val="BookText"/>
        <w:rPr/>
      </w:pPr>
      <w:r>
        <w:rPr>
          <w:rFonts w:ascii="Amiri" w:hAnsi="Amiri" w:eastAsia="Amiri" w:cs="Amiri"/>
          <w:color w:val="111111"/>
          <w:sz w:val="28"/>
          <w:sz w:val="28"/>
          <w:szCs w:val="28"/>
          <w:rtl w:val="true"/>
          <w:lang w:bidi="ar-SA"/>
        </w:rPr>
        <w:t>ومن ثمراته أنه لو كان مولوياً أمكن التمسك بإطلاقه في موارد الشك، دون ما لو كان إرشادياً</w:t>
      </w:r>
      <w:r>
        <w:rPr>
          <w:rStyle w:val="FootnoteAnchor"/>
          <w:rtl w:val="true"/>
        </w:rPr>
        <w:footnoteReference w:id="454"/>
      </w:r>
      <w:r>
        <w:rPr>
          <w:rFonts w:ascii="Amiri" w:hAnsi="Amiri" w:eastAsia="Amiri" w:cs="Amiri"/>
          <w:color w:val="111111"/>
          <w:sz w:val="28"/>
          <w:sz w:val="28"/>
          <w:szCs w:val="28"/>
          <w:rtl w:val="true"/>
          <w:lang w:bidi="ar-SA"/>
        </w:rPr>
        <w:t>ولا إطلاق للمرشَد إليه؛ لأنه لُبّي</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959463_1051229030"/>
      <w:bookmarkStart w:id="453" w:name="_Toc163"/>
      <w:bookmarkEnd w:id="452"/>
      <w:r>
        <w:rPr>
          <w:rtl w:val="true"/>
        </w:rPr>
        <w:t>الاحتياط العلمي والاحتياط العرفي</w:t>
      </w:r>
      <w:bookmarkEnd w:id="453"/>
    </w:p>
    <w:p>
      <w:pPr>
        <w:pStyle w:val="BookText"/>
        <w:rPr/>
      </w:pPr>
      <w:r>
        <w:rPr>
          <w:rFonts w:ascii="Amiri" w:hAnsi="Amiri" w:eastAsia="Amiri" w:cs="Amiri"/>
          <w:color w:val="111111"/>
          <w:sz w:val="28"/>
          <w:sz w:val="28"/>
          <w:szCs w:val="28"/>
          <w:rtl w:val="true"/>
          <w:lang w:bidi="ar-SA"/>
        </w:rPr>
        <w:t>ثم إنه يمكن الاحتياط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بالاحتياط في جميع الشبهات العرفية، والاستمرار في ذلك إلى أن يبلغ حد الاختلال أو العسر والحرج الشديدين أو مطلقاً أو تفويت الأهم، فيكف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احتمالاً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وهما المشار إليهما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الراجح لمن التفت إلى ذلك من أول الأمر، ترجيح بعض الاحتياطات، احتمالاً أو محتملاً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واستقلال العقل بحسن الأخير</w:t>
      </w:r>
      <w:r>
        <w:rPr>
          <w:rStyle w:val="FootnoteAnchor"/>
          <w:rtl w:val="true"/>
        </w:rPr>
        <w:footnoteReference w:id="456"/>
      </w:r>
      <w:r>
        <w:rPr>
          <w:rFonts w:ascii="Amiri" w:hAnsi="Amiri" w:eastAsia="Amiri" w:cs="Amiri"/>
          <w:color w:val="111111"/>
          <w:sz w:val="28"/>
          <w:sz w:val="28"/>
          <w:szCs w:val="28"/>
          <w:rtl w:val="true"/>
          <w:lang w:bidi="ar-SA"/>
        </w:rPr>
        <w:t>، لا ينفي استقلاله بحسن الأول، إلا أن الأخير أرجح وأحسن، فهو مرجوح بالنسبة للثاني، راجح في حد نفسه، لكن قد يقال بمرجوحيته</w:t>
      </w:r>
      <w:r>
        <w:rPr>
          <w:rStyle w:val="FootnoteAnchor"/>
          <w:rtl w:val="true"/>
        </w:rPr>
        <w:footnoteReference w:id="457"/>
      </w:r>
      <w:r>
        <w:rPr>
          <w:rFonts w:ascii="Amiri" w:hAnsi="Amiri" w:eastAsia="Amiri" w:cs="Amiri"/>
          <w:color w:val="111111"/>
          <w:sz w:val="28"/>
          <w:sz w:val="28"/>
          <w:szCs w:val="28"/>
          <w:rtl w:val="true"/>
          <w:lang w:bidi="ar-SA"/>
        </w:rPr>
        <w:t>لتفويته الأهم</w:t>
      </w:r>
      <w:r>
        <w:rPr>
          <w:rFonts w:eastAsia="Amiri" w:cs="Amiri" w:ascii="Amiri" w:hAnsi="Amiri"/>
          <w:color w:val="111111"/>
          <w:sz w:val="28"/>
          <w:szCs w:val="28"/>
          <w:rtl w:val="true"/>
          <w:lang w:bidi="ar-SA"/>
        </w:rPr>
        <w:t xml:space="preserve">. </w:t>
      </w:r>
      <w:bookmarkStart w:id="454" w:name="pg7671_76607"/>
    </w:p>
    <w:p>
      <w:pPr>
        <w:pStyle w:val="BookText"/>
        <w:rPr/>
      </w:pPr>
      <w:bookmarkEnd w:id="454"/>
      <w:r>
        <w:rPr>
          <w:rFonts w:ascii="Amiri" w:hAnsi="Amiri" w:eastAsia="Amiri" w:cs="Amiri"/>
          <w:color w:val="111111"/>
          <w:sz w:val="28"/>
          <w:sz w:val="28"/>
          <w:szCs w:val="28"/>
          <w:rtl w:val="true"/>
          <w:lang w:bidi="ar-SA"/>
        </w:rPr>
        <w:t xml:space="preserve">وعلى أي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بإطلاقه الصورتين؟</w:t>
      </w:r>
    </w:p>
    <w:p>
      <w:pPr>
        <w:pStyle w:val="BookText"/>
        <w:rPr/>
      </w:pPr>
      <w:r>
        <w:rPr>
          <w:rFonts w:ascii="Amiri" w:hAnsi="Amiri" w:eastAsia="Amiri" w:cs="Amiri"/>
          <w:color w:val="111111"/>
          <w:sz w:val="28"/>
          <w:sz w:val="28"/>
          <w:szCs w:val="28"/>
          <w:rtl w:val="true"/>
          <w:lang w:bidi="ar-SA"/>
        </w:rPr>
        <w:t xml:space="preserve">الظاهر الشمول، فعلى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مولوياً، ويحتمل كونه إرشادياً؛ لاستقلال العقل به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ببقاء رجحانه وحكم العقل بحسنه رغم تفويته للأهم، كان كذلك</w:t>
      </w:r>
      <w:r>
        <w:rPr>
          <w:rStyle w:val="FootnoteAnchor"/>
          <w:rtl w:val="true"/>
        </w:rPr>
        <w:footnoteReference w:id="458"/>
      </w:r>
      <w:r>
        <w:rPr>
          <w:rFonts w:ascii="Amiri" w:hAnsi="Amiri" w:eastAsia="Amiri" w:cs="Amiri"/>
          <w:color w:val="111111"/>
          <w:sz w:val="28"/>
          <w:sz w:val="28"/>
          <w:szCs w:val="28"/>
          <w:rtl w:val="true"/>
          <w:lang w:bidi="ar-SA"/>
        </w:rPr>
        <w:t xml:space="preserve">وإلا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له</w:t>
      </w:r>
      <w:r>
        <w:rPr>
          <w:rStyle w:val="FootnoteAnchor"/>
          <w:rtl w:val="true"/>
        </w:rPr>
        <w:footnoteReference w:id="459"/>
      </w:r>
      <w:r>
        <w:rPr>
          <w:rFonts w:ascii="Amiri" w:hAnsi="Amiri" w:eastAsia="Amiri" w:cs="Amiri"/>
          <w:color w:val="111111"/>
          <w:sz w:val="28"/>
          <w:sz w:val="28"/>
          <w:szCs w:val="28"/>
          <w:rtl w:val="true"/>
          <w:lang w:bidi="ar-SA"/>
        </w:rPr>
        <w:t>،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يشمله وقد فوت الأهم؟</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الأهم إلزامياً ليكون تفويته محرماً، بل هو الأحسن، فيكون ككل موارد تزاحم مستحب مع مستحب أرجح ـ فتأمل</w:t>
      </w:r>
      <w:r>
        <w:rPr>
          <w:rFonts w:eastAsia="Amiri" w:cs="Amiri" w:ascii="Amiri" w:hAnsi="Amiri"/>
          <w:color w:val="111111"/>
          <w:sz w:val="28"/>
          <w:szCs w:val="28"/>
          <w:rtl w:val="true"/>
          <w:lang w:bidi="ar-SA"/>
        </w:rPr>
        <w:t>.</w:t>
      </w:r>
      <w:r>
        <w:rPr>
          <w:rStyle w:val="FootnoteAnchor"/>
          <w:rtl w:val="true"/>
        </w:rPr>
        <w:footnoteReference w:id="460"/>
      </w:r>
    </w:p>
    <w:p>
      <w:pPr>
        <w:pStyle w:val="Heading5"/>
        <w:numPr>
          <w:ilvl w:val="4"/>
          <w:numId w:val="1"/>
        </w:numPr>
        <w:rPr/>
      </w:pPr>
      <w:bookmarkStart w:id="455" w:name="__RefHeading___Toc3959465_1051229030"/>
      <w:bookmarkStart w:id="456" w:name="_Toc164"/>
      <w:bookmarkEnd w:id="455"/>
      <w:r>
        <w:rPr>
          <w:rtl w:val="true"/>
        </w:rPr>
        <w:t>الاحتياط في المتباينين والارتباطيين والاستقلاليين</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حديث المولوية والإرشادية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مطلقاً أي سواء كان التردد بين المتباينين، أم بين الأقل والأكثر الارتباطيين، بل والاستقلاليين أيضاً ـ وقد فصلناه في مباحث الأصول كتاب القطع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ذلك كله بين كون العلم الإجمالي متعلقاً بأصل التكليف فأراد الامتثال، أو كان في مرحلة الامتثال، كما لو علم إجمالاً ببطلان إحدى الصلاتين بعد الإتيان بهما فإن عليه إعادتهما، لو لم نقل بجريان </w:t>
      </w:r>
    </w:p>
    <w:p>
      <w:pPr>
        <w:pStyle w:val="BookText"/>
        <w:rPr/>
      </w:pP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فالبحث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أم إرشادي في هذه الموارد كلها؟، لاستقلال العقل بها أجمع، أو التفصيل لاستقلال العقل بالأول دون الثاني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ـ في المتباينين ـ جار أيضاً بلحاظ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بل هو جارٍ على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لدعوى استقلال العقل بها أيضاً، فإذا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والوجوب</w:t>
      </w:r>
      <w:r>
        <w:rPr>
          <w:rStyle w:val="FootnoteAnchor"/>
          <w:rtl w:val="true"/>
        </w:rPr>
        <w:footnoteReference w:id="461"/>
      </w:r>
      <w:r>
        <w:rPr>
          <w:rFonts w:ascii="Amiri" w:hAnsi="Amiri" w:eastAsia="Amiri" w:cs="Amiri"/>
          <w:color w:val="111111"/>
          <w:sz w:val="28"/>
          <w:sz w:val="28"/>
          <w:szCs w:val="28"/>
          <w:rtl w:val="true"/>
          <w:lang w:bidi="ar-SA"/>
        </w:rPr>
        <w:t xml:space="preserve">معاً ـ كما هو الظاهر ـ أمكن كونه إرشادياً ثبوتاً كمولويته، وإن كانت المولوية والإرشادية هي المتعينة إثباتاً، كما أن البحث من حيث المولوية والإرشادية،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أيضاً ـ سواء وجوباً أم استحباباً ـ وسواء قلنا بوجوبه الغيري أم وجوبه النفسي بدعوى حسنه الذاتي ـ على كلا تقديري قولنا بتنجيز العلم الإجمالي إذا كان بعض أطرافه خارجاً عن محل الابتلاء كما صرنا إليه في الجملة</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ألا ترى إنه لو علم بوجود سم قاتل في أحد الإناءين وكان أحدهما بعيداً عنه خارج قدرته على شربه، فإن بناء العقلاء بل حكم العقل يقضي بتجنب الإناء الباقي، ولا يسوغون له شربه بتعلل أن قسيمه خارج مورد الابتلاء ـ وتفصيل الأخذ والرد في مباحث الأصول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وعدمه ـ كما هو المشهور ـ وسواء طرأ ذلك بعد حصول العلم الإجمالي أم قبله</w:t>
      </w:r>
      <w:r>
        <w:rPr>
          <w:rFonts w:eastAsia="Amiri" w:cs="Amiri" w:ascii="Amiri" w:hAnsi="Amiri"/>
          <w:color w:val="111111"/>
          <w:sz w:val="28"/>
          <w:szCs w:val="28"/>
          <w:rtl w:val="true"/>
          <w:lang w:bidi="ar-SA"/>
        </w:rPr>
        <w:t>.</w:t>
      </w:r>
      <w:bookmarkStart w:id="457" w:name="pg7671_76609"/>
    </w:p>
    <w:p>
      <w:pPr>
        <w:pStyle w:val="Heading5"/>
        <w:numPr>
          <w:ilvl w:val="4"/>
          <w:numId w:val="1"/>
        </w:numPr>
        <w:rPr/>
      </w:pPr>
      <w:bookmarkStart w:id="458" w:name="__RefHeading___Toc3959467_1051229030"/>
      <w:bookmarkStart w:id="459" w:name="_Toc165"/>
      <w:bookmarkEnd w:id="457"/>
      <w:bookmarkEnd w:id="458"/>
      <w:r>
        <w:rPr>
          <w:rtl w:val="true"/>
        </w:rPr>
        <w:t>جريان البحث في التدريجية وغير المحصورة و</w:t>
      </w:r>
      <w:r>
        <w:rPr>
          <w:rtl w:val="true"/>
        </w:rPr>
        <w:t>...</w:t>
      </w:r>
      <w:bookmarkEnd w:id="459"/>
    </w:p>
    <w:p>
      <w:pPr>
        <w:pStyle w:val="BookText"/>
        <w:rPr/>
      </w:pPr>
      <w:r>
        <w:rPr>
          <w:rFonts w:ascii="Amiri" w:hAnsi="Amiri" w:eastAsia="Amiri" w:cs="Amiri"/>
          <w:color w:val="111111"/>
          <w:sz w:val="28"/>
          <w:sz w:val="28"/>
          <w:szCs w:val="28"/>
          <w:rtl w:val="true"/>
          <w:lang w:bidi="ar-SA"/>
        </w:rPr>
        <w:t>وسواء قلنا بمنجزيته في الأمور التدريجية، كالدفعية ـ بأقسام التدريجية المختلفة ـ أم لا، وسواء كانت الأطراف محصورة، أم كانت بحكمها، وذلك كما فيما كان من قبيل شبهة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الشبهة غير المحصورة، قد يقال بعدم استقلال العقل بحسن الاحتياط فيها، بل وبعدم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ـ فتأمل</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وسواء اضطر إلى ارتكاب بعض الأطراف وقلنا بانحلال العلم الإجمالي أم لا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3959469_1051229030"/>
      <w:bookmarkStart w:id="461" w:name="_Toc166"/>
      <w:bookmarkEnd w:id="460"/>
      <w:r>
        <w:rPr>
          <w:rtl w:val="true"/>
        </w:rPr>
        <w:t>وفي الأجزاء الخارجية والتحليلية</w:t>
      </w:r>
      <w:bookmarkEnd w:id="4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الدوران بين الأقل والأكثر الارتباطيين يختلف الأمر فيه بين ما كان من موارد دوران الأمر بين الأقل والأكثر في الأجزاء الخارجية، وما كان من موارد الدوران بينهما في الأجزاء التحليلية كالجنس والفصل والإطلاق والتقييد، وذلك حسب الأقوال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الصورة الأولى ذهب الآخوند الخراساني والمحقق النائيني قدس سرهما وجماعة، إلى جريان البراءة النقلية دون العقلية، فعلى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مولوي ناسخ لحكم العقل البدوي بالاشتغال، ولو كان صدر فيها أمر بالاحتياط فرضاً أمكن كونه إرشادياً؛ لحكم العقل </w:t>
      </w:r>
    </w:p>
    <w:p>
      <w:pPr>
        <w:pStyle w:val="BookText"/>
        <w:rPr/>
      </w:pPr>
      <w:r>
        <w:rPr>
          <w:rFonts w:ascii="Amiri" w:hAnsi="Amiri" w:eastAsia="Amiri" w:cs="Amiri"/>
          <w:color w:val="111111"/>
          <w:sz w:val="28"/>
          <w:sz w:val="28"/>
          <w:szCs w:val="28"/>
          <w:rtl w:val="true"/>
          <w:lang w:bidi="ar-SA"/>
        </w:rPr>
        <w:t>بالاشتغال وعدم انحلال العلم الإجمالي، كما أمكن كونه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الأنصاري قدس سره فقد ذهب إلى جريان البرائتين؛ لانحلال العلم الإجمالي إلى يقين بوجوب الأقل وشك في وجوب الأكثر</w:t>
      </w:r>
      <w:r>
        <w:rPr>
          <w:rStyle w:val="FootnoteAnchor"/>
          <w:rtl w:val="true"/>
        </w:rPr>
        <w:footnoteReference w:id="464"/>
      </w:r>
      <w:r>
        <w:rPr>
          <w:rFonts w:ascii="Amiri" w:hAnsi="Amiri" w:eastAsia="Amiri" w:cs="Amiri"/>
          <w:color w:val="111111"/>
          <w:sz w:val="28"/>
          <w:sz w:val="28"/>
          <w:szCs w:val="28"/>
          <w:rtl w:val="true"/>
          <w:lang w:bidi="ar-SA"/>
        </w:rPr>
        <w:t xml:space="preserve">، فعلى هذا يمكن كون البراءة النقلية مولوية، كما يمكن كونها إرشادية، ولو فرض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فإنه مولوي ناسخ لحكم العقل البدوي بالبراءة ولا مجال لإرشاديته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بأنه مجرى قاعدة الاشتغال،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يمكن فيه كلا الأمرين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مبنى الضابط الخامس في المولوية والإرشادية، دون المبنى الأول المنصور، وبعض المباني الأخرى ـ كالثاني والثالث ـ فإن عليها لا يختلف الحال في المولوية والإرشادية بين كون المتعلق من المستقلات العقلية أو لا؟ إذ المدار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إعمال مقام المولوية،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مما سبق ويأتي أيضاً فليلاحظ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تفصيلاً طويلاً فلتراجع المطولات، ويعرف حال المولوية والإرشادية في صورها المختلفة على الأقوال المتعددة، بلحاظ ما ذكرناه هنا وفي سائر مواضع الكتاب والله المسهل المستعان</w:t>
      </w:r>
      <w:r>
        <w:rPr>
          <w:rFonts w:eastAsia="Amiri" w:cs="Amiri" w:ascii="Amiri" w:hAnsi="Amiri"/>
          <w:color w:val="111111"/>
          <w:sz w:val="28"/>
          <w:szCs w:val="28"/>
          <w:rtl w:val="true"/>
          <w:lang w:bidi="ar-SA"/>
        </w:rPr>
        <w:t xml:space="preserve">. </w:t>
      </w:r>
      <w:bookmarkStart w:id="462" w:name="pg7671_76611"/>
    </w:p>
    <w:p>
      <w:pPr>
        <w:pStyle w:val="Heading4"/>
        <w:numPr>
          <w:ilvl w:val="3"/>
          <w:numId w:val="1"/>
        </w:numPr>
        <w:rPr/>
      </w:pPr>
      <w:bookmarkStart w:id="463" w:name="__RefHeading___Toc3959471_1051229030"/>
      <w:bookmarkStart w:id="464" w:name="_Toc167"/>
      <w:bookmarkEnd w:id="462"/>
      <w:bookmarkEnd w:id="463"/>
      <w:r>
        <w:rPr/>
        <w:t>4</w:t>
      </w:r>
      <w:r>
        <w:rPr>
          <w:rtl w:val="true"/>
        </w:rPr>
        <w:t>- (</w:t>
      </w:r>
      <w:r>
        <w:rPr>
          <w:rtl w:val="true"/>
        </w:rPr>
        <w:t>الاستصحاب</w:t>
      </w:r>
      <w:r>
        <w:rPr>
          <w:rtl w:val="true"/>
        </w:rPr>
        <w:t>)</w:t>
      </w:r>
      <w:bookmarkEnd w:id="46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هل هو إرشاد لحكم العقل، أم مولوي؟</w:t>
      </w:r>
    </w:p>
    <w:p>
      <w:pPr>
        <w:pStyle w:val="BookText"/>
        <w:rPr/>
      </w:pPr>
      <w:r>
        <w:rPr>
          <w:rFonts w:ascii="Amiri" w:hAnsi="Amiri" w:eastAsia="Amiri" w:cs="Amiri"/>
          <w:color w:val="111111"/>
          <w:sz w:val="28"/>
          <w:sz w:val="28"/>
          <w:szCs w:val="28"/>
          <w:rtl w:val="true"/>
          <w:lang w:bidi="ar-SA"/>
        </w:rPr>
        <w:t xml:space="preserve">أم يصار للتفضيل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الرافع</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ـ سواء وجود الرافع أو رافعية الموجود ـ أو التفصيل بين الشبهات الحكمية والشبهات الموضوعية</w:t>
      </w:r>
      <w:r>
        <w:rPr>
          <w:rStyle w:val="FootnoteAnchor"/>
          <w:rtl w:val="true"/>
        </w:rPr>
        <w:footnoteReference w:id="467"/>
      </w:r>
      <w:r>
        <w:rPr>
          <w:rFonts w:ascii="Amiri" w:hAnsi="Amiri" w:eastAsia="Amiri" w:cs="Amiri"/>
          <w:color w:val="111111"/>
          <w:sz w:val="28"/>
          <w:sz w:val="28"/>
          <w:szCs w:val="28"/>
          <w:rtl w:val="true"/>
          <w:lang w:bidi="ar-SA"/>
        </w:rPr>
        <w:t>أو التفصيل بين الشبهات الحكمية والموضوعية بقسميها الحدسي والحسي، والفرق بين المجتهد والمقلد فيها</w:t>
      </w:r>
      <w:r>
        <w:rPr>
          <w:rStyle w:val="FootnoteAnchor"/>
          <w:rtl w:val="true"/>
        </w:rPr>
        <w:footnoteReference w:id="468"/>
      </w:r>
      <w:r>
        <w:rPr>
          <w:rFonts w:ascii="Amiri" w:hAnsi="Amiri" w:eastAsia="Amiri" w:cs="Amiri"/>
          <w:color w:val="111111"/>
          <w:sz w:val="28"/>
          <w:sz w:val="28"/>
          <w:szCs w:val="28"/>
          <w:rtl w:val="true"/>
          <w:lang w:bidi="ar-SA"/>
        </w:rPr>
        <w:t>، أم غير ذلك من سائر التفاصيل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تظهر الثمرة في 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بإبقاء ما كان على ما كان مطلقاً أو في الجملة، إذ لو تم فيجري البحث في أن أمر الشارع بالإبقاء مولوي أم إرشادي، ولو لم يتم فإنه مولوي دون تأمل</w:t>
      </w:r>
      <w:r>
        <w:rPr>
          <w:rFonts w:eastAsia="Amiri" w:cs="Amiri" w:ascii="Amiri" w:hAnsi="Amiri"/>
          <w:color w:val="111111"/>
          <w:sz w:val="28"/>
          <w:szCs w:val="28"/>
          <w:rtl w:val="true"/>
          <w:lang w:bidi="ar-SA"/>
        </w:rPr>
        <w:t xml:space="preserve">. </w:t>
      </w:r>
      <w:bookmarkStart w:id="465" w:name="pg7671_76612"/>
    </w:p>
    <w:p>
      <w:pPr>
        <w:pStyle w:val="BookText"/>
        <w:rPr/>
      </w:pPr>
      <w:bookmarkEnd w:id="465"/>
      <w:r>
        <w:rPr>
          <w:rFonts w:ascii="Amiri" w:hAnsi="Amiri" w:eastAsia="Amiri" w:cs="Amiri"/>
          <w:color w:val="111111"/>
          <w:sz w:val="28"/>
          <w:sz w:val="28"/>
          <w:szCs w:val="28"/>
          <w:rtl w:val="true"/>
          <w:lang w:bidi="ar-SA"/>
        </w:rPr>
        <w:t>ولنترك تفصيل البحث عن الأدلة على كون أوامر الاستصحاب مولوية أو إرشادية</w:t>
      </w:r>
      <w:r>
        <w:rPr>
          <w:rStyle w:val="FootnoteAnchor"/>
          <w:rtl w:val="true"/>
        </w:rPr>
        <w:footnoteReference w:id="469"/>
      </w:r>
      <w:r>
        <w:rPr>
          <w:rFonts w:ascii="Amiri" w:hAnsi="Amiri" w:eastAsia="Amiri" w:cs="Amiri"/>
          <w:color w:val="111111"/>
          <w:sz w:val="28"/>
          <w:sz w:val="28"/>
          <w:szCs w:val="28"/>
          <w:rtl w:val="true"/>
          <w:lang w:bidi="ar-SA"/>
        </w:rPr>
        <w:t>للمجلد الثاني، إذا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959473_1051229030"/>
      <w:bookmarkStart w:id="467" w:name="_Toc168"/>
      <w:bookmarkEnd w:id="466"/>
      <w:r>
        <w:rPr/>
        <w:t>5</w:t>
      </w:r>
      <w:r>
        <w:rPr>
          <w:rtl w:val="true"/>
        </w:rPr>
        <w:t xml:space="preserve">، </w:t>
      </w:r>
      <w:r>
        <w:rPr/>
        <w:t>6</w:t>
      </w:r>
      <w:r>
        <w:rPr>
          <w:rtl w:val="true"/>
        </w:rPr>
        <w:t xml:space="preserve">- </w:t>
      </w:r>
      <w:r>
        <w:rPr>
          <w:rtl w:val="true"/>
        </w:rPr>
        <w:t xml:space="preserve">مباحث </w:t>
      </w:r>
      <w:r>
        <w:rPr>
          <w:rtl w:val="true"/>
        </w:rPr>
        <w:t>(</w:t>
      </w:r>
      <w:r>
        <w:rPr>
          <w:rtl w:val="true"/>
        </w:rPr>
        <w:t>الاستلزامات</w:t>
      </w:r>
      <w:r>
        <w:rPr>
          <w:rtl w:val="true"/>
        </w:rPr>
        <w:t>)</w:t>
      </w:r>
      <w:bookmarkEnd w:id="467"/>
    </w:p>
    <w:p>
      <w:pPr>
        <w:pStyle w:val="Heading5"/>
        <w:numPr>
          <w:ilvl w:val="4"/>
          <w:numId w:val="1"/>
        </w:numPr>
        <w:rPr/>
      </w:pPr>
      <w:bookmarkStart w:id="468" w:name="__RefHeading___Toc3959475_1051229030"/>
      <w:bookmarkStart w:id="469" w:name="_Toc169"/>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وكذا مطلق مباحث الاستلزامات ومنها</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3959477_1051229030"/>
      <w:bookmarkStart w:id="471" w:name="_Toc170"/>
      <w:bookmarkEnd w:id="470"/>
      <w:r>
        <w:rPr/>
        <w:t>5</w:t>
      </w:r>
      <w:r>
        <w:rPr>
          <w:rtl w:val="true"/>
        </w:rPr>
        <w:t xml:space="preserve">- </w:t>
      </w:r>
      <w:r>
        <w:rPr>
          <w:rtl w:val="true"/>
        </w:rPr>
        <w:t>هل الأمر بالمقدمة مولوي أو إرشادي؟</w:t>
      </w:r>
      <w:bookmarkEnd w:id="471"/>
    </w:p>
    <w:p>
      <w:pPr>
        <w:pStyle w:val="Heading6"/>
        <w:numPr>
          <w:ilvl w:val="5"/>
          <w:numId w:val="1"/>
        </w:numPr>
        <w:rPr/>
      </w:pPr>
      <w:bookmarkStart w:id="472" w:name="__RefHeading___Toc3959479_1051229030"/>
      <w:bookmarkStart w:id="473" w:name="_Toc171"/>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فهل لو أمر الشارع بالمقدمة، فهو أمر مولوي وإن كان غيرياً أو صرف إرشاد؟</w:t>
      </w:r>
    </w:p>
    <w:p>
      <w:pPr>
        <w:pStyle w:val="BookText"/>
        <w:rPr/>
      </w:pPr>
      <w:r>
        <w:rPr>
          <w:rFonts w:ascii="Amiri" w:hAnsi="Amiri" w:eastAsia="Amiri" w:cs="Amiri"/>
          <w:color w:val="111111"/>
          <w:sz w:val="28"/>
          <w:sz w:val="28"/>
          <w:szCs w:val="28"/>
          <w:rtl w:val="true"/>
          <w:lang w:bidi="ar-SA"/>
        </w:rPr>
        <w:t>بل قد يقال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بذي المقدمة، أمر بالمقدمات، لانبساطه عليها على قول أو لترشحه منه إليها ـ على قول آخر ـ وإن لم يصرح بالأمر بالمقدمات، فهل هذا الأمر المنبسط أو المترشح ـ المستفاد عرفاً من الأمر بذيها، أو الدال ذلك الأمر عليه بدلالة الإيماء والإشارة ـ مولوي أو إرشادي؟</w:t>
      </w:r>
    </w:p>
    <w:p>
      <w:pPr>
        <w:pStyle w:val="BookText"/>
        <w:rPr/>
      </w:pPr>
      <w:r>
        <w:rPr>
          <w:rFonts w:ascii="Amiri" w:hAnsi="Amiri" w:eastAsia="Amiri" w:cs="Amiri"/>
          <w:color w:val="111111"/>
          <w:sz w:val="28"/>
          <w:sz w:val="28"/>
          <w:szCs w:val="28"/>
          <w:rtl w:val="true"/>
          <w:lang w:bidi="ar-SA"/>
        </w:rPr>
        <w:t>نعم على مبنى إرادة اللابدية العقلية في لزوم المقدمة لا يجري بحث المولوية والإرشادية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القائل بالوجوب الشرعي، هل يقول به من باب الوجوب المولوي، أو من باب الوجوب الإرشادي ـ على القول بوجود النحوين من الوجوب ـ؟ </w:t>
      </w:r>
      <w:bookmarkStart w:id="474" w:name="pg7671_76613"/>
    </w:p>
    <w:p>
      <w:pPr>
        <w:pStyle w:val="Heading6"/>
        <w:numPr>
          <w:ilvl w:val="5"/>
          <w:numId w:val="1"/>
        </w:numPr>
        <w:rPr/>
      </w:pPr>
      <w:bookmarkStart w:id="475" w:name="__RefHeading___Toc3959481_1051229030"/>
      <w:bookmarkStart w:id="476" w:name="_Toc172"/>
      <w:bookmarkEnd w:id="474"/>
      <w:bookmarkEnd w:id="475"/>
      <w:r>
        <w:rPr>
          <w:rtl w:val="true"/>
        </w:rPr>
        <w:t>رأي الآخوند فيما لو أمر الشارع بالمقدمات</w:t>
      </w:r>
      <w:bookmarkEnd w:id="476"/>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تكرر صدور أمر من الشارع بالمقدمات، وذلك في كل موارد الأوامر الغيرية وغيرها</w:t>
      </w:r>
      <w:r>
        <w:rPr>
          <w:rStyle w:val="FootnoteAnchor"/>
          <w:rtl w:val="true"/>
        </w:rPr>
        <w:footnoteReference w:id="470"/>
      </w:r>
      <w:r>
        <w:rPr>
          <w:rFonts w:ascii="Amiri" w:hAnsi="Amiri" w:eastAsia="Amiri" w:cs="Amiri"/>
          <w:color w:val="111111"/>
          <w:sz w:val="28"/>
          <w:sz w:val="28"/>
          <w:szCs w:val="28"/>
          <w:rtl w:val="true"/>
          <w:lang w:bidi="ar-SA"/>
        </w:rPr>
        <w:t>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الآخوند قدس سره أن من الواضح أن تعلق الأوامر الغيرية في هذه المواطن إنما هو بملاك المقدمية،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الملاك موجود في غيرها من المقدمات فيكشف بذلك كون الأمر الغيري متعلقاً بكل المقدمات لوجود نفس الملاك</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3959483_1051229030"/>
      <w:bookmarkStart w:id="478" w:name="_Toc173"/>
      <w:bookmarkEnd w:id="477"/>
      <w:r>
        <w:rPr>
          <w:rtl w:val="true"/>
        </w:rPr>
        <w:t>المصباح</w:t>
      </w:r>
      <w:r>
        <w:rPr>
          <w:rtl w:val="true"/>
        </w:rPr>
        <w:t xml:space="preserve">: </w:t>
      </w:r>
      <w:r>
        <w:rPr>
          <w:rtl w:val="true"/>
        </w:rPr>
        <w:t>هي أوامر إرشادية</w:t>
      </w:r>
      <w:bookmarkEnd w:id="47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مصباح الأصول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الأوامر المتعلقة بهذه المقدمات، في الشرعيات والعرفيات، ليست أوامر مولوية غيرية، بل إنما هي أوامر إرشادية إلى الشرطية، بشهادة فهم العرف، فلا وجوب للمقدمات في هذه الموارد كي نتعدى منها إلى غيرها لوجود الملاك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بالأوامر المتعلقة بالأجزاء كالركوع والسجود، وبالأوامر </w:t>
      </w:r>
      <w:bookmarkStart w:id="479" w:name="pg7671_76614"/>
    </w:p>
    <w:p>
      <w:pPr>
        <w:pStyle w:val="BookText"/>
        <w:rPr/>
      </w:pPr>
      <w:bookmarkEnd w:id="479"/>
      <w:r>
        <w:rPr>
          <w:rFonts w:ascii="Amiri" w:hAnsi="Amiri" w:eastAsia="Amiri" w:cs="Amiri"/>
          <w:color w:val="111111"/>
          <w:sz w:val="28"/>
          <w:sz w:val="28"/>
          <w:szCs w:val="28"/>
          <w:rtl w:val="true"/>
          <w:lang w:bidi="ar-SA"/>
        </w:rPr>
        <w:t>المتعلقةبالشرائط في باب المعاملات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الطلاق</w:t>
      </w:r>
      <w:r>
        <w:rPr>
          <w:rStyle w:val="FootnoteAnchor"/>
          <w:rtl w:val="true"/>
        </w:rPr>
        <w:footnoteReference w:id="474"/>
      </w:r>
      <w:r>
        <w:rPr>
          <w:rFonts w:ascii="Amiri" w:hAnsi="Amiri" w:eastAsia="Amiri" w:cs="Amiri"/>
          <w:color w:val="111111"/>
          <w:sz w:val="28"/>
          <w:sz w:val="28"/>
          <w:szCs w:val="28"/>
          <w:rtl w:val="true"/>
          <w:lang w:bidi="ar-SA"/>
        </w:rPr>
        <w:t>، فإنه إرشاد إلى شرطية حضور العدلين في صحة الطلاق، ومن المعلوم أن الأوامر المتعلقة بالشرائط في باب المعاملات، ليست أوامر مولوية بل إرشادية إلى الشرطية فكذا المقام</w:t>
      </w:r>
      <w:r>
        <w:rPr>
          <w:rFonts w:eastAsia="Amiri" w:cs="Amiri" w:ascii="Amiri" w:hAnsi="Amiri"/>
          <w:color w:val="111111"/>
          <w:sz w:val="28"/>
          <w:szCs w:val="28"/>
          <w:rtl w:val="true"/>
          <w:lang w:bidi="ar-SA"/>
        </w:rPr>
        <w:t>).</w:t>
      </w:r>
      <w:r>
        <w:rPr>
          <w:rStyle w:val="FootnoteAnchor"/>
          <w:rtl w:val="true"/>
        </w:rPr>
        <w:footnoteReference w:id="475"/>
      </w:r>
    </w:p>
    <w:p>
      <w:pPr>
        <w:pStyle w:val="Heading6"/>
        <w:numPr>
          <w:ilvl w:val="5"/>
          <w:numId w:val="1"/>
        </w:numPr>
        <w:rPr/>
      </w:pPr>
      <w:bookmarkStart w:id="480" w:name="__RefHeading___Toc3959485_1051229030"/>
      <w:bookmarkStart w:id="481" w:name="_Toc174"/>
      <w:bookmarkEnd w:id="480"/>
      <w:r>
        <w:rPr>
          <w:rtl w:val="true"/>
        </w:rPr>
        <w:t>الظاهر صحة رأي الآخوند</w:t>
      </w:r>
      <w:bookmarkEnd w:id="481"/>
    </w:p>
    <w:p>
      <w:pPr>
        <w:pStyle w:val="BookText"/>
        <w:rPr/>
      </w:pPr>
      <w:r>
        <w:rPr>
          <w:rFonts w:ascii="Amiri" w:hAnsi="Amiri" w:eastAsia="Amiri" w:cs="Amiri"/>
          <w:color w:val="111111"/>
          <w:sz w:val="28"/>
          <w:sz w:val="28"/>
          <w:szCs w:val="28"/>
          <w:rtl w:val="true"/>
          <w:lang w:bidi="ar-SA"/>
        </w:rPr>
        <w:t xml:space="preserve">لكن الظاهر هو صحة ما ذهب إليه صاحب الكفاية، وذلك بناء على ما فصلناه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المولوي والإرشادي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كان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هو الحق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هذه الأوامر كذلك، وذلك ما يفهمه العرف 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في المتعلق، بل سواء وجد فيه، أو فيما يؤدي إليه ـ أي ذي المقدمة ـ أم لم تكن هنالك مصلحة أصلاً فرضاً، فإن الأمر مولوي إذا صدر من المولى بما هو مولى معملاً مقام مولويته، كما فصلناه عند البحث عن ضوابط المولوية والإرشادية، وبالعكس فإن وجود المصلحة في المتعلق لا يحتم كون الأمر به مولوياً إلا لو أعمل مقامه، بل لو لاحظ في أمره صرف مصلحة المتعلق للعبد، كان إرشادياً</w:t>
      </w:r>
      <w:r>
        <w:rPr>
          <w:rFonts w:eastAsia="Amiri" w:cs="Amiri" w:ascii="Amiri" w:hAnsi="Amiri"/>
          <w:color w:val="111111"/>
          <w:sz w:val="28"/>
          <w:szCs w:val="28"/>
          <w:rtl w:val="true"/>
          <w:lang w:bidi="ar-SA"/>
        </w:rPr>
        <w:t xml:space="preserve">. </w:t>
      </w:r>
      <w:bookmarkStart w:id="482" w:name="pg7671_76615"/>
    </w:p>
    <w:p>
      <w:pPr>
        <w:pStyle w:val="BookText"/>
        <w:rPr/>
      </w:pPr>
      <w:bookmarkEnd w:id="482"/>
      <w:r>
        <w:rPr>
          <w:rFonts w:ascii="Amiri" w:hAnsi="Amiri" w:eastAsia="Amiri" w:cs="Amiri"/>
          <w:color w:val="111111"/>
          <w:sz w:val="28"/>
          <w:sz w:val="28"/>
          <w:szCs w:val="28"/>
          <w:rtl w:val="true"/>
          <w:lang w:bidi="ar-SA"/>
        </w:rPr>
        <w:t xml:space="preserve">وإن كان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لمصلحة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الضابط هو الثالث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الضابط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غير موارد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ذكره المصباح، لاستقلال العقل بوجوب المقدمة ـ لا بمعنى صرف اللابدية كما لا يخفى ـ لكن قد فصلنا النقاش هناك في صحة هذا الضابط، كبرى،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معرفة الحال بناء على سائر الضوابط من مراجعة ذلك الفصل، ونكتفي بالإشارة إلى الضابط التاسع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عليه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بعدم ترتب الثواب والعقاب على المقدمة وحيث قد بحثنا ذلك تفصيلاً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حكم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للإطالة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959487_1051229030"/>
      <w:bookmarkStart w:id="484" w:name="_Toc175"/>
      <w:bookmarkEnd w:id="483"/>
      <w:r>
        <w:rPr>
          <w:rtl w:val="true"/>
        </w:rPr>
        <w:t>الأوامر في المعاملات وغيرها ليست ظاهرة في الإرشادية</w:t>
      </w:r>
      <w:bookmarkEnd w:id="484"/>
    </w:p>
    <w:p>
      <w:pPr>
        <w:pStyle w:val="BookText"/>
        <w:rPr/>
      </w:pPr>
      <w:r>
        <w:rPr>
          <w:rFonts w:ascii="Amiri" w:hAnsi="Amiri" w:eastAsia="Amiri" w:cs="Amiri"/>
          <w:color w:val="111111"/>
          <w:sz w:val="28"/>
          <w:sz w:val="28"/>
          <w:szCs w:val="28"/>
          <w:rtl w:val="true"/>
          <w:lang w:bidi="ar-SA"/>
        </w:rPr>
        <w:t>وأما ما نظر به من الأوامر المتعلقة بالشرائط في باب المعاملات، فقد فصلنا في موضع آخر من الكتاب، الجواب عنه، ونضيف هنا ـ وبإيجاز</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الظهور الثانوي في باب العقود والإيقاعات قد انعقد ـ كما قيل ـ على كون الأوامر والنواهي، إرشادية للشرطية والمانعية وشبههما، وعلى ذلك استقر فهم العرف، كما أشار إليه الوالد في الأصول والأصفهاني </w:t>
      </w:r>
      <w:bookmarkStart w:id="485" w:name="pg7671_76616"/>
    </w:p>
    <w:p>
      <w:pPr>
        <w:pStyle w:val="BookText"/>
        <w:rPr/>
      </w:pPr>
      <w:bookmarkEnd w:id="485"/>
      <w:r>
        <w:rPr>
          <w:rFonts w:ascii="Amiri" w:hAnsi="Amiri" w:eastAsia="Amiri" w:cs="Amiri"/>
          <w:color w:val="111111"/>
          <w:sz w:val="28"/>
          <w:sz w:val="28"/>
          <w:szCs w:val="28"/>
          <w:rtl w:val="true"/>
          <w:lang w:bidi="ar-SA"/>
        </w:rPr>
        <w:t>في نهاية الدراية</w:t>
      </w:r>
      <w:r>
        <w:rPr>
          <w:rStyle w:val="FootnoteAnchor"/>
          <w:rtl w:val="true"/>
        </w:rPr>
        <w:footnoteReference w:id="476"/>
      </w:r>
      <w:r>
        <w:rPr>
          <w:rFonts w:ascii="Amiri" w:hAnsi="Amiri" w:eastAsia="Amiri" w:cs="Amiri"/>
          <w:color w:val="111111"/>
          <w:sz w:val="28"/>
          <w:sz w:val="28"/>
          <w:szCs w:val="28"/>
          <w:rtl w:val="true"/>
          <w:lang w:bidi="ar-SA"/>
        </w:rPr>
        <w:t xml:space="preserve">، أما غيرها فلا، بل الأمر والنهي فيها باق على الأصل من الظهور في المولوية، وفهم العرف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لهم مااستطعتم من قوة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يفهم منه العرف، المولوية لا الشرطية،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بل إن استفادة الشرطية، تبعية، بل إن صريح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الطهور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لا الوضعي وأما تنظيره بأداء الركوع والسجود وغيرهما، فلعلنا نتطرق له صغرى في مجال آخر، على أنه قياس مع الفارق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جريان تلك البحوث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 مقدمة المكروه، كذلك</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3959489_1051229030"/>
      <w:bookmarkStart w:id="487" w:name="_Toc176"/>
      <w:bookmarkEnd w:id="486"/>
      <w:r>
        <w:rPr>
          <w:rtl w:val="true"/>
        </w:rPr>
        <w:t>أقسام مقدمة الحرام</w:t>
      </w:r>
      <w:bookmarkEnd w:id="4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مقدمة الحرام، فالظاهر أن العقل يستقل بحرمة مقدمة الحرام، سواء كانت علة تامة للوقوع في الحرام أم كانت مقتضياً لوقوعه</w:t>
      </w:r>
      <w:r>
        <w:rPr>
          <w:rStyle w:val="FootnoteAnchor"/>
          <w:rtl w:val="true"/>
        </w:rPr>
        <w:footnoteReference w:id="479"/>
      </w:r>
      <w:r>
        <w:rPr>
          <w:rFonts w:ascii="Amiri" w:hAnsi="Amiri" w:eastAsia="Amiri" w:cs="Amiri"/>
          <w:color w:val="111111"/>
          <w:sz w:val="28"/>
          <w:sz w:val="28"/>
          <w:szCs w:val="28"/>
          <w:rtl w:val="true"/>
          <w:lang w:bidi="ar-SA"/>
        </w:rPr>
        <w:t>بحيث يمكن المكلف ترك الحرام رغم إتيانه بتلك المقدمة</w:t>
      </w:r>
      <w:r>
        <w:rPr>
          <w:rStyle w:val="FootnoteAnchor"/>
          <w:rtl w:val="true"/>
        </w:rPr>
        <w:footnoteReference w:id="480"/>
      </w:r>
      <w:r>
        <w:rPr>
          <w:rFonts w:ascii="Amiri" w:hAnsi="Amiri" w:eastAsia="Amiri" w:cs="Amiri"/>
          <w:color w:val="111111"/>
          <w:sz w:val="28"/>
          <w:sz w:val="28"/>
          <w:szCs w:val="28"/>
          <w:rtl w:val="true"/>
          <w:lang w:bidi="ar-SA"/>
        </w:rPr>
        <w:t xml:space="preserve">فقد يقال بإرشادية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بها ـ في الصورتين ـ نظراً للالتزام بالضابط الخامس في المولوية والإرشادية، لكنه باطل مبنى، كما فصلناه في فصل ضوابط </w:t>
      </w:r>
    </w:p>
    <w:p>
      <w:pPr>
        <w:pStyle w:val="BookText"/>
        <w:rPr/>
      </w:pPr>
      <w:r>
        <w:rPr>
          <w:rFonts w:ascii="Amiri" w:hAnsi="Amiri" w:eastAsia="Amiri" w:cs="Amiri"/>
          <w:color w:val="111111"/>
          <w:sz w:val="28"/>
          <w:sz w:val="28"/>
          <w:szCs w:val="28"/>
          <w:rtl w:val="true"/>
          <w:lang w:bidi="ar-SA"/>
        </w:rPr>
        <w:t>المولوية والإرشادية، فاللازم ملاحظة لسان الدليل وأنه صدر من المولى بما هو مولى أو بما هو ناصح ـ حسب ما صرنا إليه من الضابط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لذلك</w:t>
      </w:r>
      <w:r>
        <w:rPr>
          <w:rStyle w:val="FootnoteAnchor"/>
          <w:rtl w:val="true"/>
        </w:rPr>
        <w:footnoteReference w:id="481"/>
      </w:r>
      <w:r>
        <w:rPr>
          <w:rFonts w:ascii="Amiri" w:hAnsi="Amiri" w:eastAsia="Amiri" w:cs="Amiri"/>
          <w:color w:val="111111"/>
          <w:sz w:val="28"/>
          <w:sz w:val="28"/>
          <w:szCs w:val="28"/>
          <w:rtl w:val="true"/>
          <w:lang w:bidi="ar-SA"/>
        </w:rPr>
        <w:t>التزم المحقق النائيني بأن المقدمة في الصورتين محرمة، لكنه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النفسية في الصورة الأولى لا الغيرية، واحتمل كلاً من الحرمة النفسية نظراً للتجري والغيرية نظراً لترشحها من ذي المقدمة،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ما يهمنا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بمقدمة الحرام، مولوي في الصورتين، ولا يهم بعد ذلك ـ فيما هو المقصود في المقام ـ كون الحرمة نفسية أو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القسم الثالث من مقدمة الحرام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 المقدمة علة تامة للحرام، بل كانت مقتضياً فقط، ولم يقصد المكلف التوصل بها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ما حكم فيه النائيني بعدم الحرمة ـ الظاهر لزوم التفصيل فيه بين ما لو وقع في الحرام بعدها أو لا</w:t>
      </w:r>
      <w:r>
        <w:rPr>
          <w:rStyle w:val="FootnoteAnchor"/>
          <w:rtl w:val="true"/>
        </w:rPr>
        <w:footnoteReference w:id="482"/>
      </w:r>
      <w:r>
        <w:rPr>
          <w:rFonts w:ascii="Amiri" w:hAnsi="Amiri" w:eastAsia="Amiri" w:cs="Amiri"/>
          <w:color w:val="111111"/>
          <w:sz w:val="28"/>
          <w:sz w:val="28"/>
          <w:szCs w:val="28"/>
          <w:rtl w:val="true"/>
          <w:lang w:bidi="ar-SA"/>
        </w:rPr>
        <w:t>، فإن لم يقع فالأمر كما قال، وإن وقع، فقد يقال بالحرمة إذا احتمل المكلف أداءها إلى الحرام، وإن لم يقصد التوصل به، وعلى ذلك بناء العقلاء ـ فتأمل، وتفصيله في بحث المقدمة الموصلة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محور البحث عنا هو أن العقل لا يستقل بقبح هذا النوع من المقدمة ـ أما مطلقاً كما صار إليه النائيني، أو فيما إذا لم </w:t>
      </w:r>
      <w:bookmarkStart w:id="488" w:name="pg7671_76618"/>
    </w:p>
    <w:p>
      <w:pPr>
        <w:pStyle w:val="BookText"/>
        <w:rPr/>
      </w:pPr>
      <w:bookmarkEnd w:id="488"/>
      <w:r>
        <w:rPr>
          <w:rFonts w:ascii="Amiri" w:hAnsi="Amiri" w:eastAsia="Amiri" w:cs="Amiri"/>
          <w:color w:val="111111"/>
          <w:sz w:val="28"/>
          <w:sz w:val="28"/>
          <w:szCs w:val="28"/>
          <w:rtl w:val="true"/>
          <w:lang w:bidi="ar-SA"/>
        </w:rPr>
        <w:t>يقع ذو المقدمة، أو وقع ولكن إذا لم يحتمل أداءها للحرام فقط، كما صرنا إليه ـ ومع عدم استقلاله بالقبح، فإن النهي لو ورد، فإنه سيكونمولوياً، أيضاً، على الأصل وإن أمكن كونه إرشادياً ـ إذا أخذنا الضابط الخامس هو المحور ـ</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959491_1051229030"/>
      <w:bookmarkStart w:id="490" w:name="_Toc177"/>
      <w:bookmarkEnd w:id="489"/>
      <w:r>
        <w:rPr/>
        <w:t>6</w:t>
      </w:r>
      <w:r>
        <w:rPr>
          <w:rtl w:val="true"/>
        </w:rPr>
        <w:t xml:space="preserve">- </w:t>
      </w:r>
      <w:r>
        <w:rPr>
          <w:rtl w:val="true"/>
        </w:rPr>
        <w:t xml:space="preserve">هل النهي عن </w:t>
      </w:r>
      <w:r>
        <w:rPr>
          <w:rtl w:val="true"/>
        </w:rPr>
        <w:t>(</w:t>
      </w:r>
      <w:r>
        <w:rPr>
          <w:rtl w:val="true"/>
        </w:rPr>
        <w:t>الضد</w:t>
      </w:r>
      <w:r>
        <w:rPr>
          <w:rtl w:val="true"/>
        </w:rPr>
        <w:t xml:space="preserve">) </w:t>
      </w:r>
      <w:r>
        <w:rPr>
          <w:rtl w:val="true"/>
        </w:rPr>
        <w:t>مولوي أو إرشادي؟</w:t>
      </w:r>
      <w:bookmarkEnd w:id="490"/>
    </w:p>
    <w:p>
      <w:pPr>
        <w:pStyle w:val="Heading6"/>
        <w:numPr>
          <w:ilvl w:val="5"/>
          <w:numId w:val="1"/>
        </w:numPr>
        <w:rPr/>
      </w:pPr>
      <w:bookmarkStart w:id="491" w:name="__RefHeading___Toc3959493_1051229030"/>
      <w:bookmarkStart w:id="492" w:name="_Toc178"/>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وكذلك لو نهى عن الضد فهل هو نهي مولوي أو إرشادي؟ للزوم اللغوية وتحصيل الحاصل مثلاً، من المولوية بعد الأمر بضده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جارٍ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الغرض صرف الوجوب الثابت في الإرشاد أيضاً، أو كونه استحقاق العقاب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الإرشادية والمولوية</w:t>
      </w:r>
      <w:r>
        <w:rPr>
          <w:rStyle w:val="FootnoteAnchor"/>
          <w:rtl w:val="true"/>
        </w:rPr>
        <w:footnoteReference w:id="483"/>
      </w:r>
      <w:r>
        <w:rPr>
          <w:rFonts w:ascii="Amiri" w:hAnsi="Amiri" w:eastAsia="Amiri" w:cs="Amiri"/>
          <w:color w:val="111111"/>
          <w:sz w:val="28"/>
          <w:sz w:val="28"/>
          <w:szCs w:val="28"/>
          <w:rtl w:val="true"/>
          <w:lang w:bidi="ar-SA"/>
        </w:rPr>
        <w:t xml:space="preserve">جار سواء كان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كان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959495_1051229030"/>
      <w:bookmarkStart w:id="494" w:name="_Toc179"/>
      <w:bookmarkEnd w:id="493"/>
      <w:r>
        <w:rPr>
          <w:rtl w:val="true"/>
        </w:rPr>
        <w:t>المباني الثلاثة في معنى الاقتضاء</w:t>
      </w:r>
      <w:bookmarkEnd w:id="494"/>
    </w:p>
    <w:p>
      <w:pPr>
        <w:pStyle w:val="BookText"/>
        <w:rPr/>
      </w:pPr>
      <w:r>
        <w:rPr>
          <w:rFonts w:ascii="Amiri" w:hAnsi="Amiri" w:eastAsia="Amiri" w:cs="Amiri"/>
          <w:color w:val="111111"/>
          <w:sz w:val="28"/>
          <w:sz w:val="28"/>
          <w:szCs w:val="28"/>
          <w:rtl w:val="true"/>
          <w:lang w:bidi="ar-SA"/>
        </w:rPr>
        <w:t xml:space="preserve">نعم يختلف الحال، على المباني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 هل يقتضي النهي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الترك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الأمر بالشيء هو عين النهي عن تركه،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وثبوتاً ـ على تفصيل ـ</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أنه يدل عليه بالتضمن؛ بدعوى تركب </w:t>
      </w:r>
    </w:p>
    <w:p>
      <w:pPr>
        <w:pStyle w:val="BookText"/>
        <w:rPr/>
      </w:pPr>
      <w:r>
        <w:rPr>
          <w:rFonts w:ascii="Amiri" w:hAnsi="Amiri" w:eastAsia="Amiri" w:cs="Amiri"/>
          <w:color w:val="111111"/>
          <w:sz w:val="28"/>
          <w:sz w:val="28"/>
          <w:szCs w:val="28"/>
          <w:rtl w:val="true"/>
          <w:lang w:bidi="ar-SA"/>
        </w:rPr>
        <w:t>الوجوب من طلب الفعل مع المنع من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إنه يدل عليه بالإلتزام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لو كان مولوياً كان النهي عن تركه كذلك، وكذا لو كان إرشادياً، للعينية، لكن ليس كذلك لو ورد نهي لفظي آخر عن الترك ـ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النهي عن الترك مولويا، لزم تحصيل الحاصل واللغوية وسائر المحاذير التي ذكرت، فيما لو 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مولوياً؟</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النظر عن الأجوبة التي فصلناها في رد دعوى كون الأمر في المشبه به، إرشادياً بتوهم تلك المحاذير، فإنه حتى على قبول الدعوى إلا أنها غير جارية في المقام لفرض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بجريان تلك المحاذير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بعد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أجبنا عنه هنالك أيضاً، لكن العمدة في الجواب هو أن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الأمر بالشيء بنفسه، عين النهي عن ضده العام، وليس هذا مورداً للإشكال، فإنه لا شك في أنه لو كان هذا مولوياً كان ذاك كذلك؛ لأنه هو، بل مورد البحث والنقض والإبرام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ورد نهي عن ضده العام، فهل هو مولوي أو لا؟ وهذا هو النظير للأمر بعد الأمر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ترى غير كلام مدعي العينية؛ إذ لا ريب في تغاير هذا النهي مع ذاك الأمر ذاتاً، ولا يتوهم إرادة العينية فيها في حقه ـ فيقع فيه البحث أنه مولوي أو إرشادي؟ </w:t>
      </w:r>
    </w:p>
    <w:p>
      <w:pPr>
        <w:pStyle w:val="BookText"/>
        <w:rPr/>
      </w:pPr>
      <w:r>
        <w:rPr>
          <w:rFonts w:ascii="Amiri" w:hAnsi="Amiri" w:eastAsia="Amiri" w:cs="Amiri"/>
          <w:color w:val="111111"/>
          <w:sz w:val="28"/>
          <w:sz w:val="28"/>
          <w:szCs w:val="28"/>
          <w:rtl w:val="true"/>
          <w:lang w:bidi="ar-SA"/>
        </w:rPr>
        <w:t>والأمر على الضابط الأول الذي ارتضيناه، واضح، واختلافه على سائر الضوابط والأقوال، بيّن أيضاً، ويظهر مما سبق وسيأتي خاصة عند تطبيق الضوابط التسعة على بحث الاحتياط،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بالتضمن، فإنه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إرشادياً، وإن جمعا في لفظ واحد؛ لأنه اعتبار وهو خفيف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أكثر بما سنشير له بعد قليل فيما لو قيل بالالتزام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ثبوتاً، وأما إثباتاً فالظاهر وحدة السياق والمساق، نعم لو قيل ـ على خلاف هذا المبنى ـ ببساطة الوجوب؛ فإنه الطلب الشديد، لما كان محيص عن دلالته على المنع من الترك بالالتزام لا بالتضمن، فيندرج في العنوان الثالث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 بالالتزام، فيجري بحث المولوية والإرشادية إذ يمكن كلاهما، إذ لا ضير في أن يلاحظ المولى العارف بأن أمره بالشيء يستلزم النهي عن ضده العام أي الترك، أمره بالشيء مولوياً، ونهيه عن ضده ـ المنشَأ بنفس إنشاء أمره ـ إرشادياً، أي يعمل مقامه في الأول دون الثاني، فلا وجه لتوهم عدم إمكان التفكيك بين اللازم والملزوم من هذا الحيث</w:t>
      </w:r>
      <w:r>
        <w:rPr>
          <w:rStyle w:val="FootnoteAnchor"/>
          <w:rtl w:val="true"/>
        </w:rPr>
        <w:footnoteReference w:id="484"/>
      </w:r>
      <w:r>
        <w:rPr>
          <w:rFonts w:ascii="Amiri" w:hAnsi="Amiri" w:eastAsia="Amiri" w:cs="Amiri"/>
          <w:color w:val="111111"/>
          <w:sz w:val="28"/>
          <w:sz w:val="28"/>
          <w:szCs w:val="28"/>
          <w:rtl w:val="true"/>
          <w:lang w:bidi="ar-SA"/>
        </w:rPr>
        <w:t>، كما يمكنه إعمال مقامه في الطرفين دون لزوم محذور لزوم تحصيل الحاصل أو اللغوية كما فصلناه في محله فليلاحظ</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أوضح لو نهى عن الضد، بكلام آخر</w:t>
      </w:r>
      <w:r>
        <w:rPr>
          <w:rFonts w:eastAsia="Amiri" w:cs="Amiri" w:ascii="Amiri" w:hAnsi="Amiri"/>
          <w:color w:val="111111"/>
          <w:sz w:val="28"/>
          <w:szCs w:val="28"/>
          <w:rtl w:val="true"/>
          <w:lang w:bidi="ar-SA"/>
        </w:rPr>
        <w:t xml:space="preserve">. </w:t>
      </w:r>
      <w:bookmarkStart w:id="495" w:name="pg7671_76623"/>
    </w:p>
    <w:p>
      <w:pPr>
        <w:pStyle w:val="Heading5"/>
        <w:numPr>
          <w:ilvl w:val="4"/>
          <w:numId w:val="1"/>
        </w:numPr>
        <w:rPr/>
      </w:pPr>
      <w:bookmarkStart w:id="496" w:name="__RefHeading___Toc3959497_1051229030"/>
      <w:bookmarkStart w:id="497" w:name="_Toc180"/>
      <w:bookmarkEnd w:id="495"/>
      <w:bookmarkEnd w:id="496"/>
      <w:r>
        <w:rPr/>
        <w:t>7</w:t>
      </w:r>
      <w:r>
        <w:rPr>
          <w:rtl w:val="true"/>
        </w:rPr>
        <w:t xml:space="preserve">- </w:t>
      </w:r>
      <w:r>
        <w:rPr>
          <w:rtl w:val="true"/>
        </w:rPr>
        <w:t xml:space="preserve">وحسن  أو وجوب </w:t>
      </w:r>
      <w:r>
        <w:rPr>
          <w:rtl w:val="true"/>
        </w:rPr>
        <w:t>(</w:t>
      </w:r>
      <w:r>
        <w:rPr>
          <w:rtl w:val="true"/>
        </w:rPr>
        <w:t>رفع التكليف لدى العجز</w:t>
      </w:r>
      <w:r>
        <w:rPr>
          <w:rtl w:val="true"/>
        </w:rPr>
        <w:t>)</w:t>
      </w:r>
      <w:r>
        <w:rPr>
          <w:rtl w:val="true"/>
        </w:rPr>
        <w:t>، والمراد بالرفع هنا الأعم من الرفع والدفع</w:t>
      </w:r>
      <w:r>
        <w:rPr>
          <w:rtl w:val="true"/>
        </w:rPr>
        <w:t>.</w:t>
      </w:r>
      <w:bookmarkEnd w:id="49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3959499_1051229030"/>
      <w:bookmarkStart w:id="499" w:name="_Toc181"/>
      <w:bookmarkEnd w:id="498"/>
      <w:r>
        <w:rPr/>
        <w:t>8</w:t>
      </w:r>
      <w:r>
        <w:rPr>
          <w:rtl w:val="true"/>
        </w:rPr>
        <w:t xml:space="preserve">- </w:t>
      </w:r>
      <w:r>
        <w:rPr>
          <w:rtl w:val="true"/>
        </w:rPr>
        <w:t xml:space="preserve">وحسن ووجوب </w:t>
      </w:r>
      <w:r>
        <w:rPr>
          <w:rtl w:val="true"/>
        </w:rPr>
        <w:t>(</w:t>
      </w:r>
      <w:r>
        <w:rPr>
          <w:rtl w:val="true"/>
        </w:rPr>
        <w:t>رفع التكليف بالإكراه</w:t>
      </w:r>
      <w:r>
        <w:rPr>
          <w:rtl w:val="true"/>
        </w:rPr>
        <w:t>).</w:t>
      </w:r>
      <w:bookmarkEnd w:id="49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وقال صلى الله عليه وآله في صحيحة حريز بن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والنسيان وما أكرهوا عليه و</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وقد أشرنا لبعض مباحث حديث الرفع في هذا الكتاب، ولبعض مباحثه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 ـ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ونترك تفصيل الكلام حول هذين، لموضعه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959501_1051229030"/>
      <w:bookmarkStart w:id="501" w:name="_Toc182"/>
      <w:bookmarkEnd w:id="500"/>
      <w:r>
        <w:rPr/>
        <w:t>9</w:t>
      </w:r>
      <w:r>
        <w:rPr>
          <w:rtl w:val="true"/>
        </w:rPr>
        <w:t xml:space="preserve">- </w:t>
      </w:r>
      <w:r>
        <w:rPr>
          <w:rtl w:val="true"/>
        </w:rPr>
        <w:t>وحجية مطلق الظن الانسدادي على الحكومة</w:t>
      </w:r>
      <w:bookmarkEnd w:id="50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الظن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 استناداً لدفع الضرر المظنون</w:t>
      </w:r>
      <w:r>
        <w:rPr>
          <w:rStyle w:val="FootnoteAnchor"/>
          <w:rtl w:val="true"/>
        </w:rPr>
        <w:footnoteReference w:id="489"/>
      </w:r>
      <w:r>
        <w:rPr>
          <w:rFonts w:ascii="Amiri" w:hAnsi="Amiri" w:eastAsia="Amiri" w:cs="Amiri"/>
          <w:color w:val="111111"/>
          <w:sz w:val="28"/>
          <w:sz w:val="28"/>
          <w:szCs w:val="28"/>
          <w:rtl w:val="true"/>
          <w:lang w:bidi="ar-SA"/>
        </w:rPr>
        <w:t xml:space="preserve">الحاكم بقبحه العقل، والناشئ من ترجيح المرجح ، والدال </w:t>
      </w:r>
    </w:p>
    <w:p>
      <w:pPr>
        <w:pStyle w:val="BookText"/>
        <w:rPr/>
      </w:pPr>
      <w:r>
        <w:rPr>
          <w:rFonts w:ascii="Amiri" w:hAnsi="Amiri" w:eastAsia="Amiri" w:cs="Amiri"/>
          <w:color w:val="111111"/>
          <w:sz w:val="28"/>
          <w:sz w:val="28"/>
          <w:szCs w:val="28"/>
          <w:rtl w:val="true"/>
          <w:lang w:bidi="ar-SA"/>
        </w:rPr>
        <w:t xml:space="preserve">عليه الشرع،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فتأمل</w:t>
      </w:r>
      <w:r>
        <w:rPr>
          <w:rStyle w:val="FootnoteAnchor"/>
          <w:rtl w:val="true"/>
        </w:rPr>
        <w:footnoteReference w:id="491"/>
      </w:r>
      <w:r>
        <w:rPr>
          <w:rFonts w:ascii="Amiri" w:hAnsi="Amiri" w:eastAsia="Amiri" w:cs="Amiri"/>
          <w:color w:val="111111"/>
          <w:sz w:val="28"/>
          <w:sz w:val="28"/>
          <w:szCs w:val="28"/>
          <w:rtl w:val="true"/>
          <w:lang w:bidi="ar-SA"/>
        </w:rPr>
        <w:t>بل يكفي الموهوم منه إذا كان في الشؤون الخطيرة، وشؤونالآخرة، فيما يرتبط بالتكاليف كلها، منها ـ أو استناداً إلى استقلال العقل بقبح ترجيح المرجوح، فيستقل العقل تبعاً لذلك بلزوم الإطاعة الظنية لتلك التكاليف المعلومة إجمالاً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تمت مقدمات الانسداد، وأفادت حجية مطلق الظن، وقلنا بأن نتيجتها حكم العقل بحجيته، ثم دل من الشارع دليل ـ ولو كان قاعدة الملازمة</w:t>
      </w:r>
      <w:r>
        <w:rPr>
          <w:rStyle w:val="FootnoteAnchor"/>
          <w:rtl w:val="true"/>
        </w:rPr>
        <w:footnoteReference w:id="492"/>
      </w:r>
      <w:r>
        <w:rPr>
          <w:rFonts w:ascii="Amiri" w:hAnsi="Amiri" w:eastAsia="Amiri" w:cs="Amiri"/>
          <w:color w:val="111111"/>
          <w:sz w:val="28"/>
          <w:sz w:val="28"/>
          <w:szCs w:val="28"/>
          <w:rtl w:val="true"/>
          <w:lang w:bidi="ar-SA"/>
        </w:rPr>
        <w:t xml:space="preserve">ـ فتأمل،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أقسامه</w:t>
      </w:r>
      <w:r>
        <w:rPr>
          <w:rStyle w:val="FootnoteAnchor"/>
          <w:rtl w:val="true"/>
        </w:rPr>
        <w:footnoteReference w:id="493"/>
      </w:r>
      <w:r>
        <w:rPr>
          <w:rFonts w:ascii="Amiri" w:hAnsi="Amiri" w:eastAsia="Amiri" w:cs="Amiri"/>
          <w:color w:val="111111"/>
          <w:sz w:val="28"/>
          <w:sz w:val="28"/>
          <w:szCs w:val="28"/>
          <w:rtl w:val="true"/>
          <w:lang w:bidi="ar-SA"/>
        </w:rPr>
        <w:t>، فإن كلام الشارع عن الحجية وإن كان ظاهره جعلها، لكنه إرشاد لحكم العقل، وليس مولوياً على على عدد من المباني في ضابط المولوية والإرشادية</w:t>
      </w:r>
      <w:r>
        <w:rPr>
          <w:rStyle w:val="FootnoteAnchor"/>
          <w:rtl w:val="true"/>
        </w:rPr>
        <w:footnoteReference w:id="494"/>
      </w:r>
      <w:r>
        <w:rPr>
          <w:rFonts w:ascii="IRNazanin" w:hAnsi="IRNazanin" w:eastAsia="IRNazanin"/>
          <w:color w:val="111111"/>
          <w:sz w:val="28"/>
          <w:sz w:val="28"/>
          <w:szCs w:val="28"/>
          <w:rtl w:val="true"/>
          <w:lang w:bidi="fa-IR"/>
        </w:rPr>
        <w:t>، سواء</w:t>
      </w:r>
      <w:r>
        <w:rPr>
          <w:rStyle w:val="FootnoteAnchor"/>
          <w:rtl w:val="true"/>
        </w:rPr>
        <w:footnoteReference w:id="495"/>
      </w:r>
      <w:r>
        <w:rPr>
          <w:rFonts w:ascii="Amiri" w:hAnsi="Amiri" w:eastAsia="Amiri" w:cs="Amiri"/>
          <w:color w:val="111111"/>
          <w:sz w:val="28"/>
          <w:sz w:val="28"/>
          <w:szCs w:val="28"/>
          <w:rtl w:val="true"/>
          <w:lang w:bidi="ar-SA"/>
        </w:rPr>
        <w:t>كان ما دل من الشارع على حجية الظن خاصاً</w:t>
      </w:r>
      <w:r>
        <w:rPr>
          <w:rStyle w:val="FootnoteAnchor"/>
          <w:rtl w:val="true"/>
        </w:rPr>
        <w:footnoteReference w:id="496"/>
      </w:r>
      <w:r>
        <w:rPr>
          <w:rFonts w:ascii="Amiri" w:hAnsi="Amiri" w:eastAsia="Amiri" w:cs="Amiri"/>
          <w:color w:val="111111"/>
          <w:sz w:val="28"/>
          <w:sz w:val="28"/>
          <w:szCs w:val="28"/>
          <w:rtl w:val="true"/>
          <w:lang w:bidi="ar-SA"/>
        </w:rPr>
        <w:t xml:space="preserve">كقيام خبر واحد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بانسداد باب </w:t>
      </w:r>
    </w:p>
    <w:p>
      <w:pPr>
        <w:pStyle w:val="BookText"/>
        <w:rPr/>
      </w:pPr>
      <w:r>
        <w:rPr>
          <w:rFonts w:ascii="Amiri" w:hAnsi="Amiri" w:eastAsia="Amiri" w:cs="Amiri"/>
          <w:color w:val="111111"/>
          <w:sz w:val="28"/>
          <w:sz w:val="28"/>
          <w:szCs w:val="28"/>
          <w:rtl w:val="true"/>
          <w:lang w:bidi="ar-SA"/>
        </w:rPr>
        <w:t>العلم والعلمي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المبنى أمر إرشادي وليس مولوياً، فلا استحقاق للعقوبة بمخالفته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عاماً كالأدلة الشرعية الدالة على دفع الضرر مطلقاً أو خصوص المظنون منه،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فإن في ترك العمل بالظن ـ وهو الطرف الراجح ـ والتمسك ـ بالوهم المرجوح ـ خوف وقوع في الضرر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اتباع الظن ـ لانسداد باب العلم والعلمي ـ ومع حكمه، فإن كلام الشارع بلزوم دفع الضرر إرشاد إليه، وكذا لو دل من الشارع دليل على قبح ترجيح المرجوح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يلتزم بإمكان ووقوع اجتماع الحكمين ـ كما هو الحق ـ فينتج مبنى جديداً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إذ لا مانعة جمع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برهان دفع الضرر المظنون، وكذا نتيجة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العقل وحكم الشرع مولوياً معاً بحجية الظن ، وتمام </w:t>
      </w:r>
      <w:bookmarkStart w:id="502" w:name="pg7671_76629"/>
    </w:p>
    <w:p>
      <w:pPr>
        <w:pStyle w:val="BookText"/>
        <w:rPr/>
      </w:pPr>
      <w:bookmarkEnd w:id="502"/>
      <w:r>
        <w:rPr>
          <w:rFonts w:ascii="Amiri" w:hAnsi="Amiri" w:eastAsia="Amiri" w:cs="Amiri"/>
          <w:color w:val="111111"/>
          <w:sz w:val="28"/>
          <w:sz w:val="28"/>
          <w:szCs w:val="28"/>
          <w:rtl w:val="true"/>
          <w:lang w:bidi="ar-SA"/>
        </w:rPr>
        <w:t>الكلام في ذلك موكل إلى محله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959503_1051229030"/>
      <w:bookmarkStart w:id="504" w:name="_Toc183"/>
      <w:bookmarkEnd w:id="503"/>
      <w:r>
        <w:rPr/>
        <w:t>10</w:t>
      </w:r>
      <w:r>
        <w:rPr>
          <w:rtl w:val="true"/>
        </w:rPr>
        <w:t xml:space="preserve">- </w:t>
      </w:r>
      <w:r>
        <w:rPr>
          <w:rtl w:val="true"/>
        </w:rPr>
        <w:t>عدم حجية الظن على الانفتاح</w:t>
      </w:r>
      <w:bookmarkEnd w:id="504"/>
    </w:p>
    <w:p>
      <w:pPr>
        <w:pStyle w:val="BookText"/>
        <w:rPr/>
      </w:pPr>
      <w:r>
        <w:rPr>
          <w:rFonts w:ascii="Amiri" w:hAnsi="Amiri" w:eastAsia="Amiri" w:cs="Amiri"/>
          <w:color w:val="111111"/>
          <w:sz w:val="28"/>
          <w:sz w:val="28"/>
          <w:szCs w:val="28"/>
          <w:rtl w:val="true"/>
          <w:lang w:bidi="ar-SA"/>
        </w:rPr>
        <w:t xml:space="preserve">وعدم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الانفتاح، فإن ذلك مما يحكم به العقل، فهل ما ورد من الشرع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إرشاد إلى عدم حجيته؟ أم أنه مولوي بمعنى أن الشارع بما هو مولى اعتبره غير حجة، سواء كان هنالك أقوام ارتأوا الحجية وبنوا عليها،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وحرمة إتباع الظن في صورة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يبعد كونه إرشادياً ـ على خلاف من ذهب إلى إرشادية الأوامر والنواهي في مطلق المستقلات العقلية ـ آخر الآية الشريفة؛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الإرشاد على مسلك المشهور فيه</w:t>
      </w:r>
      <w:r>
        <w:rPr>
          <w:rStyle w:val="FootnoteAnchor"/>
          <w:rtl w:val="true"/>
        </w:rPr>
        <w:footnoteReference w:id="501"/>
      </w:r>
      <w:r>
        <w:rPr>
          <w:rFonts w:ascii="Amiri" w:hAnsi="Amiri" w:eastAsia="Amiri" w:cs="Amiri"/>
          <w:color w:val="111111"/>
          <w:sz w:val="28"/>
          <w:sz w:val="28"/>
          <w:szCs w:val="28"/>
          <w:rtl w:val="true"/>
          <w:lang w:bidi="ar-SA"/>
        </w:rPr>
        <w:t>، وإن اجتمع على مسلك الشيخ من الإرشاد ـ الوجوبي، لكن ظاهر الآية الشريفة  المولوية ـ الوجوبية،وتفصيل الكلام عن ذلك كسابقه، يترك لمباحث الأصول ـ مباحث الظن ، والله الموفق المستعان</w:t>
      </w:r>
      <w:r>
        <w:rPr>
          <w:rFonts w:eastAsia="Amiri" w:cs="Amiri" w:ascii="Amiri" w:hAnsi="Amiri"/>
          <w:color w:val="111111"/>
          <w:sz w:val="28"/>
          <w:szCs w:val="28"/>
          <w:rtl w:val="true"/>
          <w:lang w:bidi="ar-SA"/>
        </w:rPr>
        <w:t xml:space="preserve">. </w:t>
      </w:r>
      <w:bookmarkStart w:id="505" w:name="pg7671_76631"/>
    </w:p>
    <w:p>
      <w:pPr>
        <w:pStyle w:val="Heading3"/>
        <w:numPr>
          <w:ilvl w:val="2"/>
          <w:numId w:val="1"/>
        </w:numPr>
        <w:rPr/>
      </w:pPr>
      <w:bookmarkStart w:id="506" w:name="__RefHeading___Toc3959505_1051229030"/>
      <w:bookmarkStart w:id="507" w:name="_Toc184"/>
      <w:bookmarkEnd w:id="505"/>
      <w:bookmarkEnd w:id="506"/>
      <w:r>
        <w:rPr>
          <w:rtl w:val="true"/>
        </w:rPr>
        <w:t xml:space="preserve">ومن موارد الإبتلاء في </w:t>
      </w:r>
      <w:r>
        <w:rPr>
          <w:rtl w:val="true"/>
        </w:rPr>
        <w:t>(</w:t>
      </w:r>
      <w:r>
        <w:rPr>
          <w:rtl w:val="true"/>
        </w:rPr>
        <w:t>القواعد الفقهية</w:t>
      </w:r>
      <w:r>
        <w:rPr>
          <w:rtl w:val="true"/>
        </w:rPr>
        <w:t>)</w:t>
      </w:r>
      <w:bookmarkEnd w:id="507"/>
    </w:p>
    <w:p>
      <w:pPr>
        <w:pStyle w:val="Heading3"/>
        <w:numPr>
          <w:ilvl w:val="2"/>
          <w:numId w:val="1"/>
        </w:numPr>
        <w:rPr/>
      </w:pPr>
      <w:bookmarkStart w:id="508" w:name="__RefHeading___Toc3959507_1051229030"/>
      <w:bookmarkStart w:id="509" w:name="_Toc185"/>
      <w:bookmarkEnd w:id="508"/>
      <w:r>
        <w:rPr>
          <w:rtl w:val="true"/>
        </w:rPr>
        <w:t xml:space="preserve">قاعدة </w:t>
      </w:r>
      <w:r>
        <w:rPr>
          <w:rtl w:val="true"/>
        </w:rPr>
        <w:t>(</w:t>
      </w:r>
      <w:r>
        <w:rPr>
          <w:rtl w:val="true"/>
        </w:rPr>
        <w:t>لا ضرر</w:t>
      </w:r>
      <w:r>
        <w:rPr>
          <w:rtl w:val="true"/>
        </w:rPr>
        <w:t>)</w:t>
      </w:r>
      <w:bookmarkEnd w:id="509"/>
    </w:p>
    <w:p>
      <w:pPr>
        <w:pStyle w:val="BookText"/>
        <w:rPr/>
      </w:pPr>
      <w:r>
        <w:rPr>
          <w:rFonts w:ascii="Amiri" w:hAnsi="Amiri" w:eastAsia="Amiri" w:cs="Amiri"/>
          <w:color w:val="111111"/>
          <w:sz w:val="28"/>
          <w:sz w:val="28"/>
          <w:szCs w:val="28"/>
          <w:rtl w:val="true"/>
          <w:lang w:bidi="ar-SA"/>
        </w:rPr>
        <w:t xml:space="preserve">ومن القواعد الفقهية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إستناداً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الكليني عن عدة من أصحابنا عن أحمد بن محمد بن خالد عن أبيه عن عبد الله بن بكير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سمرة بن جندب كان له عذق في حائط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وأرم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والرواية صحيحة، وهي مستفيضة مشتهرة في كتب الفريقين بل ادعى بعض الأعلام تواترها</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التحقيق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لكل من عدم تشريع الحكم الضرري، ولتشريع حكم يتدارك به الضرر ـ كحق الشفعة كما في رواية عقبة بن خالد عن </w:t>
      </w:r>
      <w:bookmarkStart w:id="510" w:name="pg7671_76632"/>
    </w:p>
    <w:p>
      <w:pPr>
        <w:pStyle w:val="BookText"/>
        <w:rPr/>
      </w:pPr>
      <w:bookmarkEnd w:id="510"/>
      <w:r>
        <w:rPr>
          <w:rFonts w:ascii="Amiri" w:hAnsi="Amiri" w:eastAsia="Amiri" w:cs="Amiri"/>
          <w:color w:val="111111"/>
          <w:sz w:val="28"/>
          <w:sz w:val="28"/>
          <w:szCs w:val="28"/>
          <w:rtl w:val="true"/>
          <w:lang w:bidi="ar-SA"/>
        </w:rPr>
        <w:t>الإمام الصادق عليه السلام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أو إمضاء، أو إخبار؟</w:t>
      </w:r>
    </w:p>
    <w:p>
      <w:pPr>
        <w:pStyle w:val="Heading3"/>
        <w:numPr>
          <w:ilvl w:val="2"/>
          <w:numId w:val="1"/>
        </w:numPr>
        <w:rPr/>
      </w:pPr>
      <w:bookmarkStart w:id="511" w:name="__RefHeading___Toc3959509_1051229030"/>
      <w:bookmarkStart w:id="512" w:name="_Toc186"/>
      <w:bookmarkEnd w:id="511"/>
      <w:r>
        <w:rPr>
          <w:rtl w:val="true"/>
        </w:rPr>
        <w:t xml:space="preserve">المباني الخمسة في معنى </w:t>
      </w:r>
      <w:r>
        <w:rPr>
          <w:rtl w:val="true"/>
        </w:rPr>
        <w:t>(</w:t>
      </w:r>
      <w:r>
        <w:rPr>
          <w:rtl w:val="true"/>
        </w:rPr>
        <w:t>لا ضرر</w:t>
      </w:r>
      <w:r>
        <w:rPr>
          <w:rtl w:val="true"/>
        </w:rPr>
        <w:t>)</w:t>
      </w:r>
      <w:bookmarkEnd w:id="512"/>
    </w:p>
    <w:p>
      <w:pPr>
        <w:pStyle w:val="Heading4"/>
        <w:numPr>
          <w:ilvl w:val="3"/>
          <w:numId w:val="1"/>
        </w:numPr>
        <w:rPr/>
      </w:pPr>
      <w:bookmarkStart w:id="513" w:name="__RefHeading___Toc3959511_1051229030"/>
      <w:bookmarkStart w:id="514" w:name="_Toc187"/>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الشارع رفع الضرر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 أو نهى عن الضرر كما ذهب إليه شيخ الشريعة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القول في ذلك يظهر ببيان أنه يختلف الأمر بناء على المباني المختلفة في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 المباني فيه ـ بدواً ـ خمسة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3959513_1051229030"/>
      <w:bookmarkStart w:id="516" w:name="_Toc188"/>
      <w:bookmarkEnd w:id="515"/>
      <w:r>
        <w:rPr/>
        <w:t>1</w:t>
      </w:r>
      <w:r>
        <w:rPr>
          <w:rtl w:val="true"/>
        </w:rPr>
        <w:t xml:space="preserve">- </w:t>
      </w:r>
      <w:r>
        <w:rPr>
          <w:rtl w:val="true"/>
        </w:rPr>
        <w:t>منبى الشيخ</w:t>
      </w:r>
      <w:r>
        <w:rPr>
          <w:rtl w:val="true"/>
        </w:rPr>
        <w:t xml:space="preserve">: </w:t>
      </w:r>
      <w:r>
        <w:rPr>
          <w:rtl w:val="true"/>
        </w:rPr>
        <w:t>نفي الحكم الضرري</w:t>
      </w:r>
      <w:bookmarkEnd w:id="5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الشيخ الأنصاري من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الحكم الناشي من قبله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اسم الأثر على المؤثر، بعلقة العلية والمعلولية،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مفاد الحديث نفي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موجب لوقوع العبد في الضرر فهو مرفوع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الوضوء الضرري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للمعيب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مما لا استقلال للعقل به، إذ للمولى الحقيقي أن يتصرف في عبده كما يشاء، هذا كبرى، ثم إننا لا نعرف </w:t>
      </w:r>
      <w:bookmarkStart w:id="517" w:name="pg7671_76634"/>
    </w:p>
    <w:p>
      <w:pPr>
        <w:pStyle w:val="BookText"/>
        <w:rPr/>
      </w:pPr>
      <w:bookmarkEnd w:id="517"/>
      <w:r>
        <w:rPr>
          <w:rFonts w:ascii="Amiri" w:hAnsi="Amiri" w:eastAsia="Amiri" w:cs="Amiri"/>
          <w:color w:val="111111"/>
          <w:sz w:val="28"/>
          <w:sz w:val="28"/>
          <w:szCs w:val="28"/>
          <w:rtl w:val="true"/>
          <w:lang w:bidi="ar-SA"/>
        </w:rPr>
        <w:t>كل ملاكات أحكام الشارع وتزاحماتها فلعله الأصلح بحال العبد دنيا أو أخرى ومن حيث المجموع ـ فتأمل</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وعلى هذا فإن لا ضرر مولوي ولا مجال للقول بإرشاديته من هذه الجهة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مستقل بقبح تشريع الشارع حكماً ضررياً دون مزاحم أهم بلحاظ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ومن يتعلق به، ومجتمعه، ديناً ودنياً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الأحكام ضررياًمحضاً، أو كان ضرره أقرب من نفعه ـ بعد الكسر والانكسار ـ لا يعقل أن يشرعه الشارع؛ فإنه وإن كان مالكاً حقيقاً قادراً، إلا أنه بالنظر لحكمته وغناه وعدله، فكيف بالنظر لرحمته</w:t>
      </w:r>
      <w:r>
        <w:rPr>
          <w:rStyle w:val="FootnoteAnchor"/>
          <w:rtl w:val="true"/>
        </w:rPr>
        <w:footnoteReference w:id="506"/>
      </w:r>
      <w:r>
        <w:rPr>
          <w:rFonts w:ascii="Amiri" w:hAnsi="Amiri" w:eastAsia="Amiri" w:cs="Amiri"/>
          <w:color w:val="111111"/>
          <w:sz w:val="28"/>
          <w:sz w:val="28"/>
          <w:szCs w:val="28"/>
          <w:rtl w:val="true"/>
          <w:lang w:bidi="ar-SA"/>
        </w:rPr>
        <w:t xml:space="preserve">لا يعقل منه ذلك، وهذا مما يستقل به العقل، فيحتمل ـ ثبوتاً ـ على هذا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 إليه، ويبقى الإثبات رهين الاستظهار من لسان الدليل والأصل والقرائن،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عدم جعل حكم ضرري، أو إرشاد، أو إنشاء لنفي جعله، أو لجعل حكم يتدارك به الضرر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959515_1051229030"/>
      <w:bookmarkStart w:id="519" w:name="_Toc189"/>
      <w:bookmarkEnd w:id="518"/>
      <w:r>
        <w:rPr/>
        <w:t>2</w:t>
      </w:r>
      <w:r>
        <w:rPr>
          <w:rtl w:val="true"/>
        </w:rPr>
        <w:t xml:space="preserve">- </w:t>
      </w:r>
      <w:r>
        <w:rPr>
          <w:rtl w:val="true"/>
        </w:rPr>
        <w:t>نفي الضرر غير المتدارك</w:t>
      </w:r>
      <w:bookmarkEnd w:id="5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من ذهب إلى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أمر الشارع فيه بما يضر، كما في </w:t>
      </w:r>
      <w:bookmarkStart w:id="520" w:name="pg7671_76636"/>
    </w:p>
    <w:p>
      <w:pPr>
        <w:pStyle w:val="BookText"/>
        <w:rPr/>
      </w:pPr>
      <w:bookmarkEnd w:id="520"/>
      <w:r>
        <w:rPr>
          <w:rFonts w:ascii="Amiri" w:hAnsi="Amiri" w:eastAsia="Amiri" w:cs="Amiri"/>
          <w:color w:val="111111"/>
          <w:sz w:val="28"/>
          <w:sz w:val="28"/>
          <w:szCs w:val="28"/>
          <w:rtl w:val="true"/>
          <w:lang w:bidi="ar-SA"/>
        </w:rPr>
        <w:t>أكل المخمصة، ويستفاد منه جعل حكم يتدارك به الضرر، فالأمر فيه كسابقه من حيث القول باستقلال العقل به، وعدمه؛ نظراً لإنكار الكبرى السابقة، أو قبولها، فتحتمل الإرشادية عندئذٍ أيضاً على الرأي المنصور</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959517_1051229030"/>
      <w:bookmarkStart w:id="522" w:name="_Toc190"/>
      <w:bookmarkEnd w:id="521"/>
      <w:r>
        <w:rPr/>
        <w:t>3</w:t>
      </w:r>
      <w:r>
        <w:rPr>
          <w:rtl w:val="true"/>
        </w:rPr>
        <w:t xml:space="preserve">- </w:t>
      </w:r>
      <w:r>
        <w:rPr>
          <w:rtl w:val="true"/>
        </w:rPr>
        <w:t>مبنى الأصفهاني</w:t>
      </w:r>
      <w:r>
        <w:rPr>
          <w:rtl w:val="true"/>
        </w:rPr>
        <w:t xml:space="preserve">: </w:t>
      </w:r>
      <w:r>
        <w:rPr>
          <w:rtl w:val="true"/>
        </w:rPr>
        <w:t>نفيٌ أريد به النهي</w:t>
      </w:r>
      <w:bookmarkEnd w:id="5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شيخ الشريعة الأصفهاني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أريد به النهي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أو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كعكسه في الإيجاب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نفي كُنِّي به عن مبغوضية الشيء، فيكون نفياً أريد به النهي، فقد أخبر عن عدم وجود الشيء في مقام النهي عنه، مما يكشف عن شدة مبغوضيته إلى درجة أن الشارع تلقى عدمه أمراً مسلّماً</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الإضرار بالغير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أيضاً من المستقلات العقلية، إلا أن حدوده ليست كذلك، إذ لا يستقل العقل بحرمة مطلق الإضرار بالعدو، أو بحرمة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ككلمة خشنة أو نظرة حادة أو صوت مرتفع أو رائحة كريهة</w:t>
      </w:r>
      <w:r>
        <w:rPr>
          <w:rStyle w:val="FootnoteAnchor"/>
          <w:rtl w:val="true"/>
        </w:rPr>
        <w:footnoteReference w:id="51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523" w:name="pg7671_76639"/>
    </w:p>
    <w:p>
      <w:pPr>
        <w:pStyle w:val="BookText"/>
        <w:rPr/>
      </w:pPr>
      <w:bookmarkEnd w:id="523"/>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المراتب الدانية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تمسكاً بإطلاقه ـ وإرشادياً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المستقلات، بناء على الضابط الخامس للإرشادية والمولوية</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ولا يرد اجتماع اللحاظين المحال؛ لما سبق من أن المولوية والإرشادية ليستا جزء الموضوع له أو جزء المستعمل فيه، بل هما من الدواعي، كما ذهب إليه الآخوند، ولأجوبة أخرى عديدة ذكرناها، منها صحة استعمال اللفظ في أكثر من معنى وإن كان كل منها كأن لم يستعمل إلا فيه،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959519_1051229030"/>
      <w:bookmarkStart w:id="525" w:name="_Toc191"/>
      <w:bookmarkEnd w:id="524"/>
      <w:r>
        <w:rPr/>
        <w:t>4</w:t>
      </w:r>
      <w:r>
        <w:rPr>
          <w:rtl w:val="true"/>
        </w:rPr>
        <w:t xml:space="preserve">- </w:t>
      </w:r>
      <w:r>
        <w:rPr>
          <w:rtl w:val="true"/>
        </w:rPr>
        <w:t>مبنى الآخوند</w:t>
      </w:r>
      <w:r>
        <w:rPr>
          <w:rtl w:val="true"/>
        </w:rPr>
        <w:t xml:space="preserve">: </w:t>
      </w:r>
      <w:r>
        <w:rPr>
          <w:rtl w:val="true"/>
        </w:rPr>
        <w:t>نفي الحكم بلسان نفي الموضوع</w:t>
      </w:r>
      <w:bookmarkEnd w:id="5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صاحب الكفاية من أنه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بلسان نفي الموضوع، وذلك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للإمام مع حفظ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ينتج عكس سابقه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لموضوعه في حال عدم الضرر، منفي عنه إذا كان الموضوع ضررياً؛ فإن وجوب الوضوء الثابت له حال عدم كونه ضررياً، ينتفي عنه إذا صار ضررياً</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إنه ليس من المستقلات العقلية، فالمولوية فيه على القاعدة، لكن الظاهر أنه أيضاً من المستقلات العقلية فالإرشادية </w:t>
      </w:r>
      <w:bookmarkStart w:id="526" w:name="pg7671_76641"/>
    </w:p>
    <w:p>
      <w:pPr>
        <w:pStyle w:val="BookText"/>
        <w:rPr/>
      </w:pPr>
      <w:bookmarkEnd w:id="526"/>
      <w:r>
        <w:rPr>
          <w:rFonts w:ascii="Amiri" w:hAnsi="Amiri" w:eastAsia="Amiri" w:cs="Amiri"/>
          <w:color w:val="111111"/>
          <w:sz w:val="28"/>
          <w:sz w:val="28"/>
          <w:szCs w:val="28"/>
          <w:rtl w:val="true"/>
          <w:lang w:bidi="ar-SA"/>
        </w:rPr>
        <w:t>محتملة أيضاً</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959521_1051229030"/>
      <w:bookmarkStart w:id="528" w:name="_Toc192"/>
      <w:bookmarkEnd w:id="527"/>
      <w:r>
        <w:rPr/>
        <w:t>5</w:t>
      </w:r>
      <w:r>
        <w:rPr>
          <w:rtl w:val="true"/>
        </w:rPr>
        <w:t xml:space="preserve">- </w:t>
      </w:r>
      <w:r>
        <w:rPr>
          <w:rtl w:val="true"/>
        </w:rPr>
        <w:t>مبنى الوالد</w:t>
      </w:r>
      <w:r>
        <w:rPr>
          <w:rtl w:val="true"/>
        </w:rPr>
        <w:t xml:space="preserve">: </w:t>
      </w:r>
      <w:r>
        <w:rPr>
          <w:rtl w:val="true"/>
        </w:rPr>
        <w:t xml:space="preserve">شمول </w:t>
      </w:r>
      <w:r>
        <w:rPr>
          <w:rtl w:val="true"/>
        </w:rPr>
        <w:t>(</w:t>
      </w:r>
      <w:r>
        <w:rPr>
          <w:rtl w:val="true"/>
        </w:rPr>
        <w:t>لا ضرر</w:t>
      </w:r>
      <w:r>
        <w:rPr>
          <w:rtl w:val="true"/>
        </w:rPr>
        <w:t xml:space="preserve">) </w:t>
      </w:r>
      <w:r>
        <w:rPr>
          <w:rtl w:val="true"/>
        </w:rPr>
        <w:t>لها جميعاً</w:t>
      </w:r>
      <w:bookmarkEnd w:id="528"/>
    </w:p>
    <w:p>
      <w:pPr>
        <w:pStyle w:val="BookText"/>
        <w:rPr/>
      </w:pPr>
      <w:r>
        <w:rPr>
          <w:rFonts w:ascii="Amiri" w:hAnsi="Amiri" w:eastAsia="Amiri" w:cs="Amiri"/>
          <w:color w:val="111111"/>
          <w:sz w:val="28"/>
          <w:sz w:val="28"/>
          <w:szCs w:val="28"/>
          <w:rtl w:val="true"/>
          <w:lang w:bidi="ar-SA"/>
        </w:rPr>
        <w:t>المبنى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إليه السيد الوالد قدس سره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أن يكون أقرب المجازات إلى الجملة المذكورة ـ بعد تعذر الحقيقة ـ يشمل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إضرار الشارع بالحكم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وإضرار أحد بالآخر</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والتدارك إن أضره، فإنه كما إذا أمكن الحقيقة يشمل كل ذلك، كذلك المجاز، لوضوح الأولين، وعدم التدارك معناه بقاؤه، فعدمه معناه نوع من وجوده فهو يمنع امتداده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الآخوند أخص مطلقاً من حيث المورد من كلام الشيخ فيدخل في أول أقسام كلام الوالد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وجّه كلام شيخ الشريعة الأصفهاني بإرادة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إضرار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بالغير، ولم يبقه على ظاهره من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الإشكال عليه بأنه لا جامع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أنه ليس بعرفي على الأقل فتأمل</w:t>
      </w:r>
      <w:r>
        <w:rPr>
          <w:rFonts w:eastAsia="Amiri" w:cs="Amiri" w:ascii="Amiri" w:hAnsi="Amiri"/>
          <w:color w:val="111111"/>
          <w:sz w:val="28"/>
          <w:szCs w:val="28"/>
          <w:rtl w:val="true"/>
          <w:lang w:bidi="ar-SA"/>
        </w:rPr>
        <w:t xml:space="preserve">. </w:t>
      </w:r>
      <w:bookmarkStart w:id="529" w:name="pg7671_76643"/>
    </w:p>
    <w:p>
      <w:pPr>
        <w:pStyle w:val="Heading3"/>
        <w:numPr>
          <w:ilvl w:val="2"/>
          <w:numId w:val="1"/>
        </w:numPr>
        <w:rPr/>
      </w:pPr>
      <w:bookmarkStart w:id="530" w:name="__RefHeading___Toc3959523_1051229030"/>
      <w:bookmarkStart w:id="531" w:name="_Toc193"/>
      <w:bookmarkEnd w:id="529"/>
      <w:bookmarkEnd w:id="530"/>
      <w:r>
        <w:rPr>
          <w:rtl w:val="true"/>
        </w:rPr>
        <w:t xml:space="preserve">قاعدة </w:t>
      </w:r>
      <w:r>
        <w:rPr>
          <w:rtl w:val="true"/>
        </w:rPr>
        <w:t>(</w:t>
      </w:r>
      <w:r>
        <w:rPr>
          <w:rtl w:val="true"/>
        </w:rPr>
        <w:t>اليد</w:t>
      </w:r>
      <w:r>
        <w:rPr>
          <w:rtl w:val="true"/>
        </w:rPr>
        <w:t xml:space="preserve">) </w:t>
      </w:r>
      <w:r>
        <w:rPr>
          <w:rtl w:val="true"/>
        </w:rPr>
        <w:t xml:space="preserve">و </w:t>
      </w:r>
      <w:r>
        <w:rPr>
          <w:rtl w:val="true"/>
        </w:rPr>
        <w:t>(</w:t>
      </w:r>
      <w:r>
        <w:rPr>
          <w:rtl w:val="true"/>
        </w:rPr>
        <w:t>سوق المسلمين</w:t>
      </w:r>
      <w:r>
        <w:rPr>
          <w:rtl w:val="true"/>
        </w:rPr>
        <w:t xml:space="preserve">) </w:t>
      </w:r>
      <w:r>
        <w:rPr>
          <w:rtl w:val="true"/>
        </w:rPr>
        <w:t xml:space="preserve">و </w:t>
      </w:r>
      <w:r>
        <w:rPr>
          <w:rtl w:val="true"/>
        </w:rPr>
        <w:t>(</w:t>
      </w:r>
      <w:r>
        <w:rPr>
          <w:rtl w:val="true"/>
        </w:rPr>
        <w:t>الإقرار</w:t>
      </w:r>
      <w:r>
        <w:rPr>
          <w:rtl w:val="true"/>
        </w:rPr>
        <w:t>)</w:t>
      </w:r>
      <w:bookmarkEnd w:id="531"/>
    </w:p>
    <w:p>
      <w:pPr>
        <w:pStyle w:val="BookText"/>
        <w:rPr/>
      </w:pPr>
      <w:r>
        <w:rPr>
          <w:rFonts w:ascii="Amiri" w:hAnsi="Amiri" w:eastAsia="Amiri" w:cs="Amiri"/>
          <w:color w:val="111111"/>
          <w:sz w:val="28"/>
          <w:sz w:val="28"/>
          <w:szCs w:val="28"/>
          <w:rtl w:val="true"/>
          <w:lang w:bidi="ar-SA"/>
        </w:rPr>
        <w:t xml:space="preserve">بل حتى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اعتبارهما</w:t>
      </w:r>
      <w:r>
        <w:rPr>
          <w:rStyle w:val="FootnoteAnchor"/>
          <w:rtl w:val="true"/>
        </w:rPr>
        <w:footnoteReference w:id="516"/>
      </w:r>
      <w:r>
        <w:rPr>
          <w:rFonts w:ascii="Amiri" w:hAnsi="Amiri" w:eastAsia="Amiri" w:cs="Amiri"/>
          <w:color w:val="111111"/>
          <w:sz w:val="28"/>
          <w:sz w:val="28"/>
          <w:szCs w:val="28"/>
          <w:rtl w:val="true"/>
          <w:lang w:bidi="ar-SA"/>
        </w:rPr>
        <w:t xml:space="preserve">إمارة الملك ـ كما هو الظاهر ، ونفوذ إقراره هل هو بما هو مولى؟ أو بما هو مرشد وناصح؟، وهو المعبر عنه بإمضائيات الشارع، لكن قد يقال الإمضاء أعم من كونه بما هو مولى أو بما هو مشفق ناصح أو معلم مرشد ـ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لأولهما</w:t>
      </w:r>
      <w:r>
        <w:rPr>
          <w:rStyle w:val="FootnoteAnchor"/>
          <w:rtl w:val="true"/>
        </w:rPr>
        <w:footnoteReference w:id="51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لملك الإقرار به؟ أي إيجاد لهذا الاعتبار في عالمه</w:t>
      </w:r>
      <w:r>
        <w:rPr>
          <w:rStyle w:val="FootnoteAnchor"/>
          <w:rtl w:val="true"/>
        </w:rPr>
        <w:footnoteReference w:id="518"/>
      </w:r>
      <w:r>
        <w:rPr>
          <w:rFonts w:ascii="Amiri" w:hAnsi="Amiri" w:eastAsia="Amiri" w:cs="Amiri"/>
          <w:color w:val="111111"/>
          <w:sz w:val="28"/>
          <w:sz w:val="28"/>
          <w:szCs w:val="28"/>
          <w:rtl w:val="true"/>
          <w:lang w:bidi="ar-SA"/>
        </w:rPr>
        <w:t>، فالشارع بما هو مولى قد جعل له هذا الحق، أم أنه إخبار عن ملكه ـ تكويناً اعتبارياً للإقرار به، وإرشاد إلى ذلك نظراً؛ لأن ملك الإقرار به شعاع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الملك، فبعد الفراغ عن عدم مونها أصلاً، فهل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الشارع بما هو مولى، علامة ودليلاً وأمارة؟ ولا كاشفية لها بذاتها ، بوجهٍ؟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كاشفيتها ذاتية ـ ولو بنحو الاقتضاء ـ وقد تممها الشارع ـ </w:t>
      </w:r>
    </w:p>
    <w:p>
      <w:pPr>
        <w:pStyle w:val="BookText"/>
        <w:rPr/>
      </w:pPr>
      <w:r>
        <w:rPr>
          <w:rFonts w:ascii="Amiri" w:hAnsi="Amiri" w:eastAsia="Amiri" w:cs="Amiri"/>
          <w:color w:val="111111"/>
          <w:sz w:val="28"/>
          <w:sz w:val="28"/>
          <w:szCs w:val="28"/>
          <w:rtl w:val="true"/>
          <w:lang w:bidi="ar-SA"/>
        </w:rPr>
        <w:t xml:space="preserve">كما قال به الأصفهاني في الكشف الناقص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 كاشفيتها ذاتية ـ ولو اقتضاء ـ وقد كشف الشارع عن ذلك فقط؟</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الأوسط، وتفصيل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bookmarkStart w:id="532" w:name="pg7671_76647"/>
    </w:p>
    <w:p>
      <w:pPr>
        <w:pStyle w:val="Heading3"/>
        <w:numPr>
          <w:ilvl w:val="2"/>
          <w:numId w:val="1"/>
        </w:numPr>
        <w:rPr/>
      </w:pPr>
      <w:bookmarkStart w:id="533" w:name="__RefHeading___Toc3959525_1051229030"/>
      <w:bookmarkStart w:id="534" w:name="_Toc194"/>
      <w:bookmarkEnd w:id="532"/>
      <w:bookmarkEnd w:id="533"/>
      <w:r>
        <w:rPr>
          <w:rtl w:val="true"/>
        </w:rPr>
        <w:t xml:space="preserve">ومن موارد الابتلاء في </w:t>
      </w:r>
      <w:r>
        <w:rPr>
          <w:rtl w:val="true"/>
        </w:rPr>
        <w:t>(</w:t>
      </w:r>
      <w:r>
        <w:rPr>
          <w:rtl w:val="true"/>
        </w:rPr>
        <w:t>الفقه</w:t>
      </w:r>
      <w:r>
        <w:rPr>
          <w:rtl w:val="true"/>
        </w:rPr>
        <w:t>)</w:t>
      </w:r>
      <w:bookmarkEnd w:id="534"/>
    </w:p>
    <w:p>
      <w:pPr>
        <w:pStyle w:val="Heading3"/>
        <w:numPr>
          <w:ilvl w:val="2"/>
          <w:numId w:val="1"/>
        </w:numPr>
        <w:rPr/>
      </w:pPr>
      <w:bookmarkStart w:id="535" w:name="__RefHeading___Toc3959527_1051229030"/>
      <w:bookmarkStart w:id="536" w:name="_Toc195"/>
      <w:bookmarkEnd w:id="535"/>
      <w:r>
        <w:rPr>
          <w:rtl w:val="true"/>
        </w:rPr>
        <w:t>حفظ الأمانة وردّ الوديعة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والظاهر أن رعاية الأمانة غير رعاية العهد، فهما عنوانان، ويستقل العقل بحسن كليهما، والنسبة بينهما التباين لو قلنا بتعلق العهد بالمعنويات والأمانة بالماديات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520"/>
      </w:r>
    </w:p>
    <w:p>
      <w:pPr>
        <w:pStyle w:val="Heading3"/>
        <w:numPr>
          <w:ilvl w:val="2"/>
          <w:numId w:val="1"/>
        </w:numPr>
        <w:rPr/>
      </w:pPr>
      <w:bookmarkStart w:id="537" w:name="__RefHeading___Toc3959529_1051229030"/>
      <w:bookmarkStart w:id="538" w:name="_Toc196"/>
      <w:bookmarkEnd w:id="537"/>
      <w:r>
        <w:rPr>
          <w:rtl w:val="true"/>
        </w:rPr>
        <w:t>البحث جار في مادة الأمر وصيغته</w:t>
      </w:r>
      <w:bookmarkEnd w:id="5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فرق في البحث عن إمكان وعدم إمكان المولوية في بعض الأوامر بناء على بعض الضوابط ـ كضابط المستقلات العقلية ـ </w:t>
      </w:r>
      <w:bookmarkStart w:id="539" w:name="pg7671_76649"/>
    </w:p>
    <w:p>
      <w:pPr>
        <w:pStyle w:val="BookText"/>
        <w:rPr/>
      </w:pPr>
      <w:bookmarkEnd w:id="539"/>
      <w:r>
        <w:rPr>
          <w:rFonts w:ascii="Amiri" w:hAnsi="Amiri" w:eastAsia="Amiri" w:cs="Amiri"/>
          <w:color w:val="111111"/>
          <w:sz w:val="28"/>
          <w:sz w:val="28"/>
          <w:szCs w:val="28"/>
          <w:rtl w:val="true"/>
          <w:lang w:bidi="ar-SA"/>
        </w:rPr>
        <w:t>بين ورود مادة الأمر ـ كما في المقام ـ وورود صيغته؛ إذ ما ذكر من المحاذير ـ على فرض صحته ـ من لزوم اللغوية أو تحصيل الحاصل أو التسلسل أو ما أشبه، جار في المادة كجريانه في الصيغة كما لا يخفى</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959531_1051229030"/>
      <w:bookmarkStart w:id="541" w:name="_Toc197"/>
      <w:bookmarkEnd w:id="540"/>
      <w:r>
        <w:rPr>
          <w:rtl w:val="true"/>
        </w:rPr>
        <w:t>بيان ذلك</w:t>
      </w:r>
      <w:r>
        <w:rPr>
          <w:rtl w:val="true"/>
        </w:rPr>
        <w:t>:</w:t>
      </w:r>
      <w:bookmarkEnd w:id="541"/>
    </w:p>
    <w:p>
      <w:pPr>
        <w:pStyle w:val="BookText"/>
        <w:rPr/>
      </w:pPr>
      <w:r>
        <w:rPr>
          <w:rFonts w:ascii="Amiri" w:hAnsi="Amiri" w:eastAsia="Amiri" w:cs="Amiri"/>
          <w:color w:val="111111"/>
          <w:sz w:val="28"/>
          <w:sz w:val="28"/>
          <w:szCs w:val="28"/>
          <w:rtl w:val="true"/>
          <w:lang w:bidi="ar-SA"/>
        </w:rPr>
        <w:t xml:space="preserve">إن الظاهر أنه لا فرق في بعض ضوابط المولوية والإرشادية ـ ثبوتاً ـ بين استخدام مادة الأمر كالمقام، أو صيغته، فإنه إن كان المقياس للمولوي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الضابط الخامس، فإن الأمر هنا إرشادي لكونه منها، ولا يجدي استخدام 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المقياس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إذا كان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في كل من المادة والصيغة، كونهما للمولوية والإرشاد، نعم مادة الأمر أقرب للمولوية منها للإرشاد؛ إذ المستظهر منها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في موطن المستقل العقلي، يعد من الأدلة على عدم صحة الضابط السابق ـ أي الخامس ـ فتدبر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المعطوف عليها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المستقلات العقلية، 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التي يستقل بها العقل، وقد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المستقلة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كانت فيه الصغرى </w:t>
      </w:r>
      <w:bookmarkStart w:id="542" w:name="pg7671_76651"/>
    </w:p>
    <w:p>
      <w:pPr>
        <w:pStyle w:val="BookText"/>
        <w:rPr/>
      </w:pPr>
      <w:bookmarkEnd w:id="542"/>
      <w:r>
        <w:rPr>
          <w:rFonts w:ascii="Amiri" w:hAnsi="Amiri" w:eastAsia="Amiri" w:cs="Amiri"/>
          <w:color w:val="111111"/>
          <w:sz w:val="28"/>
          <w:sz w:val="28"/>
          <w:szCs w:val="28"/>
          <w:rtl w:val="true"/>
          <w:lang w:bidi="ar-SA"/>
        </w:rPr>
        <w:t>والكبرى جميعاً عقليتين والمراد في هذه الآية وسائر الآيات المبحوث عنها هنا، هو المعنى الأول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الناس من نفسك</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وهو أيضاً مما يستقل العقل بحسنه وبوجوبه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آخر غير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مصاديقه؟ ولعلنا نفصل الحديث عن هذا العنوان كبعض العناوين اللاحقة في الجزء الثاني إذا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أو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والظاهر أن التعبير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تعليق الحكم على الوصف مشعر بالعلية، وبذلك يندرج في المستقلات العقلية، وإن لم نقل باندراج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959533_1051229030"/>
      <w:bookmarkStart w:id="544" w:name="_Toc198"/>
      <w:bookmarkEnd w:id="543"/>
      <w:r>
        <w:rPr>
          <w:rtl w:val="true"/>
        </w:rPr>
        <w:t xml:space="preserve">صلة الرحم ومعنى </w:t>
      </w:r>
      <w:r>
        <w:rPr>
          <w:rtl w:val="true"/>
        </w:rPr>
        <w:t>(</w:t>
      </w:r>
      <w:r>
        <w:rPr>
          <w:rtl w:val="true"/>
        </w:rPr>
        <w:t>أولى</w:t>
      </w:r>
      <w:r>
        <w:rPr>
          <w:rtl w:val="true"/>
        </w:rPr>
        <w:t>)</w:t>
      </w:r>
      <w:bookmarkEnd w:id="54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قاعدة عامة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أولوية أولي الأرحام بعضهم ببعض مطلقاً، فتكون هي الأصل والاستثناء بحاجة إلى دليل، فتكون الآية من الأدلة العامة على حق الإرث والحضانة </w:t>
      </w:r>
      <w:bookmarkStart w:id="545" w:name="pg7671_76653"/>
    </w:p>
    <w:p>
      <w:pPr>
        <w:pStyle w:val="BookText"/>
        <w:rPr/>
      </w:pPr>
      <w:bookmarkEnd w:id="545"/>
      <w:r>
        <w:rPr>
          <w:rFonts w:ascii="Amiri" w:hAnsi="Amiri" w:eastAsia="Amiri" w:cs="Amiri"/>
          <w:color w:val="111111"/>
          <w:sz w:val="28"/>
          <w:sz w:val="28"/>
          <w:szCs w:val="28"/>
          <w:rtl w:val="true"/>
          <w:lang w:bidi="ar-SA"/>
        </w:rPr>
        <w:t>وتجهيز الميت والرعاية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الأرحام ببعض، من المستقلات العقلية في الجملة، وإن كانت حدوده بين مشكوكة أو معلومة العدم</w:t>
      </w:r>
      <w:r>
        <w:rPr>
          <w:rStyle w:val="FootnoteAnchor"/>
          <w:rtl w:val="true"/>
        </w:rPr>
        <w:footnoteReference w:id="525"/>
      </w:r>
      <w:r>
        <w:rPr>
          <w:rFonts w:ascii="Amiri" w:hAnsi="Amiri" w:eastAsia="Amiri" w:cs="Amiri"/>
          <w:color w:val="111111"/>
          <w:sz w:val="28"/>
          <w:sz w:val="28"/>
          <w:szCs w:val="28"/>
          <w:rtl w:val="true"/>
          <w:lang w:bidi="ar-SA"/>
        </w:rPr>
        <w:t xml:space="preserve">، كما أن أولوية النبي صلى الله عليه وآله المذكورة في صدر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أيضاً ـ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خفي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التشكيكية ذات المراتب، وأنها طولية في مثل الأب والأخ، وعرضية في الأخوين، وطولية أو عرضية على الأقوال في مثل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مقتصرة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مراتب من الولاية أيضاً</w:t>
      </w:r>
      <w:r>
        <w:rPr>
          <w:rStyle w:val="FootnoteAnchor"/>
          <w:rtl w:val="true"/>
        </w:rPr>
        <w:footnoteReference w:id="526"/>
      </w:r>
      <w:r>
        <w:rPr>
          <w:rFonts w:ascii="Amiri" w:hAnsi="Amiri" w:eastAsia="Amiri" w:cs="Amiri"/>
          <w:color w:val="111111"/>
          <w:sz w:val="28"/>
          <w:sz w:val="28"/>
          <w:szCs w:val="28"/>
          <w:rtl w:val="true"/>
          <w:lang w:bidi="ar-SA"/>
        </w:rPr>
        <w:t>ويدل عليه إضافة إلى الفتوى، إثبات الأولوية في صدر الآية للنبي صلى الله عليه وآله، فإنها غير خاصة بالإرث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أن أولوية أولي الأرحام ببعضهم ليست عامة شاملة، كأولوية النبي صلى الله عليه وآله، بالمؤمنين للأصل وللدليل الخارجي</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959535_1051229030"/>
      <w:bookmarkStart w:id="547" w:name="_Toc199"/>
      <w:bookmarkEnd w:id="546"/>
      <w:r>
        <w:rPr>
          <w:rtl w:val="true"/>
        </w:rPr>
        <w:t>قطع الأرحام</w:t>
      </w:r>
      <w:bookmarkEnd w:id="547"/>
    </w:p>
    <w:p>
      <w:pPr>
        <w:pStyle w:val="BookText"/>
        <w:rPr/>
      </w:pPr>
      <w:r>
        <w:rPr>
          <w:rFonts w:ascii="Amiri" w:hAnsi="Amiri" w:eastAsia="Amiri" w:cs="Amiri"/>
          <w:color w:val="111111"/>
          <w:sz w:val="28"/>
          <w:sz w:val="28"/>
          <w:szCs w:val="28"/>
          <w:rtl w:val="true"/>
          <w:lang w:bidi="ar-SA"/>
        </w:rPr>
        <w:t xml:space="preserve">وقبح وحرمة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وَيَقْطَعُونَ مَا أَمَرَ اللَّهُ بِهِ أَن يُوصَلَ</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الريب في أن النهي عن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 به أن يوصل</w:t>
      </w:r>
      <w:r>
        <w:rPr>
          <w:rFonts w:eastAsia="Amiri" w:cs="Amiri" w:ascii="Amiri" w:hAnsi="Amiri"/>
          <w:color w:val="111111"/>
          <w:sz w:val="28"/>
          <w:szCs w:val="28"/>
          <w:rtl w:val="true"/>
          <w:lang w:bidi="ar-SA"/>
        </w:rPr>
        <w:t xml:space="preserve">) </w:t>
      </w:r>
      <w:bookmarkStart w:id="548" w:name="pg7671_76655"/>
    </w:p>
    <w:p>
      <w:pPr>
        <w:pStyle w:val="BookText"/>
        <w:rPr/>
      </w:pPr>
      <w:bookmarkEnd w:id="548"/>
      <w:r>
        <w:rPr>
          <w:rFonts w:ascii="IRNazanin" w:hAnsi="IRNazanin" w:eastAsia="IRNazanin"/>
          <w:color w:val="111111"/>
          <w:sz w:val="28"/>
          <w:sz w:val="28"/>
          <w:szCs w:val="28"/>
          <w:rtl w:val="true"/>
          <w:lang w:bidi="fa-IR"/>
        </w:rPr>
        <w:t>المستفاد من تعلقه</w:t>
      </w:r>
      <w:r>
        <w:rPr>
          <w:rStyle w:val="FootnoteAnchor"/>
          <w:rtl w:val="true"/>
        </w:rPr>
        <w:footnoteReference w:id="52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اللحن والسياق، مولوي، ولا يضيره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إذ ذكر النتيجة لا يخل باستظهار كون المقام مقام المولوية، بل قد يؤكده أحياناً، بل الأمر كذلك حتى على ضابط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ظاهرها أن المراد بها الأخروية، لا أقل من الأعمية</w:t>
      </w:r>
      <w:r>
        <w:rPr>
          <w:rStyle w:val="FootnoteAnchor"/>
          <w:rtl w:val="true"/>
        </w:rPr>
        <w:footnoteReference w:id="529"/>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أو مبغوضاً للمولى وقد صدر لذلك</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959537_1051229030"/>
      <w:bookmarkStart w:id="550" w:name="_Toc200"/>
      <w:bookmarkEnd w:id="549"/>
      <w:r>
        <w:rPr>
          <w:rtl w:val="true"/>
        </w:rPr>
        <w:t>الإنفاق</w:t>
      </w:r>
      <w:bookmarkEnd w:id="550"/>
    </w:p>
    <w:p>
      <w:pPr>
        <w:pStyle w:val="BookText"/>
        <w:rPr/>
      </w:pPr>
      <w:r>
        <w:rPr>
          <w:rFonts w:ascii="Amiri" w:hAnsi="Amiri" w:eastAsia="Amiri" w:cs="Amiri"/>
          <w:color w:val="111111"/>
          <w:sz w:val="28"/>
          <w:sz w:val="28"/>
          <w:szCs w:val="28"/>
          <w:rtl w:val="true"/>
          <w:lang w:bidi="ar-SA"/>
        </w:rPr>
        <w:t xml:space="preserve">والإنفاق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مِن مَّا رَزَقْنَاكُم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وإضافة الرزق إليه تعالى، مشعر بوجه الإلزام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يندرج في المستقلات العقلية، وإن لم نقل باندراج مطلق الإنفاق فيها، نعم حسن مطلقِهِ عقلاً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أم إرشادي؟</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مولوي أو إرشادي؟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 ولا يصرِف الأمرَ عن ظاهره</w:t>
      </w:r>
      <w:r>
        <w:rPr>
          <w:rStyle w:val="FootnoteAnchor"/>
          <w:rtl w:val="true"/>
        </w:rPr>
        <w:footnoteReference w:id="531"/>
      </w:r>
      <w:r>
        <w:rPr>
          <w:rFonts w:ascii="Amiri" w:hAnsi="Amiri" w:eastAsia="Amiri" w:cs="Amiri"/>
          <w:color w:val="111111"/>
          <w:sz w:val="28"/>
          <w:sz w:val="28"/>
          <w:szCs w:val="28"/>
          <w:rtl w:val="true"/>
          <w:lang w:bidi="ar-SA"/>
        </w:rPr>
        <w:t>، كونُ السياق سياق النصح والإرشاد، واللحن لحن ناصح ومرشد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للوضع ولا للاستعمال في المولوية، إذ قد </w:t>
      </w:r>
    </w:p>
    <w:p>
      <w:pPr>
        <w:pStyle w:val="BookText"/>
        <w:rPr/>
      </w:pPr>
      <w:r>
        <w:rPr>
          <w:rFonts w:ascii="Amiri" w:hAnsi="Amiri" w:eastAsia="Amiri" w:cs="Amiri"/>
          <w:color w:val="111111"/>
          <w:sz w:val="28"/>
          <w:sz w:val="28"/>
          <w:szCs w:val="28"/>
          <w:rtl w:val="true"/>
          <w:lang w:bidi="ar-SA"/>
        </w:rPr>
        <w:t>فصلنا أن المولوية والإرشادية، دواعي، وليست جزء الموضوع له ولا المستعمل فيه، بل لشهادة الحال بذلك والقاعدة والأصل، كما فصلناه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مولوي ـ تشريعي</w:t>
      </w:r>
      <w:r>
        <w:rPr>
          <w:rStyle w:val="FootnoteAnchor"/>
          <w:rtl w:val="true"/>
        </w:rPr>
        <w:footnoteReference w:id="532"/>
      </w:r>
      <w:r>
        <w:rPr>
          <w:rFonts w:ascii="Amiri" w:hAnsi="Amiri" w:eastAsia="Amiri" w:cs="Amiri"/>
          <w:color w:val="111111"/>
          <w:sz w:val="28"/>
          <w:sz w:val="28"/>
          <w:szCs w:val="28"/>
          <w:rtl w:val="true"/>
          <w:lang w:bidi="ar-SA"/>
        </w:rPr>
        <w:t>فيستحق العقاب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يضر باستظهار المولوية، دعوى كون حسن ووجوب إنفاق بعض ما رزقنا الله، من المستقلات العقلية، لما سبق من الضابط في المولوية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والظاهر أن أصل الإنفاق من بعض الرزق، من المستقلات، دون حدوده وتفاصيله خمساً وزكاة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تنفع دعوى اتحاد الكلي الطبيعي مع مصاديقه، لا لعدم اتحاده مع حدوده حتى على فرضه</w:t>
      </w:r>
      <w:r>
        <w:rPr>
          <w:rStyle w:val="FootnoteAnchor"/>
          <w:rtl w:val="true"/>
        </w:rPr>
        <w:footnoteReference w:id="534"/>
      </w:r>
      <w:r>
        <w:rPr>
          <w:rFonts w:ascii="Amiri" w:hAnsi="Amiri" w:eastAsia="Amiri" w:cs="Amiri"/>
          <w:color w:val="111111"/>
          <w:sz w:val="28"/>
          <w:sz w:val="28"/>
          <w:szCs w:val="28"/>
          <w:rtl w:val="true"/>
          <w:lang w:bidi="ar-SA"/>
        </w:rPr>
        <w:t xml:space="preserve">ـ فقط، بل لأن الاتحاد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النقاش في أصل المبنى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الضابط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بالأصل إرشادياً وبالحدود مولوياً لو  افترقا، أما لو اتحدا في أمر واحد فقد فصلنا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كون الأمر الواحد مولوياً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لزوم محذور اجتماع اللحاظين المحال ـ فتدبر</w:t>
      </w:r>
      <w:r>
        <w:rPr>
          <w:rFonts w:eastAsia="Amiri" w:cs="Amiri" w:ascii="Amiri" w:hAnsi="Amiri"/>
          <w:color w:val="111111"/>
          <w:sz w:val="28"/>
          <w:szCs w:val="28"/>
          <w:rtl w:val="true"/>
          <w:lang w:bidi="ar-SA"/>
        </w:rPr>
        <w:t xml:space="preserve">. </w:t>
      </w:r>
      <w:bookmarkStart w:id="551" w:name="pg7671_76659"/>
    </w:p>
    <w:p>
      <w:pPr>
        <w:pStyle w:val="BookText"/>
        <w:rPr/>
      </w:pPr>
      <w:bookmarkEnd w:id="551"/>
      <w:r>
        <w:rPr>
          <w:rFonts w:ascii="Amiri" w:hAnsi="Amiri" w:eastAsia="Amiri" w:cs="Amiri"/>
          <w:color w:val="111111"/>
          <w:sz w:val="28"/>
          <w:sz w:val="28"/>
          <w:szCs w:val="28"/>
          <w:rtl w:val="true"/>
          <w:lang w:bidi="ar-SA"/>
        </w:rPr>
        <w:t xml:space="preserve">وحسن أو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التعاون على الإثم والعدوان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وقد فصلنا الحديث عن هذه الآية الشريفة ـ بما ينفع في سائر المباحث والآيات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3959539_1051229030"/>
      <w:bookmarkStart w:id="553" w:name="_Toc201"/>
      <w:bookmarkEnd w:id="552"/>
      <w:r>
        <w:rPr>
          <w:rtl w:val="true"/>
        </w:rPr>
        <w:t>استباق الخيرات</w:t>
      </w:r>
      <w:bookmarkEnd w:id="55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استباق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استباق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المسارعة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الموضوعية أم الطريقية؟ أي هل يطلبان لذاتهما أم لغيرهما؟ وبعبارة أخرى هل هما واجبان ـ في الواجب ـ ومستحبان ـ في المستحب ـ نفسياً أو غيرياً؟</w:t>
      </w:r>
    </w:p>
    <w:p>
      <w:pPr>
        <w:pStyle w:val="BookText"/>
        <w:rPr/>
      </w:pPr>
      <w:r>
        <w:rPr>
          <w:rFonts w:ascii="Amiri" w:hAnsi="Amiri" w:eastAsia="Amiri" w:cs="Amiri"/>
          <w:color w:val="111111"/>
          <w:sz w:val="28"/>
          <w:sz w:val="28"/>
          <w:szCs w:val="28"/>
          <w:rtl w:val="true"/>
          <w:lang w:bidi="ar-SA"/>
        </w:rPr>
        <w:t>وذلك بعد الفراغ عن عدم اتحادهما مع مدخولهما، ولذا أمكن لا عقلاً فقط بل عرفاً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في الحكم</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أنهما من المستقلات العقلية، فمن ذهب إلى الضابط الخامس، فإنه يرى الأمر فيهما إرشادياً، أما بناء على الضابط الأول، فهل صدر ذلك من المولى بما هو مولى أو بما هو ناصح؟ </w:t>
      </w:r>
      <w:bookmarkStart w:id="554" w:name="pg7671_76661"/>
    </w:p>
    <w:p>
      <w:pPr>
        <w:pStyle w:val="Heading3"/>
        <w:numPr>
          <w:ilvl w:val="2"/>
          <w:numId w:val="1"/>
        </w:numPr>
        <w:rPr/>
      </w:pPr>
      <w:bookmarkStart w:id="555" w:name="__RefHeading___Toc3959541_1051229030"/>
      <w:bookmarkStart w:id="556" w:name="_Toc202"/>
      <w:bookmarkEnd w:id="554"/>
      <w:bookmarkEnd w:id="555"/>
      <w:r>
        <w:rPr>
          <w:rtl w:val="true"/>
        </w:rPr>
        <w:t>ذكر الله سبحانه</w:t>
      </w:r>
      <w:bookmarkEnd w:id="55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فإنه ـ كسوابقه ولواحقه ـ مما تحكم به الفطرة والعقل والعقلاء أيضاً ـ إضافة للشرع ـ نظراً لكونها من الأوليات أو الفطريات أو المشهورات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الذكر بالقلب واللسان، ولا انصراف له لأحدهما، ولو كان فبدوي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ومما تحكم به الفطرة والعقلاء أيضاً، فيقع البحث في أن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أو إرشادي؟</w:t>
      </w:r>
    </w:p>
    <w:p>
      <w:pPr>
        <w:pStyle w:val="Heading3"/>
        <w:numPr>
          <w:ilvl w:val="2"/>
          <w:numId w:val="1"/>
        </w:numPr>
        <w:rPr/>
      </w:pPr>
      <w:bookmarkStart w:id="557" w:name="__RefHeading___Toc3959543_1051229030"/>
      <w:bookmarkStart w:id="558" w:name="_Toc203"/>
      <w:bookmarkEnd w:id="557"/>
      <w:r>
        <w:rPr>
          <w:rtl w:val="true"/>
        </w:rPr>
        <w:t>الدعاء</w:t>
      </w:r>
      <w:bookmarkEnd w:id="55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الإرشادية؛ لما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إليه في هذا الكتاب، من أنه أعم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الجملة، ومستحب مطلقاً، فمن أعرض عن الدعاء مطلقاً ارتكب محرماً</w:t>
      </w:r>
      <w:r>
        <w:rPr>
          <w:rFonts w:eastAsia="Amiri" w:cs="Amiri" w:ascii="Amiri" w:hAnsi="Amiri"/>
          <w:color w:val="111111"/>
          <w:sz w:val="28"/>
          <w:szCs w:val="28"/>
          <w:rtl w:val="true"/>
          <w:lang w:bidi="ar-SA"/>
        </w:rPr>
        <w:t xml:space="preserve">. </w:t>
      </w:r>
      <w:bookmarkStart w:id="559" w:name="pg7671_76663"/>
    </w:p>
    <w:p>
      <w:pPr>
        <w:pStyle w:val="Heading3"/>
        <w:numPr>
          <w:ilvl w:val="2"/>
          <w:numId w:val="1"/>
        </w:numPr>
        <w:rPr/>
      </w:pPr>
      <w:bookmarkStart w:id="560" w:name="__RefHeading___Toc3959545_1051229030"/>
      <w:bookmarkStart w:id="561" w:name="_Toc204"/>
      <w:bookmarkEnd w:id="559"/>
      <w:bookmarkEnd w:id="560"/>
      <w:r>
        <w:rPr>
          <w:rtl w:val="true"/>
        </w:rPr>
        <w:t>حرمة التبذير ومسائل أخرى</w:t>
      </w:r>
      <w:bookmarkEnd w:id="561"/>
    </w:p>
    <w:p>
      <w:pPr>
        <w:pStyle w:val="BookText"/>
        <w:rPr/>
      </w:pPr>
      <w:r>
        <w:rPr>
          <w:rFonts w:ascii="Amiri" w:hAnsi="Amiri" w:eastAsia="Amiri" w:cs="Amiri"/>
          <w:color w:val="111111"/>
          <w:sz w:val="28"/>
          <w:sz w:val="28"/>
          <w:szCs w:val="28"/>
          <w:rtl w:val="true"/>
          <w:lang w:bidi="ar-SA"/>
        </w:rPr>
        <w:t xml:space="preserve">وحرمة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وعن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فدعا برطب، فأقبل بعضهم يرمي بالنوى،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أبو عبد الله 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التبذير، وإن الله لا يحب الفساد</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فهل النهي فيه ولواحقه مولوي يستتبع الحرمة واستحقاق العقاب أم لا، فلا؟ وسيأتي أن وضوح التحريم فيه، في متفاهم العرف، من الأدلة على أن النهي والأمر في المستقلات العقلية، مولوي وليس إرشادياً، ولعل ذكر المفعول المطلق</w:t>
      </w:r>
      <w:r>
        <w:rPr>
          <w:rStyle w:val="FootnoteAnchor"/>
          <w:rtl w:val="true"/>
        </w:rPr>
        <w:footnoteReference w:id="543"/>
      </w:r>
      <w:r>
        <w:rPr>
          <w:rFonts w:ascii="Amiri" w:hAnsi="Amiri" w:eastAsia="Amiri" w:cs="Amiri"/>
          <w:color w:val="111111"/>
          <w:sz w:val="28"/>
          <w:sz w:val="28"/>
          <w:szCs w:val="28"/>
          <w:rtl w:val="true"/>
          <w:lang w:bidi="ar-SA"/>
        </w:rPr>
        <w:t>بعد النهي لأجل بيان إنه تمام علة النهي فلا يتوهم عدم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إطاعة أمر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w:t>
      </w:r>
      <w:r>
        <w:rPr>
          <w:rStyle w:val="FootnoteAnchor"/>
          <w:rtl w:val="true"/>
        </w:rPr>
        <w:footnoteReference w:id="544"/>
      </w:r>
    </w:p>
    <w:p>
      <w:pPr>
        <w:pStyle w:val="Heading3"/>
        <w:numPr>
          <w:ilvl w:val="2"/>
          <w:numId w:val="1"/>
        </w:numPr>
        <w:rPr/>
      </w:pPr>
      <w:bookmarkStart w:id="562" w:name="__RefHeading___Toc3959547_1051229030"/>
      <w:bookmarkStart w:id="563" w:name="_Toc205"/>
      <w:bookmarkEnd w:id="562"/>
      <w:r>
        <w:rPr>
          <w:rtl w:val="true"/>
        </w:rPr>
        <w:t>الغيبة والجهر بالسوء</w:t>
      </w:r>
      <w:bookmarkEnd w:id="5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وقبح أو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w:t>
      </w:r>
      <w:r>
        <w:rPr>
          <w:rStyle w:val="FootnoteAnchor"/>
          <w:rtl w:val="true"/>
        </w:rPr>
        <w:footnoteReference w:id="546"/>
      </w:r>
      <w:bookmarkStart w:id="564" w:name="pg7671_76665"/>
    </w:p>
    <w:p>
      <w:pPr>
        <w:pStyle w:val="BookText"/>
        <w:rPr/>
      </w:pPr>
      <w:bookmarkEnd w:id="564"/>
      <w:r>
        <w:rPr>
          <w:rFonts w:ascii="Amiri" w:hAnsi="Amiri" w:eastAsia="Amiri" w:cs="Amiri"/>
          <w:color w:val="111111"/>
          <w:sz w:val="28"/>
          <w:sz w:val="28"/>
          <w:szCs w:val="28"/>
          <w:rtl w:val="true"/>
          <w:lang w:bidi="ar-SA"/>
        </w:rPr>
        <w:t xml:space="preserve">والظاهر أنها من المستقلات العقلية، ولعل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الوارد وكأنه في مقام التعليل، إشعاراً بأنه من المستقلات العقلية، بل الأمور الفطرية؛ إذ ذاك انتقاص من جسده، وهذا من سمعته ومكانته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يستظهر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أعم من الغيبة</w:t>
      </w:r>
      <w:r>
        <w:rPr>
          <w:rStyle w:val="FootnoteAnchor"/>
          <w:rtl w:val="true"/>
        </w:rPr>
        <w:footnoteReference w:id="548"/>
      </w:r>
      <w:r>
        <w:rPr>
          <w:rFonts w:ascii="Amiri" w:hAnsi="Amiri" w:eastAsia="Amiri" w:cs="Amiri"/>
          <w:color w:val="111111"/>
          <w:sz w:val="28"/>
          <w:sz w:val="28"/>
          <w:szCs w:val="28"/>
          <w:rtl w:val="true"/>
          <w:lang w:bidi="ar-SA"/>
        </w:rPr>
        <w:t xml:space="preserve">ـ من المستقلات العقلية ـ قبحاً وحرمة ـ من إضافته للسوء ومن استنثاء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الجهر بالسوء من مصاديق الظلم وانتهاك حق الآخرين، ويخرجه منها كونه مظلوماً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959549_1051229030"/>
      <w:bookmarkStart w:id="566" w:name="_Toc206"/>
      <w:bookmarkEnd w:id="565"/>
      <w:r>
        <w:rPr>
          <w:rtl w:val="true"/>
        </w:rPr>
        <w:t>مولوية النهي عن الغيبة تدل على بطلان الضابط الخامس</w:t>
      </w:r>
      <w:bookmarkEnd w:id="566"/>
    </w:p>
    <w:p>
      <w:pPr>
        <w:pStyle w:val="BookText"/>
        <w:rPr/>
      </w:pPr>
      <w:r>
        <w:rPr>
          <w:rFonts w:ascii="Amiri" w:hAnsi="Amiri" w:eastAsia="Amiri" w:cs="Amiri"/>
          <w:color w:val="111111"/>
          <w:sz w:val="28"/>
          <w:sz w:val="28"/>
          <w:szCs w:val="28"/>
          <w:rtl w:val="true"/>
          <w:lang w:bidi="ar-SA"/>
        </w:rPr>
        <w:t>ثم الظاهر من فتوى الفقهاء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 ترتب العقاب عليها حسب الروايات، إن النهي عنها مولوي، فيكون ذلك صالحاً للإستشهاد به على بطلان الضابط الخامس للمولوية والإرشادية من كون كل مستقل عقلي فإن الأمر فيه أو النهي عنه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عدم تمامية ما ذكره في مواهب الرحمن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في الآية الشريفة ـ أي آية لا يحب الله الجهر بالسوء ـ موافق للفطرة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ما ورد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التكاليف </w:t>
      </w:r>
    </w:p>
    <w:p>
      <w:pPr>
        <w:pStyle w:val="BookText"/>
        <w:rPr/>
      </w:pPr>
      <w:r>
        <w:rPr>
          <w:rFonts w:ascii="Amiri" w:hAnsi="Amiri" w:eastAsia="Amiri" w:cs="Amiri"/>
          <w:color w:val="111111"/>
          <w:sz w:val="28"/>
          <w:sz w:val="28"/>
          <w:szCs w:val="28"/>
          <w:rtl w:val="true"/>
          <w:lang w:bidi="ar-SA"/>
        </w:rPr>
        <w:t>الواردة في الأحكام الفطرية إنما تكون إرشادية، لا أن تكون مولوية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إذ الفقهاء أفتوا بحرمة السب والقذف وغيرهما من مصاديق الجهر بالسوء من القول، والروايات رتبت عليها العقاب بين تعزير وحدّ، وقد فصلنا في مبحث الضوابط في الضابط الخامس، عدم تمامية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غيبة البعض للبعض شاملة لغيبة شخص لشخص أو لجماعة أو لمؤسسة، من شركة أو نقابة أو إتحاد أو غير ذلك، وكذلك هي أعم من غيبة جماعة أو مؤسسة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أجزاءاً وأبعاضاً، مزيد الردع عن الغيبة إذ كأن كلاً منهم بعض من كل وجزء من جسد، فما يضر هذا أو يشينه فإنه قد أضر ببعضه وجزءه، لا بفرد ومصداق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لاحظ التعبير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 وكل واحد منهم،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وإن كان بحسب ذاته أعم من الكراهة والحرمة، إلا أنه في مثل المقام وبتناسب الحكم والموضوع، يفيد الحرمة فالنهي تحريمي إلزامي وليس تنزيهياً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الغيبة لشموله الأقوال الثلاثة التي ذكرها في مجمع البيان لتفسير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الشتم في الانتصار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على أحد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 وشكايته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صحتها بأجمعها</w:t>
      </w:r>
      <w:r>
        <w:rPr>
          <w:rFonts w:eastAsia="Amiri" w:cs="Amiri" w:ascii="Amiri" w:hAnsi="Amiri"/>
          <w:color w:val="111111"/>
          <w:sz w:val="28"/>
          <w:szCs w:val="28"/>
          <w:rtl w:val="true"/>
          <w:lang w:bidi="ar-SA"/>
        </w:rPr>
        <w:t xml:space="preserve">. </w:t>
      </w:r>
      <w:bookmarkStart w:id="567" w:name="pg7671_76669"/>
    </w:p>
    <w:p>
      <w:pPr>
        <w:pStyle w:val="BookText"/>
        <w:rPr/>
      </w:pPr>
      <w:bookmarkEnd w:id="567"/>
      <w:r>
        <w:rPr>
          <w:rFonts w:ascii="Amiri" w:hAnsi="Amiri" w:eastAsia="Amiri" w:cs="Amiri"/>
          <w:color w:val="111111"/>
          <w:sz w:val="28"/>
          <w:sz w:val="28"/>
          <w:szCs w:val="28"/>
          <w:rtl w:val="true"/>
          <w:lang w:bidi="ar-SA"/>
        </w:rPr>
        <w:t>وتفسير الإمام الباقر عليه السلام، الآية بالأول، والإمام الصادق عليه السلام بذكر الضيف سوء ما فعل مضيفه إن لم يحسن ضيافته، الظاهر أنه تفسير بالمصداق ولذا قال السيد السبزواري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يسوء المقول فيه فيشمل السبوالقذف، ثم عمم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حكمه حتى يشمل الغمز واللمز والإتهام بالسيء من الصفات والأعمال، والبهتان، وإلصاق العيوب، والدعاء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بالقول من باب الغالب</w:t>
      </w:r>
      <w:r>
        <w:rPr>
          <w:rFonts w:eastAsia="Amiri" w:cs="Amiri" w:ascii="Amiri" w:hAnsi="Amiri"/>
          <w:color w:val="111111"/>
          <w:sz w:val="28"/>
          <w:szCs w:val="28"/>
          <w:rtl w:val="true"/>
          <w:lang w:bidi="ar-SA"/>
        </w:rPr>
        <w:t>).</w:t>
      </w:r>
      <w:r>
        <w:rPr>
          <w:rStyle w:val="FootnoteAnchor"/>
          <w:rtl w:val="true"/>
        </w:rPr>
        <w:footnoteReference w:id="550"/>
      </w:r>
    </w:p>
    <w:p>
      <w:pPr>
        <w:pStyle w:val="Heading3"/>
        <w:numPr>
          <w:ilvl w:val="2"/>
          <w:numId w:val="1"/>
        </w:numPr>
        <w:rPr/>
      </w:pPr>
      <w:bookmarkStart w:id="568" w:name="__RefHeading___Toc3959551_1051229030"/>
      <w:bookmarkStart w:id="569" w:name="_Toc207"/>
      <w:bookmarkEnd w:id="568"/>
      <w:r>
        <w:rPr>
          <w:rtl w:val="true"/>
        </w:rPr>
        <w:t>آيات أخرى</w:t>
      </w:r>
      <w:bookmarkEnd w:id="569"/>
    </w:p>
    <w:p>
      <w:pPr>
        <w:pStyle w:val="BookText"/>
        <w:rPr/>
      </w:pPr>
      <w:r>
        <w:rPr>
          <w:rFonts w:ascii="Amiri" w:hAnsi="Amiri" w:eastAsia="Amiri" w:cs="Amiri"/>
          <w:color w:val="111111"/>
          <w:sz w:val="28"/>
          <w:sz w:val="28"/>
          <w:szCs w:val="28"/>
          <w:rtl w:val="true"/>
          <w:lang w:bidi="ar-SA"/>
        </w:rPr>
        <w:t>وهناك آيات في أبعاد عديدة نشير لها إشارة ولعلنا نعود لتفصيل بعضها في الجزء الثاني بإذن الله تعالى ومنها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959553_1051229030"/>
      <w:bookmarkStart w:id="571" w:name="_Toc208"/>
      <w:bookmarkEnd w:id="570"/>
      <w:r>
        <w:rPr>
          <w:rtl w:val="true"/>
        </w:rPr>
        <w:t>النميمة</w:t>
      </w:r>
      <w:bookmarkEnd w:id="5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وفي 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للبراء المعايب</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وقد استظهرنا في بعض بحوثنا أن هذا ونظائره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w:t>
      </w:r>
      <w:r>
        <w:rPr>
          <w:rFonts w:eastAsia="Amiri" w:cs="Amiri" w:ascii="Amiri" w:hAnsi="Amiri"/>
          <w:color w:val="111111"/>
          <w:sz w:val="28"/>
          <w:szCs w:val="28"/>
          <w:rtl w:val="true"/>
          <w:lang w:bidi="ar-SA"/>
        </w:rPr>
        <w:t xml:space="preserve">). </w:t>
      </w:r>
      <w:bookmarkStart w:id="572" w:name="pg7671_76671"/>
    </w:p>
    <w:p>
      <w:pPr>
        <w:pStyle w:val="Heading3"/>
        <w:numPr>
          <w:ilvl w:val="2"/>
          <w:numId w:val="1"/>
        </w:numPr>
        <w:rPr/>
      </w:pPr>
      <w:bookmarkStart w:id="573" w:name="__RefHeading___Toc3959555_1051229030"/>
      <w:bookmarkStart w:id="574" w:name="_Toc209"/>
      <w:bookmarkEnd w:id="572"/>
      <w:bookmarkEnd w:id="573"/>
      <w:r>
        <w:rPr>
          <w:rtl w:val="true"/>
        </w:rPr>
        <w:t>اليأس من روح الله تعالى</w:t>
      </w:r>
      <w:bookmarkEnd w:id="57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من الكبائر؛ بشهادة تتمة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الله، أعم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غفرانه، أو اليأس من نصرته وفرجه، واليأس من عطائه وكرمه، واليأس من رحمته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كون اليائس من رحمة الله كافراً، أن مرجع اليأس من رحمته إما إلى نسبة العجز إليه تعالى أو البخل أو الجهل، وكلها كفر؛ إذ الله قادر عالم جواد،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اليأس من روح الله، مما يستقل العقل بقبحه، وحرمته، والنهي عنه حسب الضابط الخامس، إرشادي، وحسب الضابط الأول المنصور وكذا الثاني والثالث بل وضوابط أخرى، مولوي</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959557_1051229030"/>
      <w:bookmarkStart w:id="576" w:name="_Toc210"/>
      <w:bookmarkEnd w:id="575"/>
      <w:r>
        <w:rPr>
          <w:rtl w:val="true"/>
        </w:rPr>
        <w:t>التصرف دون رضى المالك</w:t>
      </w:r>
      <w:bookmarkEnd w:id="5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 الغير إلا بطيبة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w:t>
      </w:r>
      <w:bookmarkStart w:id="577" w:name="pg7671_76672"/>
    </w:p>
    <w:p>
      <w:pPr>
        <w:pStyle w:val="BookText"/>
        <w:rPr/>
      </w:pPr>
      <w:bookmarkEnd w:id="577"/>
      <w:r>
        <w:rPr>
          <w:rFonts w:ascii="Amiri" w:hAnsi="Amiri" w:eastAsia="Amiri" w:cs="Amiri"/>
          <w:color w:val="111111"/>
          <w:sz w:val="28"/>
          <w:sz w:val="28"/>
          <w:szCs w:val="28"/>
          <w:rtl w:val="true"/>
          <w:lang w:bidi="ar-SA"/>
        </w:rPr>
        <w:t>حَتَّى تَسْتَأْنِسُوا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بتنقيح المناط القطعي، أو بإلغاء الخصوصية وبعدم القول بالفصل، بل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أوضح البديهيات الشرعية والأدلة الأربعة على ذلك قائمة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والظاهر 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وحرمة التصرف في ما ملكه الغير بدون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مولوية النهي عن التصرف في مال الغير دون رضاه واستحقاق فاعله العقاب، ويعد هذا دليلاً أيضاً على بطلان الضابط الخامس للمولوي، من اشتراط كون متعلقه غير المستقلات العقلية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959559_1051229030"/>
      <w:bookmarkStart w:id="579" w:name="_Toc211"/>
      <w:bookmarkEnd w:id="578"/>
      <w:r>
        <w:rPr>
          <w:rtl w:val="true"/>
        </w:rPr>
        <w:t>كتمان الحق والهدى</w:t>
      </w:r>
      <w:bookmarkEnd w:id="57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ويمكن إلحاق هذا بما يرتبط بأصول الدين، لكون الكتمان فيه أجلى المصاديق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كما كان بيانه وإظهاره واجباً؟ ذلك صغرى البحث عن لزوم اللغوية في إنشاء الحكم لكلا طرفي الموضوع </w:t>
      </w:r>
      <w:bookmarkStart w:id="580" w:name="pg7671_76674"/>
    </w:p>
    <w:p>
      <w:pPr>
        <w:pStyle w:val="BookText"/>
        <w:rPr/>
      </w:pPr>
      <w:bookmarkEnd w:id="580"/>
      <w:r>
        <w:rPr>
          <w:rFonts w:ascii="Amiri" w:hAnsi="Amiri" w:eastAsia="Amiri" w:cs="Amiri"/>
          <w:color w:val="111111"/>
          <w:sz w:val="28"/>
          <w:sz w:val="28"/>
          <w:szCs w:val="28"/>
          <w:rtl w:val="true"/>
          <w:lang w:bidi="ar-SA"/>
        </w:rPr>
        <w:t xml:space="preserve">أو العنوان؟ وتفصيله يطلب من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إقتضاء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من الضدين اللذين لا ثالث لهما، بل لهما ثالث، فلا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وجب إظهاره، أغنى عن تحريم كتمانه حتى لو أمكن، سواء كان لهما ثالث أم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النهي عن كتمان الحق نهي مولوي ـ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كونه مولوياً نفسياً للمفسدة السلوكية، واهي، وإن كان يمكن توجيهه بما ليس ههنا محل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قبحه وحرمته مما يستقل به العقل وتحكم به الفطرة أيضاً، فيقع البحث في مولوية النهي عنه أو إرشاديته تبعاً لذلك</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959561_1051229030"/>
      <w:bookmarkStart w:id="582" w:name="_Toc212"/>
      <w:bookmarkEnd w:id="581"/>
      <w:r>
        <w:rPr>
          <w:rtl w:val="true"/>
        </w:rPr>
        <w:t>الإفساد في الأرض</w:t>
      </w:r>
      <w:bookmarkEnd w:id="58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الإفساد في الأرض حقيقة أخرى غير صرف القتل والجرح وتخريب الحرث والنسل؛ فإنها قد تكون ولا يصدق</w:t>
      </w:r>
      <w:r>
        <w:rPr>
          <w:rStyle w:val="FootnoteAnchor"/>
          <w:rtl w:val="true"/>
        </w:rPr>
        <w:footnoteReference w:id="559"/>
      </w:r>
      <w:r>
        <w:rPr>
          <w:rFonts w:ascii="Amiri" w:hAnsi="Amiri" w:eastAsia="Amiri" w:cs="Amiri"/>
          <w:color w:val="111111"/>
          <w:sz w:val="28"/>
          <w:sz w:val="28"/>
          <w:szCs w:val="28"/>
          <w:rtl w:val="true"/>
          <w:lang w:bidi="ar-SA"/>
        </w:rPr>
        <w:t>ولعلها مقدمة له ومن العلل المعدة</w:t>
      </w:r>
      <w:r>
        <w:rPr>
          <w:rFonts w:eastAsia="Amiri" w:cs="Amiri" w:ascii="Amiri" w:hAnsi="Amiri"/>
          <w:color w:val="111111"/>
          <w:sz w:val="28"/>
          <w:szCs w:val="28"/>
          <w:rtl w:val="true"/>
          <w:lang w:bidi="ar-SA"/>
        </w:rPr>
        <w:t xml:space="preserve">. </w:t>
      </w:r>
      <w:bookmarkStart w:id="583" w:name="pg7671_76676"/>
    </w:p>
    <w:p>
      <w:pPr>
        <w:pStyle w:val="BookText"/>
        <w:rPr/>
      </w:pPr>
      <w:bookmarkEnd w:id="583"/>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عنوان الإفساد، كلي طبيعي متحد مع مصاديقه</w:t>
      </w:r>
      <w:r>
        <w:rPr>
          <w:rStyle w:val="FootnoteAnchor"/>
          <w:rtl w:val="true"/>
        </w:rPr>
        <w:footnoteReference w:id="560"/>
      </w:r>
      <w:r>
        <w:rPr>
          <w:rFonts w:ascii="Amiri" w:hAnsi="Amiri" w:eastAsia="Amiri" w:cs="Amiri"/>
          <w:color w:val="111111"/>
          <w:sz w:val="28"/>
          <w:sz w:val="28"/>
          <w:szCs w:val="28"/>
          <w:rtl w:val="true"/>
          <w:lang w:bidi="ar-SA"/>
        </w:rPr>
        <w:t>إلا أنه تترتب عقوبتان على المفسد في الأرض، واستحقاقان، لتحقق العنوانين وتغايرهما ذاتاً ومفهوماً وإن اتحدا خارجاً ومصداقاً، ولعله يأتي تفصيله في الجزء الثاني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قبح وحرمة الإفساد في الأرض، يعد من المستقلات العقلية بل الأمور الفطرية وعليه إطباق كافة العقلاء، فالنهي عنه مولوي أو إرشادي، حسب المباني في ضابطهما</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3959563_1051229030"/>
      <w:bookmarkStart w:id="585" w:name="_Toc213"/>
      <w:bookmarkEnd w:id="584"/>
      <w:r>
        <w:rPr>
          <w:rtl w:val="true"/>
        </w:rPr>
        <w:t>الكذب وقول الزور</w:t>
      </w:r>
      <w:bookmarkEnd w:id="58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فإن الكذب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المستقلات العقلية، دون الغناء، فبناءً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والذهاب إلى ضابط كضابط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كان من المستقلات العقلية، كان الأمر أو النهي فيه إرشادياً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بلابدية كونه إرشادياً في كلا الشقين، وإلا لزم استعمال اللفظ في أكثر من معنى، وقد أجبنا عن مثل هذا بأجوبة عديدة مبنىً وبناءً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التعاون </w:t>
      </w:r>
      <w:bookmarkStart w:id="586" w:name="pg7671_76678"/>
    </w:p>
    <w:p>
      <w:pPr>
        <w:pStyle w:val="BookText"/>
        <w:rPr/>
      </w:pPr>
      <w:bookmarkEnd w:id="586"/>
      <w:r>
        <w:rPr>
          <w:rFonts w:ascii="Amiri" w:hAnsi="Amiri" w:eastAsia="Amiri" w:cs="Amiri"/>
          <w:color w:val="111111"/>
          <w:sz w:val="28"/>
          <w:sz w:val="28"/>
          <w:szCs w:val="28"/>
          <w:rtl w:val="true"/>
          <w:lang w:bidi="ar-SA"/>
        </w:rPr>
        <w:t>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وبأجوبة ثمانية في مباحث الأصول ـ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هنا أن المولوية والإرشادية ليست جزء الموضوع له ولا المستعمل فيه، بل هما من دواعي الإستعمال، فلو قصدا بالقياس للشقين لم يلزم استعمال اللفظ في أكثر من معنى ـ وقد أشرنا لذلك في موضع آخر من الكتاب فليلاحظ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قائلاً أو مستمعاً، مصدقاً أو مشجعاً أو مستمتعاً، أو شبه ذلك لأن من فعل أياً منها فليس بمجتنب له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3959565_1051229030"/>
      <w:bookmarkStart w:id="588" w:name="_Toc214"/>
      <w:bookmarkEnd w:id="587"/>
      <w:r>
        <w:rPr>
          <w:rtl w:val="true"/>
        </w:rPr>
        <w:t>تحميل الآخرين غير أوزارهم</w:t>
      </w:r>
      <w:bookmarkEnd w:id="58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التبعات على الآخرين وتحميلهم ذنباً لا يتحملونه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لا فرق في ذلك بين ما لو ألقى شخص حقيقي، أو حقوقي، تبعة أوزاره وخطاياه، على شخص حقيقي أو حقوقي، فلا يجوز تحميل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ذنب الأخطاء، على أحد أفرادها إذا لم يكن هو المخطئ، أو لم يكن الوزر عليه بأكمله فيحمِّله كلَّه، أو تحميلها على شركة أخرى منافسة أو حتى على عدو مادام محفوظ الحقوق كالذمي والمعاهد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بذلك عدم جواز إلقاء الدولة تبعة أوزارها وأخطائها، على </w:t>
      </w:r>
      <w:bookmarkStart w:id="589" w:name="pg7671_76680"/>
    </w:p>
    <w:p>
      <w:pPr>
        <w:pStyle w:val="BookText"/>
        <w:rPr/>
      </w:pPr>
      <w:bookmarkEnd w:id="589"/>
      <w:r>
        <w:rPr>
          <w:rFonts w:ascii="Amiri" w:hAnsi="Amiri" w:eastAsia="Amiri" w:cs="Amiri"/>
          <w:color w:val="111111"/>
          <w:sz w:val="28"/>
          <w:sz w:val="28"/>
          <w:szCs w:val="28"/>
          <w:rtl w:val="true"/>
          <w:lang w:bidi="ar-SA"/>
        </w:rPr>
        <w:t xml:space="preserve">أحد الوزراء أو المسؤولين ممن ليس هو السبب أو ليس السبب الأقوى أو ليس إلا جزء العلة، تبرئة لساحتها، فكيف بإلقاء التبعات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ذنب مضاعف ومعصية متكررة، ولهذا البحث مجال آخر</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959567_1051229030"/>
      <w:bookmarkStart w:id="591" w:name="_Toc215"/>
      <w:bookmarkEnd w:id="590"/>
      <w:r>
        <w:rPr>
          <w:rtl w:val="true"/>
        </w:rPr>
        <w:t xml:space="preserve">هل </w:t>
      </w:r>
      <w:r>
        <w:rPr>
          <w:rtl w:val="true"/>
        </w:rPr>
        <w:t>«</w:t>
      </w:r>
      <w:r>
        <w:rPr>
          <w:rtl w:val="true"/>
        </w:rPr>
        <w:t>لا تزر</w:t>
      </w:r>
      <w:r>
        <w:rPr>
          <w:rtl w:val="true"/>
        </w:rPr>
        <w:t xml:space="preserve">» </w:t>
      </w:r>
      <w:r>
        <w:rPr>
          <w:rtl w:val="true"/>
        </w:rPr>
        <w:t>نفي أريد به النهي؟</w:t>
      </w:r>
      <w:bookmarkEnd w:id="591"/>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نفياً، إلا أنه قد يقال إنه إخبار في مقام الإنشاء بمعنى أنه نفي أريد به النهي،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الإخبار عن عدم تحقق شيء في المستقبل يعد كناية عن مبغوضيته، فيصح الإخبار عنه في مقام النهي عنه، وذلك نظير ما ذهب إليه شيخ الشريعة الأصفهاني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فلا أقل من كونه إخباراً يكشف عن إنشاء سابق، بل لا أقل من كونه دالاً على مبغوضية ذلك للمولى، ويستفاد من تناسب الحكم والموضوع، حرمته، وعلى أي فإنه من المستقلات العقلية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الموقع للآخرين في المعصية والسبب لها، يتحمل وزرها أيضاً من غير أن ينقص من وزر فاعلها شيء، ففي صحيحة أبي عبيدة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أفتى الناس بغير علم ولا هدى، لعنته </w:t>
      </w:r>
      <w:bookmarkStart w:id="592" w:name="pg7671_76682"/>
    </w:p>
    <w:p>
      <w:pPr>
        <w:pStyle w:val="BookText"/>
        <w:rPr/>
      </w:pPr>
      <w:bookmarkEnd w:id="592"/>
      <w:r>
        <w:rPr>
          <w:rFonts w:ascii="Amiri" w:hAnsi="Amiri" w:eastAsia="Amiri" w:cs="Amiri"/>
          <w:color w:val="111111"/>
          <w:sz w:val="28"/>
          <w:sz w:val="28"/>
          <w:szCs w:val="28"/>
          <w:rtl w:val="true"/>
          <w:lang w:bidi="ar-SA"/>
        </w:rPr>
        <w:t>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وهذا الإستثناء مما يستقل به العقل أيضاً، بل قد يقال بخروجه موضوعاً عن الآية فتأمل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يشركهم في الإثم والوزر والعقوبة، كما يظهر من خبر قتل الإمام المنتظر عجل الله تعالى فرجه الشريف، ذراري قتلة الإمام الحسين عليه السلام لرضاهم بفعال آبائهم، وغيره، فراجع الصافي والبحار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خروجه موضوعاً،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استقلال العقل بقبحه وحرمته لكونه مصداقاً من مصاديق الظلم؟ أو أنه مما يستقل به العقل مع قطع النظر عن تعنونه بعنوان الظلم؟</w:t>
      </w:r>
    </w:p>
    <w:p>
      <w:pPr>
        <w:pStyle w:val="BookText"/>
        <w:rPr/>
      </w:pPr>
      <w:r>
        <w:rPr>
          <w:rFonts w:ascii="Amiri" w:hAnsi="Amiri" w:eastAsia="Amiri" w:cs="Amiri"/>
          <w:color w:val="111111"/>
          <w:sz w:val="28"/>
          <w:sz w:val="28"/>
          <w:szCs w:val="28"/>
          <w:rtl w:val="true"/>
          <w:lang w:bidi="ar-SA"/>
        </w:rPr>
        <w:t>قد يستظهر الأول ولذا يحسن لو كان بطلب</w:t>
      </w:r>
      <w:r>
        <w:rPr>
          <w:rStyle w:val="FootnoteAnchor"/>
          <w:rtl w:val="true"/>
        </w:rPr>
        <w:footnoteReference w:id="568"/>
      </w:r>
      <w:r>
        <w:rPr>
          <w:rFonts w:ascii="Amiri" w:hAnsi="Amiri" w:eastAsia="Amiri" w:cs="Amiri"/>
          <w:color w:val="111111"/>
          <w:sz w:val="28"/>
          <w:sz w:val="28"/>
          <w:szCs w:val="28"/>
          <w:rtl w:val="true"/>
          <w:lang w:bidi="ar-SA"/>
        </w:rPr>
        <w:t>، من الآخر غير ذي الوزر كما نشاهد ذلك تكويناً أيضاً ـ فتأمل</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959569_1051229030"/>
      <w:bookmarkStart w:id="594" w:name="_Toc216"/>
      <w:bookmarkEnd w:id="593"/>
      <w:r>
        <w:rPr>
          <w:rtl w:val="true"/>
        </w:rPr>
        <w:t>قهر اليتيم</w:t>
      </w:r>
      <w:bookmarkEnd w:id="59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عناوين أخرى أخص مطلقاً أو من وجه ـ ومنها قهر اليتيم ـ لا ينفي حكم العقل بقبح تلك العناوين </w:t>
      </w:r>
      <w:bookmarkStart w:id="595" w:name="pg7671_76684"/>
    </w:p>
    <w:p>
      <w:pPr>
        <w:pStyle w:val="BookText"/>
        <w:rPr/>
      </w:pPr>
      <w:bookmarkEnd w:id="595"/>
      <w:r>
        <w:rPr>
          <w:rFonts w:ascii="Amiri" w:hAnsi="Amiri" w:eastAsia="Amiri" w:cs="Amiri"/>
          <w:color w:val="111111"/>
          <w:sz w:val="28"/>
          <w:sz w:val="28"/>
          <w:szCs w:val="28"/>
          <w:rtl w:val="true"/>
          <w:lang w:bidi="ar-SA"/>
        </w:rPr>
        <w:t>حقيقة وبذاتها؛ لأنه واسطة في الثبوت لا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النظر عن عنوان الظلم، وبلحاظها بذاتها بما هي هي</w:t>
      </w:r>
    </w:p>
    <w:p>
      <w:pPr>
        <w:pStyle w:val="BookText"/>
        <w:rPr/>
      </w:pPr>
      <w:r>
        <w:rPr>
          <w:rFonts w:ascii="Amiri" w:hAnsi="Amiri" w:eastAsia="Amiri" w:cs="Amiri"/>
          <w:color w:val="111111"/>
          <w:sz w:val="28"/>
          <w:sz w:val="28"/>
          <w:szCs w:val="28"/>
          <w:rtl w:val="true"/>
          <w:lang w:bidi="ar-SA"/>
        </w:rPr>
        <w:t xml:space="preserve">وبالاستقلال، فإنه لا حكم للعقل بقبحها، إلا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كالظم مما لا يمكن أن يكون إلا قبيحاً وإلا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ذاك ظلماً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الظلم حقيقة تشكيكية ذات مراتب، فقد يكون أحد العناوين المندرجة تحته أشد قبحاً وحرمة من عنوان آخر، وذلك كقهر اليتيم أو غيره، وكظلم الأب أو الإبن، والمعلم أو المتعلم، والنبي أو المؤمن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استقلال العقل بقبح قهر اليتيم، لا يضر بكون النهي عنه مولوياً؛ لما صح عندنا من الضابط الأول للمولوية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959571_1051229030"/>
      <w:bookmarkStart w:id="597" w:name="_Toc217"/>
      <w:bookmarkEnd w:id="596"/>
      <w:r>
        <w:rPr>
          <w:rtl w:val="true"/>
        </w:rPr>
        <w:t>حسن اللعن واستحبابه أو وجوبه</w:t>
      </w:r>
      <w:bookmarkEnd w:id="59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فإنه وإن كان خبراً إلا أنه ـ بدلالة الإيماء والإشارة بل بدلالة الاقتضاء ـ يدل على حسن اللعن بل لا يعقل فيه غير ذلك، إذ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من غير أن يكون لعنهم حسناً؟ إذ إن أفعاله تعالى ـ على ما ذهب إليه العدلية والمعتزلة وبه يحكم صريح العقل والوجدان ـ معللة بالأغراض، وهو لا يفعل ولا يأمر إلا بالحسن ولا يترك ولا ينهى </w:t>
      </w:r>
      <w:bookmarkStart w:id="598" w:name="pg7671_76686"/>
    </w:p>
    <w:p>
      <w:pPr>
        <w:pStyle w:val="BookText"/>
        <w:rPr/>
      </w:pPr>
      <w:bookmarkEnd w:id="598"/>
      <w:r>
        <w:rPr>
          <w:rFonts w:ascii="Amiri" w:hAnsi="Amiri" w:eastAsia="Amiri" w:cs="Amiri"/>
          <w:color w:val="111111"/>
          <w:sz w:val="28"/>
          <w:sz w:val="28"/>
          <w:szCs w:val="28"/>
          <w:rtl w:val="true"/>
          <w:lang w:bidi="ar-SA"/>
        </w:rPr>
        <w:t>إلا عن القبيح، فإنه لا يعقل أن يلعن جل اسمه من لا يستحق اللعن، ومع استحقاقه لها كان لعنه حسناً وتركه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بصيغة الإخبار، سلمنا، لكنه لا أقل من كونه إخباراً يكشف عن الإنشاء في مرتبة سابقة، بل يكفي كشفه عن الحسن سواء البالغ حد الإيجاب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موضع آخر ما فصله الميرزا الشيرازي من أن الجملة الخبرية</w:t>
      </w:r>
      <w:r>
        <w:rPr>
          <w:rStyle w:val="FootnoteAnchor"/>
          <w:rtl w:val="true"/>
        </w:rPr>
        <w:footnoteReference w:id="571"/>
      </w:r>
      <w:r>
        <w:rPr>
          <w:rFonts w:ascii="Amiri" w:hAnsi="Amiri" w:eastAsia="Amiri" w:cs="Amiri"/>
          <w:color w:val="111111"/>
          <w:sz w:val="28"/>
          <w:sz w:val="28"/>
          <w:szCs w:val="28"/>
          <w:rtl w:val="true"/>
          <w:lang w:bidi="ar-SA"/>
        </w:rPr>
        <w:t>لو أريد بها الإنشاء وتردد الأمر بين الوجوب والندب، كان مقتضى القاعدة الحمل على الوجوب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لظهور الفعل المضارع فيه، ويؤكده سياق الآية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959573_1051229030"/>
      <w:bookmarkStart w:id="600" w:name="_Toc218"/>
      <w:bookmarkEnd w:id="599"/>
      <w:r>
        <w:rPr>
          <w:rtl w:val="true"/>
        </w:rPr>
        <w:t>هل بغض الإمام عليه السلام لشخص، سبب للعنة الله له أو كاشف عنها؟</w:t>
      </w:r>
      <w:bookmarkEnd w:id="600"/>
    </w:p>
    <w:p>
      <w:pPr>
        <w:pStyle w:val="BookText"/>
        <w:rPr/>
      </w:pPr>
      <w:r>
        <w:rPr>
          <w:rFonts w:ascii="Amiri" w:hAnsi="Amiri" w:eastAsia="Amiri" w:cs="Amiri"/>
          <w:color w:val="111111"/>
          <w:sz w:val="28"/>
          <w:sz w:val="28"/>
          <w:szCs w:val="28"/>
          <w:rtl w:val="true"/>
          <w:lang w:bidi="ar-SA"/>
        </w:rPr>
        <w:t>وروى الكليني عن محمد بن يحيى عن أحمد بن محمد عن محمد بن إسماعيل عن منصور بن يونس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لي إعرِف الآخر من الأئمة، ولا يضرك إن لا تعرف الأول؟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هذا؛ فإني أبغضه ولا أعرفه، وهل عرف الآخر إلا بالأول</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والرواية صحيحة الإسناد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منها أن بغض الإمام لشخص، سبب لعنة الله له لمقام الفاء</w:t>
      </w:r>
      <w:r>
        <w:rPr>
          <w:rStyle w:val="FootnoteAnchor"/>
          <w:rtl w:val="true"/>
        </w:rPr>
        <w:footnoteReference w:id="573"/>
      </w:r>
      <w:bookmarkStart w:id="601" w:name="pg7671_76689"/>
    </w:p>
    <w:p>
      <w:pPr>
        <w:pStyle w:val="BookText"/>
        <w:rPr/>
      </w:pPr>
      <w:bookmarkEnd w:id="601"/>
      <w:r>
        <w:rPr>
          <w:rFonts w:ascii="Amiri" w:hAnsi="Amiri" w:eastAsia="Amiri" w:cs="Amiri"/>
          <w:color w:val="111111"/>
          <w:sz w:val="28"/>
          <w:sz w:val="28"/>
          <w:szCs w:val="28"/>
          <w:rtl w:val="true"/>
          <w:lang w:bidi="ar-SA"/>
        </w:rPr>
        <w:t>ويحتمل كونه كاشفاً عن لعن الله له، فإذا كان علة الثبوت كان الأول، أو الإثبات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مانعة جمع، فإن بغضه عليه السلام له، سبب وكاشف معاً، ولا يلزم محذور اجتماع اللحاظين المحال، لما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النقاش في استحالة جمع اللحاظين في لفظ واحد،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أم إنشاء؟ الظاهر الثاني؛ إذ يرى العرف أنه دعاء</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959575_1051229030"/>
      <w:bookmarkStart w:id="603" w:name="_Toc219"/>
      <w:bookmarkEnd w:id="602"/>
      <w:r>
        <w:rPr>
          <w:rtl w:val="true"/>
        </w:rPr>
        <w:t>هل هم كفرة أم مشركون؟</w:t>
      </w:r>
      <w:bookmarkEnd w:id="603"/>
    </w:p>
    <w:p>
      <w:pPr>
        <w:pStyle w:val="BookText"/>
        <w:rPr/>
      </w:pPr>
      <w:r>
        <w:rPr>
          <w:rFonts w:ascii="Amiri" w:hAnsi="Amiri" w:eastAsia="Amiri" w:cs="Amiri"/>
          <w:color w:val="111111"/>
          <w:sz w:val="28"/>
          <w:sz w:val="28"/>
          <w:szCs w:val="28"/>
          <w:rtl w:val="true"/>
          <w:lang w:bidi="ar-SA"/>
        </w:rPr>
        <w:t>وروى الكليني عن علي بن إبراهيم عن أبيه عن ابن أبي عمير عن محمد بن حكيم وحماد عن أبي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سألني أبو عبد الله عليه السلام عن أهل البصرة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وقدرية وحرورية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والرواية حسنة بل صحيحة الإسناد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للكفر إطلاقين، يتنافى بالأول منهما مع الشرك، دون الثاني،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بأصل وجود الله تعالى، والكفر بوحدانيته، والمراد هنا الثاني</w:t>
      </w:r>
      <w:r>
        <w:rPr>
          <w:rStyle w:val="FootnoteAnchor"/>
          <w:rtl w:val="true"/>
        </w:rPr>
        <w:footnoteReference w:id="575"/>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إرادة الأول بدعوى كفرهم بالله لا بوحدانيته فقط، إذ ما عقدوا قلبهم على عبادته هو غير الله، وأما الشرك </w:t>
      </w:r>
      <w:bookmarkStart w:id="604" w:name="pg7671_76690"/>
    </w:p>
    <w:p>
      <w:pPr>
        <w:pStyle w:val="BookText"/>
        <w:rPr/>
      </w:pPr>
      <w:bookmarkEnd w:id="604"/>
      <w:r>
        <w:rPr>
          <w:rFonts w:ascii="Amiri" w:hAnsi="Amiri" w:eastAsia="Amiri" w:cs="Amiri"/>
          <w:color w:val="111111"/>
          <w:sz w:val="28"/>
          <w:sz w:val="28"/>
          <w:szCs w:val="28"/>
          <w:rtl w:val="true"/>
          <w:lang w:bidi="ar-SA"/>
        </w:rPr>
        <w:t>فجرياً على ظاهر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شيء ذي أصل أو قيمة، أي على شيء صحيح أو معتبر أو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بشيء مادام الاعتقاد فاسداً، يظهر به وجه عدم قبول الأعمال من منكر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استحقاق تلك الملل، اللعن، فطري، ومن المستقلات العقلية؛ فإن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وعاند وكابر وهو به عالم، فإنه مستحق عقلاً لأن يطرده الله عن رحمته، فكيف بمن أنكر خالقه وبارئه والمنعم عليه بكل شيء؟ أو أنكر رسوله أو وصيه أو صفاته وهو بها عالم؟ تكبراً وتجبراً ـ بل حتى لو كان تقصيراً ـ فإنه يستحق اللعن أي الطرد عن ساحته جل اسمه فإن ذلك هو ما اختاره، وهو الأثر الوضعي لقراره وفعله، وإذا استحق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استحق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أي استحق أن يدعى عليه باللعن والطرد، هذا أولاً، ولكون أصل وجود الله تعالى ووحدانيته، والأمر بين الأمرين، فطرياً، فاستحقاق لعن المنكر كذلك، ثانياً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959577_1051229030"/>
      <w:bookmarkStart w:id="606" w:name="_Toc220"/>
      <w:bookmarkEnd w:id="605"/>
      <w:r>
        <w:rPr>
          <w:rtl w:val="true"/>
        </w:rPr>
        <w:t>لعن رسول الله صلى الله عليه وآله من الخمر عشرة</w:t>
      </w:r>
      <w:bookmarkEnd w:id="6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عدة من أصحابنا عن أحمد بن محمد بن عيسى عن الحسين بن سعيد عن الحسين بن علوان عن عمرو بن خالد عن زيد بن علي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وعاصرها ومعتصرها وبايعها ومشتريها وساقيها وآكل ثمنها وشاربها وحاملها </w:t>
      </w:r>
    </w:p>
    <w:p>
      <w:pPr>
        <w:pStyle w:val="BookText"/>
        <w:rPr/>
      </w:pPr>
      <w:r>
        <w:rPr>
          <w:rFonts w:ascii="Amiri" w:hAnsi="Amiri" w:eastAsia="Amiri" w:cs="Amiri"/>
          <w:color w:val="111111"/>
          <w:sz w:val="28"/>
          <w:sz w:val="28"/>
          <w:szCs w:val="28"/>
          <w:rtl w:val="true"/>
          <w:lang w:bidi="ar-SA"/>
        </w:rPr>
        <w:t>والمحمولة إليه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والرواية موثقة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عدم جواز استعمال الخمر مطلقاً حتى في التطلية وتليين الأشياء الصعبة، وما أشبه ذلك؛ لإطلاق بعض الأدلة، ومنها رواية تحف العقول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أنحاء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احتمل الحلية لتعارض العمومات، بعمومات أخرى</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وإذا كان قبح شرب الخمر ـ أي قبح مطلق ما يذهب بالعقل ـ بل وحرمته، من المستقلات العقلية، فإن قبح سائر ما ذكر في الرواية من عصر وبيع وسقي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يندرج في كلي ما ذكرناه في مباحث الاستلزامات، وأن النهي ـ وقبله القبح ـ المتوجه لذي المقدمة، منبسط على المقدمة؟ ـ وهو الرأي المنصور ـ أو مترشح منه إليها؟ ـ على رأي مشهور ـ وأما الوجوب بمعنى اللابدية العقلية فهو، بعد أنه مفروغ منه ولا ريب فيه، فإنه ليس المراد ـ ولا ينبغي أن يكون المراد ـ من قاعدة الملازمة ـ وقد فصلنا ذلك في مباحث الأصول كتاب الملازمة بين حكمي العقل والشرع فليلاحظ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فإن هذه الرواية يمكن أن تعد من الأدلة على إنبساط الوجوب للمقدمة، ولا أقل من الترشح فليتدبر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 الله تعالى والرسول صلى الله عليه وآله، دليل حسن اللعن، بل دليل وجوب اللعن في الجملة،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جهة له، إلا أن خصوصية المورد والمادة وتناسب الحكم والموضوع والسياق وقرائن أخرى، </w:t>
      </w:r>
      <w:bookmarkStart w:id="607" w:name="pg7671_76694"/>
    </w:p>
    <w:p>
      <w:pPr>
        <w:pStyle w:val="BookText"/>
        <w:rPr/>
      </w:pPr>
      <w:bookmarkEnd w:id="607"/>
      <w:r>
        <w:rPr>
          <w:rFonts w:ascii="Amiri" w:hAnsi="Amiri" w:eastAsia="Amiri" w:cs="Amiri"/>
          <w:color w:val="111111"/>
          <w:sz w:val="28"/>
          <w:sz w:val="28"/>
          <w:szCs w:val="28"/>
          <w:rtl w:val="true"/>
          <w:lang w:bidi="ar-SA"/>
        </w:rPr>
        <w:t>يستفاد منها الإيجاب بحسب المتفاهم عرفاً ونظراً لبعض أدلة الأسوة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فليتأس متأسٍ بنبيه، وإلا فلا يأمننَّ الهلكة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لذلك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وسنفصله في مباحث الأصول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959579_1051229030"/>
      <w:bookmarkStart w:id="609" w:name="_Toc221"/>
      <w:bookmarkEnd w:id="608"/>
      <w:r>
        <w:rPr>
          <w:rtl w:val="true"/>
        </w:rPr>
        <w:t>حسن الشفاعة</w:t>
      </w:r>
      <w:bookmarkEnd w:id="60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يستقل بحسنها العقل، فالأمر فيها لو ورد أو كان بعض الأخبار عنها في مقام الإنشاء، فهو مولوي غيري، وليس مولوياً نفسياً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نعم لا دلالة للأمر بها كلما ورد، على كونه للوجوب، وذلك نظراً لقرينية خصوصية متعلقها، فإن كان واجباً كانت كذلك وإلا كانت مندوبة؛ لضرورة عدم زيادة ما بالعرض على ما بالذات والفرع على الأصل، ولعدم مصلحة سلوكية فيها، وإن أمكن تصويره</w:t>
      </w:r>
      <w:r>
        <w:rPr>
          <w:rStyle w:val="FootnoteAnchor"/>
          <w:rtl w:val="true"/>
        </w:rPr>
        <w:footnoteReference w:id="580"/>
      </w:r>
      <w:r>
        <w:rPr>
          <w:rFonts w:ascii="Amiri" w:hAnsi="Amiri" w:eastAsia="Amiri" w:cs="Amiri"/>
          <w:color w:val="111111"/>
          <w:sz w:val="28"/>
          <w:sz w:val="28"/>
          <w:szCs w:val="28"/>
          <w:rtl w:val="true"/>
          <w:lang w:bidi="ar-SA"/>
        </w:rPr>
        <w:t xml:space="preserve">فحالها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تبعية وجوبه واستحبابه، لما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ندب، ويكون حالها نظير ما قاله الآخوند في تبعية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والعموم، على حسب مدخولها</w:t>
      </w:r>
      <w:r>
        <w:rPr>
          <w:rFonts w:eastAsia="Amiri" w:cs="Amiri" w:ascii="Amiri" w:hAnsi="Amiri"/>
          <w:color w:val="111111"/>
          <w:sz w:val="28"/>
          <w:szCs w:val="28"/>
          <w:rtl w:val="true"/>
          <w:lang w:bidi="ar-SA"/>
        </w:rPr>
        <w:t xml:space="preserve">. </w:t>
      </w:r>
      <w:bookmarkStart w:id="610" w:name="pg7671_76696"/>
    </w:p>
    <w:p>
      <w:pPr>
        <w:pStyle w:val="BookText"/>
        <w:rPr/>
      </w:pPr>
      <w:bookmarkEnd w:id="610"/>
      <w:r>
        <w:rPr>
          <w:rFonts w:ascii="Amiri" w:hAnsi="Amiri" w:eastAsia="Amiri" w:cs="Amiri"/>
          <w:color w:val="111111"/>
          <w:sz w:val="28"/>
          <w:sz w:val="28"/>
          <w:szCs w:val="28"/>
          <w:rtl w:val="true"/>
          <w:lang w:bidi="ar-SA"/>
        </w:rPr>
        <w:t xml:space="preserve">ثم إنه لا يبعد كون الجزاء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يكن له نصيب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التكويني وبين التفضليّ، ولعل استقلال العقل بحسن الحسن منها، لكونها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بحسنه العقل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الشفاعة الحسنة، الشفاعة السيئة كالشفاعة في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الفقهاء حرمة الشفاعة في الحدود، لكن الذي يستظهر من بعض الأدلة الكراهة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إلى التتبع والتأمل</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ثم إن الشفاعة، لحسنها العقلي، وردت الآيات والروايات الكثيرة الدالة على ثبوتها للمعصومين عليهم السلام ولغيرهم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عن أبيه عن الحميري عن هارون بن مسلم عن مسعدة بن صدقة عن الصادق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يشفعون إلى الله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والحديث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إلحاق هذا بما يرتبط بأصول الدين بالمعنى الأعم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959581_1051229030"/>
      <w:bookmarkStart w:id="612" w:name="_Toc222"/>
      <w:bookmarkEnd w:id="611"/>
      <w:r>
        <w:rPr>
          <w:rtl w:val="true"/>
        </w:rPr>
        <w:t>مسائل أخرى</w:t>
      </w:r>
      <w:bookmarkEnd w:id="61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ـ ولعلنا نبحثها في الجزء القادم بإذن الله تعالى ـ وجوب تقليد الأعلم ـ على القول به ـ فهل الأمر به ـ لو ورد ـ مولوي أو إرشادي؟ بل مطلق وجوب رجوع الجاهل للعالم، وربما عدّ بعض الأعلام هذه المسألة من المسائل الأصولية، كما </w:t>
      </w:r>
    </w:p>
    <w:p>
      <w:pPr>
        <w:pStyle w:val="BookText"/>
        <w:rPr/>
      </w:pPr>
      <w:r>
        <w:rPr>
          <w:rFonts w:ascii="Amiri" w:hAnsi="Amiri" w:eastAsia="Amiri" w:cs="Amiri"/>
          <w:color w:val="111111"/>
          <w:sz w:val="28"/>
          <w:sz w:val="28"/>
          <w:szCs w:val="28"/>
          <w:rtl w:val="true"/>
          <w:lang w:bidi="ar-SA"/>
        </w:rPr>
        <w:t>ذكره السيد العم دام ظله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فهل كل ما ورد فيها من الأوامر في الشريعة، إرشادي أو مولوي؟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استحقاق للعقاب بالترك إلا على المؤدى،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الاستحقاق على القول بالنفسية والمصلحة السلوكية، وعلى القول بالغيرية أيضاً على ما أشرنا إليه في فقه التعاون</w:t>
      </w:r>
      <w:r>
        <w:rPr>
          <w:rStyle w:val="FootnoteAnchor"/>
          <w:rtl w:val="true"/>
        </w:rPr>
        <w:footnoteReference w:id="584"/>
      </w:r>
      <w:r>
        <w:rPr>
          <w:rFonts w:ascii="Amiri" w:hAnsi="Amiri" w:eastAsia="Amiri" w:cs="Amiri"/>
          <w:color w:val="111111"/>
          <w:sz w:val="28"/>
          <w:sz w:val="28"/>
          <w:szCs w:val="28"/>
          <w:rtl w:val="true"/>
          <w:lang w:bidi="ar-SA"/>
        </w:rPr>
        <w:t>من استحقاق العقاب على الغيري أيضاً دون مسلك المشهور</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7671_76702"/>
      <w:bookmarkStart w:id="614" w:name="pg7671_76702"/>
      <w:bookmarkEnd w:id="614"/>
    </w:p>
    <w:p>
      <w:pPr>
        <w:pStyle w:val="Heading2"/>
        <w:numPr>
          <w:ilvl w:val="1"/>
          <w:numId w:val="1"/>
        </w:numPr>
        <w:rPr/>
      </w:pPr>
      <w:bookmarkStart w:id="615" w:name="pg7671_76702"/>
      <w:bookmarkStart w:id="616" w:name="__RefHeading___Toc3959583_1051229030"/>
      <w:bookmarkStart w:id="617" w:name="_Toc223"/>
      <w:bookmarkEnd w:id="615"/>
      <w:bookmarkEnd w:id="616"/>
      <w:r>
        <w:rPr>
          <w:rtl w:val="true"/>
        </w:rPr>
        <w:t>المبحث السادس</w:t>
      </w:r>
      <w:r>
        <w:rPr>
          <w:rtl w:val="true"/>
        </w:rPr>
        <w:t xml:space="preserve">: </w:t>
      </w:r>
      <w:r>
        <w:rPr>
          <w:rtl w:val="true"/>
        </w:rPr>
        <w:t>أصناف الأوامر المحتمل أو المدعى كونها إرشادية</w:t>
      </w:r>
      <w:bookmarkEnd w:id="6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3959585_1051229030"/>
      <w:bookmarkStart w:id="619" w:name="_Toc224"/>
      <w:bookmarkEnd w:id="618"/>
      <w:r>
        <w:rPr>
          <w:rtl w:val="true"/>
        </w:rPr>
        <w:t>اشارة</w:t>
      </w:r>
      <w:bookmarkEnd w:id="61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تصنيف الأوامر والنواهي الواردة في لسان الشرع والمذكورة في جوامع الحديث كوسائل الشيعة وجامع أحاديث الشيعة وغيرها، والتي تطرق علماؤنا لبعضها في كتب الفقه، ولبعضها في كتب الكلام والعقائد، ولبعضها في كتب الأخلاق ولبعضها في كتب الحديث، إلى الأصناف التالية</w:t>
      </w:r>
      <w:r>
        <w:rPr>
          <w:rFonts w:eastAsia="Amiri" w:cs="Amiri" w:ascii="Amiri" w:hAnsi="Amiri"/>
          <w:color w:val="111111"/>
          <w:sz w:val="28"/>
          <w:szCs w:val="28"/>
          <w:rtl w:val="true"/>
          <w:lang w:bidi="ar-SA"/>
        </w:rPr>
        <w:t xml:space="preserve">: </w:t>
      </w:r>
      <w:bookmarkStart w:id="620" w:name="pg7671_76708"/>
    </w:p>
    <w:p>
      <w:pPr>
        <w:pStyle w:val="Heading3"/>
        <w:numPr>
          <w:ilvl w:val="2"/>
          <w:numId w:val="1"/>
        </w:numPr>
        <w:rPr/>
      </w:pPr>
      <w:bookmarkStart w:id="621" w:name="__RefHeading___Toc3959587_1051229030"/>
      <w:bookmarkStart w:id="622" w:name="_Toc225"/>
      <w:bookmarkEnd w:id="620"/>
      <w:bookmarkEnd w:id="621"/>
      <w:r>
        <w:rPr/>
        <w:t>1</w:t>
      </w:r>
      <w:r>
        <w:rPr>
          <w:rtl w:val="true"/>
        </w:rPr>
        <w:t xml:space="preserve">- </w:t>
      </w:r>
      <w:r>
        <w:rPr>
          <w:rtl w:val="true"/>
        </w:rPr>
        <w:t>ما يتعلق بالتجارة</w:t>
      </w:r>
      <w:bookmarkEnd w:id="622"/>
    </w:p>
    <w:p>
      <w:pPr>
        <w:pStyle w:val="Heading4"/>
        <w:numPr>
          <w:ilvl w:val="3"/>
          <w:numId w:val="1"/>
        </w:numPr>
        <w:rPr/>
      </w:pPr>
      <w:bookmarkStart w:id="623" w:name="__RefHeading___Toc3959589_1051229030"/>
      <w:bookmarkStart w:id="624" w:name="_Toc226"/>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فمنها الأوامر والنواهي الواردة في شأن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وهل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كما هو ظاهر أو منصرف بعض الروايات الأخرى؟ أم مطلق الناس؟</w:t>
      </w:r>
    </w:p>
    <w:p>
      <w:pPr>
        <w:pStyle w:val="BookText"/>
        <w:rPr/>
      </w:pPr>
      <w:r>
        <w:rPr>
          <w:rFonts w:ascii="Amiri" w:hAnsi="Amiri" w:eastAsia="Amiri" w:cs="Amiri"/>
          <w:color w:val="111111"/>
          <w:sz w:val="28"/>
          <w:sz w:val="28"/>
          <w:szCs w:val="28"/>
          <w:rtl w:val="true"/>
          <w:lang w:bidi="ar-SA"/>
        </w:rPr>
        <w:t>الظاهر الثاني فإنه</w:t>
      </w:r>
      <w:r>
        <w:rPr>
          <w:rStyle w:val="FootnoteAnchor"/>
          <w:rtl w:val="true"/>
        </w:rPr>
        <w:footnoteReference w:id="586"/>
      </w:r>
      <w:r>
        <w:rPr>
          <w:rFonts w:ascii="Amiri" w:hAnsi="Amiri" w:eastAsia="Amiri" w:cs="Amiri"/>
          <w:color w:val="111111"/>
          <w:sz w:val="28"/>
          <w:sz w:val="28"/>
          <w:szCs w:val="28"/>
          <w:rtl w:val="true"/>
          <w:lang w:bidi="ar-SA"/>
        </w:rPr>
        <w:t>ممدوح مطلقاً، وإن كان الأول من باب تأكد الداعي، أو الداعي على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كني به عنه؟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ذلك عرفاً، إلا أنه لدى الدقة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لتمهيد مقدماته أو بعضها،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للمباشرة</w:t>
      </w:r>
      <w:r>
        <w:rPr>
          <w:rFonts w:eastAsia="Amiri" w:cs="Amiri" w:ascii="Amiri" w:hAnsi="Amiri"/>
          <w:color w:val="111111"/>
          <w:sz w:val="28"/>
          <w:szCs w:val="28"/>
          <w:rtl w:val="true"/>
          <w:lang w:bidi="ar-SA"/>
        </w:rPr>
        <w:t xml:space="preserve">. </w:t>
      </w:r>
      <w:bookmarkStart w:id="625" w:name="pg7671_76710"/>
    </w:p>
    <w:p>
      <w:pPr>
        <w:pStyle w:val="BookText"/>
        <w:rPr/>
      </w:pPr>
      <w:bookmarkEnd w:id="625"/>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أم لا؟ فإن كان منها كان الأمر بها إرشادياً ـ على مسلك الضابط الخامس ـ وكذا على ضابط كون الملاك المصلحة الدنيوية، دون ما لو قلنا بالضابط الأول، فإنه يراعى كون الأمر بها، قد صدر منالمولى بما هو مولى أو لا؟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ضابط المحبوبية وأحرز من الروايات محبوبية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وقد تتبعت المعاني الموضوع لها العقل أو المستعمل فيها، فوجدتها أربعة عشر معنى، وقد أشرت إلى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الكلّية لضمان الإصابة في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959591_1051229030"/>
      <w:bookmarkStart w:id="627" w:name="_Toc227"/>
      <w:bookmarkEnd w:id="626"/>
      <w:r>
        <w:rPr>
          <w:rtl w:val="true"/>
        </w:rPr>
        <w:t>(</w:t>
      </w:r>
      <w:r>
        <w:rPr>
          <w:rtl w:val="true"/>
        </w:rPr>
        <w:t>زيادة العقل</w:t>
      </w:r>
      <w:r>
        <w:rPr>
          <w:rtl w:val="true"/>
        </w:rPr>
        <w:t>)</w:t>
      </w:r>
      <w:r>
        <w:rPr>
          <w:rtl w:val="true"/>
        </w:rPr>
        <w:t>، محبوبة للمولى بما هو مولى</w:t>
      </w:r>
      <w:bookmarkEnd w:id="62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لمن تتبع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محبوبة للمولى جل اسمه 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بما هم موالي، فيتعين حمل الأمر به ـ فيما أمر به ـ على المولوية، أو يرجح ـ على الضابط الثالث والأول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اتجروا بارك الله لكم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ولعل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من باب كونه من المضارع المحقق الوقوع،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يبارك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جرياً على المعتاد، إضافة لإفادة الاستمرار والتجدد كما هو شأن صيغة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التجارة فتهونوا، اتجروا يبارك الله لكم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وهو بين محرم ومكروه، فكذا ترك التجارة فإنه بين حرام ومكروه، تبعاً لمقدميته للحرام أو المكروه، بناء على ا لترشح من ذي المقدمة أو بناء على مبنى شمول الدليل نفسه للمقدمة وذيها، ولا يبعد ترادفه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النفس،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وهانت عليه نفسه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ولعلهما مما إذا اجتما افترقا، وإذا افترقا اجتمعا، فتشمله أدلته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يفوض إليه أن يذل نفسه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وعن الإمام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حين أهبط آدم من الجنة أمره أن يحرث بيده، فيأكل من كد يده، بعد نعيم الجنة</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الأمر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المصداق فهو </w:t>
      </w:r>
      <w:bookmarkStart w:id="628" w:name="pg7671_76714"/>
    </w:p>
    <w:p>
      <w:pPr>
        <w:pStyle w:val="BookText"/>
        <w:rPr/>
      </w:pPr>
      <w:bookmarkEnd w:id="628"/>
      <w:r>
        <w:rPr>
          <w:rFonts w:ascii="Amiri" w:hAnsi="Amiri" w:eastAsia="Amiri" w:cs="Amiri"/>
          <w:color w:val="111111"/>
          <w:sz w:val="28"/>
          <w:sz w:val="28"/>
          <w:szCs w:val="28"/>
          <w:rtl w:val="true"/>
          <w:lang w:bidi="ar-SA"/>
        </w:rPr>
        <w:t>محقق للموضوع، وليس قيداً، وإن أمكن أخذه قيداً؛ لما في خصوص الحرث باليد من الفائدة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الثمرة في الالتزام باستحباب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Style w:val="FootnoteAnchor"/>
          <w:rtl w:val="true"/>
        </w:rPr>
        <w:footnoteReference w:id="595"/>
      </w:r>
      <w:r>
        <w:rPr>
          <w:rFonts w:ascii="IRNazanin" w:hAnsi="IRNazanin" w:eastAsia="IRNazanin"/>
          <w:color w:val="111111"/>
          <w:sz w:val="28"/>
          <w:sz w:val="28"/>
          <w:szCs w:val="28"/>
          <w:rtl w:val="true"/>
          <w:lang w:bidi="fa-IR"/>
        </w:rPr>
        <w:t>حتى مع وجود الآلات</w:t>
      </w:r>
      <w:r>
        <w:rPr>
          <w:rFonts w:eastAsia="IRNazanin" w:cs="IRNazanin"/>
          <w:color w:val="111111"/>
          <w:sz w:val="28"/>
          <w:szCs w:val="28"/>
          <w:rtl w:val="true"/>
          <w:lang w:bidi="fa-IR"/>
        </w:rPr>
        <w:t>.</w:t>
      </w:r>
    </w:p>
    <w:p>
      <w:pPr>
        <w:pStyle w:val="Heading4"/>
        <w:numPr>
          <w:ilvl w:val="3"/>
          <w:numId w:val="1"/>
        </w:numPr>
        <w:rPr/>
      </w:pPr>
      <w:bookmarkStart w:id="629" w:name="__RefHeading___Toc3959593_1051229030"/>
      <w:bookmarkStart w:id="630" w:name="_Toc228"/>
      <w:bookmarkEnd w:id="629"/>
      <w:r>
        <w:rPr>
          <w:rtl w:val="true"/>
        </w:rPr>
        <w:t>شواهد على أن أوامر التجارة مولوية</w:t>
      </w:r>
      <w:bookmarkEnd w:id="630"/>
    </w:p>
    <w:p>
      <w:pPr>
        <w:pStyle w:val="BookText"/>
        <w:rPr/>
      </w:pPr>
      <w:r>
        <w:rPr>
          <w:rFonts w:ascii="Amiri" w:hAnsi="Amiri" w:eastAsia="Amiri" w:cs="Amiri"/>
          <w:color w:val="111111"/>
          <w:sz w:val="28"/>
          <w:sz w:val="28"/>
          <w:szCs w:val="28"/>
          <w:rtl w:val="true"/>
          <w:lang w:bidi="ar-SA"/>
        </w:rPr>
        <w:t xml:space="preserve">وقد يقال بكون هذه الأوامر وما سيأتي من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لانطباق ضابط المولوية الأول عليها، كما سيجيء، أي لصدورها من المولى بما هو مولى، أو لاستشعار محبوبيتها للمولى من مراجعة لحن الأمر بها في بعض الروايات، فتكون مولوية على الضابط الثالث أيضاً،  ويشهد له كونها واجبات كفائية، فإنها مفاد الأمر المولوي لا الإرشادي، ومستحبات</w:t>
      </w:r>
      <w:r>
        <w:rPr>
          <w:rStyle w:val="FootnoteAnchor"/>
          <w:rtl w:val="true"/>
        </w:rPr>
        <w:footnoteReference w:id="596"/>
      </w:r>
      <w:r>
        <w:rPr>
          <w:rFonts w:ascii="Amiri" w:hAnsi="Amiri" w:eastAsia="Amiri" w:cs="Amiri"/>
          <w:color w:val="111111"/>
          <w:sz w:val="28"/>
          <w:sz w:val="28"/>
          <w:szCs w:val="28"/>
          <w:rtl w:val="true"/>
          <w:lang w:bidi="ar-SA"/>
        </w:rPr>
        <w:t>، وقد رتب عليها الثواب، والتعليل</w:t>
      </w:r>
      <w:r>
        <w:rPr>
          <w:rStyle w:val="FootnoteAnchor"/>
          <w:rtl w:val="true"/>
        </w:rPr>
        <w:footnoteReference w:id="597"/>
      </w:r>
      <w:r>
        <w:rPr>
          <w:rFonts w:ascii="Amiri" w:hAnsi="Amiri" w:eastAsia="Amiri" w:cs="Amiri"/>
          <w:color w:val="111111"/>
          <w:sz w:val="28"/>
          <w:sz w:val="28"/>
          <w:szCs w:val="28"/>
          <w:rtl w:val="true"/>
          <w:lang w:bidi="ar-SA"/>
        </w:rPr>
        <w:t xml:space="preserve">غير صارف للإرشادية كما أوضحناه في موضع آخر وكما أشرنا إليه في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على البر والتقوى</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يرجح مولوية أوامر التجارة، ما رواه علي بن إبراهيم عن أبيه عن ابن أبي عمير عن عمر بن اذنية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كففت عن التجارة وأمسكت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ذلك، أعجز بك؟ كذلك تذهب أموالكم، لا تكفوا عن التجارة، </w:t>
      </w:r>
    </w:p>
    <w:p>
      <w:pPr>
        <w:pStyle w:val="BookText"/>
        <w:rPr/>
      </w:pPr>
      <w:r>
        <w:rPr>
          <w:rFonts w:ascii="IRNazanin" w:hAnsi="IRNazanin" w:eastAsia="IRNazanin"/>
          <w:color w:val="111111"/>
          <w:sz w:val="28"/>
          <w:sz w:val="28"/>
          <w:szCs w:val="28"/>
          <w:rtl w:val="true"/>
          <w:lang w:bidi="fa-IR"/>
        </w:rPr>
        <w:t>والتمسوا من فضل الله عز وجل</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وهي حسنةٌ على رأي جمع منهم العلامة المجلسي في مرآة العقول</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ووجه الاستشهاد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والتمسوا من فضل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كان كذلك</w:t>
      </w:r>
      <w:r>
        <w:rPr>
          <w:rStyle w:val="FootnoteAnchor"/>
          <w:rtl w:val="true"/>
        </w:rPr>
        <w:footnoteReference w:id="601"/>
      </w:r>
      <w:r>
        <w:rPr>
          <w:rFonts w:ascii="Amiri" w:hAnsi="Amiri" w:eastAsia="Amiri" w:cs="Amiri"/>
          <w:color w:val="111111"/>
          <w:sz w:val="28"/>
          <w:sz w:val="28"/>
          <w:szCs w:val="28"/>
          <w:rtl w:val="true"/>
          <w:lang w:bidi="ar-SA"/>
        </w:rPr>
        <w:t xml:space="preserve">كان محبوباً للمولى، ورجح أن طلبه لمحبوبيته له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تذهب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يستظهر منه المصلحة الدنيوية، وفيه ما ذكرناه في موضع آخر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للمصلحتين معاً، بل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غير ضار، بعد أنه ليس الملاك بل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فصل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صراحة على محبوبية التجارة، ما رواه محمد بن عذافر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أبو عبد الله، أبي ألفاً وسبعمائة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وإن كان الربح مرغوباً فيه، ولكني أحببت أن يراني الله جل وعز متعرضاً لفوائده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مما يدل على محبوبية التجارة للمولى بما هو مولى؛ فإن كونه متاجراً وكونه متعرضاً لفوائد الله تعالى متحدان بالحمل الشائع الصناعي وإن لم يتحدا بالذاتي الأولي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كلي طبيعي والآخر مصداقه ـ فتأمل</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وإننا وإن لم نصر إلى الضابط الثالث</w:t>
      </w:r>
      <w:r>
        <w:rPr>
          <w:rStyle w:val="FootnoteAnchor"/>
          <w:rtl w:val="true"/>
        </w:rPr>
        <w:footnoteReference w:id="603"/>
      </w:r>
      <w:r>
        <w:rPr>
          <w:rFonts w:ascii="Amiri" w:hAnsi="Amiri" w:eastAsia="Amiri" w:cs="Amiri"/>
          <w:color w:val="111111"/>
          <w:sz w:val="28"/>
          <w:sz w:val="28"/>
          <w:szCs w:val="28"/>
          <w:rtl w:val="true"/>
          <w:lang w:bidi="ar-SA"/>
        </w:rPr>
        <w:t>إلا أن كون الشيء محبوباً للمولى، مما يساعد على استظهار كون الأمر به قد صدر من المولى بما هو مولى</w:t>
      </w:r>
      <w:r>
        <w:rPr>
          <w:rFonts w:eastAsia="Amiri" w:cs="Amiri" w:ascii="Amiri" w:hAnsi="Amiri"/>
          <w:color w:val="111111"/>
          <w:sz w:val="28"/>
          <w:szCs w:val="28"/>
          <w:rtl w:val="true"/>
          <w:lang w:bidi="ar-SA"/>
        </w:rPr>
        <w:t xml:space="preserve">. </w:t>
      </w:r>
      <w:bookmarkStart w:id="631" w:name="pg7671_76720"/>
    </w:p>
    <w:p>
      <w:pPr>
        <w:pStyle w:val="Heading3"/>
        <w:numPr>
          <w:ilvl w:val="2"/>
          <w:numId w:val="1"/>
        </w:numPr>
        <w:rPr/>
      </w:pPr>
      <w:bookmarkStart w:id="632" w:name="__RefHeading___Toc3959595_1051229030"/>
      <w:bookmarkStart w:id="633" w:name="_Toc229"/>
      <w:bookmarkEnd w:id="631"/>
      <w:bookmarkEnd w:id="632"/>
      <w:r>
        <w:rPr/>
        <w:t>2</w:t>
      </w:r>
      <w:r>
        <w:rPr>
          <w:rtl w:val="true"/>
        </w:rPr>
        <w:t xml:space="preserve">- </w:t>
      </w:r>
      <w:r>
        <w:rPr>
          <w:rtl w:val="true"/>
        </w:rPr>
        <w:t>الأوامر في الصنائع والحرف</w:t>
      </w:r>
      <w:bookmarkEnd w:id="633"/>
    </w:p>
    <w:p>
      <w:pPr>
        <w:pStyle w:val="Heading4"/>
        <w:numPr>
          <w:ilvl w:val="3"/>
          <w:numId w:val="1"/>
        </w:numPr>
        <w:rPr/>
      </w:pPr>
      <w:bookmarkStart w:id="634" w:name="__RefHeading___Toc3959597_1051229030"/>
      <w:bookmarkStart w:id="635" w:name="_Toc230"/>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وحسن أو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الصنائع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للمعاش،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يحب المحترف الأمين</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636" w:name="__RefHeading___Toc3959599_1051229030"/>
      <w:bookmarkStart w:id="637" w:name="_Toc231"/>
      <w:bookmarkEnd w:id="636"/>
      <w:r>
        <w:rPr>
          <w:rtl w:val="true"/>
        </w:rPr>
        <w:t>من شواهد مولوية أوامر الصناعات</w:t>
      </w:r>
      <w:bookmarkEnd w:id="637"/>
    </w:p>
    <w:p>
      <w:pPr>
        <w:pStyle w:val="BookText"/>
        <w:rPr/>
      </w:pPr>
      <w:r>
        <w:rPr>
          <w:rFonts w:ascii="Amiri" w:hAnsi="Amiri" w:eastAsia="Amiri" w:cs="Amiri"/>
          <w:color w:val="111111"/>
          <w:sz w:val="28"/>
          <w:sz w:val="28"/>
          <w:szCs w:val="28"/>
          <w:rtl w:val="true"/>
          <w:lang w:bidi="ar-SA"/>
        </w:rPr>
        <w:t>والظاهر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المحترف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مولوية الأوامر في شأن الحرف ومنها ما صدّرت به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ذهبنا للضابط الثالث في المولوي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فيها غنى لكم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الإرشادية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ذهبنا للضابط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كما فصلناه في موضع آخر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مصلحة أخروية أيضاً، والملاك في لحاظ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الأعظم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إمكان التمثيل للمستحب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الزراعة والرعي مما ندب إليه الشرع، وللواجب، بالصناعة الواجبة كفايةً، خصوصاً إذا تعذر قيام الغير به فتأمل</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ولعلنا نتكلم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بإذن الله تعالى، فإن الروايات فيها متعددة، والمستظهر منها المولوية، ولذا اعتبرها الشيخ والوالد وعدد من الأعاظم رحمهم الله، مستحبة، فهي موجبة للأجر والثواب، رغم أن مصالحها فيما يبدو في بادئ النظر، دنيوية، بل قد يعد هذا من أدلة عدم تمامية الضابط الثاني المدعى كونه الفارق بين المولوي والإرشادي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غيري، إذ احتمال المصلحة النفسية أو المصلحة السلوكية فيها ضعيف وإن كان ذا وجه ـ ولعلنا نفصله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مولوي أو إرشادي؟</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العلاء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أن يشهد أن لا إله إلا الله وأن محمداً رسول الله، ويكون بيده عمل يكتسب به أو يكون له حرفة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والرواية صحيحة سنداً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تشريعي للندب، بعد الفراغ عن عدم وجوبه للدليل الخارجي، فهو مستحب ويترتب عليه الثواب؟ أو مولوي ـ </w:t>
      </w:r>
      <w:bookmarkStart w:id="638" w:name="pg7671_76724"/>
    </w:p>
    <w:p>
      <w:pPr>
        <w:pStyle w:val="BookText"/>
        <w:rPr/>
      </w:pPr>
      <w:bookmarkEnd w:id="638"/>
      <w:r>
        <w:rPr>
          <w:rFonts w:ascii="Amiri" w:hAnsi="Amiri" w:eastAsia="Amiri" w:cs="Amiri"/>
          <w:color w:val="111111"/>
          <w:sz w:val="28"/>
          <w:sz w:val="28"/>
          <w:szCs w:val="28"/>
          <w:rtl w:val="true"/>
          <w:lang w:bidi="ar-SA"/>
        </w:rPr>
        <w:t>للنصح، أو إرشادي؟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يشهد للأول إلحاقه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الذي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أنسب بمقام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الكتابة خيراً لهم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قد يصرفها للإرشاد، بناء على الضابط السادس</w:t>
      </w:r>
      <w:r>
        <w:rPr>
          <w:rStyle w:val="FootnoteAnchor"/>
          <w:rtl w:val="true"/>
        </w:rPr>
        <w:footnoteReference w:id="608"/>
      </w:r>
      <w:r>
        <w:rPr>
          <w:rFonts w:ascii="IRNazanin" w:hAnsi="IRNazanin" w:eastAsia="IRNazanin"/>
          <w:color w:val="111111"/>
          <w:sz w:val="28"/>
          <w:sz w:val="28"/>
          <w:szCs w:val="28"/>
          <w:rtl w:val="true"/>
          <w:lang w:bidi="fa-IR"/>
        </w:rPr>
        <w:t>والثامن</w:t>
      </w:r>
      <w:r>
        <w:rPr>
          <w:rStyle w:val="FootnoteAnchor"/>
          <w:rtl w:val="true"/>
        </w:rPr>
        <w:footnoteReference w:id="609"/>
      </w:r>
      <w:r>
        <w:rPr>
          <w:rFonts w:ascii="Amiri" w:hAnsi="Amiri" w:eastAsia="Amiri" w:cs="Amiri"/>
          <w:color w:val="111111"/>
          <w:sz w:val="28"/>
          <w:sz w:val="28"/>
          <w:szCs w:val="28"/>
          <w:rtl w:val="true"/>
          <w:lang w:bidi="ar-SA"/>
        </w:rPr>
        <w:t>وعلى بعض آخر ـ كالثاني</w:t>
      </w:r>
      <w:r>
        <w:rPr>
          <w:rStyle w:val="FootnoteAnchor"/>
          <w:rtl w:val="true"/>
        </w:rPr>
        <w:footnoteReference w:id="610"/>
      </w:r>
      <w:r>
        <w:rPr>
          <w:rFonts w:ascii="Amiri" w:hAnsi="Amiri" w:eastAsia="Amiri" w:cs="Amiri"/>
          <w:color w:val="111111"/>
          <w:sz w:val="28"/>
          <w:sz w:val="28"/>
          <w:szCs w:val="28"/>
          <w:rtl w:val="true"/>
          <w:lang w:bidi="ar-SA"/>
        </w:rPr>
        <w:t>وغيره ـ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الضابط المنصور وهو الأول، فلا صارف وكذا على الثالث، وبعض آخر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وقد يستظهر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كونهما مطلوبين للمولى بما هو مولى، فالأمر فيها ـ لو ورد ـ مولوي</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959601_1051229030"/>
      <w:bookmarkStart w:id="640" w:name="_Toc232"/>
      <w:bookmarkEnd w:id="639"/>
      <w:r>
        <w:rPr>
          <w:rtl w:val="true"/>
        </w:rPr>
        <w:t xml:space="preserve">من أدلة مطلوبية </w:t>
      </w:r>
      <w:r>
        <w:rPr>
          <w:rtl w:val="true"/>
        </w:rPr>
        <w:t>(</w:t>
      </w:r>
      <w:r>
        <w:rPr>
          <w:rtl w:val="true"/>
        </w:rPr>
        <w:t>العمل</w:t>
      </w:r>
      <w:r>
        <w:rPr>
          <w:rtl w:val="true"/>
        </w:rPr>
        <w:t xml:space="preserve">) </w:t>
      </w:r>
      <w:r>
        <w:rPr>
          <w:rtl w:val="true"/>
        </w:rPr>
        <w:t>بكل أشكاله</w:t>
      </w:r>
      <w:bookmarkEnd w:id="6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بأي شكل من الأشكال، ما رواه علي بن إبراهيم عن أبيه عن ابن أبي عمير عن عمر بن اذنية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عبد الله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 أن أعمل عملاً بيدي، ولا أحسن أن أتجر، وأنا محارَف محتاج؟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فاحمل على رأسك، واستغن عن الناس؛ فإن رسول الله صلى الله عليه وآله قد حمل </w:t>
      </w:r>
    </w:p>
    <w:p>
      <w:pPr>
        <w:pStyle w:val="BookText"/>
        <w:rPr/>
      </w:pPr>
      <w:r>
        <w:rPr>
          <w:rFonts w:ascii="Amiri" w:hAnsi="Amiri" w:eastAsia="Amiri" w:cs="Amiri"/>
          <w:color w:val="111111"/>
          <w:sz w:val="28"/>
          <w:sz w:val="28"/>
          <w:szCs w:val="28"/>
          <w:rtl w:val="true"/>
          <w:lang w:bidi="ar-SA"/>
        </w:rPr>
        <w:t>حجراً على عاتقه فوضعه في حائط له من حيطانه، وإن الحجر لفي مكانه لا يدرى كم عمقه، إلا أنه ثمَّ بمعجزته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خاصة بقرينة الاستشهاد بعمل رسول الله صلى الله عليه وآله، ويدل على مطلوبية مطلق العمل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والحقير ظاهراً منه، بقرينة تنزله عليه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على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عمل صعب، ولعله مستحقر في بعض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شدة 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مولويته، لكراهة الشارع 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الاستعطاء والاحتياج إلى الناس تقصيراً، فيكون ما يرفعه مطلوباً ومحبوباً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يتضح ذلك بملاحظة رواية تحف العقول المعروفة،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حول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قرينة على الإرشاد، فتبقى الرواية الأولى في دائرة البحث عن كون الأمر فيها مولوياً أو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المورد ـ في الرواية الثانية ـ لا يخصص الوارد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الإخبار مما يستفاد منه الرجحان والمطلوبية فإنها لازمه</w:t>
      </w:r>
      <w:r>
        <w:rPr>
          <w:rStyle w:val="FootnoteAnchor"/>
          <w:rtl w:val="true"/>
        </w:rPr>
        <w:footnoteReference w:id="613"/>
      </w:r>
      <w:r>
        <w:rPr>
          <w:rFonts w:ascii="Amiri" w:hAnsi="Amiri" w:eastAsia="Amiri" w:cs="Amiri"/>
          <w:color w:val="111111"/>
          <w:sz w:val="28"/>
          <w:sz w:val="28"/>
          <w:szCs w:val="28"/>
          <w:rtl w:val="true"/>
          <w:lang w:bidi="ar-SA"/>
        </w:rPr>
        <w:t xml:space="preserve">فيجري الكلام في أن هذا الطلب ـ المستفاد صريحاً من روايات أخرى ـ هل هو مولوي أم إرشادي؟ </w:t>
      </w:r>
      <w:bookmarkStart w:id="641" w:name="pg7671_76728"/>
    </w:p>
    <w:p>
      <w:pPr>
        <w:pStyle w:val="Heading3"/>
        <w:numPr>
          <w:ilvl w:val="2"/>
          <w:numId w:val="1"/>
        </w:numPr>
        <w:rPr/>
      </w:pPr>
      <w:bookmarkStart w:id="642" w:name="__RefHeading___Toc3959603_1051229030"/>
      <w:bookmarkStart w:id="643" w:name="_Toc233"/>
      <w:bookmarkEnd w:id="641"/>
      <w:bookmarkEnd w:id="642"/>
      <w:r>
        <w:rPr/>
        <w:t>3</w:t>
      </w:r>
      <w:r>
        <w:rPr>
          <w:rtl w:val="true"/>
        </w:rPr>
        <w:t xml:space="preserve">- </w:t>
      </w:r>
      <w:r>
        <w:rPr>
          <w:rtl w:val="true"/>
        </w:rPr>
        <w:t>ما يتعلق بالمعاش والحياة الشخصية</w:t>
      </w:r>
      <w:bookmarkEnd w:id="643"/>
    </w:p>
    <w:p>
      <w:pPr>
        <w:pStyle w:val="Heading4"/>
        <w:numPr>
          <w:ilvl w:val="3"/>
          <w:numId w:val="1"/>
        </w:numPr>
        <w:rPr/>
      </w:pPr>
      <w:bookmarkStart w:id="644" w:name="__RefHeading___Toc3959605_1051229030"/>
      <w:bookmarkStart w:id="645" w:name="_Toc234"/>
      <w:bookmarkEnd w:id="644"/>
      <w:r>
        <w:rPr>
          <w:rtl w:val="true"/>
        </w:rPr>
        <w:t>اشارة</w:t>
      </w:r>
      <w:bookmarkEnd w:id="6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بالمعاش والحياة الشخصية</w:t>
      </w:r>
      <w:r>
        <w:rPr>
          <w:rStyle w:val="FootnoteAnchor"/>
          <w:rtl w:val="true"/>
        </w:rPr>
        <w:footnoteReference w:id="614"/>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والمخالطة أعم من المعاملة وهي تشمل مثل الزواج والمباحثة والشراكة</w:t>
      </w:r>
      <w:r>
        <w:rPr>
          <w:rFonts w:eastAsia="Amiri" w:cs="Amiri" w:ascii="Amiri" w:hAnsi="Amiri"/>
          <w:color w:val="111111"/>
          <w:sz w:val="28"/>
          <w:szCs w:val="28"/>
          <w:rtl w:val="true"/>
          <w:lang w:bidi="ar-SA"/>
        </w:rPr>
        <w:t>.</w:t>
      </w:r>
      <w:r>
        <w:rPr>
          <w:rStyle w:val="FootnoteAnchor"/>
          <w:rtl w:val="true"/>
        </w:rPr>
        <w:footnoteReference w:id="616"/>
      </w:r>
    </w:p>
    <w:p>
      <w:pPr>
        <w:pStyle w:val="Heading4"/>
        <w:numPr>
          <w:ilvl w:val="3"/>
          <w:numId w:val="1"/>
        </w:numPr>
        <w:rPr/>
      </w:pPr>
      <w:bookmarkStart w:id="646" w:name="__RefHeading___Toc3959607_1051229030"/>
      <w:bookmarkStart w:id="647" w:name="_Toc235"/>
      <w:bookmarkEnd w:id="646"/>
      <w:r>
        <w:rPr>
          <w:rtl w:val="true"/>
        </w:rPr>
        <w:t xml:space="preserve">هل النهي عن </w:t>
      </w:r>
      <w:r>
        <w:rPr>
          <w:rtl w:val="true"/>
        </w:rPr>
        <w:t>(</w:t>
      </w:r>
      <w:r>
        <w:rPr>
          <w:rtl w:val="true"/>
        </w:rPr>
        <w:t>مخالطة من لم ينشأ في الخير</w:t>
      </w:r>
      <w:r>
        <w:rPr>
          <w:rtl w:val="true"/>
        </w:rPr>
        <w:t xml:space="preserve">) </w:t>
      </w:r>
      <w:r>
        <w:rPr>
          <w:rtl w:val="true"/>
        </w:rPr>
        <w:t>تنزيهي؟</w:t>
      </w:r>
      <w:bookmarkEnd w:id="647"/>
    </w:p>
    <w:p>
      <w:pPr>
        <w:pStyle w:val="BookText"/>
        <w:rPr/>
      </w:pPr>
      <w:r>
        <w:rPr>
          <w:rFonts w:ascii="Amiri" w:hAnsi="Amiri" w:eastAsia="Amiri" w:cs="Amiri"/>
          <w:color w:val="111111"/>
          <w:sz w:val="28"/>
          <w:sz w:val="28"/>
          <w:szCs w:val="28"/>
          <w:rtl w:val="true"/>
          <w:lang w:bidi="ar-SA"/>
        </w:rPr>
        <w:t>والنهي وإن كان تنزيهياً لا تحريمياً ـ حسب المشهور في مثله ـ إلا أنه هل هو تنزيه مولوي ـ نصحي؟ أم مولوي ـ تشريعي فيفيد الكراهة؟ أم إرشادي؟ ثم هو ـ على فرض إرشاديته ليس إلزامياً، بناء على تقسيم الإرشادي للإلزامي وغيره كما هو مسلك الشيخ الأنصاري والميرزا الشيرازي ـ اللهم إلا فيما وقع مقدمة للحرام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النهي عن مخالطة ومعاملة من لم ينشأ في الخير، مبني على الغالب وليس مما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bookmarkStart w:id="648" w:name="pg7671_76729"/>
    </w:p>
    <w:p>
      <w:pPr>
        <w:pStyle w:val="BookText"/>
        <w:rPr/>
      </w:pPr>
      <w:bookmarkEnd w:id="64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حكمة وليس علة، فمن نشأ في الخير ولم تحسن معاملته فلا ترجح معاملته، أو من لم ينشأ في الخير وعلم الإنسان أو ظن ظناً معتبراً عقلائياً أنه ممن يلتزم بعهوده ومواثيقه، فإن معاملته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على ملاحظة المصلحة والمفسدة السلوكية فيهما، ولعل الراجح ملاحظة مجموع الجهتين، على أن مصب الرواية لعله يكون لحاظ الجانب الطريقي، فتدبر، وعلى كل التقادير فإن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وإن كان مما يرجّح المولوية، لحاظ جانب 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 أو قيداً أو تشريكاً</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3959609_1051229030"/>
      <w:bookmarkStart w:id="650" w:name="_Toc236"/>
      <w:bookmarkEnd w:id="649"/>
      <w:r>
        <w:rPr>
          <w:rtl w:val="true"/>
        </w:rPr>
        <w:t xml:space="preserve">الأمر بسؤال الله </w:t>
      </w:r>
      <w:r>
        <w:rPr>
          <w:rtl w:val="true"/>
        </w:rPr>
        <w:t>(</w:t>
      </w:r>
      <w:r>
        <w:rPr>
          <w:rtl w:val="true"/>
        </w:rPr>
        <w:t>الغنى في الدنيا</w:t>
      </w:r>
      <w:r>
        <w:rPr>
          <w:rtl w:val="true"/>
        </w:rPr>
        <w:t>)</w:t>
      </w:r>
      <w:r>
        <w:rPr>
          <w:rtl w:val="true"/>
        </w:rPr>
        <w:t>، مولوي أو إرشادي؟</w:t>
      </w:r>
      <w:bookmarkEnd w:id="650"/>
    </w:p>
    <w:p>
      <w:pPr>
        <w:pStyle w:val="BookText"/>
        <w:rPr/>
      </w:pPr>
      <w:r>
        <w:rPr>
          <w:rFonts w:ascii="Amiri" w:hAnsi="Amiri" w:eastAsia="Amiri" w:cs="Amiri"/>
          <w:color w:val="111111"/>
          <w:sz w:val="28"/>
          <w:sz w:val="28"/>
          <w:szCs w:val="28"/>
          <w:rtl w:val="true"/>
          <w:lang w:bidi="ar-SA"/>
        </w:rPr>
        <w:t xml:space="preserve">ومن الأوامر والنواهي المتعلقة بشؤون المعاش والحياة الشخصية مما تجمعه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فهل هو مولوي ـ بأحد قسميه ـ للندب، أم إرشادي؟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هذا الحديث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في الدنيا، ومحبوبيته،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طلب الإمام عليه السلام سؤالها من الله تعالى</w:t>
      </w:r>
      <w:r>
        <w:rPr>
          <w:rFonts w:eastAsia="Amiri" w:cs="Amiri" w:ascii="Amiri" w:hAnsi="Amiri"/>
          <w:color w:val="111111"/>
          <w:sz w:val="28"/>
          <w:szCs w:val="28"/>
          <w:rtl w:val="true"/>
          <w:lang w:bidi="ar-SA"/>
        </w:rPr>
        <w:t xml:space="preserve">. </w:t>
      </w:r>
      <w:bookmarkStart w:id="651" w:name="pg7671_76731"/>
    </w:p>
    <w:p>
      <w:pPr>
        <w:pStyle w:val="Heading4"/>
        <w:numPr>
          <w:ilvl w:val="3"/>
          <w:numId w:val="1"/>
        </w:numPr>
        <w:rPr/>
      </w:pPr>
      <w:bookmarkStart w:id="652" w:name="__RefHeading___Toc3959611_1051229030"/>
      <w:bookmarkStart w:id="653" w:name="_Toc237"/>
      <w:bookmarkEnd w:id="651"/>
      <w:bookmarkEnd w:id="652"/>
      <w:r>
        <w:rPr>
          <w:rtl w:val="true"/>
        </w:rPr>
        <w:t>شأن المولى إصلاح شؤون العبد لكلا الدارين</w:t>
      </w:r>
      <w:bookmarkEnd w:id="653"/>
    </w:p>
    <w:p>
      <w:pPr>
        <w:pStyle w:val="BookText"/>
        <w:rPr/>
      </w:pPr>
      <w:r>
        <w:rPr>
          <w:rFonts w:ascii="Amiri" w:hAnsi="Amiri" w:eastAsia="Amiri" w:cs="Amiri"/>
          <w:color w:val="111111"/>
          <w:sz w:val="28"/>
          <w:sz w:val="28"/>
          <w:szCs w:val="28"/>
          <w:rtl w:val="true"/>
          <w:lang w:bidi="ar-SA"/>
        </w:rPr>
        <w:t>وقد يعد هذا الحديث من الأدلة على ما ذكرناه من موضع آخر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المولى بما هو مولى ليس طلب ما يصلِح آخرة الإنسان فقط، بل ما يصلح دنياه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من صغريات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وقال الإمام الصادق عليه السلام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السعة في الرزق والمعاش وحسن الخلق في الدنيا، ورضوان الله والجنة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مجمعالبيان</w:t>
      </w:r>
      <w:r>
        <w:rPr>
          <w:rStyle w:val="FootnoteAnchor"/>
          <w:rtl w:val="true"/>
        </w:rPr>
        <w:footnoteReference w:id="619"/>
      </w:r>
      <w:r>
        <w:rPr>
          <w:rFonts w:ascii="Amiri" w:hAnsi="Amiri" w:eastAsia="Amiri" w:cs="Amiri"/>
          <w:color w:val="111111"/>
          <w:sz w:val="28"/>
          <w:sz w:val="28"/>
          <w:szCs w:val="28"/>
          <w:rtl w:val="true"/>
          <w:lang w:bidi="ar-SA"/>
        </w:rPr>
        <w:t>ونظيره في الكافي</w:t>
      </w:r>
      <w:r>
        <w:rPr>
          <w:rStyle w:val="FootnoteAnchor"/>
          <w:rtl w:val="true"/>
        </w:rPr>
        <w:footnoteReference w:id="620"/>
      </w:r>
      <w:r>
        <w:rPr>
          <w:rFonts w:ascii="Amiri" w:hAnsi="Amiri" w:eastAsia="Amiri" w:cs="Amiri"/>
          <w:color w:val="111111"/>
          <w:sz w:val="28"/>
          <w:sz w:val="28"/>
          <w:szCs w:val="28"/>
          <w:rtl w:val="true"/>
          <w:lang w:bidi="ar-SA"/>
        </w:rPr>
        <w:t xml:space="preserve">، 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كالصحة والأمن والكفاف وتوفيق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والعبادة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ذكر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أمثلة للمراد فلا تنافي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كلها تفسير بالمصداق، وهو الأظهر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ثبتت محبوبية أمثال ذلك للمولى، كان الأمر بها مولوياً بناء على </w:t>
      </w:r>
      <w:bookmarkStart w:id="654" w:name="pg7671_76733"/>
    </w:p>
    <w:p>
      <w:pPr>
        <w:pStyle w:val="BookText"/>
        <w:rPr/>
      </w:pPr>
      <w:bookmarkEnd w:id="654"/>
      <w:r>
        <w:rPr>
          <w:rFonts w:ascii="Amiri" w:hAnsi="Amiri" w:eastAsia="Amiri" w:cs="Amiri"/>
          <w:color w:val="111111"/>
          <w:sz w:val="28"/>
          <w:sz w:val="28"/>
          <w:szCs w:val="28"/>
          <w:rtl w:val="true"/>
          <w:lang w:bidi="ar-SA"/>
        </w:rPr>
        <w:t>الضابط الثالث للمولوية والإرشادية، وكان من مرجحات كونه مولوياً، على الضابط الأول</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959613_1051229030"/>
      <w:bookmarkStart w:id="656" w:name="_Toc238"/>
      <w:bookmarkEnd w:id="655"/>
      <w:r>
        <w:rPr>
          <w:rtl w:val="true"/>
        </w:rPr>
        <w:t>الغنى وسؤاله مطلوبان طريقياً أو موضوعياً؟</w:t>
      </w:r>
      <w:bookmarkEnd w:id="656"/>
    </w:p>
    <w:p>
      <w:pPr>
        <w:pStyle w:val="BookText"/>
        <w:rPr/>
      </w:pPr>
      <w:r>
        <w:rPr>
          <w:rFonts w:ascii="Amiri" w:hAnsi="Amiri" w:eastAsia="Amiri" w:cs="Amiri"/>
          <w:color w:val="111111"/>
          <w:sz w:val="28"/>
          <w:sz w:val="28"/>
          <w:szCs w:val="28"/>
          <w:rtl w:val="true"/>
          <w:lang w:bidi="ar-SA"/>
        </w:rPr>
        <w:t xml:space="preserve">ثم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الله تعالى،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قد اجتمعت فيه الجهتان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والطريقية،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في حد ذاته بل هو شرف ما فوقه شرف، ومطلوب لطريقيته للغنى؛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استجب لكم</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هل هي طريقية أم موضوعية أيضاً؟</w:t>
      </w:r>
    </w:p>
    <w:p>
      <w:pPr>
        <w:pStyle w:val="BookText"/>
        <w:rPr/>
      </w:pPr>
      <w:r>
        <w:rPr>
          <w:rFonts w:ascii="Amiri" w:hAnsi="Amiri" w:eastAsia="Amiri" w:cs="Amiri"/>
          <w:color w:val="111111"/>
          <w:sz w:val="28"/>
          <w:sz w:val="28"/>
          <w:szCs w:val="28"/>
          <w:rtl w:val="true"/>
          <w:lang w:bidi="ar-SA"/>
        </w:rPr>
        <w:t>ولعل مما يؤيد الأول ما رواه علي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ومما 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السابقة في تفسير الآية؛ إذ أن الإمام عليه السلام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في الرزق والمعاش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الحسن الذاتي لا الغيري، خاصة بقرينة نظائره في السياق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نتطرق لتفصيل ذلك في الجزء الثاني بإذن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الله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 السيد الوالد قدس سره حيث عنون الفصل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تحصيل المال الحلال وإنفاقه</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أنه اعتبره مولوياً لا إرشادياً، لكنه ساكت عن كونه مولوياً ـ تشريعياً للندب أو مولوياً ـ </w:t>
      </w:r>
      <w:bookmarkStart w:id="657" w:name="pg7671_76735"/>
    </w:p>
    <w:p>
      <w:pPr>
        <w:pStyle w:val="BookText"/>
        <w:rPr/>
      </w:pPr>
      <w:bookmarkEnd w:id="657"/>
      <w:r>
        <w:rPr>
          <w:rFonts w:ascii="Amiri" w:hAnsi="Amiri" w:eastAsia="Amiri" w:cs="Amiri"/>
          <w:color w:val="111111"/>
          <w:sz w:val="28"/>
          <w:sz w:val="28"/>
          <w:szCs w:val="28"/>
          <w:rtl w:val="true"/>
          <w:lang w:bidi="ar-SA"/>
        </w:rPr>
        <w:t>نصحياً، وإن كان الظاهر الأول</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959615_1051229030"/>
      <w:bookmarkStart w:id="659" w:name="_Toc239"/>
      <w:bookmarkEnd w:id="658"/>
      <w:r>
        <w:rPr>
          <w:rtl w:val="true"/>
        </w:rPr>
        <w:t>الانفاق بإقتصاد</w:t>
      </w:r>
      <w:bookmarkEnd w:id="659"/>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الإمام أبي جعفر قال قال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الرجل بالقصد، وبلغة الكفاف، ويقدم منه فضلاً لآخرته، فإن ذلك أبقى للنعمة وأقرب إلى المزيد من الله عز وجل وأنفع في العافية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وبلغة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يبلغه لما يكفيه،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فضلاً منه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ما سبقه مولوياً أيضاً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 الله تبارك وتعالى عليكم فجودوا، وإذا أمسك عنكم فأمسكوا، ولا تجاودوا الله فهو الأجود</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أمسك عنكم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مقتضى القاعدة، ولمن يقع في العَنَت ولا يتحمل عادة وقد يسيء الظن بالله لو جاد فلم يجد عليه، وقد يدعى انصرافه عن مثل أئمة المسلمين، ومن لفّ لفهم، أو من يتحمل عادة، وقد يفهم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تجاودوا الله فهو الأجود</w:t>
      </w:r>
      <w:r>
        <w:rPr>
          <w:rFonts w:eastAsia="Amiri" w:cs="Amiri" w:ascii="Amiri" w:hAnsi="Amiri"/>
          <w:color w:val="111111"/>
          <w:sz w:val="28"/>
          <w:szCs w:val="28"/>
          <w:rtl w:val="true"/>
          <w:lang w:bidi="ar-SA"/>
        </w:rPr>
        <w:t xml:space="preserve">). </w:t>
      </w:r>
      <w:bookmarkStart w:id="660" w:name="pg7671_76737"/>
    </w:p>
    <w:p>
      <w:pPr>
        <w:pStyle w:val="Heading4"/>
        <w:numPr>
          <w:ilvl w:val="3"/>
          <w:numId w:val="1"/>
        </w:numPr>
        <w:rPr/>
      </w:pPr>
      <w:bookmarkStart w:id="661" w:name="__RefHeading___Toc3959617_1051229030"/>
      <w:bookmarkStart w:id="662" w:name="_Toc240"/>
      <w:bookmarkEnd w:id="660"/>
      <w:bookmarkEnd w:id="661"/>
      <w:r>
        <w:rPr>
          <w:rtl w:val="true"/>
        </w:rPr>
        <w:t>الأمر بالذهاب للسوق لأنه عزة، مولوي</w:t>
      </w:r>
      <w:bookmarkEnd w:id="66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هشام بن أحمد قال كان أبو الحسن عليه السلام يقول لمصادف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إلى عزك ـ يعني السوق ـ</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والظاهر أن هذا الأمر مولوي، صدر من المولى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مصادف، عزة للشيعة ورفعة لهم، فهي محبوبة للمولى بما هو مولى للشيعة، بل إن عزته بما هي هي وبما هو هو، مطلوبة؛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مطلوبة، موضوعياً وطريقياً، أو نفسياً وغيرياً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والحديث هذا صحيح إذ قد ورد عن محمد وغيره، عن أحمد بن محمد بن عيسى عن ابن أبي عمير عن علي بن عطية عن هشام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صحيح،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ما هو سبب له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مما ذكره طاب ثراه؛ إذ نفس الجلوس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 وليس فقط ما يترتب عليه من الاتجار والاستثمار والثراء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استمرار قول ذلك منه عليه السلام، ولعله كان يتشرف يومياً مبكراً إلى محضر الإمام عليه السلام ليستزيد علماً وتقوىوخلقاً، ويبقى إلى أن ينبهه الإمام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بحسنة الدنيا أيضاً ـ وهي في المقام حسنة للآخرة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ونظائره كثيرة، كما في ما ورد للمعلى بن خنيس ولمولى له وغيرهما،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أخذاً وعطاءً وصرفاً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قول الإمام الصادق عليه السلام لرجل 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 فأحمل على رأسك، واستغن عن الناس</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كبار أمورك بنفسك وكِل ما صغر منها إلى غيرك</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يستظهر منه الإرشاد إلى ما هو الأصلح له، وإن كان يمكن أخذه وأمثاله مولوياً؛ لعناية الإمام بما هو مولى وإمام، بأتباعه، كي لا ينشغلوا بغير الأهم أو بسفاسف الأمور</w:t>
      </w:r>
      <w:r>
        <w:rPr>
          <w:rFonts w:eastAsia="Amiri" w:cs="Amiri" w:ascii="Amiri" w:hAnsi="Amiri"/>
          <w:color w:val="111111"/>
          <w:sz w:val="28"/>
          <w:szCs w:val="28"/>
          <w:rtl w:val="true"/>
          <w:lang w:bidi="ar-SA"/>
        </w:rPr>
        <w:t xml:space="preserve">. </w:t>
      </w:r>
      <w:bookmarkStart w:id="663" w:name="pg7671_76741"/>
    </w:p>
    <w:p>
      <w:pPr>
        <w:pStyle w:val="Heading3"/>
        <w:numPr>
          <w:ilvl w:val="2"/>
          <w:numId w:val="1"/>
        </w:numPr>
        <w:rPr/>
      </w:pPr>
      <w:bookmarkStart w:id="664" w:name="__RefHeading___Toc3959619_1051229030"/>
      <w:bookmarkStart w:id="665" w:name="_Toc241"/>
      <w:bookmarkEnd w:id="663"/>
      <w:bookmarkEnd w:id="664"/>
      <w:r>
        <w:rPr/>
        <w:t>4</w:t>
      </w:r>
      <w:r>
        <w:rPr>
          <w:rtl w:val="true"/>
        </w:rPr>
        <w:t xml:space="preserve">- </w:t>
      </w:r>
      <w:r>
        <w:rPr>
          <w:rtl w:val="true"/>
        </w:rPr>
        <w:t>ما يتعلق بمكارم الأخلاق</w:t>
      </w:r>
      <w:bookmarkEnd w:id="665"/>
    </w:p>
    <w:p>
      <w:pPr>
        <w:pStyle w:val="Heading4"/>
        <w:numPr>
          <w:ilvl w:val="3"/>
          <w:numId w:val="1"/>
        </w:numPr>
        <w:rPr/>
      </w:pPr>
      <w:bookmarkStart w:id="666" w:name="__RefHeading___Toc3959621_1051229030"/>
      <w:bookmarkStart w:id="667" w:name="_Toc242"/>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ومن الأوامر والنواهي المتعلقة بمكارم الأخلاق، ما ورد من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الأعراض بالأموال</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وبمضمونه أحاديث كثيرة تغني عن البحث عن سنده وسندها، إضافة إلى مطابقته للأصول والقواعد</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959623_1051229030"/>
      <w:bookmarkStart w:id="669" w:name="_Toc243"/>
      <w:bookmarkEnd w:id="668"/>
      <w:r>
        <w:rPr>
          <w:rtl w:val="true"/>
        </w:rPr>
        <w:t>تحصين الأعراض بالأموال</w:t>
      </w:r>
      <w:bookmarkEnd w:id="66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ما كان بنحو العلة المحدثة أو المبقية، أي أعم من الدفع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الوجه والسمعة الحسنة وكرامة الإنسان،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أعم من عرض الإنسان وعائلته وجماعته وتياره ومجتمعه وأمته وذوي مذهبه ودينه، وهو أهم من المال</w:t>
      </w:r>
      <w:r>
        <w:rPr>
          <w:rFonts w:eastAsia="Amiri" w:cs="Amiri" w:ascii="Amiri" w:hAnsi="Amiri"/>
          <w:color w:val="111111"/>
          <w:sz w:val="28"/>
          <w:szCs w:val="28"/>
          <w:rtl w:val="true"/>
          <w:lang w:bidi="ar-SA"/>
        </w:rPr>
        <w:t xml:space="preserve">. </w:t>
      </w:r>
      <w:bookmarkStart w:id="670" w:name="pg7671_76743"/>
    </w:p>
    <w:p>
      <w:pPr>
        <w:pStyle w:val="BookText"/>
        <w:rPr/>
      </w:pPr>
      <w:bookmarkEnd w:id="670"/>
      <w:r>
        <w:rPr>
          <w:rFonts w:ascii="Amiri" w:hAnsi="Amiri" w:eastAsia="Amiri" w:cs="Amiri"/>
          <w:color w:val="111111"/>
          <w:sz w:val="28"/>
          <w:sz w:val="28"/>
          <w:szCs w:val="28"/>
          <w:rtl w:val="true"/>
          <w:lang w:bidi="ar-SA"/>
        </w:rPr>
        <w:t>وبناء على كونه</w:t>
      </w:r>
      <w:r>
        <w:rPr>
          <w:rStyle w:val="FootnoteAnchor"/>
          <w:rtl w:val="true"/>
        </w:rPr>
        <w:footnoteReference w:id="635"/>
      </w:r>
      <w:r>
        <w:rPr>
          <w:rFonts w:ascii="Amiri" w:hAnsi="Amiri" w:eastAsia="Amiri" w:cs="Amiri"/>
          <w:color w:val="111111"/>
          <w:sz w:val="28"/>
          <w:sz w:val="28"/>
          <w:szCs w:val="28"/>
          <w:rtl w:val="true"/>
          <w:lang w:bidi="ar-SA"/>
        </w:rPr>
        <w:t>مولوياً فإنه يستفاد منه الوجوب وإن كان طريقياً، وأما الاستحباب في غير المعتد به منه</w:t>
      </w:r>
      <w:r>
        <w:rPr>
          <w:rStyle w:val="FootnoteAnchor"/>
          <w:rtl w:val="true"/>
        </w:rPr>
        <w:footnoteReference w:id="636"/>
      </w:r>
      <w:r>
        <w:rPr>
          <w:rFonts w:ascii="IRNazanin" w:hAnsi="IRNazanin" w:eastAsia="IRNazanin"/>
          <w:color w:val="111111"/>
          <w:sz w:val="28"/>
          <w:sz w:val="28"/>
          <w:szCs w:val="28"/>
          <w:rtl w:val="true"/>
          <w:lang w:bidi="fa-IR"/>
        </w:rPr>
        <w:t>فهو للانصراف</w:t>
      </w:r>
      <w:r>
        <w:rPr>
          <w:rStyle w:val="FootnoteAnchor"/>
          <w:rtl w:val="true"/>
        </w:rPr>
        <w:footnoteReference w:id="637"/>
      </w:r>
      <w:r>
        <w:rPr>
          <w:rFonts w:ascii="Amiri" w:hAnsi="Amiri" w:eastAsia="Amiri" w:cs="Amiri"/>
          <w:color w:val="111111"/>
          <w:sz w:val="28"/>
          <w:sz w:val="28"/>
          <w:szCs w:val="28"/>
          <w:rtl w:val="true"/>
          <w:lang w:bidi="ar-SA"/>
        </w:rPr>
        <w:t>، وأما دعوى الانصراف عن غير عرض نفسه وأهله، فلعله بدوي، ولو كان فالملاك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يجب بذل المال ـ مثلاً ـ لتكوين الجمعيات والمنظمات التي تهتم بالحفاظ على سمعة حسنة للإسلام والمسلمين أو للشيعة وأتباع أهل البيت عليهم السلام أو للعتبات المقدسة وأهلها أو ما أشبه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959625_1051229030"/>
      <w:bookmarkStart w:id="672" w:name="_Toc244"/>
      <w:bookmarkEnd w:id="671"/>
      <w:r>
        <w:rPr>
          <w:rtl w:val="true"/>
        </w:rPr>
        <w:t>هل الحدود تعطل مؤقتاً؟</w:t>
      </w:r>
      <w:bookmarkEnd w:id="672"/>
    </w:p>
    <w:p>
      <w:pPr>
        <w:pStyle w:val="BookText"/>
        <w:rPr/>
      </w:pPr>
      <w:r>
        <w:rPr>
          <w:rFonts w:ascii="Amiri" w:hAnsi="Amiri" w:eastAsia="Amiri" w:cs="Amiri"/>
          <w:color w:val="111111"/>
          <w:sz w:val="28"/>
          <w:sz w:val="28"/>
          <w:szCs w:val="28"/>
          <w:rtl w:val="true"/>
          <w:lang w:bidi="ar-SA"/>
        </w:rPr>
        <w:t>ومن هذا الباب ما ذهب إليه السيد الوالد قدس سره من عدم إجراء بعض الحدود أو كلها مؤقتاً ـ والانتقال للتعزير أو الغرامة أو ما أشبه ـ لو كان ذلك يضر بسمعة الإسلام والمسلمين، من باب الأهم والمهم، ومثل هذه الرواية تصلح دليلاً أو مؤيداً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w:t>
      </w:r>
      <w:r>
        <w:rPr>
          <w:rStyle w:val="FootnoteAnchor"/>
          <w:rtl w:val="true"/>
        </w:rPr>
        <w:footnoteReference w:id="638"/>
      </w:r>
      <w:r>
        <w:rPr>
          <w:rFonts w:ascii="Amiri" w:hAnsi="Amiri" w:eastAsia="Amiri" w:cs="Amiri"/>
          <w:color w:val="111111"/>
          <w:sz w:val="28"/>
          <w:sz w:val="28"/>
          <w:szCs w:val="28"/>
          <w:rtl w:val="true"/>
          <w:lang w:bidi="ar-SA"/>
        </w:rPr>
        <w:t>مولوي على الضابط الثاني والثالث، بل والأول أيضاً؛ فإنه</w:t>
      </w:r>
      <w:r>
        <w:rPr>
          <w:rStyle w:val="FootnoteAnchor"/>
          <w:rtl w:val="true"/>
        </w:rPr>
        <w:footnoteReference w:id="639"/>
      </w:r>
      <w:r>
        <w:rPr>
          <w:rFonts w:ascii="Amiri" w:hAnsi="Amiri" w:eastAsia="Amiri" w:cs="Amiri"/>
          <w:color w:val="111111"/>
          <w:sz w:val="28"/>
          <w:sz w:val="28"/>
          <w:szCs w:val="28"/>
          <w:rtl w:val="true"/>
          <w:lang w:bidi="ar-SA"/>
        </w:rPr>
        <w:t xml:space="preserve">من شؤون الآخرة ومحبوب للمولى بما هو مولى، والظاهر صدور الأمر منه بما هو مولى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عليه ما عنتم </w:t>
      </w:r>
      <w:bookmarkStart w:id="673" w:name="pg7671_76745"/>
    </w:p>
    <w:p>
      <w:pPr>
        <w:pStyle w:val="BookText"/>
        <w:rPr/>
      </w:pPr>
      <w:bookmarkEnd w:id="673"/>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w:t>
      </w:r>
      <w:r>
        <w:rPr>
          <w:rStyle w:val="FootnoteAnchor"/>
          <w:rtl w:val="true"/>
        </w:rPr>
        <w:footnoteReference w:id="640"/>
      </w:r>
    </w:p>
    <w:p>
      <w:pPr>
        <w:pStyle w:val="Heading4"/>
        <w:numPr>
          <w:ilvl w:val="3"/>
          <w:numId w:val="1"/>
        </w:numPr>
        <w:rPr/>
      </w:pPr>
      <w:bookmarkStart w:id="674" w:name="__RefHeading___Toc3959627_1051229030"/>
      <w:bookmarkStart w:id="675" w:name="_Toc245"/>
      <w:bookmarkEnd w:id="674"/>
      <w:r>
        <w:rPr>
          <w:rtl w:val="true"/>
        </w:rPr>
        <w:t xml:space="preserve">هل النهي عن </w:t>
      </w:r>
      <w:r>
        <w:rPr>
          <w:rtl w:val="true"/>
        </w:rPr>
        <w:t>(</w:t>
      </w:r>
      <w:r>
        <w:rPr>
          <w:rtl w:val="true"/>
        </w:rPr>
        <w:t>فضول المطعم</w:t>
      </w:r>
      <w:r>
        <w:rPr>
          <w:rtl w:val="true"/>
        </w:rPr>
        <w:t xml:space="preserve">) </w:t>
      </w:r>
      <w:r>
        <w:rPr>
          <w:rtl w:val="true"/>
        </w:rPr>
        <w:t>مولوي؟</w:t>
      </w:r>
      <w:bookmarkEnd w:id="675"/>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يَسِم القلب بالقسوة ويبطئ الجوارح عن الطاعة ويُصِمّ الهمم عن سماع الموعظة، وإياكم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فضول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يبذر الهوى ويولد الغفلة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شؤون الآخرة، فالأمر مولوي بناء على مَن يرى الضابط في المولوية والإرشادية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كما أنه مولوي عند من يرى 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الضابط الأول الذي ارتضيناه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للإلزام أو للكراهة؟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مولوي ـ تشريعي ـ للكراهة، إن لم يقع مقدمة لحرام، وإلا فمولوي للحرمة بناء على ترشح الحرمة من ذي المقدمة لها، أو شمول دليل التحريم وانبساطه على مجموع المقدمة وذيها ـ كما ارتضاه البعض وصرنا إليه ـ</w:t>
      </w:r>
      <w:r>
        <w:rPr>
          <w:rFonts w:eastAsia="Amiri" w:cs="Amiri" w:ascii="Amiri" w:hAnsi="Amiri"/>
          <w:color w:val="111111"/>
          <w:sz w:val="28"/>
          <w:szCs w:val="28"/>
          <w:rtl w:val="true"/>
          <w:lang w:bidi="ar-SA"/>
        </w:rPr>
        <w:t xml:space="preserve">. </w:t>
      </w:r>
      <w:bookmarkStart w:id="676" w:name="pg7671_76747"/>
    </w:p>
    <w:p>
      <w:pPr>
        <w:pStyle w:val="BookText"/>
        <w:rPr/>
      </w:pPr>
      <w:bookmarkEnd w:id="676"/>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وليست محرمة، إلا ما كان منها طريقاً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الواجبة والمستحبة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إلا لو كان مقدمة للواجب من العمل والاتعاظ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حرام ومكروه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إن ما عدا العلة الأولى والرابعة والخامسة من العلل الخمسة المذكورة في الرواية، مقدمية وغيرية، أما الأولى فإنها مذمومة بالذات، وكراهتها نفسية، وقد تقع مقدمة للحرام فتحرم على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الباقر عليه السلام لمحمد بن مسلم ـ وكان رجلاً موسِراً جليلاً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قوصره من تمر فوضعها على باب المسجد، وجعل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رحى وقعد على بابه وجعل يطحن</w:t>
      </w:r>
      <w:r>
        <w:rPr>
          <w:rFonts w:eastAsia="Amiri" w:cs="Amiri" w:ascii="Amiri" w:hAnsi="Amiri"/>
          <w:color w:val="111111"/>
          <w:sz w:val="28"/>
          <w:szCs w:val="28"/>
          <w:rtl w:val="true"/>
          <w:lang w:bidi="ar-SA"/>
        </w:rPr>
        <w:t>.</w:t>
      </w:r>
      <w:r>
        <w:rPr>
          <w:rStyle w:val="FootnoteAnchor"/>
          <w:rtl w:val="true"/>
        </w:rPr>
        <w:footnoteReference w:id="643"/>
      </w:r>
    </w:p>
    <w:p>
      <w:pPr>
        <w:pStyle w:val="Heading4"/>
        <w:numPr>
          <w:ilvl w:val="3"/>
          <w:numId w:val="1"/>
        </w:numPr>
        <w:rPr/>
      </w:pPr>
      <w:bookmarkStart w:id="677" w:name="__RefHeading___Toc3959629_1051229030"/>
      <w:bookmarkStart w:id="678" w:name="_Toc246"/>
      <w:bookmarkEnd w:id="677"/>
      <w:r>
        <w:rPr>
          <w:rtl w:val="true"/>
        </w:rPr>
        <w:t>(</w:t>
      </w:r>
      <w:r>
        <w:rPr>
          <w:rtl w:val="true"/>
        </w:rPr>
        <w:t>التواضع</w:t>
      </w:r>
      <w:r>
        <w:rPr>
          <w:rtl w:val="true"/>
        </w:rPr>
        <w:t xml:space="preserve">) </w:t>
      </w:r>
      <w:r>
        <w:rPr>
          <w:rtl w:val="true"/>
        </w:rPr>
        <w:t>من المستقلات العقلية والأمر به مولوي؟</w:t>
      </w:r>
      <w:bookmarkEnd w:id="67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 ـ كما ذكره السيد الوالد قدس سره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وللناس، وللعلم، وللعمل، وإطلاق روايات التواضع تشملها بأجمعها، والانصراف للأولين، بدوي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كون التواضع لله من المستقلات العقلية، وقد يستظهر </w:t>
      </w:r>
    </w:p>
    <w:p>
      <w:pPr>
        <w:pStyle w:val="BookText"/>
        <w:rPr/>
      </w:pPr>
      <w:r>
        <w:rPr>
          <w:rFonts w:ascii="Amiri" w:hAnsi="Amiri" w:eastAsia="Amiri" w:cs="Amiri"/>
          <w:color w:val="111111"/>
          <w:sz w:val="28"/>
          <w:sz w:val="28"/>
          <w:szCs w:val="28"/>
          <w:rtl w:val="true"/>
          <w:lang w:bidi="ar-SA"/>
        </w:rPr>
        <w:t>كونه كذلك بالنسبة للبواقي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هل الأمر بالتواضع مولوي أو إرشادي؟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الإرشادية والمولوية، كما فصلناه في مبحث آخر، وفي المقام هل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توجد قرينة مقامية معيِّنة فإنه محكوم بحكم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ما قام به محمد بن مسلم كان من باب المصداق، ولعل ترك الإمام تحديده، كي يتعود الأصحاب على تطبيق الكليات على الجزئيات، بل الاجتهاد، هذا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عن مكارم الأخلاق ومفرداتها من حيث المولوية والإرشادية، يستدعي بحثاً طويلاً بل ربما مجلداً كاملاً، فلنتركه لوقت آخر إذا شاء الله تعالى</w:t>
      </w:r>
      <w:r>
        <w:rPr>
          <w:rFonts w:eastAsia="Amiri" w:cs="Amiri" w:ascii="Amiri" w:hAnsi="Amiri"/>
          <w:color w:val="111111"/>
          <w:sz w:val="28"/>
          <w:szCs w:val="28"/>
          <w:rtl w:val="true"/>
          <w:lang w:bidi="ar-SA"/>
        </w:rPr>
        <w:t xml:space="preserve">. </w:t>
      </w:r>
      <w:bookmarkStart w:id="679" w:name="pg7671_76751"/>
    </w:p>
    <w:p>
      <w:pPr>
        <w:pStyle w:val="Heading3"/>
        <w:numPr>
          <w:ilvl w:val="2"/>
          <w:numId w:val="1"/>
        </w:numPr>
        <w:rPr/>
      </w:pPr>
      <w:bookmarkStart w:id="680" w:name="__RefHeading___Toc3959631_1051229030"/>
      <w:bookmarkStart w:id="681" w:name="_Toc247"/>
      <w:bookmarkEnd w:id="679"/>
      <w:bookmarkEnd w:id="680"/>
      <w:r>
        <w:rPr/>
        <w:t>5</w:t>
      </w:r>
      <w:r>
        <w:rPr>
          <w:rtl w:val="true"/>
        </w:rPr>
        <w:t xml:space="preserve">- </w:t>
      </w:r>
      <w:r>
        <w:rPr>
          <w:rtl w:val="true"/>
        </w:rPr>
        <w:t>الأوامر والنواهي في الشؤون الإدارية وشؤون النظم أو السعادة</w:t>
      </w:r>
      <w:bookmarkEnd w:id="681"/>
    </w:p>
    <w:p>
      <w:pPr>
        <w:pStyle w:val="Heading4"/>
        <w:numPr>
          <w:ilvl w:val="3"/>
          <w:numId w:val="1"/>
        </w:numPr>
        <w:rPr/>
      </w:pPr>
      <w:bookmarkStart w:id="682" w:name="__RefHeading___Toc3959633_1051229030"/>
      <w:bookmarkStart w:id="683" w:name="_Toc248"/>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الأوامر المتعلقة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والنظام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المتعلقة بعوامل وأسباب وعلل النظم والنظام، وكذا جملة من الأوامر المتعلقة بما تتحقق به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أو التقدم أو الإزدهار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الأولين</w:t>
      </w:r>
      <w:r>
        <w:rPr>
          <w:rStyle w:val="FootnoteAnchor"/>
          <w:rtl w:val="true"/>
        </w:rPr>
        <w:footnoteReference w:id="644"/>
      </w:r>
      <w:r>
        <w:rPr>
          <w:rFonts w:ascii="Amiri" w:hAnsi="Amiri" w:eastAsia="Amiri" w:cs="Amiri"/>
          <w:color w:val="111111"/>
          <w:sz w:val="28"/>
          <w:sz w:val="28"/>
          <w:szCs w:val="28"/>
          <w:rtl w:val="true"/>
          <w:lang w:bidi="ar-SA"/>
        </w:rPr>
        <w:t>هي العموم والخصوص من وجه، ومع الأخير</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فتأمل</w:t>
      </w:r>
      <w:r>
        <w:rPr>
          <w:rFonts w:eastAsia="IRNazanin" w:cs="IRNazanin"/>
          <w:color w:val="111111"/>
          <w:sz w:val="28"/>
          <w:szCs w:val="28"/>
          <w:rtl w:val="true"/>
          <w:lang w:bidi="fa-IR"/>
        </w:rPr>
        <w:t>.</w:t>
      </w:r>
      <w:r>
        <w:rPr>
          <w:rStyle w:val="FootnoteAnchor"/>
          <w:rtl w:val="true"/>
        </w:rPr>
        <w:footnoteReference w:id="64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جعل لها من قوانين وأحكام وطرق وسبل وضمانات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كالشورى، وتدبر العواقب، والتنافس، والحرية في إطارها الصحيح، وكنظام العقوبات ومنه الحدود والتعزيرات، والتعاون، والمواساة، والايثار، والأخوة الإسلامية، والأمة الواحدة،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تعالى، </w:t>
      </w:r>
      <w:bookmarkStart w:id="684" w:name="pg7671_76753"/>
    </w:p>
    <w:p>
      <w:pPr>
        <w:pStyle w:val="BookText"/>
        <w:rPr/>
      </w:pPr>
      <w:bookmarkEnd w:id="684"/>
      <w:r>
        <w:rPr>
          <w:rFonts w:ascii="Amiri" w:hAnsi="Amiri" w:eastAsia="Amiri" w:cs="Amiri"/>
          <w:color w:val="111111"/>
          <w:sz w:val="28"/>
          <w:sz w:val="28"/>
          <w:szCs w:val="28"/>
          <w:rtl w:val="true"/>
          <w:lang w:bidi="ar-SA"/>
        </w:rPr>
        <w:t>والصلاة في أوقاتها</w:t>
      </w:r>
      <w:r>
        <w:rPr>
          <w:rStyle w:val="FootnoteAnchor"/>
          <w:rtl w:val="true"/>
        </w:rPr>
        <w:footnoteReference w:id="647"/>
      </w:r>
      <w:r>
        <w:rPr>
          <w:rFonts w:ascii="Amiri" w:hAnsi="Amiri" w:eastAsia="Amiri" w:cs="Amiri"/>
          <w:color w:val="111111"/>
          <w:sz w:val="28"/>
          <w:sz w:val="28"/>
          <w:szCs w:val="28"/>
          <w:rtl w:val="true"/>
          <w:lang w:bidi="ar-SA"/>
        </w:rPr>
        <w:t>، والتوسل بالأنبياء والأوصياء</w:t>
      </w:r>
      <w:r>
        <w:rPr>
          <w:rStyle w:val="FootnoteAnchor"/>
          <w:rtl w:val="true"/>
        </w:rPr>
        <w:footnoteReference w:id="648"/>
      </w:r>
      <w:r>
        <w:rPr>
          <w:rFonts w:ascii="Amiri" w:hAnsi="Amiri" w:eastAsia="Amiri" w:cs="Amiri"/>
          <w:color w:val="111111"/>
          <w:sz w:val="28"/>
          <w:sz w:val="28"/>
          <w:szCs w:val="28"/>
          <w:rtl w:val="true"/>
          <w:lang w:bidi="ar-SA"/>
        </w:rPr>
        <w:t xml:space="preserve">إلى غير ذلك مما يحتاج بيان كل واحدٍ منها إلى كتاب، وقد فصل السيد الوالد قدس سره الحديث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الإيمان والحرية والرفاه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كتب الحقوق والقانون والسياسة والإدارة والاقتصاد والدولة الإسلامية وغيرها، وسنشير هنا إشارة عابرة إلى بعضها</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959635_1051229030"/>
      <w:bookmarkStart w:id="686" w:name="_Toc249"/>
      <w:bookmarkEnd w:id="685"/>
      <w:r>
        <w:rPr>
          <w:rtl w:val="true"/>
        </w:rPr>
        <w:t>من روايات النظم والنظام</w:t>
      </w:r>
      <w:bookmarkEnd w:id="686"/>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ومن بلغه كتابي بتقوى الله ونظم أمركم</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وهل وصيته كانت بما هو إمام مفترض الطاعة؟ أو بما هو عالم بالأصلح لأنه باب مدينة علم الرسول؟ أو بما هو أب شفيق؟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الأول ـ وإن لم تكن هذه الجهات مانعة جمع ـ، فالوصية مولوية، لكن 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 ـ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فيستحق العقاب على المخالفة، أم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 ـ نصحية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وإن كانت ملزِمة؟ الظاهر الثاني، إلا بلحاظ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مدارها، بناء على بعض </w:t>
      </w:r>
    </w:p>
    <w:p>
      <w:pPr>
        <w:pStyle w:val="BookText"/>
        <w:rPr/>
      </w:pPr>
      <w:r>
        <w:rPr>
          <w:rFonts w:ascii="Amiri" w:hAnsi="Amiri" w:eastAsia="Amiri" w:cs="Amiri"/>
          <w:color w:val="111111"/>
          <w:sz w:val="28"/>
          <w:sz w:val="28"/>
          <w:szCs w:val="28"/>
          <w:rtl w:val="true"/>
          <w:lang w:bidi="ar-SA"/>
        </w:rPr>
        <w:t>الأقوال في المقدمة الموصلة</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وتفصيل بعض القول في ذلك إنه وردت روايات عديدة تأمر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تتحدث عن العلة الغائية أو غير ذلك،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نظاماً للأمة والطاعة تعظيماً للإمامة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سبحانه ـ من تلك الحقوق ـ حق الوالي على الرعية وحق الرعية على الوالي، فريضة فرضها الله سبحانه لكل على كل، فجعلها نظاماً لألفتهم وعزاً لدينهم</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يستفاد من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والنظام، وقد يستظهر أن الأمر بها مولوي، وبيان ذلك بايجاز</w:t>
      </w:r>
      <w:r>
        <w:rPr>
          <w:rFonts w:eastAsia="Amiri" w:cs="Amiri" w:ascii="Amiri" w:hAnsi="Amiri"/>
          <w:color w:val="111111"/>
          <w:sz w:val="28"/>
          <w:szCs w:val="28"/>
          <w:rtl w:val="true"/>
          <w:lang w:bidi="ar-SA"/>
        </w:rPr>
        <w:t xml:space="preserve">: </w:t>
      </w:r>
      <w:bookmarkStart w:id="687" w:name="pg7671_76758"/>
    </w:p>
    <w:p>
      <w:pPr>
        <w:pStyle w:val="Heading4"/>
        <w:numPr>
          <w:ilvl w:val="3"/>
          <w:numId w:val="1"/>
        </w:numPr>
        <w:rPr/>
      </w:pPr>
      <w:bookmarkStart w:id="688" w:name="__RefHeading___Toc3959637_1051229030"/>
      <w:bookmarkStart w:id="689" w:name="_Toc250"/>
      <w:bookmarkEnd w:id="687"/>
      <w:bookmarkEnd w:id="688"/>
      <w:r>
        <w:rPr>
          <w:rtl w:val="true"/>
        </w:rPr>
        <w:t>(</w:t>
      </w:r>
      <w:r>
        <w:rPr>
          <w:rtl w:val="true"/>
        </w:rPr>
        <w:t>الوصية</w:t>
      </w:r>
      <w:r>
        <w:rPr>
          <w:rtl w:val="true"/>
        </w:rPr>
        <w:t xml:space="preserve">) </w:t>
      </w:r>
      <w:r>
        <w:rPr>
          <w:rtl w:val="true"/>
        </w:rPr>
        <w:t>تنقسم للإرشادية والمولوية</w:t>
      </w:r>
      <w:bookmarkEnd w:id="689"/>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اشتهر على بعض الألسن أنها للإرشاد، إلا أن الظاهر أنها تنقسم إلى مولوية وإرشادية، فإن المولى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بما هو ناظر لمصلحته أي ملاحظاً المصلحة والمفسدة في المأمور به والمنهي عنه،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يوصي عبده معملاً مقام مولويته أي يوصيه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ومن البين أن متعلق الوصية 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مولوي إلزامي؛ فإن الله بما هو مولى قرر للذكر مثل حظ الأنثيين وفرضه، وهو حكم تكليفي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مولوي من يعقوب لبنيه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مولوي للإيجاب والإلزام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تلزم محاذير اللغوية، أو تعدد استحقاق العقاب بالمخالفة، أو التسلسل، وغيرها من إعماله جل اسمه مقام مولويته، وقد فصلنا ذلك </w:t>
      </w:r>
      <w:bookmarkStart w:id="690" w:name="pg7671_76760"/>
    </w:p>
    <w:p>
      <w:pPr>
        <w:pStyle w:val="BookText"/>
        <w:rPr/>
      </w:pPr>
      <w:bookmarkEnd w:id="690"/>
      <w:r>
        <w:rPr>
          <w:rFonts w:ascii="Amiri" w:hAnsi="Amiri" w:eastAsia="Amiri" w:cs="Amiri"/>
          <w:color w:val="111111"/>
          <w:sz w:val="28"/>
          <w:sz w:val="28"/>
          <w:szCs w:val="28"/>
          <w:rtl w:val="true"/>
          <w:lang w:bidi="ar-SA"/>
        </w:rPr>
        <w:t>في فقه التعاون وفي 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إرشاد لها ووعظ بها، فلا تسري المولوية من المدلول للدال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اتحادها معها</w:t>
      </w:r>
      <w:r>
        <w:rPr>
          <w:rStyle w:val="FootnoteAnchor"/>
          <w:rtl w:val="true"/>
        </w:rPr>
        <w:footnoteReference w:id="657"/>
      </w:r>
      <w:r>
        <w:rPr>
          <w:rFonts w:ascii="Amiri" w:hAnsi="Amiri" w:eastAsia="Amiri" w:cs="Amiri"/>
          <w:color w:val="111111"/>
          <w:sz w:val="28"/>
          <w:sz w:val="28"/>
          <w:szCs w:val="28"/>
          <w:rtl w:val="true"/>
          <w:lang w:bidi="ar-SA"/>
        </w:rPr>
        <w:t>اتحاد الكلي الطبيعي مع مصاديقه، فقد أطلقت عليها</w:t>
      </w:r>
      <w:r>
        <w:rPr>
          <w:rStyle w:val="FootnoteAnchor"/>
          <w:rtl w:val="true"/>
        </w:rPr>
        <w:footnoteReference w:id="658"/>
      </w:r>
      <w:r>
        <w:rPr>
          <w:rFonts w:ascii="Amiri" w:hAnsi="Amiri" w:eastAsia="Amiri" w:cs="Amiri"/>
          <w:color w:val="111111"/>
          <w:sz w:val="28"/>
          <w:sz w:val="28"/>
          <w:szCs w:val="28"/>
          <w:rtl w:val="true"/>
          <w:lang w:bidi="ar-SA"/>
        </w:rPr>
        <w:t xml:space="preserve">ولذا يصح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هي 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تكلف تأويل أو تقدير</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959639_1051229030"/>
      <w:bookmarkStart w:id="692" w:name="_Toc251"/>
      <w:bookmarkEnd w:id="691"/>
      <w:r>
        <w:rPr>
          <w:rtl w:val="true"/>
        </w:rPr>
        <w:t xml:space="preserve">الأقوال في </w:t>
      </w:r>
      <w:r>
        <w:rPr>
          <w:rtl w:val="true"/>
        </w:rPr>
        <w:t>(</w:t>
      </w:r>
      <w:r>
        <w:rPr>
          <w:rtl w:val="true"/>
        </w:rPr>
        <w:t>الوصية</w:t>
      </w:r>
      <w:r>
        <w:rPr>
          <w:rtl w:val="true"/>
        </w:rPr>
        <w:t xml:space="preserve">) </w:t>
      </w:r>
      <w:r>
        <w:rPr>
          <w:rtl w:val="true"/>
        </w:rPr>
        <w:t>ومعانيها</w:t>
      </w:r>
      <w:bookmarkEnd w:id="692"/>
    </w:p>
    <w:p>
      <w:pPr>
        <w:pStyle w:val="BookText"/>
        <w:rPr/>
      </w:pPr>
      <w:r>
        <w:rPr>
          <w:rFonts w:ascii="Amiri" w:hAnsi="Amiri" w:eastAsia="Amiri" w:cs="Amiri"/>
          <w:color w:val="111111"/>
          <w:sz w:val="28"/>
          <w:sz w:val="28"/>
          <w:szCs w:val="28"/>
          <w:rtl w:val="true"/>
          <w:lang w:bidi="ar-SA"/>
        </w:rPr>
        <w:t>قال السيد السبزواري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أنها مصدرية بتقدير الجار أي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أو تكون مفسرة للوصية لأن فيها معنى القول، وهو يرجع للأول أيضاً</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لكن لعل الفرق أنه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للوصية،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كعطف البيان ولا حاجة لتضمينها معنى القول لتصحيح حذف الجار</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 أصلٌ يدل على وصل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ووصيت الليلة باليوم، وصلتها، وذلك في عمل تعمله، </w:t>
      </w:r>
    </w:p>
    <w:p>
      <w:pPr>
        <w:pStyle w:val="BookText"/>
        <w:rPr/>
      </w:pPr>
      <w:r>
        <w:rPr>
          <w:rFonts w:ascii="Amiri" w:hAnsi="Amiri" w:eastAsia="Amiri" w:cs="Amiri"/>
          <w:color w:val="111111"/>
          <w:sz w:val="28"/>
          <w:sz w:val="28"/>
          <w:szCs w:val="28"/>
          <w:rtl w:val="true"/>
          <w:lang w:bidi="ar-SA"/>
        </w:rPr>
        <w:t>والوصية من هذا القياس، كأنه كلام يوصى أي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مقاييس اللغة، مادة وصي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إلى الغير بما يعمل به مقترناً بوعظ من قولهم أرض واصية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النبات</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فعيلة من وَصَى يصي إذا أوصل الشيء بغيره لأن الموصي يوصل تصرف بعد الموت بما قبله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غير واحد من الأصحاب أن الوصية منقولة من وصي يصي بالمعنى الأخير</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ـ وهو إذا وصلته به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مواهب الرحمن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وصي تأتي بمعنى الوصل والعهد؛ لأن الموصي يعهد بشيء في ما بعد موته، ويوصل تصرفاته وأعماله في زمان حياته ببعد وفاته أيضاً</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معنى العهد يعود للوصل أيضاً فإنه نوع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مواهب الرحمن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العهد والأمر، ومنه الوصية المعروفة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للوصل، ولوورد كمعنى مستقل للوصية، فهو دليل أيضاً على ما صرنا إليه من انقسام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للمولوية والإرشادية</w:t>
      </w:r>
      <w:r>
        <w:rPr>
          <w:rFonts w:eastAsia="Amiri" w:cs="Amiri" w:ascii="Amiri" w:hAnsi="Amiri"/>
          <w:color w:val="111111"/>
          <w:sz w:val="28"/>
          <w:szCs w:val="28"/>
          <w:rtl w:val="true"/>
          <w:lang w:bidi="ar-SA"/>
        </w:rPr>
        <w:t xml:space="preserve">. </w:t>
      </w:r>
      <w:bookmarkStart w:id="693" w:name="pg7671_76764"/>
    </w:p>
    <w:p>
      <w:pPr>
        <w:pStyle w:val="BookText"/>
        <w:rPr/>
      </w:pPr>
      <w:bookmarkEnd w:id="693"/>
      <w:r>
        <w:rPr>
          <w:rFonts w:ascii="Amiri" w:hAnsi="Amiri" w:eastAsia="Amiri" w:cs="Amiri"/>
          <w:color w:val="111111"/>
          <w:sz w:val="28"/>
          <w:sz w:val="28"/>
          <w:szCs w:val="28"/>
          <w:rtl w:val="true"/>
          <w:lang w:bidi="ar-SA"/>
        </w:rPr>
        <w:t>فالوصية على هذا إن كانت مولوية كانت وصلاً لإرادته بعبده، أو عهداً منه إليه بأن يفعل، بما هو مولى عليه ـ بناء على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إرشادية كانت وصلاً لوعظه بعبده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الموصي تمليك عين أو منفعة بعد الوفاة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وهو وإن كان تفسيراً للمعنى الإصطلاحي إلا أنه يشعر بمعناه المنقول منه أيضاً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959641_1051229030"/>
      <w:bookmarkStart w:id="695" w:name="_Toc252"/>
      <w:bookmarkEnd w:id="694"/>
      <w:r>
        <w:rPr>
          <w:rtl w:val="true"/>
        </w:rPr>
        <w:t>الوصية بالنظم مولوية، على كل معانيها</w:t>
      </w:r>
      <w:bookmarkEnd w:id="695"/>
    </w:p>
    <w:p>
      <w:pPr>
        <w:pStyle w:val="BookText"/>
        <w:rPr/>
      </w:pPr>
      <w:r>
        <w:rPr>
          <w:rFonts w:ascii="Amiri" w:hAnsi="Amiri" w:eastAsia="Amiri" w:cs="Amiri"/>
          <w:color w:val="111111"/>
          <w:sz w:val="28"/>
          <w:sz w:val="28"/>
          <w:szCs w:val="28"/>
          <w:rtl w:val="true"/>
          <w:lang w:bidi="ar-SA"/>
        </w:rPr>
        <w:t>وعلى ما سبق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مولوية بنظم الأمر، كما هي وصية مولوية بالتقوى،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لإرادته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منه إليه بأن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منه عليه السلام لاعتبار أمر ـ هو التقوى والنظم ـ في ذمة المخاطب ومطلق من بلغه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نظم الأمر إلا لو علم بارتكاز أو مناسبة حكم وموضوع</w:t>
      </w:r>
      <w:r>
        <w:rPr>
          <w:rStyle w:val="FootnoteAnchor"/>
          <w:rtl w:val="true"/>
        </w:rPr>
        <w:footnoteReference w:id="669"/>
      </w:r>
      <w:r>
        <w:rPr>
          <w:rFonts w:ascii="Amiri" w:hAnsi="Amiri" w:eastAsia="Amiri" w:cs="Amiri"/>
          <w:color w:val="111111"/>
          <w:sz w:val="28"/>
          <w:sz w:val="28"/>
          <w:szCs w:val="28"/>
          <w:rtl w:val="true"/>
          <w:lang w:bidi="ar-SA"/>
        </w:rPr>
        <w:t>أو غير ذلك، عدمه، فتأمل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دالة على الطلب، وهو جنس للوجوب والندب ـ على قول ـ فيكون الموصى به، بين واجب ومندوب، لكن الأصل فيه الوجوب؛ لما ذهب إليه الميرزا النائيني رحمه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وضعاً على أكثر من الطلب، لكن عنوان الوجوب ينتزع منه نظراً </w:t>
      </w:r>
      <w:bookmarkStart w:id="696" w:name="pg7671_76765"/>
    </w:p>
    <w:p>
      <w:pPr>
        <w:pStyle w:val="BookText"/>
        <w:rPr/>
      </w:pPr>
      <w:bookmarkEnd w:id="696"/>
      <w:r>
        <w:rPr>
          <w:rFonts w:ascii="Amiri" w:hAnsi="Amiri" w:eastAsia="Amiri" w:cs="Amiri"/>
          <w:color w:val="111111"/>
          <w:sz w:val="28"/>
          <w:sz w:val="28"/>
          <w:szCs w:val="28"/>
          <w:rtl w:val="true"/>
          <w:lang w:bidi="ar-SA"/>
        </w:rPr>
        <w:t>لحكم العقل بلزوم الامتثال إذا صدر من العالي ولم يقترن بالترخيص، أو لما ذهب إليه المحقق العراقي قدس سره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طلب المولى وإرادته، وإرادة المولى حقيقة تشكيكية، ولأن شدتها من سنخها فيكون مقتضى الإطلاق الإرادة الشديدة، وقد أشرنا إلى ذلك في فقه التعاون على البر والتقوى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وكلا الوجهين 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ناقشنا فيهما في محله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959643_1051229030"/>
      <w:bookmarkStart w:id="698" w:name="_Toc253"/>
      <w:bookmarkEnd w:id="697"/>
      <w:r>
        <w:rPr>
          <w:rtl w:val="true"/>
        </w:rPr>
        <w:t xml:space="preserve">ضوابط المولوية منطبقة على </w:t>
      </w:r>
      <w:r>
        <w:rPr>
          <w:rtl w:val="true"/>
        </w:rPr>
        <w:t>(</w:t>
      </w:r>
      <w:r>
        <w:rPr>
          <w:rtl w:val="true"/>
        </w:rPr>
        <w:t>الوصية</w:t>
      </w:r>
      <w:r>
        <w:rPr>
          <w:rtl w:val="true"/>
        </w:rPr>
        <w:t>)</w:t>
      </w:r>
      <w:bookmarkEnd w:id="698"/>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الضوابط التي ذكرت للمولوي والإرشادي من الأوامر والنواهي، جارية بعينها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المولوي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إن المقام كذلك، خاصة بلحاظ سوقه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تضمن مصلحة الدنيا أيضاً فإن المقياس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المستقلات العقلية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ترتب عليه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يستبعد كون المقام 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هذه </w:t>
      </w:r>
      <w:bookmarkStart w:id="699" w:name="pg7671_76767"/>
    </w:p>
    <w:p>
      <w:pPr>
        <w:pStyle w:val="BookText"/>
        <w:rPr/>
      </w:pPr>
      <w:bookmarkEnd w:id="699"/>
      <w:r>
        <w:rPr>
          <w:rFonts w:ascii="Amiri" w:hAnsi="Amiri" w:eastAsia="Amiri" w:cs="Amiri"/>
          <w:color w:val="111111"/>
          <w:sz w:val="28"/>
          <w:sz w:val="28"/>
          <w:szCs w:val="28"/>
          <w:rtl w:val="true"/>
          <w:lang w:bidi="ar-SA"/>
        </w:rPr>
        <w:t xml:space="preserve">الرواية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فالأمر فيه ـ على الضابط الخامس ـ إرشادي،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مبنى كما فصّل في فصل الضوابط</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959645_1051229030"/>
      <w:bookmarkStart w:id="701" w:name="_Toc254"/>
      <w:bookmarkEnd w:id="700"/>
      <w:r>
        <w:rPr>
          <w:rtl w:val="true"/>
        </w:rPr>
        <w:t xml:space="preserve">العموم في </w:t>
      </w:r>
      <w:r>
        <w:rPr>
          <w:rtl w:val="true"/>
        </w:rPr>
        <w:t>(</w:t>
      </w:r>
      <w:r>
        <w:rPr>
          <w:rtl w:val="true"/>
        </w:rPr>
        <w:t>نظم أمركم</w:t>
      </w:r>
      <w:r>
        <w:rPr>
          <w:rtl w:val="true"/>
        </w:rPr>
        <w:t>)</w:t>
      </w:r>
      <w:bookmarkEnd w:id="701"/>
    </w:p>
    <w:p>
      <w:pPr>
        <w:pStyle w:val="BookText"/>
        <w:rPr/>
      </w:pPr>
      <w:r>
        <w:rPr>
          <w:rFonts w:ascii="Amiri" w:hAnsi="Amiri" w:eastAsia="Amiri" w:cs="Amiri"/>
          <w:color w:val="111111"/>
          <w:sz w:val="28"/>
          <w:sz w:val="28"/>
          <w:szCs w:val="28"/>
          <w:rtl w:val="true"/>
          <w:lang w:bidi="ar-SA"/>
        </w:rPr>
        <w:t xml:space="preserve">ثم 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نظراً لتعلق الوصية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عموم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العامة والشؤون العائلية والشؤون الشخصية؛ فإن كل ذلك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التجمعات أيضاً،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تلك المصاديق حقيقة، خاصة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أولئك قد بلغهم كتابه عليه السلام</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959647_1051229030"/>
      <w:bookmarkStart w:id="703" w:name="_Toc255"/>
      <w:bookmarkEnd w:id="702"/>
      <w:r>
        <w:rPr>
          <w:rtl w:val="true"/>
        </w:rPr>
        <w:t>(</w:t>
      </w:r>
      <w:r>
        <w:rPr>
          <w:rtl w:val="true"/>
        </w:rPr>
        <w:t>نظام الأمة</w:t>
      </w:r>
      <w:r>
        <w:rPr>
          <w:rtl w:val="true"/>
        </w:rPr>
        <w:t xml:space="preserve">) </w:t>
      </w:r>
      <w:r>
        <w:rPr>
          <w:rtl w:val="true"/>
        </w:rPr>
        <w:t>غاية وعلة للإمامة والأمانة، أو حكمة؟</w:t>
      </w:r>
      <w:bookmarkEnd w:id="703"/>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خطبة الصديقة الزهراء عليها أفضل الصلاة وأزكى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للأمة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الغاية للأمانة، وحيث أنها واجبة لصريح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عليه الإجماع يكون واجباً؛ فإن ما </w:t>
      </w:r>
    </w:p>
    <w:p>
      <w:pPr>
        <w:pStyle w:val="BookText"/>
        <w:rPr/>
      </w:pPr>
      <w:r>
        <w:rPr>
          <w:rFonts w:ascii="Amiri" w:hAnsi="Amiri" w:eastAsia="Amiri" w:cs="Amiri"/>
          <w:color w:val="111111"/>
          <w:sz w:val="28"/>
          <w:sz w:val="28"/>
          <w:szCs w:val="28"/>
          <w:rtl w:val="true"/>
          <w:lang w:bidi="ar-SA"/>
        </w:rPr>
        <w:t>أوجبت لأجل أدائها إليه، يكون لازم التحصيل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لما وجب الموصل إليه، لأجله، وحيث كان الأمر بالموصِل مولوياً، كان الموصَل إليه مطلوباً مولوياً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من قبيل العنوان والمحصِّل 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والمتفاهم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يجاب بكثرة بل غلبة كون ما يذكر في مقام التعليل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ـ أي حقوق الرعية على الوالي وبالعكس ـ نظاماً لالفتهم وعزاً لدينهم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كلامه عليه السلام، أن حقوق الرعية على الوالي والوالي على الرعية ـ وهي أعظم ما افترض الله ـ قد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وجوبه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فإن إعزاز الدين واجب فيكون ما جعل معه ـ بل قبله ـ غاية، واجب التحصيل كذلك</w:t>
      </w:r>
      <w:r>
        <w:rPr>
          <w:rFonts w:eastAsia="Amiri" w:cs="Amiri" w:ascii="Amiri" w:hAnsi="Amiri"/>
          <w:color w:val="111111"/>
          <w:sz w:val="28"/>
          <w:szCs w:val="28"/>
          <w:rtl w:val="true"/>
          <w:lang w:bidi="ar-SA"/>
        </w:rPr>
        <w:t xml:space="preserve">. </w:t>
      </w:r>
      <w:bookmarkStart w:id="704" w:name="pg7671_76771"/>
    </w:p>
    <w:p>
      <w:pPr>
        <w:pStyle w:val="Heading4"/>
        <w:numPr>
          <w:ilvl w:val="3"/>
          <w:numId w:val="1"/>
        </w:numPr>
        <w:rPr/>
      </w:pPr>
      <w:bookmarkStart w:id="705" w:name="__RefHeading___Toc3959649_1051229030"/>
      <w:bookmarkStart w:id="706" w:name="_Toc256"/>
      <w:bookmarkEnd w:id="704"/>
      <w:bookmarkEnd w:id="705"/>
      <w:r>
        <w:rPr>
          <w:rtl w:val="true"/>
        </w:rPr>
        <w:t>(</w:t>
      </w:r>
      <w:r>
        <w:rPr>
          <w:rtl w:val="true"/>
        </w:rPr>
        <w:t>التدبير في المعيشة</w:t>
      </w:r>
      <w:r>
        <w:rPr>
          <w:rtl w:val="true"/>
        </w:rPr>
        <w:t>)</w:t>
      </w:r>
      <w:bookmarkEnd w:id="706"/>
    </w:p>
    <w:p>
      <w:pPr>
        <w:pStyle w:val="BookText"/>
        <w:rPr/>
      </w:pPr>
      <w:r>
        <w:rPr>
          <w:rFonts w:ascii="Amiri" w:hAnsi="Amiri" w:eastAsia="Amiri" w:cs="Amiri"/>
          <w:color w:val="111111"/>
          <w:sz w:val="28"/>
          <w:sz w:val="28"/>
          <w:szCs w:val="28"/>
          <w:rtl w:val="true"/>
          <w:lang w:bidi="ar-SA"/>
        </w:rPr>
        <w:t xml:space="preserve">وقد جاء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أمالي الطوسي عن أيوب بن الحر قال سمعت رجلاً يقول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الاقتصاد والتدبير في المعيشة نصف الكسب؟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هو الكسب كله، ومن الدين التدبير في المعيشة</w:t>
      </w:r>
      <w:r>
        <w:rPr>
          <w:rFonts w:eastAsia="Amiri" w:cs="Amiri" w:ascii="Amiri" w:hAnsi="Amiri"/>
          <w:color w:val="111111"/>
          <w:sz w:val="28"/>
          <w:szCs w:val="28"/>
          <w:rtl w:val="true"/>
          <w:lang w:bidi="ar-SA"/>
        </w:rPr>
        <w:t>).</w:t>
      </w:r>
      <w:r>
        <w:rPr>
          <w:rStyle w:val="FootnoteAnchor"/>
          <w:rtl w:val="true"/>
        </w:rPr>
        <w:footnoteReference w:id="671"/>
      </w:r>
    </w:p>
    <w:p>
      <w:pPr>
        <w:pStyle w:val="Heading4"/>
        <w:numPr>
          <w:ilvl w:val="3"/>
          <w:numId w:val="1"/>
        </w:numPr>
        <w:rPr/>
      </w:pPr>
      <w:bookmarkStart w:id="707" w:name="__RefHeading___Toc3959651_1051229030"/>
      <w:bookmarkStart w:id="708" w:name="_Toc257"/>
      <w:bookmarkEnd w:id="707"/>
      <w:r>
        <w:rPr>
          <w:rtl w:val="true"/>
        </w:rPr>
        <w:t>روايات يستفاد منها</w:t>
      </w:r>
      <w:r>
        <w:rPr>
          <w:rtl w:val="true"/>
        </w:rPr>
        <w:t xml:space="preserve">: </w:t>
      </w:r>
      <w:r>
        <w:rPr>
          <w:rtl w:val="true"/>
        </w:rPr>
        <w:t xml:space="preserve">مولوية </w:t>
      </w:r>
      <w:r>
        <w:rPr>
          <w:rtl w:val="true"/>
        </w:rPr>
        <w:t>(</w:t>
      </w:r>
      <w:r>
        <w:rPr>
          <w:rtl w:val="true"/>
        </w:rPr>
        <w:t>التدبير في المعيشة</w:t>
      </w:r>
      <w:r>
        <w:rPr>
          <w:rtl w:val="true"/>
        </w:rPr>
        <w:t>)</w:t>
      </w:r>
      <w:bookmarkEnd w:id="708"/>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كما هو صريح هذه الرواية، كان محبوباً للمولى بما هو مولى، فيكون الأمر به مولوياً على الضابط الثالث للمولوية، وكان من مرجحات كونه مولوياً، على الضابط الأول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أماليه عن عبد العظيم الحسني عن الإمام أبي جعفر الثاني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في موضع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الأمر ونظائره للإرشادية، كما فصلنا في مواضع أخرى أن لحاظ المصلحة الدنيوية ليس ملاك الإرشادية والمولوية، 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موارد الدنيوية، لشموله الأخروية؛ فإنه بحسب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الكليني في الكافي، عن علي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حسن المعونة، خفيف المؤونة، جيد التدبير لمعيشته، لا يلسع من حجر مرتين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وتصدير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يشهد بأن هذه الصفات مطلوبة منه بما هو مؤمن، فيدل على كونها محبوبة للمولى بما هو مولى، وقد فصلنا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دراسة فقهية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معاني الأخبار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كالتدبير، ولا ورع كالكف، ولا حسب كحسن الخلق</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وكماله وتمامه، هو أول مطلوب للباري تعالى، ويشهد له ما ورد من الروايات حول العقل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خلقاً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أثيب وبك أعاقب</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ومن وصية النبي صلى الله عليه وآله لمن طلب منه 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إذا أنت هممت أمراً فتدبر عاقبته، فإن يك رشداً فأمضه وإن يك غياً فانته منه</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بلحاظ مصالح الآخرة، لكن الأظهر أنه أعم، ولا يضر ذلك باستظهار المولوية على غير الضابط الثاني</w:t>
      </w:r>
      <w:r>
        <w:rPr>
          <w:rFonts w:eastAsia="Amiri" w:cs="Amiri" w:ascii="Amiri" w:hAnsi="Amiri"/>
          <w:color w:val="111111"/>
          <w:sz w:val="28"/>
          <w:szCs w:val="28"/>
          <w:rtl w:val="true"/>
          <w:lang w:bidi="ar-SA"/>
        </w:rPr>
        <w:t xml:space="preserve">. </w:t>
      </w:r>
      <w:bookmarkStart w:id="709" w:name="pg7671_76776"/>
    </w:p>
    <w:p>
      <w:pPr>
        <w:pStyle w:val="Heading4"/>
        <w:numPr>
          <w:ilvl w:val="3"/>
          <w:numId w:val="1"/>
        </w:numPr>
        <w:rPr/>
      </w:pPr>
      <w:bookmarkStart w:id="710" w:name="__RefHeading___Toc3959653_1051229030"/>
      <w:bookmarkStart w:id="711" w:name="_Toc258"/>
      <w:bookmarkEnd w:id="709"/>
      <w:bookmarkEnd w:id="710"/>
      <w:r>
        <w:rPr>
          <w:rtl w:val="true"/>
        </w:rPr>
        <w:t xml:space="preserve">احتمالا المولوية والإرشادية في أوامر </w:t>
      </w:r>
      <w:r>
        <w:rPr>
          <w:rtl w:val="true"/>
        </w:rPr>
        <w:t>(</w:t>
      </w:r>
      <w:r>
        <w:rPr>
          <w:rtl w:val="true"/>
        </w:rPr>
        <w:t>التدبير</w:t>
      </w:r>
      <w:r>
        <w:rPr>
          <w:rtl w:val="true"/>
        </w:rPr>
        <w:t>)</w:t>
      </w:r>
      <w:bookmarkEnd w:id="711"/>
    </w:p>
    <w:p>
      <w:pPr>
        <w:pStyle w:val="BookText"/>
        <w:rPr/>
      </w:pPr>
      <w:r>
        <w:rPr>
          <w:rFonts w:ascii="Amiri" w:hAnsi="Amiri" w:eastAsia="Amiri" w:cs="Amiri"/>
          <w:color w:val="111111"/>
          <w:sz w:val="28"/>
          <w:sz w:val="28"/>
          <w:szCs w:val="28"/>
          <w:rtl w:val="true"/>
          <w:lang w:bidi="ar-SA"/>
        </w:rPr>
        <w:t>والحاصل أن أوامر التدبير ـ لو وردت وكلما وردت ـ فإنه يحتمل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إرشادية ـ إن روعي فيها مصلحتها الدنيوية، على الضابط الثاني، أو صدرت من المولى لا بما هو مولى بل بما هو ناصح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كونها مولوية إن روعي فيها مصلحتها الأخروية، أو ادعي كونها محبوبة للمولى وقد صدر الأمر بها بما أنها محبوبة له ـ أو صدرت من المولى بما هو مولى وإن كانت المصلحة دنيوية ـ ويرشد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الدين التدبير في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يرشد له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 التدبير لمعيشته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لتصدير الحديث ـ كما سبق ـ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ذلك من شأن إيمانه، فيكون مأموراً به بما هو مؤمن ومولى عليه، ويكون الأمر به بما الآمر مولى معملاً مقام مولويته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 فيجب حيث تجب، ويستحب حيث تستحب، ويحرم حيث تحرم ـ كما لو كانت المعيشة معيشة محرمة</w:t>
      </w:r>
      <w:r>
        <w:rPr>
          <w:rStyle w:val="FootnoteAnchor"/>
          <w:rtl w:val="true"/>
        </w:rPr>
        <w:footnoteReference w:id="678"/>
      </w:r>
      <w:r>
        <w:rPr>
          <w:rFonts w:ascii="Amiri" w:hAnsi="Amiri" w:eastAsia="Amiri" w:cs="Amiri"/>
          <w:color w:val="111111"/>
          <w:sz w:val="28"/>
          <w:sz w:val="28"/>
          <w:szCs w:val="28"/>
          <w:rtl w:val="true"/>
          <w:lang w:bidi="ar-SA"/>
        </w:rPr>
        <w:t>فيكون التدبير لها كذلك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تبعد المصلحة السلوكية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يمكن </w:t>
      </w:r>
      <w:bookmarkStart w:id="712" w:name="pg7671_76778"/>
    </w:p>
    <w:p>
      <w:pPr>
        <w:pStyle w:val="BookText"/>
        <w:rPr/>
      </w:pPr>
      <w:bookmarkEnd w:id="712"/>
      <w:r>
        <w:rPr>
          <w:rFonts w:ascii="Amiri" w:hAnsi="Amiri" w:eastAsia="Amiri" w:cs="Amiri"/>
          <w:color w:val="111111"/>
          <w:sz w:val="28"/>
          <w:sz w:val="28"/>
          <w:szCs w:val="28"/>
          <w:rtl w:val="true"/>
          <w:lang w:bidi="ar-SA"/>
        </w:rPr>
        <w:t xml:space="preserve">الاستشهاد له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الدين التدبير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959655_1051229030"/>
      <w:bookmarkStart w:id="714" w:name="_Toc259"/>
      <w:bookmarkEnd w:id="713"/>
      <w:r>
        <w:rPr>
          <w:rtl w:val="true"/>
        </w:rPr>
        <w:t xml:space="preserve">الأوامر والنواهي في </w:t>
      </w:r>
      <w:r>
        <w:rPr>
          <w:rtl w:val="true"/>
        </w:rPr>
        <w:t>(</w:t>
      </w:r>
      <w:r>
        <w:rPr>
          <w:rtl w:val="true"/>
        </w:rPr>
        <w:t>الحدود</w:t>
      </w:r>
      <w:r>
        <w:rPr>
          <w:rtl w:val="true"/>
        </w:rPr>
        <w:t xml:space="preserve">) </w:t>
      </w:r>
      <w:r>
        <w:rPr>
          <w:rtl w:val="true"/>
        </w:rPr>
        <w:t>بالمعنى الأعم</w:t>
      </w:r>
      <w:bookmarkEnd w:id="714"/>
    </w:p>
    <w:p>
      <w:pPr>
        <w:pStyle w:val="BookText"/>
        <w:rPr/>
      </w:pPr>
      <w:r>
        <w:rPr>
          <w:rFonts w:ascii="Amiri" w:hAnsi="Amiri" w:eastAsia="Amiri" w:cs="Amiri"/>
          <w:color w:val="111111"/>
          <w:sz w:val="28"/>
          <w:sz w:val="28"/>
          <w:szCs w:val="28"/>
          <w:rtl w:val="true"/>
          <w:lang w:bidi="ar-SA"/>
        </w:rPr>
        <w:t xml:space="preserve">وأما ما ورد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والتعزيرات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وهي إشارة إلى ما تقدم من الأحكام في شأن اليتامى والوصايا والمواريث وغيرها، بدءً من أول السورة،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وقد سبق في الآيات السابقات ذكر مصاديق لحدود الله في الإرث، وذلك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نصف ما ترك أزواجكم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 وقاعدة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اليتامى أموالهم</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والناهون عن المنكر والحافظون لحدود الله</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الله تعالى في موضع آخر، مصاديق أخرى لحدود الله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يتربصن بأنفسهن ثلاثة قروء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ولهن مثل الذي عليهن بالمعروف وللرجال عليهن درجة</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 ومناهيه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وردت الحدود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حدود الله ومن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في سورة  الطلاق، حول تحديده تعالى إحدى حقوق المطلقة، وفي سورة المجادلة حول الظهار وكفارته</w:t>
      </w:r>
      <w:r>
        <w:rPr>
          <w:rFonts w:eastAsia="Amiri" w:cs="Amiri" w:ascii="Amiri" w:hAnsi="Amiri"/>
          <w:color w:val="111111"/>
          <w:sz w:val="28"/>
          <w:szCs w:val="28"/>
          <w:rtl w:val="true"/>
          <w:lang w:bidi="ar-SA"/>
        </w:rPr>
        <w:t xml:space="preserve">. </w:t>
      </w:r>
      <w:bookmarkStart w:id="715" w:name="pg7671_76782"/>
    </w:p>
    <w:p>
      <w:pPr>
        <w:pStyle w:val="Heading4"/>
        <w:numPr>
          <w:ilvl w:val="3"/>
          <w:numId w:val="1"/>
        </w:numPr>
        <w:rPr/>
      </w:pPr>
      <w:bookmarkStart w:id="716" w:name="__RefHeading___Toc3959657_1051229030"/>
      <w:bookmarkStart w:id="717" w:name="_Toc260"/>
      <w:bookmarkEnd w:id="715"/>
      <w:bookmarkEnd w:id="716"/>
      <w:r>
        <w:rPr>
          <w:rtl w:val="true"/>
        </w:rPr>
        <w:t>هل هي مولوية أم إرشادية؟</w:t>
      </w:r>
      <w:bookmarkEnd w:id="717"/>
    </w:p>
    <w:p>
      <w:pPr>
        <w:pStyle w:val="BookText"/>
        <w:rPr/>
      </w:pPr>
      <w:r>
        <w:rPr>
          <w:rFonts w:ascii="Amiri" w:hAnsi="Amiri" w:eastAsia="Amiri" w:cs="Amiri"/>
          <w:color w:val="111111"/>
          <w:sz w:val="28"/>
          <w:sz w:val="28"/>
          <w:szCs w:val="28"/>
          <w:rtl w:val="true"/>
          <w:lang w:bidi="ar-SA"/>
        </w:rPr>
        <w:t>ويقع البحث هنا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فهل النهي مولوي أم إرشادي؟</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بالإرشادية لنظير ما ذكر في أوامر الطاعة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التسلسل لو قلنا بالمولوية أو اللغوية  أو تحصيل الحاصل، وقد فصلنا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 ـ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فلا بأس بالالتزام بالمولوية فيها</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3959659_1051229030"/>
      <w:bookmarkStart w:id="719" w:name="_Toc261"/>
      <w:bookmarkEnd w:id="718"/>
      <w:r>
        <w:rPr>
          <w:rtl w:val="true"/>
        </w:rPr>
        <w:t>(</w:t>
      </w:r>
      <w:r>
        <w:rPr>
          <w:rtl w:val="true"/>
        </w:rPr>
        <w:t>الحدود</w:t>
      </w:r>
      <w:r>
        <w:rPr>
          <w:rtl w:val="true"/>
        </w:rPr>
        <w:t xml:space="preserve">) </w:t>
      </w:r>
      <w:r>
        <w:rPr>
          <w:rtl w:val="true"/>
        </w:rPr>
        <w:t>بالمعنى الأخص</w:t>
      </w:r>
      <w:bookmarkEnd w:id="719"/>
    </w:p>
    <w:p>
      <w:pPr>
        <w:pStyle w:val="BookText"/>
        <w:rPr/>
      </w:pPr>
      <w:r>
        <w:rPr>
          <w:rFonts w:ascii="Amiri" w:hAnsi="Amiri" w:eastAsia="Amiri" w:cs="Amiri"/>
          <w:color w:val="111111"/>
          <w:sz w:val="28"/>
          <w:sz w:val="28"/>
          <w:szCs w:val="28"/>
          <w:rtl w:val="true"/>
          <w:lang w:bidi="ar-SA"/>
        </w:rPr>
        <w:t>وأما الحدود بالمعنى الأخص، فقد وردت فيها آيات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خطأ فتحرير رقبة ودِيَةٌ مسلمة إلى أهله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فعليه تحرير رقبة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واللاتي تخافون نشوزهن فعظوهن واهجروهن في </w:t>
      </w:r>
      <w:bookmarkStart w:id="720" w:name="pg7671_76784"/>
    </w:p>
    <w:p>
      <w:pPr>
        <w:pStyle w:val="BookText"/>
        <w:rPr/>
      </w:pPr>
      <w:bookmarkEnd w:id="720"/>
      <w:r>
        <w:rPr>
          <w:rFonts w:ascii="Amiri" w:hAnsi="Amiri" w:eastAsia="Amiri" w:cs="Amiri"/>
          <w:color w:val="111111"/>
          <w:sz w:val="28"/>
          <w:sz w:val="28"/>
          <w:szCs w:val="28"/>
          <w:rtl w:val="true"/>
          <w:lang w:bidi="ar-SA"/>
        </w:rPr>
        <w:t>المضاجع واضربوهن فإن أطعنكم فلا تبغوا عليهن سبيلاً</w:t>
      </w:r>
      <w:r>
        <w:rPr>
          <w:rFonts w:eastAsia="Amiri" w:cs="Amiri" w:ascii="Amiri" w:hAnsi="Amiri"/>
          <w:color w:val="111111"/>
          <w:sz w:val="28"/>
          <w:szCs w:val="28"/>
          <w:rtl w:val="true"/>
          <w:lang w:bidi="ar-SA"/>
        </w:rPr>
        <w:t>».</w:t>
      </w:r>
      <w:r>
        <w:rPr>
          <w:rStyle w:val="FootnoteAnchor"/>
          <w:rtl w:val="true"/>
        </w:rPr>
        <w:footnoteReference w:id="697"/>
      </w:r>
    </w:p>
    <w:p>
      <w:pPr>
        <w:pStyle w:val="Heading4"/>
        <w:numPr>
          <w:ilvl w:val="3"/>
          <w:numId w:val="1"/>
        </w:numPr>
        <w:rPr/>
      </w:pPr>
      <w:bookmarkStart w:id="721" w:name="__RefHeading___Toc3959661_1051229030"/>
      <w:bookmarkStart w:id="722" w:name="_Toc262"/>
      <w:bookmarkEnd w:id="721"/>
      <w:r>
        <w:rPr>
          <w:rtl w:val="true"/>
        </w:rPr>
        <w:t>(</w:t>
      </w:r>
      <w:r>
        <w:rPr>
          <w:rtl w:val="true"/>
        </w:rPr>
        <w:t>الحدود</w:t>
      </w:r>
      <w:r>
        <w:rPr>
          <w:rtl w:val="true"/>
        </w:rPr>
        <w:t xml:space="preserve">) </w:t>
      </w:r>
      <w:r>
        <w:rPr>
          <w:rtl w:val="true"/>
        </w:rPr>
        <w:t>أعم من التكليفية والوضعية</w:t>
      </w:r>
      <w:bookmarkEnd w:id="722"/>
    </w:p>
    <w:p>
      <w:pPr>
        <w:pStyle w:val="BookText"/>
        <w:rPr/>
      </w:pPr>
      <w:r>
        <w:rPr>
          <w:rFonts w:ascii="Amiri" w:hAnsi="Amiri" w:eastAsia="Amiri" w:cs="Amiri"/>
          <w:color w:val="111111"/>
          <w:sz w:val="28"/>
          <w:sz w:val="28"/>
          <w:szCs w:val="28"/>
          <w:rtl w:val="true"/>
          <w:lang w:bidi="ar-SA"/>
        </w:rPr>
        <w:t xml:space="preserve">ومن البين أن تلك الحدود ـ تكليفية كانت أو وضعية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إما عطف بيان وتفسير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ذكر الخاص بعد العام، والأول أظهر، إضافة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المولوية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والثالثة، تشير ـ فيما تشير إليه ـ إلى الأحكام الوضعية؛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نصف ما 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وضعي؛ إذ اللام للملك، فنصف ما تركته الزوجة يدخل قهراً في ملك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وضعي فإن له حق الطلاق مع الرجوع مرتين وحق الطلاق بدونه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تكليفي،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للإباحة، ولعل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مثل الذي عليهن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والوضعي، أي لهن من الحقوق ومن الأحكام مثل الذي عليهن من الحقوق والواجبات، فلها حق القسم وحق النفقة وعليها واجب الإطاعة في الاستفراش، وللزوج عليها حق التمكين وتجب عليه النفقة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دليلاً أيضاً على ما بيّناه في موضع آخر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المولوية والإرشادية لا تختص بالأحكام التكليفية بل تشمل الوضعية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بين الشيئين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شرائعه وواجباته ومحرماته التي لا يجوز تجاوزها ومنها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إذ الشرائع حدود مضروبة لا يجوز للمكلف تخطيها وتجاوزها دون إذن من مالكها وجاعلها، وقد سمي الحد حداً لمنع المكلف من اقتحامه وتجاوزه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أقمتم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 وشرائعه</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الحاجز بين الشيئين ومنه حد عرفات</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الإيمان، 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والإقرار بما جاء به النبي صلى الله عليه وآله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الدار ما تتميز به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 والخمر سمي به لكونه مانعاً لمتعاطيه عن معاودة مثله، ومانعاً لغيره أن يسلك مسلكه</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أن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وحدود الله هي شرائعه وأحكامه المحرمة التي قرنها بالعقوبة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تفسير بالأخص، خاصة مع اشتمال ما سبق في الآية الشريفة على الحلالك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مستحبان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ما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لاستحبابه  والواجب </w:t>
      </w:r>
      <w:bookmarkStart w:id="723" w:name="pg7671_76788"/>
    </w:p>
    <w:p>
      <w:pPr>
        <w:pStyle w:val="BookText"/>
        <w:rPr/>
      </w:pPr>
      <w:bookmarkEnd w:id="723"/>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وأنتم عاكفون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البين أن الحدود بالمعنى الأخص هي أيضاً، داخلة في دائرة المولوية لصريح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ولا يضرّ به، تعليله بمصلحة دنيوية في الآية اللاحقة إذ هي مصلحة أخروية أيضاً ـ هذا صغرى ـ أما كبرى، فقد أوضحنا في موضع آخر أن الملاك في المولوية والإرشادية، ليس المصلحة الدنيوية أو الأخروية، بل إعمال مقام المولوية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دون نقاش</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3959663_1051229030"/>
      <w:bookmarkStart w:id="725" w:name="_Toc263"/>
      <w:bookmarkEnd w:id="724"/>
      <w:r>
        <w:rPr>
          <w:rtl w:val="true"/>
        </w:rPr>
        <w:t>متى تعطل الحدود؟</w:t>
      </w:r>
      <w:bookmarkEnd w:id="725"/>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لمصلحة نوع الإنسان؛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يُردع، فإن الفساد سيعم المجتمع كله، وتلزم الفوضى والهرج والمرج واختلال النظام ونظائر ذلك من المفاسد، ولذا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فإن أولي اللبّ يدركون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التقوى، والوقاية من انتشار القتل العمد والجرح العمد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بحث تطرق له السيد الوالد قدس سره بالتفصيل، وأشار لبعض جوانبه عدد من الفقهاء،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أو تتحول إلى التعزير </w:t>
      </w:r>
    </w:p>
    <w:p>
      <w:pPr>
        <w:pStyle w:val="BookText"/>
        <w:rPr/>
      </w:pPr>
      <w:r>
        <w:rPr>
          <w:rFonts w:ascii="Amiri" w:hAnsi="Amiri" w:eastAsia="Amiri" w:cs="Amiri"/>
          <w:color w:val="111111"/>
          <w:sz w:val="28"/>
          <w:sz w:val="28"/>
          <w:szCs w:val="28"/>
          <w:rtl w:val="true"/>
          <w:lang w:bidi="ar-SA"/>
        </w:rPr>
        <w:t>أو تؤجل في صور وحالات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الشبهة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الجاني، وشبهة الشاهدين، وشبهة القاضي، وشبهة المجتهد المرجع للتقليد، وشبهة 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الاضطرار والإكراه والإلجاء ـ على تفصيل فيها ـ وأصله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عدم تطبيق قوانين الإسلام في السياسة والاقتصاد والاجتماع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وتعدديةٍ وشورى وأخوةٍ وعدلٍ وإحسان، وبيت مالٍ يتكفل حوائج المحتاجين، وحريةِ إقامةٍ وحضرٍ وسفرٍ، وتجارةٍ وزراعةٍ واستيرادٍ وتصدير، وغير ذلك، فإنه إذا لم يطبق الإسلام بكل جوانبه أو بالأعم الأغلب منها، فإنه لا يصح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اللازم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المستبد الجائر، الذي عطّل قوانين الإسلام، ثم أراد إجراء الحد على آحاد الناس، كما يشير إليه كلام الإمام الرضا، عليه السلام مع المأمون، عندما أراد إجراء الحد على السارق الفقير الذي ادعى أنه سرق اضطراراً لا اختياراً، فقال له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بنفسك فطهّرها ثم طهّر غيرك، وأقم حد الله عليها ثم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المأمون إلى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فسرق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المأمون غضباً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والأخرى أن الخبيث لا يطهّر خبيثاً مثله، إنما يطهّره طاهر، ومن في جنبه حد، لا يقيمالحدود على غيره حتى يبدأ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أنفسكم </w:t>
      </w:r>
      <w:bookmarkStart w:id="726" w:name="pg7671_76792"/>
    </w:p>
    <w:p>
      <w:pPr>
        <w:pStyle w:val="BookText"/>
        <w:rPr/>
      </w:pPr>
      <w:bookmarkEnd w:id="726"/>
      <w:r>
        <w:rPr>
          <w:rFonts w:ascii="Amiri" w:hAnsi="Amiri" w:eastAsia="Amiri" w:cs="Amiri"/>
          <w:color w:val="111111"/>
          <w:sz w:val="28"/>
          <w:sz w:val="28"/>
          <w:szCs w:val="28"/>
          <w:rtl w:val="true"/>
          <w:lang w:bidi="ar-SA"/>
        </w:rPr>
        <w:t>وأنتم تتلون الكتاب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المأمون إلى الإمام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جلاله قال لمحمد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الجاهل فيعلمها بجهله كما يعلمها العالم بعلمه، والدنيا والآخرة قائمتان بالحجة، وقد احتج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احتجب المأمون عن الناس بعد ذلك، واشتغل بأمر الإمام الرضا عليه السلام حتى سمّه، فقتله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لو أوجب تطبيق الحدود ضرراً أكبر، من تشويه سمعة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لو قَابَلَنا الكفارُ بالمثل، وكان عدم ذلك أهم، بنظر 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وتفصيل ذلك يطلب من المفصلات</w:t>
      </w:r>
      <w:r>
        <w:rPr>
          <w:rFonts w:eastAsia="Amiri" w:cs="Amiri" w:ascii="Amiri" w:hAnsi="Amiri"/>
          <w:color w:val="111111"/>
          <w:sz w:val="28"/>
          <w:szCs w:val="28"/>
          <w:rtl w:val="true"/>
          <w:lang w:bidi="ar-SA"/>
        </w:rPr>
        <w:t>.</w:t>
      </w:r>
      <w:r>
        <w:rPr>
          <w:rStyle w:val="FootnoteAnchor"/>
          <w:rtl w:val="true"/>
        </w:rPr>
        <w:footnoteReference w:id="707"/>
      </w:r>
    </w:p>
    <w:p>
      <w:pPr>
        <w:pStyle w:val="Heading4"/>
        <w:numPr>
          <w:ilvl w:val="3"/>
          <w:numId w:val="1"/>
        </w:numPr>
        <w:rPr/>
      </w:pPr>
      <w:bookmarkStart w:id="727" w:name="__RefHeading___Toc3959665_1051229030"/>
      <w:bookmarkStart w:id="728" w:name="_Toc264"/>
      <w:bookmarkEnd w:id="727"/>
      <w:r>
        <w:rPr>
          <w:rtl w:val="true"/>
        </w:rPr>
        <w:t xml:space="preserve">هل </w:t>
      </w:r>
      <w:r>
        <w:rPr>
          <w:rtl w:val="true"/>
        </w:rPr>
        <w:t>(</w:t>
      </w:r>
      <w:r>
        <w:rPr>
          <w:rtl w:val="true"/>
        </w:rPr>
        <w:t>عظوهن واهجروهن</w:t>
      </w:r>
      <w:r>
        <w:rPr>
          <w:rtl w:val="true"/>
        </w:rPr>
        <w:t xml:space="preserve">) </w:t>
      </w:r>
      <w:r>
        <w:rPr>
          <w:rtl w:val="true"/>
        </w:rPr>
        <w:t>مولوي أو إرشادي؟</w:t>
      </w:r>
      <w:bookmarkEnd w:id="728"/>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فعظوهن واهجروهن في المضاجع واضربوهن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فهل هو مولوي أو إرشادي؟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ينتصر للإرشادية بسبق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أمر به أو نهى عنه لصرف لحاظ ما فيه من المصلحة أو المفسدة من غير إعمال المولى مقامه، إرشادي، فلا كراهة ولا حرمة لترك ذلك، </w:t>
      </w:r>
    </w:p>
    <w:p>
      <w:pPr>
        <w:pStyle w:val="BookText"/>
        <w:rPr/>
      </w:pPr>
      <w:r>
        <w:rPr>
          <w:rFonts w:ascii="Amiri" w:hAnsi="Amiri" w:eastAsia="Amiri" w:cs="Amiri"/>
          <w:color w:val="111111"/>
          <w:sz w:val="28"/>
          <w:sz w:val="28"/>
          <w:szCs w:val="28"/>
          <w:rtl w:val="true"/>
          <w:lang w:bidi="ar-SA"/>
        </w:rPr>
        <w:t>وقال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إرشاد وليس بواجب</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 وإذا كان إرشاداً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والمفسدة، وهما أمران متغيران تبعاً للأوضاع والأحوال وشرائط الزمان، والأفراد والأمم، إلا أن يتمسك بالأصل في الطبيعة الإنسانية وما عداه خلافه، فهو ثانوي، والآية تشير لمقتضى الطبع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على الضابط الثاني للإرشادية،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المصلحة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مصلحة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 روعيت في تشريع الهجر والضرب الخفيف لدى عصيانها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روعيت في 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انهدام الأسرة بتفتتها أسوء للمرأة أيضاً فضربها الخفيف، مع فرض عصيانها وطغيانها، وبقصد أن ترجع الحياة لطبيعتها الملائمة، أنفع لها وأحمد عاقبة من تركها تسترسل في العصيان والطغيان، وذلك كمن يجري عملية جراحية، فإنها مؤلمة إلا أنها لصالحه مآلاً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ينتصر للمولوية بسبق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من المولى بما هو مولى، وهي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وتشريعية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يتفرع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أنه مولوي للندب مع شروطه، أو مولوي في تشريع جوازه إذ ضرب الغير حرام بالعنوان الأولي، وقال السيد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في المقام للإباحة، ويمكن أن يكون للندب، لأنه من المعروف</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فلو ترك الموعظة وهجر المضجع والضرب ـ المقيد في الروايات بالخفيف ـ كان على هذا الرأي ـ مكروهاً</w:t>
      </w:r>
      <w:r>
        <w:rPr>
          <w:rStyle w:val="FootnoteAnchor"/>
          <w:rtl w:val="true"/>
        </w:rPr>
        <w:footnoteReference w:id="711"/>
      </w:r>
      <w:r>
        <w:rPr>
          <w:rFonts w:ascii="Amiri" w:hAnsi="Amiri" w:eastAsia="Amiri" w:cs="Amiri"/>
          <w:color w:val="111111"/>
          <w:sz w:val="28"/>
          <w:sz w:val="28"/>
          <w:szCs w:val="28"/>
          <w:rtl w:val="true"/>
          <w:lang w:bidi="ar-SA"/>
        </w:rPr>
        <w:t>أو جائزاً نظراً لإمكان غضِّه طرفَه عن حقه،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تركه محرماً ـ في الجملة ـ مقدمياً لو أدى إلى طغيانها وهدم الحياة الزوجية وضياع الأولاد بنين وبنات؛ فإن المولى بما هو مولى يريد استقرار الحياة الزوجية وعدم تخريبها؛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أساس بناء المجتمع فلو انهارت، إنهار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يأمر مولوياً بالوعظ والهجر والضرب إن توقف إصلاحها على ذلك، نعم في الدرجات الخفيفة من الخراب، فإن ترك الوعظ والهجر والضرب، مكروه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العكس صحيح أيضاً، فلو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هدم الحياة الزوجية وضياع الأولاد وطغيانها الأكثر، كما هو المشاهد في كثير من النساء، خاصة في هذا الزمن، حَرَم الضرب لكونه مقدمة  الحرام</w:t>
      </w:r>
      <w:r>
        <w:rPr>
          <w:rFonts w:eastAsia="Amiri" w:cs="Amiri" w:ascii="Amiri" w:hAnsi="Amiri"/>
          <w:color w:val="111111"/>
          <w:sz w:val="28"/>
          <w:szCs w:val="28"/>
          <w:rtl w:val="true"/>
          <w:lang w:bidi="ar-SA"/>
        </w:rPr>
        <w:t xml:space="preserve">. </w:t>
      </w:r>
      <w:bookmarkStart w:id="729" w:name="pg7671_76798"/>
    </w:p>
    <w:p>
      <w:pPr>
        <w:pStyle w:val="Heading4"/>
        <w:numPr>
          <w:ilvl w:val="3"/>
          <w:numId w:val="1"/>
        </w:numPr>
        <w:rPr/>
      </w:pPr>
      <w:bookmarkStart w:id="730" w:name="__RefHeading___Toc3959667_1051229030"/>
      <w:bookmarkStart w:id="731" w:name="_Toc265"/>
      <w:bookmarkEnd w:id="729"/>
      <w:bookmarkEnd w:id="730"/>
      <w:r>
        <w:rPr>
          <w:rtl w:val="true"/>
        </w:rPr>
        <w:t>فلسفة الضرب التأديبي وشروطه</w:t>
      </w:r>
      <w:bookmarkEnd w:id="731"/>
    </w:p>
    <w:p>
      <w:pPr>
        <w:pStyle w:val="BookText"/>
        <w:rPr/>
      </w:pPr>
      <w:r>
        <w:rPr>
          <w:rFonts w:ascii="Amiri" w:hAnsi="Amiri" w:eastAsia="Amiri" w:cs="Amiri"/>
          <w:color w:val="111111"/>
          <w:sz w:val="28"/>
          <w:sz w:val="28"/>
          <w:szCs w:val="28"/>
          <w:rtl w:val="true"/>
          <w:lang w:bidi="ar-SA"/>
        </w:rPr>
        <w:t xml:space="preserve">قال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ضرباً تأديبياً خفيفاً بشروطه يُبقي كيان الأسرة، خير من انهدامها بسبب عواطف طائشة ويجب أن يكون الضرب غير مبرح</w:t>
      </w:r>
      <w:r>
        <w:rPr>
          <w:rStyle w:val="FootnoteAnchor"/>
          <w:rtl w:val="true"/>
        </w:rPr>
        <w:footnoteReference w:id="712"/>
      </w:r>
      <w:r>
        <w:rPr>
          <w:rFonts w:ascii="Amiri" w:hAnsi="Amiri" w:eastAsia="Amiri" w:cs="Amiri"/>
          <w:color w:val="111111"/>
          <w:sz w:val="28"/>
          <w:sz w:val="28"/>
          <w:szCs w:val="28"/>
          <w:rtl w:val="true"/>
          <w:lang w:bidi="ar-SA"/>
        </w:rPr>
        <w:t>ولا مدم، حتى قال البعض إنه بالسواك</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وقد تبع هذا البعض قول الإمام أبي جعفر الباقر عليه السلام في معنى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الضرب بالسواك</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وإن اعتبره السيد السبزواري مصداقاً</w:t>
      </w:r>
      <w:r>
        <w:rPr>
          <w:rStyle w:val="FootnoteAnchor"/>
          <w:rtl w:val="true"/>
        </w:rPr>
        <w:footnoteReference w:id="715"/>
      </w:r>
      <w:r>
        <w:rPr>
          <w:rFonts w:ascii="Amiri" w:hAnsi="Amiri" w:eastAsia="Amiri" w:cs="Amiri"/>
          <w:color w:val="111111"/>
          <w:sz w:val="28"/>
          <w:sz w:val="28"/>
          <w:szCs w:val="28"/>
          <w:rtl w:val="true"/>
          <w:lang w:bidi="ar-SA"/>
        </w:rPr>
        <w:t xml:space="preserve">وورد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والضرب بالسواك وغيره ضرباً رفيقاً</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وغير خفي أن الهجر والضرب يجوز ـ بالمعنى الأعم ـ الصيرورة إليهما، إن احتمل تأثيره في إصلاح حالها وعودة الحياة إلى طبيعتها وإلا ـ بأن كان يزيدها تعنتاً ويزيد الأمور إعضالاً، ويزيد من اتساع الخرق على الراقع ـ فإنه غير مشرَّع؛</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الحكمة من تشريعة ردع النشوز فلو زاد النشوز وأكّده لم يجز مطلقاً أو في بعض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تشريعه ـ أو الإرشاد إليه ـ لغرض إرجاعها إلى الإطاعة، فإن أنتج عكسه، لم يشرّع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لكن الانصراف، لعله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عموم أدلة الأمر بالمعروف والنهي عن المنكر مقيدة باحتمال التأثير،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أن يكون الضرب ضرب تأديب فقط، لا ضرب انتقام وتشف وعدوان وطغيان؛ فإذا كان كذلك فإنه محرم،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واهجروهن 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الهجران والضرب لدفع النشوز، وليس للانتقام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يعلم أن حقه عليها، منحصر في الاستفراش</w:t>
      </w:r>
      <w:r>
        <w:rPr>
          <w:rStyle w:val="FootnoteAnchor"/>
          <w:rtl w:val="true"/>
        </w:rPr>
        <w:footnoteReference w:id="717"/>
      </w:r>
      <w:r>
        <w:rPr>
          <w:rFonts w:ascii="Amiri" w:hAnsi="Amiri" w:eastAsia="Amiri" w:cs="Amiri"/>
          <w:color w:val="111111"/>
          <w:sz w:val="28"/>
          <w:sz w:val="28"/>
          <w:szCs w:val="28"/>
          <w:rtl w:val="true"/>
          <w:lang w:bidi="ar-SA"/>
        </w:rPr>
        <w:t xml:space="preserve">وفي الخروج من البيت على المشهور، وقيده السيد الوالد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له بمنعها من الخروج لزيارة والديها مثلاً بالقدر المتعارف لمثلها في وضعها، في أعراف البلد، مما لا يضر بحقه العرفي في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عدا هذين الحقين، لا حق له عليها، كما يتوهمه كثير من الناس فلا يجب عليها، الطبخ والكنس وحتى إرضاع الطفل وشبهه، نعم لها بذلك أجر عظيم مذكور في الروايات الشريفة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مولوية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 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القول بأنه للوجوب، بل تصح المولوية مع القول بأنها للندب بل حتى مع القول بالجواز ـ فإن الأمر عقيب توهم الحظر للجواز، وكذلك الأمر بعد الحظر؛ فإن الضرب محرم بعنوانه الأولي كما سبق، فالأمر بعده للجواز فهذا تشريع </w:t>
      </w:r>
    </w:p>
    <w:p>
      <w:pPr>
        <w:pStyle w:val="BookText"/>
        <w:rPr/>
      </w:pPr>
      <w:r>
        <w:rPr>
          <w:rFonts w:ascii="Amiri" w:hAnsi="Amiri" w:eastAsia="Amiri" w:cs="Amiri"/>
          <w:color w:val="111111"/>
          <w:sz w:val="28"/>
          <w:sz w:val="28"/>
          <w:szCs w:val="28"/>
          <w:rtl w:val="true"/>
          <w:lang w:bidi="ar-SA"/>
        </w:rPr>
        <w:t>لجواز الضرب وليس صرف إرشاد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الضابط الثاني فقد فصلنا في موضع آخر أنه غير تام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فيما أنشأ بلحاظ مصلحة الآخرة، بل لنا النقاش صغروياً بأن مصلحة الزوج ـ بل الزوجين ـ الأخروية أيضاً هي في استقرار الحياة الزوجية، ولو كان بضربها ضرباً خفيفاً لو انحرفت عن الجادة لترجع إلى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إنه لا يستبعد حق المرأة في ضرب الرجل إذا فعل المنكر، لأنه لا دليل على الخروج عن إطلاقات أدلة النهي عن المنكر عند من يرون الوصول إلى حد الضرب</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إجمال شروط جواز الضرب</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الجهل بالحكم،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الجهل بالموضوع، قصوراً ـ ولعله يلحق بهما التقصير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لإنكارها الحكم أو الموضوع،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مخالفتها زوجها، لاختلاف اجتهادها أو تقليدها في حق الخروج من المنزل لها مطلقاً، أو فيما لو كان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عاشروهن بالمعروف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مخالفتها من باب الاضطرار أو الإكراه أو الإلجاء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باب المقابلة بالمثل في الجملة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لعدم انفاقه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ضربها تأديبياً، الغرض منه التربية، لا التشفي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تأثيره في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يسبب سوء سمعة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الإطاعة فقط في أمر الاستفراش، ويضاف له الخروج من المنزل أكثر من حقها العرفي ـ لا أن يضربها لعدم تنظيف البيت أو الطبخ أو حتى إدارة الأطفال ـ وإن كان لها بذلك أجر عظيم، إلا أنه ليس واجباً عليها، فلا يحق ضربها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يزاحم بأهم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لذلك أن هذا حق متقابل، فكما له ضربها في حدود النهي عن المنكر، لها أيضاً ضربه في حدود النهي عن المنكر، وبكافة ضوابطه المذكورة في بابه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خيار الضرب سواء منه لها، أم منها له، خيار لا يصار إليه إلا عند الضرورة والإضطرار، فهو كأكل الميتة أو كالعملية الجراحية</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هنالك احتمالاً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 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كونه مولوياً للاستحباب، أو إرشادياً للمصلحة، وهو كونه للإباحة، لكون الأمر بعد الحظر، فإن هجرهن وضربهن محظور ومحرم، إلا لو نشزت، لكنه خلاف سياق الآية، ولعله خلاف المتفاهم عرفاً منها، كما أنه خلاف المشهور ـ فتأمل</w:t>
      </w:r>
      <w:r>
        <w:rPr>
          <w:rFonts w:eastAsia="Amiri" w:cs="Amiri" w:ascii="Amiri" w:hAnsi="Amiri"/>
          <w:color w:val="111111"/>
          <w:sz w:val="28"/>
          <w:szCs w:val="28"/>
          <w:rtl w:val="true"/>
          <w:lang w:bidi="ar-SA"/>
        </w:rPr>
        <w:t xml:space="preserve">. </w:t>
      </w:r>
      <w:bookmarkStart w:id="732" w:name="pg7671_76808"/>
    </w:p>
    <w:p>
      <w:pPr>
        <w:pStyle w:val="BookText"/>
        <w:rPr/>
      </w:pPr>
      <w:bookmarkEnd w:id="732"/>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733" w:name="__RefHeading___Toc3959669_1051229030"/>
      <w:bookmarkStart w:id="734" w:name="_Toc266"/>
      <w:bookmarkEnd w:id="733"/>
      <w:r>
        <w:rPr/>
        <w:t>6</w:t>
      </w:r>
      <w:r>
        <w:rPr>
          <w:rtl w:val="true"/>
        </w:rPr>
        <w:t xml:space="preserve">- </w:t>
      </w:r>
      <w:r>
        <w:rPr>
          <w:rtl w:val="true"/>
        </w:rPr>
        <w:t>الأوامر والنواهي في الشؤون الاقتصادية</w:t>
      </w:r>
      <w:bookmarkEnd w:id="734"/>
    </w:p>
    <w:p>
      <w:pPr>
        <w:pStyle w:val="Heading4"/>
        <w:numPr>
          <w:ilvl w:val="3"/>
          <w:numId w:val="1"/>
        </w:numPr>
        <w:rPr/>
      </w:pPr>
      <w:bookmarkStart w:id="735" w:name="__RefHeading___Toc3959671_1051229030"/>
      <w:bookmarkStart w:id="736" w:name="_Toc267"/>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الحياة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وأسبابها، من بيع وصلح وإجارة،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 وإن تبتم 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لا الاختصاص، فالآية ظاهرة في الحكم الوضعي، وإن استتبعه التكليفي كجواز التصرف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اختلاف الحكم التكليفي ـ بعدم جواز التصرف للغير فيه مثلاً ـ باختلاف المبنى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اختلف حال بعض الأحكام التكليفية بكون اللام للملك أو الاختصاص</w:t>
      </w:r>
      <w:r>
        <w:rPr>
          <w:rFonts w:eastAsia="Amiri" w:cs="Amiri" w:ascii="Amiri" w:hAnsi="Amiri"/>
          <w:color w:val="111111"/>
          <w:sz w:val="28"/>
          <w:szCs w:val="28"/>
          <w:rtl w:val="true"/>
          <w:lang w:bidi="ar-SA"/>
        </w:rPr>
        <w:t>.</w:t>
      </w:r>
      <w:r>
        <w:rPr>
          <w:rStyle w:val="FootnoteAnchor"/>
          <w:rtl w:val="true"/>
        </w:rPr>
        <w:footnoteReference w:id="721"/>
      </w:r>
      <w:bookmarkStart w:id="737" w:name="pg7671_76810"/>
    </w:p>
    <w:p>
      <w:pPr>
        <w:pStyle w:val="Heading4"/>
        <w:numPr>
          <w:ilvl w:val="3"/>
          <w:numId w:val="1"/>
        </w:numPr>
        <w:rPr/>
      </w:pPr>
      <w:bookmarkStart w:id="738" w:name="__RefHeading___Toc3959673_1051229030"/>
      <w:bookmarkStart w:id="739" w:name="_Toc268"/>
      <w:bookmarkEnd w:id="737"/>
      <w:bookmarkEnd w:id="738"/>
      <w:r>
        <w:rPr>
          <w:rtl w:val="true"/>
        </w:rPr>
        <w:t xml:space="preserve">هل </w:t>
      </w:r>
      <w:r>
        <w:rPr>
          <w:rtl w:val="true"/>
        </w:rPr>
        <w:t>(</w:t>
      </w:r>
      <w:r>
        <w:rPr>
          <w:rtl w:val="true"/>
        </w:rPr>
        <w:t>لكم</w:t>
      </w:r>
      <w:r>
        <w:rPr>
          <w:rtl w:val="true"/>
        </w:rPr>
        <w:t xml:space="preserve">) </w:t>
      </w:r>
      <w:r>
        <w:rPr>
          <w:rtl w:val="true"/>
        </w:rPr>
        <w:t>في الآية، مولوي أم إرشادي؟</w:t>
      </w:r>
      <w:bookmarkEnd w:id="739"/>
    </w:p>
    <w:p>
      <w:pPr>
        <w:pStyle w:val="BookText"/>
        <w:rPr/>
      </w:pPr>
      <w:r>
        <w:rPr>
          <w:rFonts w:ascii="Amiri" w:hAnsi="Amiri" w:eastAsia="Amiri" w:cs="Amiri"/>
          <w:color w:val="111111"/>
          <w:sz w:val="28"/>
          <w:sz w:val="28"/>
          <w:szCs w:val="28"/>
          <w:rtl w:val="true"/>
          <w:lang w:bidi="ar-SA"/>
        </w:rPr>
        <w:t>فهل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إلى كونها لهم، فهو إخبار، أم إنه إنشاء</w:t>
      </w:r>
      <w:r>
        <w:rPr>
          <w:rStyle w:val="FootnoteAnchor"/>
          <w:rtl w:val="true"/>
        </w:rPr>
        <w:footnoteReference w:id="722"/>
      </w:r>
      <w:r>
        <w:rPr>
          <w:rFonts w:ascii="IRNazanin" w:hAnsi="IRNazanin" w:eastAsia="IRNazanin"/>
          <w:color w:val="111111"/>
          <w:sz w:val="28"/>
          <w:sz w:val="28"/>
          <w:szCs w:val="28"/>
          <w:rtl w:val="true"/>
          <w:lang w:bidi="fa-IR"/>
        </w:rPr>
        <w:t>وقد صدر من المولى بما هو مولى؟</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مولى ومشرع، أو بما هو مرشد ومبيّن وإن تضمن الإمضاء أيضاً؟</w:t>
      </w:r>
    </w:p>
    <w:p>
      <w:pPr>
        <w:pStyle w:val="BookText"/>
        <w:rPr/>
      </w:pPr>
      <w:r>
        <w:rPr>
          <w:rFonts w:ascii="Amiri" w:hAnsi="Amiri" w:eastAsia="Amiri" w:cs="Amiri"/>
          <w:color w:val="111111"/>
          <w:sz w:val="28"/>
          <w:sz w:val="28"/>
          <w:szCs w:val="28"/>
          <w:rtl w:val="true"/>
          <w:lang w:bidi="ar-SA"/>
        </w:rPr>
        <w:t>ولعل مما يؤيد كونه إنشاءً، سبق التهديد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التوبة؛ فإنها تلائم مقام المولى ومقام الإطاعة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إنشاء لما علّق على التوبة، إذ لا ريب في كون رؤوس أموالهم لهم، تابوا أم لا؟</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التالي الفاسد أعم، إذ لو كان إخباراً، لجرى نفس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صورة شرط وليس به، كما في نظائره من وجه،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التي في حجوركم من نساءكم اللاتي دخلتم بهن</w:t>
      </w:r>
      <w:r>
        <w:rPr>
          <w:rFonts w:eastAsia="Amiri" w:cs="Amiri" w:ascii="Amiri" w:hAnsi="Amiri"/>
          <w:color w:val="111111"/>
          <w:sz w:val="28"/>
          <w:szCs w:val="28"/>
          <w:rtl w:val="true"/>
          <w:lang w:bidi="ar-SA"/>
        </w:rPr>
        <w:t>».</w:t>
      </w:r>
      <w:r>
        <w:rPr>
          <w:rStyle w:val="FootnoteAnchor"/>
          <w:rtl w:val="true"/>
        </w:rPr>
        <w:footnoteReference w:id="723"/>
      </w:r>
    </w:p>
    <w:p>
      <w:pPr>
        <w:pStyle w:val="Heading4"/>
        <w:numPr>
          <w:ilvl w:val="3"/>
          <w:numId w:val="1"/>
        </w:numPr>
        <w:rPr/>
      </w:pPr>
      <w:bookmarkStart w:id="740" w:name="__RefHeading___Toc3959675_1051229030"/>
      <w:bookmarkStart w:id="741" w:name="_Toc269"/>
      <w:bookmarkEnd w:id="740"/>
      <w:r>
        <w:rPr>
          <w:rtl w:val="true"/>
        </w:rPr>
        <w:t>شأن النزول لا يخصص الوارد</w:t>
      </w:r>
      <w:bookmarkEnd w:id="7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شأن نزول الآية ونزولها في مورد الربا، وأن له رأس ماله الذي </w:t>
      </w:r>
      <w:bookmarkStart w:id="742" w:name="pg7671_76812"/>
    </w:p>
    <w:p>
      <w:pPr>
        <w:pStyle w:val="BookText"/>
        <w:rPr/>
      </w:pPr>
      <w:bookmarkEnd w:id="742"/>
      <w:r>
        <w:rPr>
          <w:rFonts w:ascii="Amiri" w:hAnsi="Amiri" w:eastAsia="Amiri" w:cs="Amiri"/>
          <w:color w:val="111111"/>
          <w:sz w:val="28"/>
          <w:sz w:val="28"/>
          <w:szCs w:val="28"/>
          <w:rtl w:val="true"/>
          <w:lang w:bidi="ar-SA"/>
        </w:rPr>
        <w:t>أقرضه دون زيادة أو نقيصة، مورد وهو لا يخصص الوارد،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السيد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أصل الملكية وتقريرها بين الناس وإمضاء جميع المعاملات والتكسب بالأموال ما لم يكن منهياً عنه شرعاً فإن المال إنما يكون رأساً إذا صرف في وجوه المعاملات</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لمكان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الأصل فيها الملكية، واستدلاله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ونضيف أن مقتضى إثبات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مجرداً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ويدل عليه عرفاً؛ فإنها من أهم ما يتوخى منها</w:t>
      </w:r>
      <w:r>
        <w:rPr>
          <w:rStyle w:val="FootnoteAnchor"/>
          <w:rtl w:val="true"/>
        </w:rPr>
        <w:footnoteReference w:id="725"/>
      </w:r>
      <w:r>
        <w:rPr>
          <w:rFonts w:ascii="IRNazanin" w:hAnsi="IRNazanin" w:eastAsia="IRNazanin"/>
          <w:color w:val="111111"/>
          <w:sz w:val="28"/>
          <w:sz w:val="28"/>
          <w:szCs w:val="28"/>
          <w:rtl w:val="true"/>
          <w:lang w:bidi="fa-IR"/>
        </w:rPr>
        <w:t>عرفاً وتراد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بالدلالة الإلتزامية عرفاً؛ فإن لازم ملكيته جواز التقلب والتصرف فيه بشتى أنحائه، إلا 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مالهم ـ كما كانوا يعدونه كذلك ـ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3959677_1051229030"/>
      <w:bookmarkStart w:id="744" w:name="_Toc270"/>
      <w:bookmarkEnd w:id="743"/>
      <w:r>
        <w:rPr>
          <w:rtl w:val="true"/>
        </w:rPr>
        <w:t xml:space="preserve">قاعدة </w:t>
      </w:r>
      <w:r>
        <w:rPr>
          <w:rtl w:val="true"/>
        </w:rPr>
        <w:t>«</w:t>
      </w:r>
      <w:r>
        <w:rPr>
          <w:rtl w:val="true"/>
        </w:rPr>
        <w:t>لا تَظلمون ولا تُظلمون</w:t>
      </w:r>
      <w:r>
        <w:rPr>
          <w:rtl w:val="true"/>
        </w:rPr>
        <w:t>»</w:t>
      </w:r>
      <w:bookmarkEnd w:id="74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عام سيال في شتى أبواب المعاملات، ويمكن الاستناد إليه في تحريم الغبن والغش والاحتكار والاجحاف والإكراه الأجوائي وما أشبه، فإنه وإن كان </w:t>
      </w:r>
      <w:bookmarkStart w:id="745" w:name="pg7671_76814"/>
    </w:p>
    <w:p>
      <w:pPr>
        <w:pStyle w:val="BookText"/>
        <w:rPr/>
      </w:pPr>
      <w:bookmarkEnd w:id="745"/>
      <w:r>
        <w:rPr>
          <w:rFonts w:ascii="Amiri" w:hAnsi="Amiri" w:eastAsia="Amiri" w:cs="Amiri"/>
          <w:color w:val="111111"/>
          <w:sz w:val="28"/>
          <w:sz w:val="28"/>
          <w:szCs w:val="28"/>
          <w:rtl w:val="true"/>
          <w:lang w:bidi="ar-SA"/>
        </w:rPr>
        <w:t>جملة خبرية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Style w:val="FootnoteAnchor"/>
          <w:rtl w:val="true"/>
        </w:rPr>
        <w:footnoteReference w:id="726"/>
      </w:r>
      <w:r>
        <w:rPr>
          <w:rFonts w:ascii="Amiri" w:hAnsi="Amiri" w:eastAsia="Amiri" w:cs="Amiri"/>
          <w:color w:val="111111"/>
          <w:sz w:val="28"/>
          <w:sz w:val="28"/>
          <w:szCs w:val="28"/>
          <w:rtl w:val="true"/>
          <w:lang w:bidi="ar-SA"/>
        </w:rPr>
        <w:t>إلا أنها تفيد الحرمة، كما فصلناه في موضع آخر، من أن الجملة الخبرية إذا قامت قرينة على استعمالها في الطلب، تكون ظاهرة في الوجوب أو الحرمة منه</w:t>
      </w:r>
      <w:r>
        <w:rPr>
          <w:rStyle w:val="FootnoteAnchor"/>
          <w:rtl w:val="true"/>
        </w:rPr>
        <w:footnoteReference w:id="727"/>
      </w:r>
      <w:r>
        <w:rPr>
          <w:rFonts w:ascii="Amiri" w:hAnsi="Amiri" w:eastAsia="Amiri" w:cs="Amiri"/>
          <w:color w:val="111111"/>
          <w:sz w:val="28"/>
          <w:sz w:val="28"/>
          <w:szCs w:val="28"/>
          <w:rtl w:val="true"/>
          <w:lang w:bidi="ar-SA"/>
        </w:rPr>
        <w:t xml:space="preserve">، دون الاستحباب والكراهة،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المستقلات العقلية، ورغم ذلك فإن النهي مولوي لا إرشادي، نظراً لأن ضابط المولوية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بحث ضوابط المولوية والإرشادية،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متعلقه مستقلاً عقلياً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728"/>
      </w:r>
    </w:p>
    <w:p>
      <w:pPr>
        <w:pStyle w:val="Heading4"/>
        <w:numPr>
          <w:ilvl w:val="3"/>
          <w:numId w:val="1"/>
        </w:numPr>
        <w:rPr/>
      </w:pPr>
      <w:bookmarkStart w:id="746" w:name="__RefHeading___Toc3959679_1051229030"/>
      <w:bookmarkStart w:id="747" w:name="_Toc271"/>
      <w:bookmarkEnd w:id="746"/>
      <w:r>
        <w:rPr>
          <w:rtl w:val="true"/>
        </w:rPr>
        <w:t>شواهد على كون النهي مولوياً</w:t>
      </w:r>
      <w:bookmarkEnd w:id="747"/>
    </w:p>
    <w:p>
      <w:pPr>
        <w:pStyle w:val="BookText"/>
        <w:rPr/>
      </w:pPr>
      <w:r>
        <w:rPr>
          <w:rFonts w:ascii="Amiri" w:hAnsi="Amiri" w:eastAsia="Amiri" w:cs="Amiri"/>
          <w:color w:val="111111"/>
          <w:sz w:val="28"/>
          <w:sz w:val="28"/>
          <w:szCs w:val="28"/>
          <w:rtl w:val="true"/>
          <w:lang w:bidi="ar-SA"/>
        </w:rPr>
        <w:t xml:space="preserve">والظاهر أن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تشريعي للتحريم، وليس مولوياً نصحياً ولا إرشادياً؛ ولذا يستحق عليه العقاب، ولأنه الأصل إذ الأصل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المولى بصدد بيان الأحكام</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73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مولوي، إلا على مسلك </w:t>
      </w:r>
      <w:bookmarkStart w:id="748" w:name="pg7671_76816"/>
    </w:p>
    <w:p>
      <w:pPr>
        <w:pStyle w:val="BookText"/>
        <w:rPr/>
      </w:pPr>
      <w:bookmarkEnd w:id="748"/>
      <w:r>
        <w:rPr>
          <w:rFonts w:ascii="Amiri" w:hAnsi="Amiri" w:eastAsia="Amiri" w:cs="Amiri"/>
          <w:color w:val="111111"/>
          <w:sz w:val="28"/>
          <w:sz w:val="28"/>
          <w:szCs w:val="28"/>
          <w:rtl w:val="true"/>
          <w:lang w:bidi="ar-SA"/>
        </w:rPr>
        <w:t>من يرى إن الأمر والنهي في موطن المستقلات العقلية، 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يؤيده تصدير الآية بتوجيه الخطاب للمؤمنين فإن ذلك أنسب بمقام المولى والعبد والإطاعة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الاستثناء؛ فإن التجارة عن تراض جائزة وجوازها حكم تشريعي مولوي؛ إذ هو قسيم الأحكام الخمسة الأخرى، فكذلك المستثنى منه لأن تخالف المستثنى والمستثنى منه في الإرشادية والمولوية خلاف المتفاهم العرفي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يضعفه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بناء على عوده للحكمين</w:t>
      </w:r>
      <w:r>
        <w:rPr>
          <w:rStyle w:val="FootnoteAnchor"/>
          <w:rtl w:val="true"/>
        </w:rPr>
        <w:footnoteReference w:id="731"/>
      </w:r>
      <w:r>
        <w:rPr>
          <w:rFonts w:ascii="Amiri" w:hAnsi="Amiri" w:eastAsia="Amiri" w:cs="Amiri"/>
          <w:color w:val="111111"/>
          <w:sz w:val="28"/>
          <w:sz w:val="28"/>
          <w:szCs w:val="28"/>
          <w:rtl w:val="true"/>
          <w:lang w:bidi="ar-SA"/>
        </w:rPr>
        <w:t>ـ فإنه حكمة التشريع</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3959681_1051229030"/>
      <w:bookmarkStart w:id="750" w:name="_Toc272"/>
      <w:bookmarkEnd w:id="749"/>
      <w:r>
        <w:rPr>
          <w:rtl w:val="true"/>
        </w:rPr>
        <w:t>الإرشادية، على المسالك الأخرى</w:t>
      </w:r>
      <w:bookmarkEnd w:id="750"/>
    </w:p>
    <w:p>
      <w:pPr>
        <w:pStyle w:val="BookText"/>
        <w:rPr/>
      </w:pPr>
      <w:r>
        <w:rPr>
          <w:rFonts w:ascii="Amiri" w:hAnsi="Amiri" w:eastAsia="Amiri" w:cs="Amiri"/>
          <w:color w:val="111111"/>
          <w:sz w:val="28"/>
          <w:sz w:val="28"/>
          <w:szCs w:val="28"/>
          <w:rtl w:val="true"/>
          <w:lang w:bidi="ar-SA"/>
        </w:rPr>
        <w:t>نعم قد يصار إلى الإرشادية بناءً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من يرى الضابط في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أنشاء بلحاظ مصلحة الدنيا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أو مسلك من يرى أنه كل ما تعلق بالمستقلات</w:t>
      </w:r>
      <w:r>
        <w:rPr>
          <w:rStyle w:val="FootnoteAnchor"/>
          <w:rtl w:val="true"/>
        </w:rPr>
        <w:footnoteReference w:id="733"/>
      </w:r>
      <w:r>
        <w:rPr>
          <w:rFonts w:ascii="Amiri" w:hAnsi="Amiri" w:eastAsia="Amiri" w:cs="Amiri"/>
          <w:color w:val="111111"/>
          <w:sz w:val="28"/>
          <w:sz w:val="28"/>
          <w:szCs w:val="28"/>
          <w:rtl w:val="true"/>
          <w:lang w:bidi="ar-SA"/>
        </w:rPr>
        <w:t>والمقام منها؛ لاستقلال العقل بقبح وحرمة أكل أموال الناس بالباطل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مسلك من يرى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المصلحة معلومة للمأمور قبل </w:t>
      </w:r>
      <w:bookmarkStart w:id="751" w:name="pg7671_76818"/>
    </w:p>
    <w:p>
      <w:pPr>
        <w:pStyle w:val="BookText"/>
        <w:rPr/>
      </w:pPr>
      <w:bookmarkEnd w:id="751"/>
      <w:r>
        <w:rPr>
          <w:rFonts w:ascii="IRNazanin" w:hAnsi="IRNazanin" w:eastAsia="IRNazanin"/>
          <w:color w:val="111111"/>
          <w:sz w:val="28"/>
          <w:sz w:val="28"/>
          <w:szCs w:val="28"/>
          <w:rtl w:val="true"/>
          <w:lang w:bidi="fa-IR"/>
        </w:rPr>
        <w:t>الأمر</w:t>
      </w:r>
      <w:r>
        <w:rPr>
          <w:rStyle w:val="FootnoteAnchor"/>
          <w:rtl w:val="true"/>
        </w:rPr>
        <w:footnoteReference w:id="734"/>
      </w:r>
      <w:r>
        <w:rPr>
          <w:rFonts w:ascii="Amiri" w:hAnsi="Amiri" w:eastAsia="Amiri" w:cs="Amiri"/>
          <w:color w:val="111111"/>
          <w:sz w:val="28"/>
          <w:sz w:val="28"/>
          <w:szCs w:val="28"/>
          <w:rtl w:val="true"/>
          <w:lang w:bidi="ar-SA"/>
        </w:rPr>
        <w:t>بدعوى أن مفاسد أكل أموال الناس بالباطل معلومة للناس قبل النهي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مسلك من يرى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تتوقف المصلحة والمفسدة على الأمر</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أو مسلك من يرى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عادت المصلحة للمأمور</w:t>
      </w:r>
      <w:r>
        <w:rPr>
          <w:rFonts w:eastAsia="Amiri" w:cs="Amiri" w:ascii="Amiri" w:hAnsi="Amiri"/>
          <w:color w:val="111111"/>
          <w:sz w:val="28"/>
          <w:szCs w:val="28"/>
          <w:rtl w:val="true"/>
          <w:lang w:bidi="ar-SA"/>
        </w:rPr>
        <w:t>.</w:t>
      </w:r>
      <w:r>
        <w:rPr>
          <w:rStyle w:val="FootnoteAnchor"/>
          <w:rtl w:val="true"/>
        </w:rPr>
        <w:footnoteReference w:id="736"/>
      </w:r>
    </w:p>
    <w:p>
      <w:pPr>
        <w:pStyle w:val="Heading4"/>
        <w:numPr>
          <w:ilvl w:val="3"/>
          <w:numId w:val="1"/>
        </w:numPr>
        <w:rPr/>
      </w:pPr>
      <w:bookmarkStart w:id="752" w:name="__RefHeading___Toc3959683_1051229030"/>
      <w:bookmarkStart w:id="753" w:name="_Toc273"/>
      <w:bookmarkEnd w:id="752"/>
      <w:r>
        <w:rPr>
          <w:rtl w:val="true"/>
        </w:rPr>
        <w:t>ومن الإشكالات عليها</w:t>
      </w:r>
      <w:bookmarkEnd w:id="753"/>
    </w:p>
    <w:p>
      <w:pPr>
        <w:pStyle w:val="BookText"/>
        <w:rPr/>
      </w:pPr>
      <w:r>
        <w:rPr>
          <w:rFonts w:ascii="Amiri" w:hAnsi="Amiri" w:eastAsia="Amiri" w:cs="Amiri"/>
          <w:color w:val="111111"/>
          <w:sz w:val="28"/>
          <w:sz w:val="28"/>
          <w:szCs w:val="28"/>
          <w:rtl w:val="true"/>
          <w:lang w:bidi="ar-SA"/>
        </w:rPr>
        <w:t>وإن 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w:t>
      </w:r>
      <w:r>
        <w:rPr>
          <w:rStyle w:val="FootnoteAnchor"/>
          <w:rtl w:val="true"/>
        </w:rPr>
        <w:footnoteReference w:id="737"/>
      </w:r>
      <w:r>
        <w:rPr>
          <w:rFonts w:ascii="Amiri" w:hAnsi="Amiri" w:eastAsia="Amiri" w:cs="Amiri"/>
          <w:color w:val="111111"/>
          <w:sz w:val="28"/>
          <w:sz w:val="28"/>
          <w:szCs w:val="28"/>
          <w:rtl w:val="true"/>
          <w:lang w:bidi="ar-SA"/>
        </w:rPr>
        <w:t>أخروية أيضاً، وعلى التشريك تجتمع الجهتان</w:t>
      </w:r>
      <w:r>
        <w:rPr>
          <w:rStyle w:val="FootnoteAnchor"/>
          <w:rtl w:val="true"/>
        </w:rPr>
        <w:footnoteReference w:id="738"/>
      </w:r>
      <w:r>
        <w:rPr>
          <w:rFonts w:ascii="Amiri" w:hAnsi="Amiri" w:eastAsia="Amiri" w:cs="Amiri"/>
          <w:color w:val="111111"/>
          <w:sz w:val="28"/>
          <w:sz w:val="28"/>
          <w:szCs w:val="28"/>
          <w:rtl w:val="true"/>
          <w:lang w:bidi="ar-SA"/>
        </w:rPr>
        <w:t xml:space="preserve">كما فصلناه في موضع آخر، إلا بناء على كون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كذلك في الجملة لا مطلقاً</w:t>
      </w:r>
      <w:r>
        <w:rPr>
          <w:rStyle w:val="FootnoteAnchor"/>
          <w:rtl w:val="true"/>
        </w:rPr>
        <w:footnoteReference w:id="739"/>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كضابط للإرشادية فتأمل</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كما يرد عليها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المبنائي كما أوضحناه في فصل الضابط في الإرشادي والمولوي، وقد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الحكمة لا يخدش في ظهور كون الآمر </w:t>
      </w:r>
      <w:bookmarkStart w:id="754" w:name="pg7671_76820"/>
    </w:p>
    <w:p>
      <w:pPr>
        <w:pStyle w:val="BookText"/>
        <w:rPr/>
      </w:pPr>
      <w:bookmarkEnd w:id="754"/>
      <w:r>
        <w:rPr>
          <w:rFonts w:ascii="IRNazanin" w:hAnsi="IRNazanin" w:eastAsia="IRNazanin"/>
          <w:color w:val="111111"/>
          <w:sz w:val="28"/>
          <w:sz w:val="28"/>
          <w:szCs w:val="28"/>
          <w:rtl w:val="true"/>
          <w:lang w:bidi="fa-IR"/>
        </w:rPr>
        <w:t>أمراً بما هو 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 كله كان بلحاظ أن المنهي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التصرفات اللاحقة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في موضع آخر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للمعاملة نفسها فليتدبر</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959685_1051229030"/>
      <w:bookmarkStart w:id="756" w:name="_Toc274"/>
      <w:bookmarkEnd w:id="755"/>
      <w:r>
        <w:rPr>
          <w:rtl w:val="true"/>
        </w:rPr>
        <w:t xml:space="preserve">شمول </w:t>
      </w:r>
      <w:r>
        <w:rPr>
          <w:rtl w:val="true"/>
        </w:rPr>
        <w:t>(</w:t>
      </w:r>
      <w:r>
        <w:rPr>
          <w:rtl w:val="true"/>
        </w:rPr>
        <w:t>الأكل بالباطل</w:t>
      </w:r>
      <w:r>
        <w:rPr>
          <w:rtl w:val="true"/>
        </w:rPr>
        <w:t xml:space="preserve">) </w:t>
      </w:r>
      <w:r>
        <w:rPr>
          <w:rtl w:val="true"/>
        </w:rPr>
        <w:t>للدولة</w:t>
      </w:r>
      <w:bookmarkEnd w:id="75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الناس بعضهم لأموال البعض، ومن أكل الدولة لأموال الناس بالمصادرة لأموالهم وبواسطة الضرائب بشتى أنواعها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الضريبة على الاستيراد والتصدير، أو الضريبة على الإرث، أو الضريبة على البناء والزراعة والسقي، أو الضريبة على حيازة المباحات، أو على السفر والإقامة وغيرها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الغصب ومن الغبن والإجحاف وغير ذلك</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3959687_1051229030"/>
      <w:bookmarkStart w:id="758" w:name="_Toc275"/>
      <w:bookmarkEnd w:id="757"/>
      <w:r>
        <w:rPr>
          <w:rtl w:val="true"/>
        </w:rPr>
        <w:t xml:space="preserve">لماذا سمي </w:t>
      </w:r>
      <w:r>
        <w:rPr>
          <w:rtl w:val="true"/>
        </w:rPr>
        <w:t>(</w:t>
      </w:r>
      <w:r>
        <w:rPr>
          <w:rtl w:val="true"/>
        </w:rPr>
        <w:t>المال</w:t>
      </w:r>
      <w:r>
        <w:rPr>
          <w:rtl w:val="true"/>
        </w:rPr>
        <w:t xml:space="preserve">) </w:t>
      </w:r>
      <w:r>
        <w:rPr>
          <w:rtl w:val="true"/>
        </w:rPr>
        <w:t>مالاً؟</w:t>
      </w:r>
      <w:bookmarkEnd w:id="758"/>
    </w:p>
    <w:p>
      <w:pPr>
        <w:pStyle w:val="BookText"/>
        <w:rPr/>
      </w:pPr>
      <w:r>
        <w:rPr>
          <w:rFonts w:ascii="Amiri" w:hAnsi="Amiri" w:eastAsia="Amiri" w:cs="Amiri"/>
          <w:color w:val="111111"/>
          <w:sz w:val="28"/>
          <w:sz w:val="28"/>
          <w:szCs w:val="28"/>
          <w:rtl w:val="true"/>
          <w:lang w:bidi="ar-SA"/>
        </w:rPr>
        <w:t>وقال السيد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كل ما تميل إليه النفس، سواء كان ملكاً أم لا، وسواء كان عيناً خارجية أم منفعة أم انتفاعاً</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المال مالاً لأنه مال بالناس عن </w:t>
      </w:r>
      <w:bookmarkStart w:id="759" w:name="pg7671_76822"/>
    </w:p>
    <w:p>
      <w:pPr>
        <w:pStyle w:val="BookText"/>
        <w:rPr/>
      </w:pPr>
      <w:bookmarkEnd w:id="759"/>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سمي بذلك لكونه مائلاً أبداً وزائلاً، ولذلك سمي عرضاً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وكل هذه الوجوه ونظائرها، صحيحة، ولا مانعة 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وتسرية الحكم لغيره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العرفي أم الشرعي أم اللغوي أم الواقعي؟ أم العرفي والشرعي؟ تفصيله يطلب من مظانه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والظاهر أن أكل الأموال بالباطل ـ بكل تلك المعاني والمصاديق السابقة ـ من المستقلات العقلية فيقع البحث أن النهي في الآية الشريفة مولوي أو إرشادي؟ وعلى الثاني فهل تترتب العقوبة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باب مخالفة الإرشاد والنصح؛ إذ لا عقوبة فيه، بل من باب مخالفة حكم العقل ـ بناء على حكومته ـ المرشَد إليه بالشرع؟</w:t>
      </w:r>
    </w:p>
    <w:p>
      <w:pPr>
        <w:pStyle w:val="Heading4"/>
        <w:numPr>
          <w:ilvl w:val="3"/>
          <w:numId w:val="1"/>
        </w:numPr>
        <w:rPr/>
      </w:pPr>
      <w:bookmarkStart w:id="760" w:name="__RefHeading___Toc3959689_1051229030"/>
      <w:bookmarkStart w:id="761" w:name="_Toc276"/>
      <w:bookmarkEnd w:id="760"/>
      <w:r>
        <w:rPr>
          <w:rtl w:val="true"/>
        </w:rPr>
        <w:t>«</w:t>
      </w:r>
      <w:r>
        <w:rPr>
          <w:rtl w:val="true"/>
        </w:rPr>
        <w:t>لا تؤتوا السفهاء أموالكم</w:t>
      </w:r>
      <w:r>
        <w:rPr>
          <w:rtl w:val="true"/>
        </w:rPr>
        <w:t>»</w:t>
      </w:r>
      <w:bookmarkEnd w:id="7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745"/>
      </w:r>
      <w:bookmarkStart w:id="762" w:name="pg7671_76824"/>
    </w:p>
    <w:p>
      <w:pPr>
        <w:pStyle w:val="Heading4"/>
        <w:numPr>
          <w:ilvl w:val="3"/>
          <w:numId w:val="1"/>
        </w:numPr>
        <w:rPr/>
      </w:pPr>
      <w:bookmarkStart w:id="763" w:name="__RefHeading___Toc3959691_1051229030"/>
      <w:bookmarkStart w:id="764" w:name="_Toc277"/>
      <w:bookmarkEnd w:id="762"/>
      <w:bookmarkEnd w:id="763"/>
      <w:r>
        <w:rPr>
          <w:rtl w:val="true"/>
        </w:rPr>
        <w:t>حرام نفسي أم غيري؟</w:t>
      </w:r>
      <w:bookmarkEnd w:id="764"/>
    </w:p>
    <w:p>
      <w:pPr>
        <w:pStyle w:val="BookText"/>
        <w:rPr/>
      </w:pPr>
      <w:r>
        <w:rPr>
          <w:rFonts w:ascii="Amiri" w:hAnsi="Amiri" w:eastAsia="Amiri" w:cs="Amiri"/>
          <w:color w:val="111111"/>
          <w:sz w:val="28"/>
          <w:sz w:val="28"/>
          <w:szCs w:val="28"/>
          <w:rtl w:val="true"/>
          <w:lang w:bidi="ar-SA"/>
        </w:rPr>
        <w:t>والظاهر أنه مولوي تشريعي للتحريم</w:t>
      </w:r>
      <w:r>
        <w:rPr>
          <w:rStyle w:val="FootnoteAnchor"/>
          <w:rtl w:val="true"/>
        </w:rPr>
        <w:footnoteReference w:id="746"/>
      </w:r>
      <w:r>
        <w:rPr>
          <w:rFonts w:ascii="Amiri" w:hAnsi="Amiri" w:eastAsia="Amiri" w:cs="Amiri"/>
          <w:color w:val="111111"/>
          <w:sz w:val="28"/>
          <w:sz w:val="28"/>
          <w:szCs w:val="28"/>
          <w:rtl w:val="true"/>
          <w:lang w:bidi="ar-SA"/>
        </w:rPr>
        <w:t xml:space="preserve">وإن كان توصلياً، لكن هل هو نفسي ليحرم مطلقاً؟ أو مقدمي ليحرم إذا كان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للترشح إذ لا يعقل الترشح من الشيء للأجنبي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بدعوى انبساط التحريم وشموله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المقدمة ومقدمتها وما توهم أنه مقدمة، عقلاً، في باب الإطاعة، ولو بداعي الحائطة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للتجري، أو لا بل بمعنى صرف اللابدية العقلية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موكول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استفادة الحرمة، هل يستفاد الحكم الوضعي أيضاً بضمانه لو آتاه فأتلفه؟</w:t>
      </w:r>
    </w:p>
    <w:p>
      <w:pPr>
        <w:pStyle w:val="BookText"/>
        <w:rPr/>
      </w:pPr>
      <w:r>
        <w:rPr>
          <w:rFonts w:ascii="Amiri" w:hAnsi="Amiri" w:eastAsia="Amiri" w:cs="Amiri"/>
          <w:color w:val="111111"/>
          <w:sz w:val="28"/>
          <w:sz w:val="28"/>
          <w:szCs w:val="28"/>
          <w:rtl w:val="true"/>
          <w:lang w:bidi="ar-SA"/>
        </w:rPr>
        <w:t>وقد أوضحنا في فصل آخر إمكان اجتماع جهتي المولوية والإرشادية، في أمر أو نهي واحد، لكن على بعض معانيها، والمقام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الحكم يعد من المستقلات العقلية</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959693_1051229030"/>
      <w:bookmarkStart w:id="766" w:name="_Toc278"/>
      <w:bookmarkEnd w:id="765"/>
      <w:r>
        <w:rPr>
          <w:rtl w:val="true"/>
        </w:rPr>
        <w:t>هل الآية تشمل الحكومات والشركات؟</w:t>
      </w:r>
      <w:bookmarkEnd w:id="7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تشمل الآية الشريفة إيتاء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سقطت عن الأهلية ودخلت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w:t>
      </w:r>
      <w:bookmarkStart w:id="767" w:name="pg7671_76826"/>
    </w:p>
    <w:p>
      <w:pPr>
        <w:pStyle w:val="BookText"/>
        <w:rPr/>
      </w:pPr>
      <w:bookmarkEnd w:id="767"/>
      <w:r>
        <w:rPr>
          <w:rFonts w:ascii="Amiri" w:hAnsi="Amiri" w:eastAsia="Amiri" w:cs="Amiri"/>
          <w:color w:val="111111"/>
          <w:sz w:val="28"/>
          <w:sz w:val="28"/>
          <w:szCs w:val="28"/>
          <w:rtl w:val="true"/>
          <w:lang w:bidi="ar-SA"/>
        </w:rPr>
        <w:t xml:space="preserve">الشركات؟ وكذا هل تشمل الآية الشريفة إيتاء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التي فقدت الكفاءة المالية والإدارية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الناس منع الحكومة من التصرفات المالية عندئذٍ؟</w:t>
      </w:r>
    </w:p>
    <w:p>
      <w:pPr>
        <w:pStyle w:val="BookText"/>
        <w:rPr/>
      </w:pPr>
      <w:r>
        <w:rPr>
          <w:rFonts w:ascii="Amiri" w:hAnsi="Amiri" w:eastAsia="Amiri" w:cs="Amiri"/>
          <w:color w:val="111111"/>
          <w:sz w:val="28"/>
          <w:sz w:val="28"/>
          <w:szCs w:val="28"/>
          <w:rtl w:val="true"/>
          <w:lang w:bidi="ar-SA"/>
        </w:rPr>
        <w:t>الظاهر شمول المناط القطعي لذلك، وإن لم يشمله اللفظ ظاهراً، وإن كان قد يستأنس له بما جاء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يشرب الخمر فهو سفيه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إذ لعل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لا من جهة السفه المالي بل مطلقاً،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للسفية الأموالي والسفيه من حيث ارتكابه معصيةً كشرب الخمر، ولعله تؤيده روايات أخرى، فراجع البرهان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شمولها لشخص رئيس الشركة مثلاً بما هو شخص أو لشخص رئيس الحكومة، لا ريب فيه، إنما كان الكلام في شمولها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جهة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959695_1051229030"/>
      <w:bookmarkStart w:id="769" w:name="_Toc279"/>
      <w:bookmarkEnd w:id="768"/>
      <w:r>
        <w:rPr>
          <w:rtl w:val="true"/>
        </w:rPr>
        <w:t>هل المخاطَب المجتمع أيضاً؟</w:t>
      </w:r>
      <w:bookmarkEnd w:id="7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والحاكم الشرعي لمن لا ولي له،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للمجتمع</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فهو المسؤول عن مثل أداء وأفعال الحكومات والشركات، ولعل هذه الآية يمكن الاستناد إليها في ولاية المجتمع على عموم شؤونه، أو ولاية عدول المؤمنين، وبحثه </w:t>
      </w:r>
      <w:bookmarkStart w:id="770" w:name="pg7671_76828"/>
    </w:p>
    <w:p>
      <w:pPr>
        <w:pStyle w:val="BookText"/>
        <w:rPr/>
      </w:pPr>
      <w:bookmarkEnd w:id="770"/>
      <w:r>
        <w:rPr>
          <w:rFonts w:ascii="Amiri" w:hAnsi="Amiri" w:eastAsia="Amiri" w:cs="Amiri"/>
          <w:color w:val="111111"/>
          <w:sz w:val="28"/>
          <w:sz w:val="28"/>
          <w:szCs w:val="28"/>
          <w:rtl w:val="true"/>
          <w:lang w:bidi="ar-SA"/>
        </w:rPr>
        <w:t>موكول لمحله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يستبعد السيد السبزواري قدس سره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ارتكب المعاصي من غير اختصاص بشرب الخمر؛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خلافه فهو سفه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ويقويه عموم السفهاء؛ فإنه ـ أي العاصي ـ يصدق عليه سفيه قطعاً، اللهم إلا أن يقال بالانصراف خاصة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w:t>
      </w:r>
      <w:r>
        <w:rPr>
          <w:rStyle w:val="FootnoteAnchor"/>
          <w:rtl w:val="true"/>
        </w:rPr>
        <w:footnoteReference w:id="750"/>
      </w:r>
    </w:p>
    <w:p>
      <w:pPr>
        <w:pStyle w:val="Heading4"/>
        <w:numPr>
          <w:ilvl w:val="3"/>
          <w:numId w:val="1"/>
        </w:numPr>
        <w:rPr/>
      </w:pPr>
      <w:bookmarkStart w:id="771" w:name="__RefHeading___Toc3959697_1051229030"/>
      <w:bookmarkStart w:id="772" w:name="_Toc280"/>
      <w:bookmarkEnd w:id="771"/>
      <w:r>
        <w:rPr>
          <w:rtl w:val="true"/>
        </w:rPr>
        <w:t>«</w:t>
      </w:r>
      <w:r>
        <w:rPr>
          <w:rtl w:val="true"/>
        </w:rPr>
        <w:t>لا تنقصوا المكيال والميزان</w:t>
      </w:r>
      <w:r>
        <w:rPr>
          <w:rtl w:val="true"/>
        </w:rPr>
        <w:t>»</w:t>
      </w:r>
      <w:bookmarkEnd w:id="772"/>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يَا قَوْمِ اعْبُدُواْ اللّهَ مَا لَكُم مِّنْ إِلَهٍ غَيْرُهُ وَلاَ تَنقُصُواْ الْمِكْيَالَ وَالْمِيزَانَ إِنِّي أَرَاكُم بِخَيْرٍ وَإِنِّي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أَوْفُواْ الْمِكْيَالَ وَالْمِيزَانَ بِالْقِسْطِ وَلاَ تَبْخَسُواْ النَّاسَ أَشْيَاءهُمْ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والنهي تحريمي،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محيط</w:t>
      </w:r>
      <w:r>
        <w:rPr>
          <w:rFonts w:eastAsia="Amiri" w:cs="Amiri" w:ascii="Amiri" w:hAnsi="Amiri"/>
          <w:color w:val="111111"/>
          <w:sz w:val="28"/>
          <w:szCs w:val="28"/>
          <w:rtl w:val="true"/>
          <w:lang w:bidi="ar-SA"/>
        </w:rPr>
        <w:t xml:space="preserve">». </w:t>
      </w:r>
      <w:bookmarkStart w:id="773" w:name="pg7671_76830"/>
    </w:p>
    <w:p>
      <w:pPr>
        <w:pStyle w:val="Heading4"/>
        <w:numPr>
          <w:ilvl w:val="3"/>
          <w:numId w:val="1"/>
        </w:numPr>
        <w:rPr/>
      </w:pPr>
      <w:bookmarkStart w:id="774" w:name="__RefHeading___Toc3959699_1051229030"/>
      <w:bookmarkStart w:id="775" w:name="_Toc281"/>
      <w:bookmarkEnd w:id="773"/>
      <w:bookmarkEnd w:id="774"/>
      <w:r>
        <w:rPr>
          <w:rtl w:val="true"/>
        </w:rPr>
        <w:t>الآية دليل نفي الضابط الخامس</w:t>
      </w:r>
      <w:bookmarkEnd w:id="775"/>
    </w:p>
    <w:p>
      <w:pPr>
        <w:pStyle w:val="BookText"/>
        <w:rPr/>
      </w:pPr>
      <w:r>
        <w:rPr>
          <w:rFonts w:ascii="Amiri" w:hAnsi="Amiri" w:eastAsia="Amiri" w:cs="Amiri"/>
          <w:color w:val="111111"/>
          <w:sz w:val="28"/>
          <w:sz w:val="28"/>
          <w:szCs w:val="28"/>
          <w:rtl w:val="true"/>
          <w:lang w:bidi="ar-SA"/>
        </w:rPr>
        <w:t xml:space="preserve">وقد تعد هذه الآية من أدلة نفي الضابط الخامس المذكور كفارق بين الأوامر والنواهي المولوية والإرشادية؛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يستقل العقل بقبحه، خاصة لمن كان في خير وبخير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سعة ورخص وخصب، أي في كثرة الأموال وسعة الأرزاق</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فاللازم كون نهيه إرشادياً، عليه</w:t>
      </w:r>
      <w:r>
        <w:rPr>
          <w:rStyle w:val="FootnoteAnchor"/>
          <w:rtl w:val="true"/>
        </w:rPr>
        <w:footnoteReference w:id="753"/>
      </w:r>
      <w:r>
        <w:rPr>
          <w:rFonts w:ascii="Amiri" w:hAnsi="Amiri" w:eastAsia="Amiri" w:cs="Amiri"/>
          <w:color w:val="111111"/>
          <w:sz w:val="28"/>
          <w:sz w:val="28"/>
          <w:szCs w:val="28"/>
          <w:rtl w:val="true"/>
          <w:lang w:bidi="ar-SA"/>
        </w:rPr>
        <w:t>ولا يصح مع ترتيب العذاب عليه</w:t>
      </w:r>
      <w:r>
        <w:rPr>
          <w:rStyle w:val="FootnoteAnchor"/>
          <w:rtl w:val="true"/>
        </w:rPr>
        <w:footnoteReference w:id="754"/>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قبحه مما يستقل به العقل 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العذاب أعم من كونه مولوياً أو إرشادياً؛ لحكم العقل به، مع الالتزام بأن مخالفة المستقل العقلي مما يستحق عليه العذاب فتأمل</w:t>
      </w:r>
      <w:r>
        <w:rPr>
          <w:rFonts w:eastAsia="Amiri" w:cs="Amiri" w:ascii="Amiri" w:hAnsi="Amiri"/>
          <w:color w:val="111111"/>
          <w:sz w:val="28"/>
          <w:szCs w:val="28"/>
          <w:rtl w:val="true"/>
          <w:lang w:bidi="ar-SA"/>
        </w:rPr>
        <w:t>.</w:t>
      </w:r>
      <w:r>
        <w:rPr>
          <w:rStyle w:val="FootnoteAnchor"/>
          <w:rtl w:val="true"/>
        </w:rPr>
        <w:footnoteReference w:id="755"/>
      </w:r>
    </w:p>
    <w:p>
      <w:pPr>
        <w:pStyle w:val="Heading4"/>
        <w:numPr>
          <w:ilvl w:val="3"/>
          <w:numId w:val="1"/>
        </w:numPr>
        <w:rPr/>
      </w:pPr>
      <w:bookmarkStart w:id="776" w:name="__RefHeading___Toc3959701_1051229030"/>
      <w:bookmarkStart w:id="777" w:name="_Toc282"/>
      <w:bookmarkEnd w:id="776"/>
      <w:r>
        <w:rPr>
          <w:rtl w:val="true"/>
        </w:rPr>
        <w:t>«</w:t>
      </w:r>
      <w:r>
        <w:rPr>
          <w:rtl w:val="true"/>
        </w:rPr>
        <w:t>أوفوا المكيال والميزان بالقسط</w:t>
      </w:r>
      <w:r>
        <w:rPr>
          <w:rtl w:val="true"/>
        </w:rPr>
        <w:t>»</w:t>
      </w:r>
      <w:bookmarkEnd w:id="777"/>
    </w:p>
    <w:p>
      <w:pPr>
        <w:pStyle w:val="Heading4"/>
        <w:numPr>
          <w:ilvl w:val="3"/>
          <w:numId w:val="1"/>
        </w:numPr>
        <w:rPr/>
      </w:pPr>
      <w:bookmarkStart w:id="778" w:name="__RefHeading___Toc3959703_1051229030"/>
      <w:bookmarkStart w:id="779" w:name="_Toc283"/>
      <w:bookmarkEnd w:id="778"/>
      <w:r>
        <w:rPr>
          <w:rtl w:val="true"/>
        </w:rPr>
        <w:t xml:space="preserve">وأما </w:t>
      </w:r>
      <w:r>
        <w:rPr>
          <w:rtl w:val="true"/>
        </w:rPr>
        <w:t>(</w:t>
      </w:r>
      <w:r>
        <w:rPr>
          <w:rtl w:val="true"/>
        </w:rPr>
        <w:t>أوفوا المكيال والميزان بالقسط</w:t>
      </w:r>
      <w:r>
        <w:rPr>
          <w:rtl w:val="true"/>
        </w:rPr>
        <w:t>):</w:t>
      </w:r>
      <w:bookmarkEnd w:id="7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به كاملاً وتاماً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زيادة، كان بياناً لحكم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ومصداقاً لمبحث الأمر بالشيء والنهي عن ضده، وأنه هل </w:t>
      </w:r>
      <w:bookmarkStart w:id="780" w:name="pg7671_76832"/>
    </w:p>
    <w:p>
      <w:pPr>
        <w:pStyle w:val="BookText"/>
        <w:rPr/>
      </w:pPr>
      <w:bookmarkEnd w:id="780"/>
      <w:r>
        <w:rPr>
          <w:rFonts w:ascii="Amiri" w:hAnsi="Amiri" w:eastAsia="Amiri" w:cs="Amiri"/>
          <w:color w:val="111111"/>
          <w:sz w:val="28"/>
          <w:sz w:val="28"/>
          <w:szCs w:val="28"/>
          <w:rtl w:val="true"/>
          <w:lang w:bidi="ar-SA"/>
        </w:rPr>
        <w:t>يمكن كونه تأسيساً أم هو صرف تأكيد؟</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مولوي،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لما علم من حكم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بعض الزيادة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الفهم العرفي لذلك،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مطلب آخر، إضافة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القول بكونه مولوياً، والأمر للندب؛ بدلالة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إرشادياً للنصح، وإن لم يمنع كونه مولوياً؛ لما سبق من كون المولوي على قسمين التشريعي والإرشادي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يحتمل كونه مولوياً، والأمر للوجوب، ويؤيده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من باب المقدمية لإحراز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3959705_1051229030"/>
      <w:bookmarkStart w:id="782" w:name="_Toc284"/>
      <w:bookmarkEnd w:id="781"/>
      <w:r>
        <w:rPr>
          <w:rtl w:val="true"/>
        </w:rPr>
        <w:t>«</w:t>
      </w:r>
      <w:r>
        <w:rPr>
          <w:rtl w:val="true"/>
        </w:rPr>
        <w:t>لا تبخسوا الناس أشياءهم</w:t>
      </w:r>
      <w:r>
        <w:rPr>
          <w:rtl w:val="true"/>
        </w:rPr>
        <w:t>»</w:t>
      </w:r>
      <w:bookmarkEnd w:id="782"/>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تعميم بعد تخصيص؛ فإنه أعم من أن يكون في المقدار أو غيره</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المادي والمعنوي، فلو أعطى المعلم لتلميذه درجةً دون ما يستحق فقد بخسه حقه وصدقت عليه الآية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النهي مولوي تحريمي،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bookmarkStart w:id="783" w:name="pg7671_76834"/>
    </w:p>
    <w:p>
      <w:pPr>
        <w:pStyle w:val="BookText"/>
        <w:rPr/>
      </w:pPr>
      <w:bookmarkEnd w:id="783"/>
      <w:r>
        <w:rPr>
          <w:rFonts w:ascii="Amiri" w:hAnsi="Amiri" w:eastAsia="Amiri" w:cs="Amiri"/>
          <w:color w:val="111111"/>
          <w:sz w:val="28"/>
          <w:sz w:val="28"/>
          <w:szCs w:val="28"/>
          <w:rtl w:val="true"/>
          <w:lang w:bidi="ar-SA"/>
        </w:rPr>
        <w:t>جمعاً مضافاً، لشتى الشؤون الاقتصادية والاجتماعية والسياسية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يستظهر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الطبع وبراءة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959707_1051229030"/>
      <w:bookmarkStart w:id="785" w:name="_Toc285"/>
      <w:bookmarkEnd w:id="784"/>
      <w:r>
        <w:rPr>
          <w:rtl w:val="true"/>
        </w:rPr>
        <w:t>«</w:t>
      </w:r>
      <w:r>
        <w:rPr>
          <w:rtl w:val="true"/>
        </w:rPr>
        <w:t>والذين يكنزون الذهب والفضة</w:t>
      </w:r>
      <w:r>
        <w:rPr>
          <w:rtl w:val="true"/>
        </w:rPr>
        <w:t>»</w:t>
      </w:r>
      <w:bookmarkEnd w:id="785"/>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والاستدلال بها لا يتوقف على القول بأنها إخبار في مقام الإنشاء، بل يكفي كونها إخباراً عن حكم إنشائي في مرتبة سابقة؛ فإنه لا ريب أنه مولوي تشريعي لا مولوي نصحي كما أنه ليس إرشادياً، بقرينة العقاب المذكور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يستقل به العقل؟ بل هل له قبح ذاتي أم عارضي؟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قبحه عرضاً، وحينئذٍ يستقل به العقل</w:t>
      </w:r>
      <w:r>
        <w:rPr>
          <w:rStyle w:val="FootnoteAnchor"/>
          <w:rtl w:val="true"/>
        </w:rPr>
        <w:footnoteReference w:id="758"/>
      </w:r>
      <w:r>
        <w:rPr>
          <w:rFonts w:ascii="Amiri" w:hAnsi="Amiri" w:eastAsia="Amiri" w:cs="Amiri"/>
          <w:color w:val="111111"/>
          <w:sz w:val="28"/>
          <w:sz w:val="28"/>
          <w:szCs w:val="28"/>
          <w:rtl w:val="true"/>
          <w:lang w:bidi="ar-SA"/>
        </w:rPr>
        <w:t xml:space="preserve">، ولا يلجؤنا ذلك </w:t>
      </w:r>
      <w:bookmarkStart w:id="786" w:name="pg7671_76836"/>
    </w:p>
    <w:p>
      <w:pPr>
        <w:pStyle w:val="BookText"/>
        <w:rPr/>
      </w:pPr>
      <w:bookmarkEnd w:id="786"/>
      <w:r>
        <w:rPr>
          <w:rFonts w:ascii="Amiri" w:hAnsi="Amiri" w:eastAsia="Amiri" w:cs="Amiri"/>
          <w:color w:val="111111"/>
          <w:sz w:val="28"/>
          <w:sz w:val="28"/>
          <w:szCs w:val="28"/>
          <w:rtl w:val="true"/>
          <w:lang w:bidi="ar-SA"/>
        </w:rPr>
        <w:t>إلى القول بإرشادية النهي عنه، كما فصلناه في فصل الضوابط من عدم تمامية هذا الضابط</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3959709_1051229030"/>
      <w:bookmarkStart w:id="788" w:name="_Toc286"/>
      <w:bookmarkEnd w:id="787"/>
      <w:r>
        <w:rPr>
          <w:rtl w:val="true"/>
        </w:rPr>
        <w:t xml:space="preserve">أنواع </w:t>
      </w:r>
      <w:r>
        <w:rPr>
          <w:rtl w:val="true"/>
        </w:rPr>
        <w:t>(</w:t>
      </w:r>
      <w:r>
        <w:rPr>
          <w:rtl w:val="true"/>
        </w:rPr>
        <w:t>الكنز المحرم</w:t>
      </w:r>
      <w:r>
        <w:rPr>
          <w:rtl w:val="true"/>
        </w:rPr>
        <w:t>)</w:t>
      </w:r>
      <w:bookmarkEnd w:id="78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يؤد حقه الشرعي، من زكاة أو نفقة واجبة أو ما أشبه من الامور الواجبة بالعناوين الأولية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يشمل ما وجب بعنوانه الثانوي، كصور الاضطرار ـ لحفظ نفس محترمة من الهلاك أو لحفظ اقتصاد البلد من الدمار، بعد تشخيص الفقيه الجامع للشرائط أو شورى الفقهاء لذلك</w:t>
      </w:r>
      <w:r>
        <w:rPr>
          <w:rStyle w:val="FootnoteAnchor"/>
          <w:rtl w:val="true"/>
        </w:rPr>
        <w:footnoteReference w:id="759"/>
      </w:r>
      <w:r>
        <w:rPr>
          <w:rFonts w:ascii="Amiri" w:hAnsi="Amiri" w:eastAsia="Amiri" w:cs="Amiri"/>
          <w:color w:val="111111"/>
          <w:sz w:val="28"/>
          <w:sz w:val="28"/>
          <w:szCs w:val="28"/>
          <w:rtl w:val="true"/>
          <w:lang w:bidi="ar-SA"/>
        </w:rPr>
        <w:t>ـ وليس هذا خاصاً بالكنز، بل يشمل كل ما لو توقف واجب أهم عليه وإن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هل على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 ذلك في أكل المخمصة؛ جمعاً بين الدليلين كما أشار إليه السيد الوالد</w:t>
      </w:r>
      <w:r>
        <w:rPr>
          <w:rStyle w:val="FootnoteAnchor"/>
          <w:rtl w:val="true"/>
        </w:rPr>
        <w:footnoteReference w:id="760"/>
      </w:r>
      <w:r>
        <w:rPr>
          <w:rFonts w:ascii="Amiri" w:hAnsi="Amiri" w:eastAsia="Amiri" w:cs="Amiri"/>
          <w:color w:val="111111"/>
          <w:sz w:val="28"/>
          <w:sz w:val="28"/>
          <w:szCs w:val="28"/>
          <w:rtl w:val="true"/>
          <w:lang w:bidi="ar-SA"/>
        </w:rPr>
        <w:t>ـ أي حق المالك، وضرورة المحتاج المضطر ـ أم لا؟ أم التفصيل بين الحالات الشخصية وبين الحالات العامة النوعية</w:t>
      </w:r>
      <w:r>
        <w:rPr>
          <w:rStyle w:val="FootnoteAnchor"/>
          <w:rtl w:val="true"/>
        </w:rPr>
        <w:footnoteReference w:id="761"/>
      </w:r>
      <w:r>
        <w:rPr>
          <w:rFonts w:ascii="Amiri" w:hAnsi="Amiri" w:eastAsia="Amiri" w:cs="Amiri"/>
          <w:color w:val="111111"/>
          <w:sz w:val="28"/>
          <w:sz w:val="28"/>
          <w:szCs w:val="28"/>
          <w:rtl w:val="true"/>
          <w:lang w:bidi="ar-SA"/>
        </w:rPr>
        <w:t xml:space="preserve">، وبين ما كان وظيفة الحاكم الإسلامي أو كان وظيفة الشخص نفسه، أو بين ما كان أخذ المال منه ضرراً عليه عرفاً؛ لقلَّته أو لحاجته إليه، وما لم يكن لكثرته وعدم الحاجة إليه؟ </w:t>
      </w:r>
      <w:bookmarkStart w:id="789" w:name="pg7671_76838"/>
    </w:p>
    <w:p>
      <w:pPr>
        <w:pStyle w:val="BookText"/>
        <w:rPr/>
      </w:pPr>
      <w:bookmarkEnd w:id="789"/>
      <w:r>
        <w:rPr>
          <w:rFonts w:ascii="Amiri" w:hAnsi="Amiri" w:eastAsia="Amiri" w:cs="Amiri"/>
          <w:color w:val="111111"/>
          <w:sz w:val="28"/>
          <w:sz w:val="28"/>
          <w:szCs w:val="28"/>
          <w:rtl w:val="true"/>
          <w:lang w:bidi="ar-SA"/>
        </w:rPr>
        <w:t xml:space="preserve">محل بحث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حقوق المال،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أي جمّده ولم يصبَّه في 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الإقتصادي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790" w:name="__RefHeading___Toc3959711_1051229030"/>
      <w:bookmarkStart w:id="791" w:name="_Toc287"/>
      <w:bookmarkEnd w:id="790"/>
      <w:r>
        <w:rPr>
          <w:rtl w:val="true"/>
        </w:rPr>
        <w:t xml:space="preserve">تحديد </w:t>
      </w:r>
      <w:r>
        <w:rPr>
          <w:rtl w:val="true"/>
        </w:rPr>
        <w:t>(</w:t>
      </w:r>
      <w:r>
        <w:rPr>
          <w:rtl w:val="true"/>
        </w:rPr>
        <w:t>الكنز</w:t>
      </w:r>
      <w:r>
        <w:rPr>
          <w:rtl w:val="true"/>
        </w:rPr>
        <w:t xml:space="preserve">) </w:t>
      </w:r>
      <w:r>
        <w:rPr>
          <w:rtl w:val="true"/>
        </w:rPr>
        <w:t>في الروايات ووجه الجمع بينها</w:t>
      </w:r>
      <w:bookmarkEnd w:id="79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لم تؤد زكاته فهو كنز، وإن كان ظاهراً، وكل مالٍ أديت زكاته فليس بكنز، وإن كان مدفوناً في الأرض</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ولعله محمول على المعهود ذلك الزمن من عدم تأثير ذلك على عجلة الدوران الاقتصادي للمال، دون مثل هذا الزمن في الجملة، حيث يؤثر ذلك في التضخم وغيره؛ لأن المال كلما قلّ في الأيدي دورانُه، كلما ارتفعت وغلت أسعاره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الرواية ومثل ما روي 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أربعة آلاف فهو كنز أدى زكاته أم لم يؤدِ، وما دونها فهو نفقة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مما يحمل على صورة تأثيره على وضع اقتصاد البلد ودوران المال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جمع تبرعي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يساعد عليه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لا يضر </w:t>
      </w:r>
      <w:bookmarkStart w:id="792" w:name="pg7671_76840"/>
    </w:p>
    <w:p>
      <w:pPr>
        <w:pStyle w:val="BookText"/>
        <w:rPr/>
      </w:pPr>
      <w:bookmarkEnd w:id="792"/>
      <w:r>
        <w:rPr>
          <w:rFonts w:ascii="Amiri" w:hAnsi="Amiri" w:eastAsia="Amiri" w:cs="Amiri"/>
          <w:color w:val="111111"/>
          <w:sz w:val="28"/>
          <w:sz w:val="28"/>
          <w:szCs w:val="28"/>
          <w:rtl w:val="true"/>
          <w:lang w:bidi="ar-SA"/>
        </w:rPr>
        <w:t xml:space="preserve">بالدوران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بملاحظة مناسبة الحكم والموضوع ـ فتأمل</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3959713_1051229030"/>
      <w:bookmarkStart w:id="794" w:name="_Toc288"/>
      <w:bookmarkEnd w:id="793"/>
      <w:r>
        <w:rPr>
          <w:rtl w:val="true"/>
        </w:rPr>
        <w:t>لا حقيقة شرعية للكنز</w:t>
      </w:r>
      <w:bookmarkEnd w:id="794"/>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لا حقيقة شرعية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على معناه العرفي، وعلى ذلك يحمل كلام الرسول صلى الله عليه وآله وأنه تشخيص المصداق حينذاك، وهو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يؤيده اختلاف التقديرات في الروايات، ففي رواية أخرى عن العياشي عن الإمام الباقر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ما جاوز ألفي درهم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كما يؤيده رواية أبي ذر عندما سأل عثمان بن عفان، كعب الأحبار،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أدى زكاة ماله المفروضة، هل يجب عليه فيما بعد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اتخذ لبنةمن ذهب ولبنة من فضة، ما وجب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ذر عصاه فضرب بها رأس كعب،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اليهودية الكافرة، ما أنت والنظر في أحكام المسلمين، قول الله أصدق من قولك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w:t>
      </w:r>
      <w:r>
        <w:rPr>
          <w:rFonts w:eastAsia="Amiri" w:cs="Amiri" w:ascii="Amiri" w:hAnsi="Amiri"/>
          <w:color w:val="111111"/>
          <w:sz w:val="28"/>
          <w:szCs w:val="28"/>
          <w:rtl w:val="true"/>
          <w:lang w:bidi="ar-SA"/>
        </w:rPr>
        <w:t>»).</w:t>
      </w:r>
      <w:r>
        <w:rPr>
          <w:rStyle w:val="FootnoteAnchor"/>
          <w:rtl w:val="true"/>
        </w:rPr>
        <w:footnoteReference w:id="765"/>
      </w:r>
    </w:p>
    <w:p>
      <w:pPr>
        <w:pStyle w:val="Heading4"/>
        <w:numPr>
          <w:ilvl w:val="3"/>
          <w:numId w:val="1"/>
        </w:numPr>
        <w:rPr/>
      </w:pPr>
      <w:bookmarkStart w:id="795" w:name="__RefHeading___Toc3959715_1051229030"/>
      <w:bookmarkStart w:id="796" w:name="_Toc289"/>
      <w:bookmarkEnd w:id="795"/>
      <w:r>
        <w:rPr>
          <w:rtl w:val="true"/>
        </w:rPr>
        <w:t>جمع آخر</w:t>
      </w:r>
      <w:bookmarkEnd w:id="7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الروايات؛ فإن رواية الرسول صلى الله عليه وآله مطلقة، تقيِّدها رواية الأمير عليه السلام؛ إذ رواية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مالٍ أديت زكاته </w:t>
      </w:r>
      <w:bookmarkStart w:id="797" w:name="pg7671_76842"/>
    </w:p>
    <w:p>
      <w:pPr>
        <w:pStyle w:val="BookText"/>
        <w:rPr/>
      </w:pPr>
      <w:bookmarkEnd w:id="797"/>
      <w:r>
        <w:rPr>
          <w:rFonts w:ascii="Amiri" w:hAnsi="Amiri" w:eastAsia="Amiri" w:cs="Amiri"/>
          <w:color w:val="111111"/>
          <w:sz w:val="28"/>
          <w:sz w:val="28"/>
          <w:szCs w:val="28"/>
          <w:rtl w:val="true"/>
          <w:lang w:bidi="ar-SA"/>
        </w:rPr>
        <w:t>فليس بكنز، وإن كان مدفوناً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أديت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ـ أي سواء بلغ أربعة آلاف درهم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الإمام نص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أربعة آلاف فهو كنز، أدى زكاته أم لم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فتقيد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بلحاظ مدخوله، والعرف يرى عدم التهافت بالجمع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أديت زكاته مما لم يزد على أربعة آلاف، فليس بكنز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لم نقل بانصراف رواية الرسول صلى الله عليه وآله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جهة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مدفوناً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فإن تحقيق ذلك وتفصيله في الفقه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959717_1051229030"/>
      <w:bookmarkStart w:id="799" w:name="_Toc290"/>
      <w:bookmarkEnd w:id="798"/>
      <w:r>
        <w:rPr>
          <w:rtl w:val="true"/>
        </w:rPr>
        <w:t xml:space="preserve">قبح </w:t>
      </w:r>
      <w:r>
        <w:rPr>
          <w:rtl w:val="true"/>
        </w:rPr>
        <w:t>(</w:t>
      </w:r>
      <w:r>
        <w:rPr>
          <w:rtl w:val="true"/>
        </w:rPr>
        <w:t>الكنز</w:t>
      </w:r>
      <w:r>
        <w:rPr>
          <w:rtl w:val="true"/>
        </w:rPr>
        <w:t xml:space="preserve">) </w:t>
      </w:r>
      <w:r>
        <w:rPr>
          <w:rtl w:val="true"/>
        </w:rPr>
        <w:t>مستقل عقلي، لا حدوده</w:t>
      </w:r>
      <w:bookmarkEnd w:id="7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أو حرمة أصل الكنز من المستقلات العقلية، دون حدوده وأنواعه، فالنهي الوارد في حد أو نوع، لا محذور في الالتزام بمولويته وإن كان القائل ممن يذهب للضابط الخامس؛ فإن كون أصله من المستقلات، لا ينافي مولوية الأمر والنهي في الحد أو النوع الخاص منه ـ ولذا أمكن للقائل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إرشادياً، القول بمولوية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مما هو حصة منه</w:t>
      </w:r>
      <w:r>
        <w:rPr>
          <w:rStyle w:val="FootnoteAnchor"/>
          <w:rtl w:val="true"/>
        </w:rPr>
        <w:footnoteReference w:id="766"/>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 xml:space="preserve">. </w:t>
      </w:r>
      <w:bookmarkStart w:id="800" w:name="pg7671_76844"/>
    </w:p>
    <w:p>
      <w:pPr>
        <w:pStyle w:val="Heading4"/>
        <w:numPr>
          <w:ilvl w:val="3"/>
          <w:numId w:val="1"/>
        </w:numPr>
        <w:rPr/>
      </w:pPr>
      <w:bookmarkStart w:id="801" w:name="__RefHeading___Toc3959719_1051229030"/>
      <w:bookmarkStart w:id="802" w:name="_Toc291"/>
      <w:bookmarkEnd w:id="800"/>
      <w:bookmarkEnd w:id="801"/>
      <w:r>
        <w:rPr>
          <w:rtl w:val="true"/>
        </w:rPr>
        <w:t>«</w:t>
      </w:r>
      <w:r>
        <w:rPr>
          <w:rtl w:val="true"/>
        </w:rPr>
        <w:t>أوفوا بالعقود</w:t>
      </w:r>
      <w:r>
        <w:rPr>
          <w:rtl w:val="true"/>
        </w:rPr>
        <w:t>»</w:t>
      </w:r>
      <w:bookmarkEnd w:id="80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w:t>
      </w:r>
      <w:r>
        <w:rPr>
          <w:rFonts w:eastAsia="Amiri" w:cs="Amiri" w:ascii="Amiri" w:hAnsi="Amiri"/>
          <w:color w:val="111111"/>
          <w:sz w:val="28"/>
          <w:szCs w:val="28"/>
          <w:rtl w:val="true"/>
          <w:lang w:bidi="ar-SA"/>
        </w:rPr>
        <w:t>».</w:t>
      </w:r>
      <w:r>
        <w:rPr>
          <w:rStyle w:val="FootnoteAnchor"/>
          <w:rtl w:val="true"/>
        </w:rPr>
        <w:footnoteReference w:id="767"/>
      </w:r>
    </w:p>
    <w:p>
      <w:pPr>
        <w:pStyle w:val="Heading4"/>
        <w:numPr>
          <w:ilvl w:val="3"/>
          <w:numId w:val="1"/>
        </w:numPr>
        <w:rPr/>
      </w:pPr>
      <w:bookmarkStart w:id="803" w:name="__RefHeading___Toc3959721_1051229030"/>
      <w:bookmarkStart w:id="804" w:name="_Toc292"/>
      <w:bookmarkEnd w:id="803"/>
      <w:r>
        <w:rPr>
          <w:rtl w:val="true"/>
        </w:rPr>
        <w:t xml:space="preserve">مولوية </w:t>
      </w:r>
      <w:r>
        <w:rPr>
          <w:rtl w:val="true"/>
        </w:rPr>
        <w:t>«</w:t>
      </w:r>
      <w:r>
        <w:rPr>
          <w:rtl w:val="true"/>
        </w:rPr>
        <w:t>أوفوا بالعقود</w:t>
      </w:r>
      <w:r>
        <w:rPr>
          <w:rtl w:val="true"/>
        </w:rPr>
        <w:t xml:space="preserve">» </w:t>
      </w:r>
      <w:r>
        <w:rPr>
          <w:rtl w:val="true"/>
        </w:rPr>
        <w:t>حسب الضوابط التسعة</w:t>
      </w:r>
      <w:bookmarkEnd w:id="804"/>
    </w:p>
    <w:p>
      <w:pPr>
        <w:pStyle w:val="BookText"/>
        <w:rPr/>
      </w:pPr>
      <w:r>
        <w:rPr>
          <w:rFonts w:ascii="Amiri" w:hAnsi="Amiri" w:eastAsia="Amiri" w:cs="Amiri"/>
          <w:color w:val="111111"/>
          <w:sz w:val="28"/>
          <w:sz w:val="28"/>
          <w:szCs w:val="28"/>
          <w:rtl w:val="true"/>
          <w:lang w:bidi="ar-SA"/>
        </w:rPr>
        <w:t>والظاهر المولوية، تشريعاً، للوجوب، كما أن الظاهر حسن الوفاء بالعقود ذاتاً، ووجوبه عقلاً، وأنه من المستقلات العقلية، ولا يضر عدم انطباق بعض الضوابط المذكورة للمولوي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توقفت المصلحة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 المصلحة معلومة للمأمور 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السادس، أو الضابط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عادت المصلحة فيه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الخامس؛ إذ قد سبق بطلان تلك الضوابط،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عداهما فقد يقال بانطباق الضوابط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والثالث</w:t>
      </w:r>
      <w:r>
        <w:rPr>
          <w:rStyle w:val="FootnoteAnchor"/>
          <w:rtl w:val="true"/>
        </w:rPr>
        <w:footnoteReference w:id="768"/>
      </w:r>
      <w:r>
        <w:rPr>
          <w:rFonts w:ascii="Amiri" w:hAnsi="Amiri" w:eastAsia="Amiri" w:cs="Amiri"/>
          <w:color w:val="111111"/>
          <w:sz w:val="28"/>
          <w:sz w:val="28"/>
          <w:szCs w:val="28"/>
          <w:rtl w:val="true"/>
          <w:lang w:bidi="ar-SA"/>
        </w:rPr>
        <w:t>، نعم على الضابط التاسع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توصلي، فلا يترتب عليه الثواب، وعلى هذا الضابط فإن ما لا يترتب عليه الثواب، فإنه إرشادي</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959723_1051229030"/>
      <w:bookmarkStart w:id="806" w:name="_Toc293"/>
      <w:bookmarkEnd w:id="805"/>
      <w:r>
        <w:rPr>
          <w:rtl w:val="true"/>
        </w:rPr>
        <w:t xml:space="preserve">دعوى </w:t>
      </w:r>
      <w:r>
        <w:rPr>
          <w:rtl w:val="true"/>
        </w:rPr>
        <w:t>(</w:t>
      </w:r>
      <w:r>
        <w:rPr>
          <w:rtl w:val="true"/>
        </w:rPr>
        <w:t>التنقيح</w:t>
      </w:r>
      <w:r>
        <w:rPr>
          <w:rtl w:val="true"/>
        </w:rPr>
        <w:t xml:space="preserve">) </w:t>
      </w:r>
      <w:r>
        <w:rPr>
          <w:rtl w:val="true"/>
        </w:rPr>
        <w:t xml:space="preserve">عدم حرمة </w:t>
      </w:r>
      <w:r>
        <w:rPr>
          <w:rtl w:val="true"/>
        </w:rPr>
        <w:t>(</w:t>
      </w:r>
      <w:r>
        <w:rPr>
          <w:rtl w:val="true"/>
        </w:rPr>
        <w:t>الفسخ</w:t>
      </w:r>
      <w:r>
        <w:rPr>
          <w:rtl w:val="true"/>
        </w:rPr>
        <w:t xml:space="preserve">) </w:t>
      </w:r>
      <w:r>
        <w:rPr>
          <w:rtl w:val="true"/>
        </w:rPr>
        <w:t>شرعاً</w:t>
      </w:r>
      <w:bookmarkEnd w:id="8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المراد بالوفاء، ليس هو الأمر المولوي، </w:t>
      </w:r>
      <w:bookmarkStart w:id="807" w:name="pg7671_76846"/>
    </w:p>
    <w:p>
      <w:pPr>
        <w:pStyle w:val="BookText"/>
        <w:rPr/>
      </w:pPr>
      <w:bookmarkEnd w:id="807"/>
      <w:r>
        <w:rPr>
          <w:rFonts w:ascii="Amiri" w:hAnsi="Amiri" w:eastAsia="Amiri" w:cs="Amiri"/>
          <w:color w:val="111111"/>
          <w:sz w:val="28"/>
          <w:sz w:val="28"/>
          <w:szCs w:val="28"/>
          <w:rtl w:val="true"/>
          <w:lang w:bidi="ar-SA"/>
        </w:rPr>
        <w:t>حتى يقال إن الإتمام واجب تكليفي والفسخ والنقض محرمان شرعاً؛ وذلك للقطع بأن البقاء على الالتزام ليس من الواجبات، وبأن الفسخ ليس من أحد المحرمات الشرعية بحيث يوجب الفسق ويخرج المرتكب له عن العدالة بسببه، وهذا مما تشهد به ضرورة الفقه، فلابد من كون الأمر به في الآية المباركة إرشاداً إلى اللزوم وعدم انفساخ العقد بالفسخ، نظير النهي عن صلاة الحائض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اقرائك</w:t>
      </w:r>
      <w:r>
        <w:rPr>
          <w:rFonts w:eastAsia="Amiri" w:cs="Amiri" w:ascii="Amiri" w:hAnsi="Amiri"/>
          <w:color w:val="111111"/>
          <w:sz w:val="28"/>
          <w:szCs w:val="28"/>
          <w:rtl w:val="true"/>
          <w:lang w:bidi="ar-SA"/>
        </w:rPr>
        <w:t>).</w:t>
      </w:r>
      <w:r>
        <w:rPr>
          <w:rStyle w:val="FootnoteAnchor"/>
          <w:rtl w:val="true"/>
        </w:rPr>
        <w:footnoteReference w:id="769"/>
      </w:r>
    </w:p>
    <w:p>
      <w:pPr>
        <w:pStyle w:val="Heading4"/>
        <w:numPr>
          <w:ilvl w:val="3"/>
          <w:numId w:val="1"/>
        </w:numPr>
        <w:rPr/>
      </w:pPr>
      <w:bookmarkStart w:id="808" w:name="__RefHeading___Toc3959725_1051229030"/>
      <w:bookmarkStart w:id="809" w:name="_Toc294"/>
      <w:bookmarkEnd w:id="808"/>
      <w:r>
        <w:rPr>
          <w:rtl w:val="true"/>
        </w:rPr>
        <w:t>إشكالات عديدة على كلام التنقيح</w:t>
      </w:r>
      <w:bookmarkEnd w:id="809"/>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القطع عهدتها على مدعيها، وليس القطع مما يحتج به في مقام الاستدلال والبحث الفقهي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محرم شرعاً يستلزم الفسق وسقوط العدالة، ليحتج بعدمه على عدمه</w:t>
      </w:r>
      <w:r>
        <w:rPr>
          <w:rStyle w:val="FootnoteAnchor"/>
          <w:rtl w:val="true"/>
        </w:rPr>
        <w:footnoteReference w:id="770"/>
      </w:r>
      <w:r>
        <w:rPr>
          <w:rFonts w:ascii="Amiri" w:hAnsi="Amiri" w:eastAsia="Amiri" w:cs="Amiri"/>
          <w:color w:val="111111"/>
          <w:sz w:val="28"/>
          <w:sz w:val="28"/>
          <w:szCs w:val="28"/>
          <w:rtl w:val="true"/>
          <w:lang w:bidi="ar-SA"/>
        </w:rPr>
        <w:t>إلا لو كان كبيرة من الكبائر أو مع الإصرار عليه، مشروطاً كل ذلك بالعلم بحرمته وإلا فإنه لو جهل ـ أو كان اجتهاده عدم الحرمة ـ فإنه لا يسقط العدالة كما لا يخفى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ضرورة الفقه على عدم الحرمة للفسخ والنقض، فهي أيضاً دعوى غير تامة؛ كيف؟ وقد صرح بعض الأعاظم بالحرمة، ومنهم الميرزا محمد تقي الشيرازي في حاشيته</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الوفاء بالعقد، باعتبار أن تركه ظلم وعدوان ولازم ذلك عدم ثبوت حق الفسخ لأحد الطرفين بالاستقلال، فنفس حرمة الفسخ كاشفة عن فساده وعدم تأثيره</w:t>
      </w:r>
      <w:r>
        <w:rPr>
          <w:rFonts w:eastAsia="Amiri" w:cs="Amiri" w:ascii="Amiri" w:hAnsi="Amiri"/>
          <w:color w:val="111111"/>
          <w:sz w:val="28"/>
          <w:szCs w:val="28"/>
          <w:rtl w:val="true"/>
          <w:lang w:bidi="ar-SA"/>
        </w:rPr>
        <w:t xml:space="preserve">.. </w:t>
      </w:r>
      <w:bookmarkStart w:id="810" w:name="pg7671_76848"/>
    </w:p>
    <w:p>
      <w:pPr>
        <w:pStyle w:val="BookText"/>
        <w:rPr/>
      </w:pPr>
      <w:bookmarkEnd w:id="810"/>
      <w:r>
        <w:rPr>
          <w:rFonts w:ascii="Amiri" w:hAnsi="Amiri" w:eastAsia="Amiri" w:cs="Amiri"/>
          <w:color w:val="111111"/>
          <w:sz w:val="28"/>
          <w:sz w:val="28"/>
          <w:szCs w:val="28"/>
          <w:rtl w:val="true"/>
          <w:lang w:bidi="ar-SA"/>
        </w:rPr>
        <w:t>بل نفس الرجوع؛ حيث إنه ظلم،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ما أورده عليه الأصفهاني، كما لعلنا سنفصله في المجلد الثاني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الإرشادية والمولوية أو احتمال كليهما، ولو كان خلاف ضرورة الفقه لما جهله مثله وهو من أعاظم الفقهاء،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 الأمر بالوفاء إما أن يكون إرشادياً أو يكون أمراً مولوياً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وإن كان مولوياً نفسياً، فيمكن تقريب دلالته على اللزوم وعدم تأثير الفسخ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لو كان حراماً كان غير مؤثر</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وقال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الأمر للإرشاد؛ باعتبار أن الأحكام الشرعية ألطاف في الأحكام العقلية، أو مولوي؟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الأمر بالوفاء ليس كذلك ـ أي ليس إرشادياً ـ فإذا لم يفِ كان معاقباً</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هذا ومما يؤكد كون الأمر بالوفاء، مولوياً، حسنه الذاتي، ومصلحته الذاتية، وتبعية الأحكام لمصالح ومفاسد في المتعلقات</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3959727_1051229030"/>
      <w:bookmarkStart w:id="812" w:name="_Toc295"/>
      <w:bookmarkEnd w:id="811"/>
      <w:r>
        <w:rPr>
          <w:rtl w:val="true"/>
        </w:rPr>
        <w:t>ونهي الحائض عن الصلاة مولوي لا إرشادي</w:t>
      </w:r>
      <w:bookmarkEnd w:id="81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استناده للتنظير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النهي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اقرائك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للبطلان، غير تام أيضاً؛ فإن النهي مولوي </w:t>
      </w:r>
    </w:p>
    <w:p>
      <w:pPr>
        <w:pStyle w:val="BookText"/>
        <w:rPr/>
      </w:pPr>
      <w:r>
        <w:rPr>
          <w:rFonts w:ascii="Amiri" w:hAnsi="Amiri" w:eastAsia="Amiri" w:cs="Amiri"/>
          <w:color w:val="111111"/>
          <w:sz w:val="28"/>
          <w:sz w:val="28"/>
          <w:szCs w:val="28"/>
          <w:rtl w:val="true"/>
          <w:lang w:bidi="ar-SA"/>
        </w:rPr>
        <w:t xml:space="preserve">ويحرم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شهرة عظيمة بل لعله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أحكام الحائض، وهي أمور،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العبادات المشروطة بالطهارة كالصلاة والصوم والطواف والاعتكاف</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ولم يحشّ عليه أي من المراجع العظام، فيما بيدي من تعليقاتهم، ومنهم السيد الخوئي نفسه،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النائيني، والشيخ عبد الكريم الحائري، وآقا ضياء العراقي، والسيد أبو الحسن الأصفهاني، والسيد حسين البروجردي، والسيد عبد الهادي الشيرازي، والسيد محسن الحكيم، والسيد أحمد الخوانساري، والسيد الكلبايكاني، والشيخ محمد رضا آل ياسين، والشيخ علي الجواهري رحمهم الله جميعاً وغيرهم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وكذلك لم يحش عليه السيد الوالد، والسيد حسن القمي، والسيد المرعشي النجفي رحمة الله عليهم</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لاحتمال إرادتهم التحريم وضعاً، كما يظهر عند ملاحظة سائر المحرمات المذكورة في أحكامها، وكما هو الأصل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وصيغةً، وكما درج عليه الفقهاء</w:t>
      </w:r>
      <w:r>
        <w:rPr>
          <w:rFonts w:eastAsia="Amiri" w:cs="Amiri" w:ascii="Amiri" w:hAnsi="Amiri"/>
          <w:color w:val="111111"/>
          <w:sz w:val="28"/>
          <w:szCs w:val="28"/>
          <w:rtl w:val="true"/>
          <w:lang w:bidi="ar-SA"/>
        </w:rPr>
        <w:t xml:space="preserve">. </w:t>
      </w:r>
      <w:bookmarkStart w:id="813" w:name="pg7671_76852"/>
    </w:p>
    <w:p>
      <w:pPr>
        <w:pStyle w:val="Heading4"/>
        <w:numPr>
          <w:ilvl w:val="3"/>
          <w:numId w:val="1"/>
        </w:numPr>
        <w:rPr/>
      </w:pPr>
      <w:bookmarkStart w:id="814" w:name="__RefHeading___Toc3959729_1051229030"/>
      <w:bookmarkStart w:id="815" w:name="_Toc296"/>
      <w:bookmarkEnd w:id="813"/>
      <w:bookmarkEnd w:id="814"/>
      <w:r>
        <w:rPr>
          <w:rtl w:val="true"/>
        </w:rPr>
        <w:t>«</w:t>
      </w:r>
      <w:r>
        <w:rPr>
          <w:rtl w:val="true"/>
        </w:rPr>
        <w:t>أحل الله البيع</w:t>
      </w:r>
      <w:r>
        <w:rPr>
          <w:rtl w:val="true"/>
        </w:rPr>
        <w:t>»</w:t>
      </w:r>
      <w:bookmarkEnd w:id="815"/>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 وَأَحَلَّ اللّهُ الْبَيْعَ وَحَرَّمَ الرِّبَا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لحليته، بل هو إخبار وإن استلزم الإرشاد 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دونه</w:t>
      </w:r>
      <w:r>
        <w:rPr>
          <w:rStyle w:val="FootnoteAnchor"/>
          <w:rtl w:val="true"/>
        </w:rPr>
        <w:footnoteReference w:id="778"/>
      </w:r>
      <w:r>
        <w:rPr>
          <w:rFonts w:ascii="Amiri" w:hAnsi="Amiri" w:eastAsia="Amiri" w:cs="Amiri"/>
          <w:color w:val="111111"/>
          <w:sz w:val="28"/>
          <w:sz w:val="28"/>
          <w:szCs w:val="28"/>
          <w:rtl w:val="true"/>
          <w:lang w:bidi="ar-SA"/>
        </w:rPr>
        <w:t>لظهور كونه في مقام التعليل، لرد كلامهم بدعوى المثلية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مولوي تشريعي؛ بدعوى أن ظهوره في التشريع والإنشاء، أقوى من ظهور السياق في الإخبار،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في القرآن غير عزيز حتى صار كأنه الأصل</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3959731_1051229030"/>
      <w:bookmarkStart w:id="817" w:name="_Toc297"/>
      <w:bookmarkEnd w:id="816"/>
      <w:r>
        <w:rPr>
          <w:rtl w:val="true"/>
        </w:rPr>
        <w:t xml:space="preserve">هل المراد ب </w:t>
      </w:r>
      <w:r>
        <w:rPr>
          <w:rtl w:val="true"/>
        </w:rPr>
        <w:t>«</w:t>
      </w:r>
      <w:r>
        <w:rPr>
          <w:rtl w:val="true"/>
        </w:rPr>
        <w:t>أحل</w:t>
      </w:r>
      <w:r>
        <w:rPr>
          <w:rtl w:val="true"/>
        </w:rPr>
        <w:t xml:space="preserve">» </w:t>
      </w:r>
      <w:r>
        <w:rPr>
          <w:rtl w:val="true"/>
        </w:rPr>
        <w:t>الحكم الوضعي أم التكليفي؟</w:t>
      </w:r>
      <w:bookmarkEnd w:id="8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الحكم التكليفي فقط، أو الحكم الوضعي بمعنى الصحة أو النفوذ أو ما أشبه، أو كلاهما؟قال الشيخ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أنه يدل على حلية جميع التصرفات المترتبة على البيع،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دالة عرفاً بالمطابقة على صحة البيع، لا مجرد الحكم التكليفي لكنه محل تأمل</w:t>
      </w:r>
      <w:r>
        <w:rPr>
          <w:rFonts w:eastAsia="Amiri" w:cs="Amiri" w:ascii="Amiri" w:hAnsi="Amiri"/>
          <w:color w:val="111111"/>
          <w:sz w:val="28"/>
          <w:szCs w:val="28"/>
          <w:rtl w:val="true"/>
          <w:lang w:bidi="ar-SA"/>
        </w:rPr>
        <w:t>).</w:t>
      </w:r>
      <w:r>
        <w:rPr>
          <w:rStyle w:val="FootnoteAnchor"/>
          <w:rtl w:val="true"/>
        </w:rPr>
        <w:footnoteReference w:id="780"/>
      </w:r>
      <w:bookmarkStart w:id="818" w:name="pg7671_76854"/>
    </w:p>
    <w:p>
      <w:pPr>
        <w:pStyle w:val="BookText"/>
        <w:rPr/>
      </w:pPr>
      <w:bookmarkEnd w:id="818"/>
      <w:r>
        <w:rPr>
          <w:rFonts w:ascii="Amiri" w:hAnsi="Amiri" w:eastAsia="Amiri" w:cs="Amiri"/>
          <w:color w:val="111111"/>
          <w:sz w:val="28"/>
          <w:sz w:val="28"/>
          <w:szCs w:val="28"/>
          <w:rtl w:val="true"/>
          <w:lang w:bidi="ar-SA"/>
        </w:rPr>
        <w:t>وظاهر أن تأمله في دعوى الدلالة بالمطابقة على صحة البيع، لا على دلالتها على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كلامه، دلالتها إنشاءً على الحكم التكليفي لا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هذا المبحث مجال آخر، إذ المقصود بها البحث هنا هو أن دلالته على الحكم التكليفي أو الحكم الوضعي أو كليهما ـ على مختلف المباني ـ هل هي مولوية أم إرشادية؟</w:t>
      </w:r>
    </w:p>
    <w:p>
      <w:pPr>
        <w:pStyle w:val="Heading4"/>
        <w:numPr>
          <w:ilvl w:val="3"/>
          <w:numId w:val="1"/>
        </w:numPr>
        <w:rPr/>
      </w:pPr>
      <w:bookmarkStart w:id="819" w:name="__RefHeading___Toc3959733_1051229030"/>
      <w:bookmarkStart w:id="820" w:name="_Toc298"/>
      <w:bookmarkEnd w:id="819"/>
      <w:r>
        <w:rPr>
          <w:rtl w:val="true"/>
        </w:rPr>
        <w:t>هل حلية البيع مستقل عقلي؟</w:t>
      </w:r>
      <w:bookmarkEnd w:id="820"/>
    </w:p>
    <w:p>
      <w:pPr>
        <w:pStyle w:val="BookText"/>
        <w:rPr/>
      </w:pPr>
      <w:r>
        <w:rPr>
          <w:rFonts w:ascii="Amiri" w:hAnsi="Amiri" w:eastAsia="Amiri" w:cs="Amiri"/>
          <w:color w:val="111111"/>
          <w:sz w:val="28"/>
          <w:sz w:val="28"/>
          <w:szCs w:val="28"/>
          <w:rtl w:val="true"/>
          <w:lang w:bidi="ar-SA"/>
        </w:rPr>
        <w:t xml:space="preserve">ثم أنه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لكونه وجهاً من وجوه التصرف والتقلب في الملك، وهو مما يستقل العقل بحسنه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ارتباط الأحكام بالمصالح والمفاسد، وهي معلولة لها، ولا فرق بين كونها مصالح ومفاسد عامة أو خاصة</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لعلّهُ البرهان الإنّي؛ إذ ننتقل من أنه تعالى أحل البيع، ومن تحريمه الربا، إلى وجود المصلحة أو المفسدة، نظراً لحكمته تعالى، وإلا لكان للخصم أن يقول بدلالتها على العكس، وأنه تعالى يفرق بينهما بأنه هو ـ جل اسمه ـ الذي يحلل ويحرم وقد حلل </w:t>
      </w:r>
      <w:bookmarkStart w:id="821" w:name="pg7671_76856"/>
    </w:p>
    <w:p>
      <w:pPr>
        <w:pStyle w:val="BookText"/>
        <w:rPr/>
      </w:pPr>
      <w:bookmarkEnd w:id="821"/>
      <w:r>
        <w:rPr>
          <w:rFonts w:ascii="Amiri" w:hAnsi="Amiri" w:eastAsia="Amiri" w:cs="Amiri"/>
          <w:color w:val="111111"/>
          <w:sz w:val="28"/>
          <w:sz w:val="28"/>
          <w:szCs w:val="28"/>
          <w:rtl w:val="true"/>
          <w:lang w:bidi="ar-SA"/>
        </w:rPr>
        <w:t xml:space="preserve">هذا وحرم ذاك، فلا وجه لدعواهم التماثل، فيعود الاستدلال إلى كونه استدلالاً بحكمته تعالى، لا بالآية، إلا أن يستند إلى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الربا، دون البيع، وإلى ما 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782"/>
      </w:r>
    </w:p>
    <w:p>
      <w:pPr>
        <w:pStyle w:val="Heading4"/>
        <w:numPr>
          <w:ilvl w:val="3"/>
          <w:numId w:val="1"/>
        </w:numPr>
        <w:rPr/>
      </w:pPr>
      <w:bookmarkStart w:id="822" w:name="__RefHeading___Toc3959735_1051229030"/>
      <w:bookmarkStart w:id="823" w:name="_Toc299"/>
      <w:bookmarkEnd w:id="822"/>
      <w:r>
        <w:rPr>
          <w:rtl w:val="true"/>
        </w:rPr>
        <w:t>روايات دالة على كلي محبوبية العمل الاقتصادي وهل هي مولوية؟</w:t>
      </w:r>
      <w:bookmarkEnd w:id="823"/>
    </w:p>
    <w:p>
      <w:pPr>
        <w:pStyle w:val="BookText"/>
        <w:rPr/>
      </w:pPr>
      <w:r>
        <w:rPr>
          <w:rFonts w:ascii="Amiri" w:hAnsi="Amiri" w:eastAsia="Amiri" w:cs="Amiri"/>
          <w:color w:val="111111"/>
          <w:sz w:val="28"/>
          <w:sz w:val="28"/>
          <w:szCs w:val="28"/>
          <w:rtl w:val="true"/>
          <w:lang w:bidi="ar-SA"/>
        </w:rPr>
        <w:t>ثم إن مما يدل على كلي محبوبية العمل الاقتصادي</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959737_1051229030"/>
      <w:bookmarkStart w:id="825" w:name="_Toc300"/>
      <w:bookmarkEnd w:id="824"/>
      <w:r>
        <w:rPr>
          <w:rtl w:val="true"/>
        </w:rPr>
        <w:t>التأذي بحرِّ الشمس للرزق</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الكافي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وبيده 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في موضع آخر رواية أخرى، حيث دفع الإمام الصادق عليه السلام مالاً لعذافر، ليتجر به،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أحببت أن يراني الله جل وعز متعرضاً لفوائده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مما يقتضي كون الأمر بالعمل والتجارة مولوياً؛ بناء على كون ضابط المولوية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أمر به لمحبوبيته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صلوات الله عليهم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وبغضه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كأمهم البتول وجدهم الرسول صلوات الله عليهم أجمعين،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الله لرضاهم ويغضب لغضبهم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حبه عليه السلام لتأذي الرجل بحر الشمس، ليس حباً شخصياً نابعاً من الهوى والعياذ بالله، بل هو نابع من كون ذلك مما يحبه الله تعالى ومما يثيب عليه؛ فإن كل ما فعله الشخص لأنه يحبه الله، مثاب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بما هو مولى، وحب بما هو صديق أو إنسان أو ما أشبه ـ فإنه ممحض في الله وحبه بما هو إنسان حب بما هو لله أيضاً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مولى مشرع غير حبه بما هو ناصح فتأمل، وتمام الكلام في هذا البحث في علم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صرنا للضابط الأول، فإن ذلك مما يرجحه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محبوبية ومطلوبية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بما هو مولى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 أفضلها طلب الحلال</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الكلي الطبيعي مع مصاديقه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الحمل حملاً شائعاً صناعياً بل هو ذاتي أولي، لأنها جنسه فتأمل</w:t>
      </w:r>
      <w:r>
        <w:rPr>
          <w:rFonts w:eastAsia="Amiri" w:cs="Amiri" w:ascii="Amiri" w:hAnsi="Amiri"/>
          <w:color w:val="111111"/>
          <w:sz w:val="28"/>
          <w:szCs w:val="28"/>
          <w:rtl w:val="true"/>
          <w:lang w:bidi="ar-SA"/>
        </w:rPr>
        <w:t xml:space="preserve">. </w:t>
      </w:r>
      <w:bookmarkStart w:id="826" w:name="pg7671_76860"/>
    </w:p>
    <w:p>
      <w:pPr>
        <w:pStyle w:val="BookText"/>
        <w:rPr/>
      </w:pPr>
      <w:bookmarkEnd w:id="826"/>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 لو وقع، فإنه أمر مولوي حسب مقتضى الأصل والقاعدة، وإن أمكن كونه بما هو ناصح إرشادياً</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3959739_1051229030"/>
      <w:bookmarkStart w:id="828" w:name="_Toc301"/>
      <w:bookmarkEnd w:id="827"/>
      <w:r>
        <w:rPr>
          <w:rtl w:val="true"/>
        </w:rPr>
        <w:t xml:space="preserve">رواية </w:t>
      </w:r>
      <w:r>
        <w:rPr>
          <w:rtl w:val="true"/>
        </w:rPr>
        <w:t>(</w:t>
      </w:r>
      <w:r>
        <w:rPr>
          <w:rtl w:val="true"/>
        </w:rPr>
        <w:t>إصلاح المال من الإيمان</w:t>
      </w:r>
      <w:r>
        <w:rPr>
          <w:rtl w:val="true"/>
        </w:rPr>
        <w:t>)</w:t>
      </w:r>
      <w:bookmarkEnd w:id="8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المال من الإيمان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مطلوب للمولى بما هو مولى،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أعم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يُبقي الدار أو البستان سالماً من الخراب أو من آفات الزرع،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يتجر به لينمو ويتضاعف،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ترشيدإنفاقه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يقتصد في الإنفاق فلا يمسك ولا يسرف</w:t>
      </w:r>
      <w:r>
        <w:rPr>
          <w:rStyle w:val="FootnoteAnchor"/>
          <w:rtl w:val="true"/>
        </w:rPr>
        <w:footnoteReference w:id="786"/>
      </w:r>
      <w:r>
        <w:rPr>
          <w:rFonts w:ascii="Amiri" w:hAnsi="Amiri" w:eastAsia="Amiri" w:cs="Amiri"/>
          <w:color w:val="111111"/>
          <w:sz w:val="28"/>
          <w:sz w:val="28"/>
          <w:szCs w:val="28"/>
          <w:rtl w:val="true"/>
          <w:lang w:bidi="ar-SA"/>
        </w:rPr>
        <w:t xml:space="preserve">ولعله يشمل عموم العلة المحدثة والعلة المبقية بأن يكتسبه من حلّه وينفقه في محله فإذا فعل ذلك كله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959741_1051229030"/>
      <w:bookmarkStart w:id="830" w:name="_Toc302"/>
      <w:bookmarkEnd w:id="829"/>
      <w:r>
        <w:rPr>
          <w:rtl w:val="true"/>
        </w:rPr>
        <w:t>طلب الرزق أجره أعظم من الجهاد</w:t>
      </w:r>
      <w:bookmarkEnd w:id="8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زكريا بن آدم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يطلب من فضل الله عز وجل ما يكفّ به عياله، أعظم أجراً من المجاهد في سبيل الله عز وجل</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صحيح، ولعله يستفاد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للاكتساب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كما ترى صريحة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فينطبق الضابط التاسع للمولوي على من اكتسب طالباً فضل الله دون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إبراهيم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والحديث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انطباق عناوين أخرى على العمل والتجارة والصنعة، فإن الواسطة واسطة في الثبوت لا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فهل هو مولوي أو إرشادي؟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أم إنشاء؟ وعلى كونه إنشاء فهل إنه بما هو مولى قد أحل البيع؟ أم أمضى بناء العقلاء عليه؟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الجواز؟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النفوذ؟ أم الأعم؟ فصلنا ذلك في موضع آخر فليلاحظ</w:t>
      </w:r>
      <w:r>
        <w:rPr>
          <w:rFonts w:eastAsia="Amiri" w:cs="Amiri" w:ascii="Amiri" w:hAnsi="Amiri"/>
          <w:color w:val="111111"/>
          <w:sz w:val="28"/>
          <w:szCs w:val="28"/>
          <w:rtl w:val="true"/>
          <w:lang w:bidi="ar-SA"/>
        </w:rPr>
        <w:t xml:space="preserve">. </w:t>
      </w:r>
      <w:bookmarkStart w:id="831" w:name="pg7671_76865"/>
    </w:p>
    <w:p>
      <w:pPr>
        <w:pStyle w:val="BookText"/>
        <w:rPr/>
      </w:pPr>
      <w:bookmarkEnd w:id="831"/>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832" w:name="__RefHeading___Toc3959743_1051229030"/>
      <w:bookmarkStart w:id="833" w:name="_Toc303"/>
      <w:bookmarkEnd w:id="832"/>
      <w:r>
        <w:rPr/>
        <w:t>7</w:t>
      </w:r>
      <w:r>
        <w:rPr>
          <w:rtl w:val="true"/>
        </w:rPr>
        <w:t xml:space="preserve">- </w:t>
      </w:r>
      <w:r>
        <w:rPr>
          <w:rtl w:val="true"/>
        </w:rPr>
        <w:t>الأوامر والنواهي في الشؤون السياسية</w:t>
      </w:r>
      <w:bookmarkEnd w:id="833"/>
    </w:p>
    <w:p>
      <w:pPr>
        <w:pStyle w:val="Heading4"/>
        <w:numPr>
          <w:ilvl w:val="3"/>
          <w:numId w:val="1"/>
        </w:numPr>
        <w:rPr/>
      </w:pPr>
      <w:bookmarkStart w:id="834" w:name="__RefHeading___Toc3959745_1051229030"/>
      <w:bookmarkStart w:id="835" w:name="_Toc304"/>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ومنها القضايا السياسية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959747_1051229030"/>
      <w:bookmarkStart w:id="837" w:name="_Toc305"/>
      <w:bookmarkEnd w:id="836"/>
      <w:r>
        <w:rPr>
          <w:rtl w:val="true"/>
        </w:rPr>
        <w:t>«</w:t>
      </w:r>
      <w:r>
        <w:rPr>
          <w:rtl w:val="true"/>
        </w:rPr>
        <w:t>يضع عنهم إصرهم والأغلال</w:t>
      </w:r>
      <w:r>
        <w:rPr>
          <w:rtl w:val="true"/>
        </w:rPr>
        <w:t>»</w:t>
      </w:r>
      <w:bookmarkEnd w:id="837"/>
    </w:p>
    <w:p>
      <w:pPr>
        <w:pStyle w:val="BookText"/>
        <w:rPr/>
      </w:pPr>
      <w:r>
        <w:rPr>
          <w:rFonts w:ascii="Amiri" w:hAnsi="Amiri" w:eastAsia="Amiri" w:cs="Amiri"/>
          <w:color w:val="111111"/>
          <w:sz w:val="28"/>
          <w:sz w:val="28"/>
          <w:szCs w:val="28"/>
          <w:rtl w:val="true"/>
          <w:lang w:bidi="ar-SA"/>
        </w:rPr>
        <w:t>كقوله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790"/>
      </w:r>
    </w:p>
    <w:p>
      <w:pPr>
        <w:pStyle w:val="Heading4"/>
        <w:numPr>
          <w:ilvl w:val="3"/>
          <w:numId w:val="1"/>
        </w:numPr>
        <w:rPr/>
      </w:pPr>
      <w:bookmarkStart w:id="838" w:name="__RefHeading___Toc3959749_1051229030"/>
      <w:bookmarkStart w:id="839" w:name="_Toc306"/>
      <w:bookmarkEnd w:id="838"/>
      <w:r>
        <w:rPr>
          <w:rtl w:val="true"/>
        </w:rPr>
        <w:t>الوضع التشريعي والتكويني للإصر</w:t>
      </w:r>
      <w:bookmarkEnd w:id="8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هو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 عليه الروايات الآتية وما ذكر فيها من المصاديق التشريعية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ويؤيده السياق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لهم الطيبات 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بما هو مولى لا بما هو مرشد، أو هو شامل له ولمصاديق تكوينية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على الأمم السابقة، ولما قام به صلى الله عليه وآله، تكويناً، من وضع الآصار والأغلال عنهم بإسقاط الحكومات الكابتة للحريات، فهو </w:t>
      </w:r>
      <w:bookmarkStart w:id="840" w:name="pg7671_76867"/>
    </w:p>
    <w:p>
      <w:pPr>
        <w:pStyle w:val="BookText"/>
        <w:rPr/>
      </w:pPr>
      <w:bookmarkEnd w:id="840"/>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 والتشريعي، كما أنه أعم من رفع قانون كابت أو وضع قانون مطلِق، إطلاقاً أو مناطاً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أعم ـ ملاكاً ـ من الدفع والرفع، أو العلة المحدثة والمبقية، وإن توهم في بدو النظر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وضعه ذلك عنهم، أعم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بعدم تشريع ما هو كذلك، وتشريع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حاله صلى الله عليه وآله، وليس إنشاء بصيغة إخبار؛ فإنه بعيد جداً بالنظر لسياق الآية، وإن كان ممكناً بالنظر للجملة الفعلية نفسها، لكنه إخبار عما من شأنه وفعله بما هو مولى، لا بما هو ناصح ومرشد، فيصلح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للأقوال والتشريعات، وللأفعال المولوية خارج دائرة الأوامر والنواهي المولوية، وذلك كما أن من الأقوال والأفعال</w:t>
      </w:r>
      <w:r>
        <w:rPr>
          <w:rStyle w:val="FootnoteAnchor"/>
          <w:rtl w:val="true"/>
        </w:rPr>
        <w:footnoteReference w:id="791"/>
      </w:r>
      <w:r>
        <w:rPr>
          <w:rFonts w:ascii="Amiri" w:hAnsi="Amiri" w:eastAsia="Amiri" w:cs="Amiri"/>
          <w:color w:val="111111"/>
          <w:sz w:val="28"/>
          <w:sz w:val="28"/>
          <w:szCs w:val="28"/>
          <w:rtl w:val="true"/>
          <w:lang w:bidi="ar-SA"/>
        </w:rPr>
        <w:t>ما هو إرشادي مما لم يكن أمراً ولا نهياً،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سواء كان إنشاء أم إخباراً عما صنعه الشارع،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عنهم إصرهم والأغلال، مولوي، أي صادر عنه بما هو مشرّع ومولى، فمن خالف وعارض، أثم واستحق العقاب</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959751_1051229030"/>
      <w:bookmarkStart w:id="842" w:name="_Toc307"/>
      <w:bookmarkEnd w:id="841"/>
      <w:r>
        <w:rPr>
          <w:rtl w:val="true"/>
        </w:rPr>
        <w:t>أنواع ومصاديق الإصر والأغلال</w:t>
      </w:r>
      <w:bookmarkEnd w:id="84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 والعقد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ذنباً يشق علينا،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الشيء وحبسه بقهر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الطنب والأوتاد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محبس السفينة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جعلوه على أنفسهم بسوء تدبيرهم وتصرفهم، من قوانين كابتة اجتماعية؛ فإنه صلى الله عليه وآله كذلك فعل بها، فوضعها عنهم ورفعها وأزالها، وكان ذلك من شأنه بما هو مشرع للأفضل، ولما يسعد الناس ديناً ودنياً وآخرة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جعلته الحكومات عليهم، من قيود وحدود وضغوط،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جعله الله عليهم بسوء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المصاديق المذكورة في الروايات هي من هذا القبيل؛ ولذا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الأمور التي قيدتهم من الشرائع والتقاليد</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ومن النوع الثالث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كُلَّ ذِي ظُفُرٍ وَمِنَ الْبَقَرِ وَالْغَنَمِ حَرَّمْنَا عَلَيْهِمْ شُحُومَهُمَا إِلاَّ مَا حَمَلَتْ ظُهُورُهُمَا أَوِ الْحَوَايَا أَوْ مَا اخْتَلَطَ بِعَظْمٍ ذَلِكَ جَزَيْنَاهُم بِبَغْيِهِمْ وِإِنَّا لَصَادِقُونَ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وهو الذي طلبه المؤمنون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التكاليف الامتحانية التي ابتلى بها اللهُ، الأممَ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فرض عليهم الغسل والوضوء بالماء ولم يحل لهم التيمم، ولم يحل لهم الصلاة إلا في الكنائس والبيع والمحاريب، وكان على الرجل إذا أذنب أن يجرح نفسه جرحاً مبيناً ليعلم أنه أذنب</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السبت، والعروق والشحوم، ووجوب القصاص دون الدية، وقتل نفوسهم في التوبة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وهذه كلها تشريعات مولوية، وتنقسم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w:t>
      </w:r>
      <w:r>
        <w:rPr>
          <w:rStyle w:val="FootnoteAnchor"/>
          <w:rtl w:val="true"/>
        </w:rPr>
        <w:footnoteReference w:id="799"/>
      </w:r>
      <w:r>
        <w:rPr>
          <w:rFonts w:ascii="Amiri" w:hAnsi="Amiri" w:eastAsia="Amiri" w:cs="Amiri"/>
          <w:color w:val="111111"/>
          <w:sz w:val="28"/>
          <w:sz w:val="28"/>
          <w:szCs w:val="28"/>
          <w:rtl w:val="true"/>
          <w:lang w:bidi="ar-SA"/>
        </w:rPr>
        <w:t xml:space="preserve">وما رفع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يجعل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الدية بدلاً، وعدم جعل التيمم، والأول ينقسم إلى واجب وحرام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وآله عن الله تعالى في حديث طويل نقله الصافي جاء فيه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فرضت عليهم خمسين صلاة في خمسين وقتاً، وهي من الآصار التي كانت عليهم فرفعت</w:t>
      </w:r>
      <w:r>
        <w:rPr>
          <w:rStyle w:val="FootnoteAnchor"/>
          <w:rtl w:val="true"/>
        </w:rPr>
        <w:footnoteReference w:id="800"/>
      </w:r>
      <w:r>
        <w:rPr>
          <w:rFonts w:ascii="Amiri" w:hAnsi="Amiri" w:eastAsia="Amiri" w:cs="Amiri"/>
          <w:color w:val="111111"/>
          <w:sz w:val="28"/>
          <w:sz w:val="28"/>
          <w:szCs w:val="28"/>
          <w:rtl w:val="true"/>
          <w:lang w:bidi="ar-SA"/>
        </w:rPr>
        <w:t>ذلك عن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الأمم السالفة، حسنتُهم بحسنة وسيئتهم بسيئة، وهي من الآصار التي كانت عليهم، فرفعتها عن أمتك، وجعلت الحسنة بعشر</w:t>
      </w:r>
      <w:r>
        <w:rPr>
          <w:rStyle w:val="FootnoteAnchor"/>
          <w:rtl w:val="true"/>
        </w:rPr>
        <w:footnoteReference w:id="801"/>
      </w:r>
      <w:r>
        <w:rPr>
          <w:rFonts w:ascii="Amiri" w:hAnsi="Amiri" w:eastAsia="Amiri" w:cs="Amiri"/>
          <w:color w:val="111111"/>
          <w:sz w:val="28"/>
          <w:sz w:val="28"/>
          <w:szCs w:val="28"/>
          <w:rtl w:val="true"/>
          <w:lang w:bidi="ar-SA"/>
        </w:rPr>
        <w:t>والسيئة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الأمم السالفة إذا نوى أحدهم حسنة ثم لم يعملها لم تكتب له، وإن عملها كتبت له حسنة، وإن أمتك إذا همّ أحدهم بحسنة ولم </w:t>
      </w:r>
    </w:p>
    <w:p>
      <w:pPr>
        <w:pStyle w:val="BookText"/>
        <w:rPr/>
      </w:pPr>
      <w:r>
        <w:rPr>
          <w:rFonts w:ascii="Amiri" w:hAnsi="Amiri" w:eastAsia="Amiri" w:cs="Amiri"/>
          <w:color w:val="111111"/>
          <w:sz w:val="28"/>
          <w:sz w:val="28"/>
          <w:szCs w:val="28"/>
          <w:rtl w:val="true"/>
          <w:lang w:bidi="ar-SA"/>
        </w:rPr>
        <w:t>يعملها كتبت له حسنة وإن عملها كتبت له عشر</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وكانت الأمم السالفة إذا همّ أحدهم بسيئة ثم لم يعملها لم تكتب له وإن عملها كتبت له سيئة، وإن أمتك إذا همّ أحدهم بسيئة ثم لم يعملها كتبت له حسنة، وهذه من الآصار التي كانت عليهم، فرفعتُ ذلك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الأمم السالفة إذا أذنبوا، كتبت ذنوبهم على أبدانهم، وجعلت توبتهم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حرّمت عليهم بعد التوبة أحب الطعام إليهم، وقد رفعت ذلك عن أمتك وجعلت ذنوبهم فيما بيني وبينهم وجعلت عليهم ستوراً كثيفة، أو قبلت توبتهم بلا عقوبة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وكانت الأمم السالفة يتوب أحدهم من الذنب الواحد مائة سنة أو ثمانين سنة أو خمسين سنة، ثم لا أقبل توبته دون أن أعاقبه في الدنيا بعقوبة، وهي من الآصار التي كانت عليهم فرفعتها عن أمتك</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ومما سبق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فسره به في الصافي ذيل الآية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Style w:val="FootnoteAnchor"/>
          <w:rtl w:val="true"/>
        </w:rPr>
        <w:footnoteReference w:id="805"/>
      </w:r>
      <w:r>
        <w:rPr>
          <w:rFonts w:ascii="Amiri" w:hAnsi="Amiri" w:eastAsia="Amiri" w:cs="Amiri"/>
          <w:color w:val="111111"/>
          <w:sz w:val="28"/>
          <w:sz w:val="28"/>
          <w:szCs w:val="28"/>
          <w:rtl w:val="true"/>
          <w:lang w:bidi="ar-SA"/>
        </w:rPr>
        <w:t xml:space="preserve">وأنه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بها لاحقاً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يشمل كل حكم تكليفي ووضعي، كما يشمل بعض الآثار التكوينية للأفعال</w:t>
      </w:r>
      <w:r>
        <w:rPr>
          <w:rFonts w:eastAsia="Amiri" w:cs="Amiri" w:ascii="Amiri" w:hAnsi="Amiri"/>
          <w:color w:val="111111"/>
          <w:sz w:val="28"/>
          <w:szCs w:val="28"/>
          <w:rtl w:val="true"/>
          <w:lang w:bidi="ar-SA"/>
        </w:rPr>
        <w:t xml:space="preserve">. </w:t>
      </w:r>
      <w:bookmarkStart w:id="843" w:name="pg7671_76874"/>
    </w:p>
    <w:p>
      <w:pPr>
        <w:pStyle w:val="BookText"/>
        <w:rPr/>
      </w:pPr>
      <w:bookmarkEnd w:id="843"/>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الإصر والأغلال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 حسنه عقلاً، وهو من المستقلات العقلية حسناً ووجوباً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959753_1051229030"/>
      <w:bookmarkStart w:id="845" w:name="_Toc308"/>
      <w:bookmarkEnd w:id="844"/>
      <w:r>
        <w:rPr>
          <w:rtl w:val="true"/>
        </w:rPr>
        <w:t>المولوية أو الإرشادية على الضوابط التسعة</w:t>
      </w:r>
      <w:bookmarkEnd w:id="845"/>
    </w:p>
    <w:p>
      <w:pPr>
        <w:pStyle w:val="BookText"/>
        <w:rPr/>
      </w:pPr>
      <w:r>
        <w:rPr>
          <w:rFonts w:ascii="Amiri" w:hAnsi="Amiri" w:eastAsia="Amiri" w:cs="Amiri"/>
          <w:color w:val="111111"/>
          <w:sz w:val="28"/>
          <w:sz w:val="28"/>
          <w:szCs w:val="28"/>
          <w:rtl w:val="true"/>
          <w:lang w:bidi="ar-SA"/>
        </w:rPr>
        <w:t>وحيث أوضحنا في فصل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الخامس للمولوي ـ وهو ما كان في غير المستقلات العقلية ـ غير تام، ومثله الضابط السادس والسابع والثامن، أمكن كون وضع الآصار، مولوياً، بل هو كذلك على الضابط الأول الذي صرنا إليه</w:t>
      </w:r>
      <w:r>
        <w:rPr>
          <w:rStyle w:val="FootnoteAnchor"/>
          <w:rtl w:val="true"/>
        </w:rPr>
        <w:footnoteReference w:id="806"/>
      </w:r>
      <w:r>
        <w:rPr>
          <w:rFonts w:ascii="IRNazanin" w:hAnsi="IRNazanin" w:eastAsia="IRNazanin"/>
          <w:color w:val="111111"/>
          <w:sz w:val="28"/>
          <w:sz w:val="28"/>
          <w:szCs w:val="28"/>
          <w:rtl w:val="true"/>
          <w:lang w:bidi="fa-IR"/>
        </w:rPr>
        <w:t>بل وعلى الضابط الثالث</w:t>
      </w:r>
      <w:r>
        <w:rPr>
          <w:rStyle w:val="FootnoteAnchor"/>
          <w:rtl w:val="true"/>
        </w:rPr>
        <w:footnoteReference w:id="807"/>
      </w:r>
      <w:r>
        <w:rPr>
          <w:rFonts w:ascii="Amiri" w:hAnsi="Amiri" w:eastAsia="Amiri" w:cs="Amiri"/>
          <w:color w:val="111111"/>
          <w:sz w:val="28"/>
          <w:sz w:val="28"/>
          <w:szCs w:val="28"/>
          <w:rtl w:val="true"/>
          <w:lang w:bidi="ar-SA"/>
        </w:rPr>
        <w:t>فإنه لا شك في محبوبية وضع الآصار عن العباد، له تعالى ولرسوله الكريم، ولذا طلبه صلى الله عليه وآله منه تعالى واستجاب 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الضابط الثاني</w:t>
      </w:r>
      <w:r>
        <w:rPr>
          <w:rStyle w:val="FootnoteAnchor"/>
          <w:rtl w:val="true"/>
        </w:rPr>
        <w:footnoteReference w:id="808"/>
      </w:r>
      <w:r>
        <w:rPr>
          <w:rFonts w:ascii="Amiri" w:hAnsi="Amiri" w:eastAsia="Amiri" w:cs="Amiri"/>
          <w:color w:val="111111"/>
          <w:sz w:val="28"/>
          <w:sz w:val="28"/>
          <w:szCs w:val="28"/>
          <w:rtl w:val="true"/>
          <w:lang w:bidi="ar-SA"/>
        </w:rPr>
        <w:t>أيضاً، فإن التخفيف عن العبيد، أدعى لإطاعتهم وانقيادهم؛ فإنه وإن كان لمصلحتهم دنيوياً في بادي النظر، إلا أنه لمصلحتهم الأخروية مآلاً، وهو المقصد الأصلي للتشريع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يرد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المصلحة الدنيوية ـ فتأمل</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959755_1051229030"/>
      <w:bookmarkStart w:id="847" w:name="_Toc309"/>
      <w:bookmarkEnd w:id="846"/>
      <w:r>
        <w:rPr>
          <w:rtl w:val="true"/>
        </w:rPr>
        <w:t>«</w:t>
      </w:r>
      <w:r>
        <w:rPr>
          <w:rtl w:val="true"/>
        </w:rPr>
        <w:t>ولا تركنوا إلى الذين ظلموا</w:t>
      </w:r>
      <w:r>
        <w:rPr>
          <w:rtl w:val="true"/>
        </w:rPr>
        <w:t>»</w:t>
      </w:r>
      <w:bookmarkEnd w:id="8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إليهم ولو أدنى ميل</w:t>
      </w:r>
      <w:r>
        <w:rPr>
          <w:rFonts w:eastAsia="Amiri" w:cs="Amiri" w:ascii="Amiri" w:hAnsi="Amiri"/>
          <w:color w:val="111111"/>
          <w:sz w:val="28"/>
          <w:szCs w:val="28"/>
          <w:rtl w:val="true"/>
          <w:lang w:bidi="ar-SA"/>
        </w:rPr>
        <w:t>.</w:t>
      </w:r>
      <w:r>
        <w:rPr>
          <w:rStyle w:val="FootnoteAnchor"/>
          <w:rtl w:val="true"/>
        </w:rPr>
        <w:footnoteReference w:id="810"/>
      </w:r>
      <w:bookmarkStart w:id="848" w:name="pg7671_76876"/>
    </w:p>
    <w:p>
      <w:pPr>
        <w:pStyle w:val="BookText"/>
        <w:rPr/>
      </w:pPr>
      <w:bookmarkEnd w:id="848"/>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للنصح؛ فإن ضابط المولوي الأول، منطبق عليه؛ إذ قد صدر من المولى بما هو مولى معملاً مقام مولويته؛ ولذا رتب عليه استحقاق العذاب بمس النار، وكذا ينطبق عليه الضابط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ومفسدة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وإن كان فيه مصلحة ومفسدة الدنيا أيضاً ـ والثالث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مبغوضاً للمولى وقد صدر لجهة مبغوضيته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وبرهانه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959757_1051229030"/>
      <w:bookmarkStart w:id="850" w:name="_Toc310"/>
      <w:bookmarkEnd w:id="849"/>
      <w:r>
        <w:rPr>
          <w:rtl w:val="true"/>
        </w:rPr>
        <w:t>مصاديق هامة للركون للظالم</w:t>
      </w:r>
      <w:bookmarkEnd w:id="850"/>
    </w:p>
    <w:p>
      <w:pPr>
        <w:pStyle w:val="BookText"/>
        <w:rPr/>
      </w:pPr>
      <w:r>
        <w:rPr>
          <w:rFonts w:ascii="Amiri" w:hAnsi="Amiri" w:eastAsia="Amiri" w:cs="Amiri"/>
          <w:color w:val="111111"/>
          <w:sz w:val="28"/>
          <w:sz w:val="28"/>
          <w:szCs w:val="28"/>
          <w:rtl w:val="true"/>
          <w:lang w:bidi="ar-SA"/>
        </w:rPr>
        <w:t>وقد ذكرت في الروايات مصاديق للركون للظالم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نقله الطبرسي في مجمع البيان عنهم عليهم الصلاة والسلام، فتكون الآية والرواية من أدلة حرمة إطاعة القوانين التي سنّها الحاكم الجائر أو الدولة المستبدة، سواء في الشؤون السياسية أم الاقتصادية أم الاجتماعية أم غيرها، اللهم إلا ما لزم منه اختلال النظام والهرج والمرج، كقوانين المرور مثلاً؛ فلا وجه لما قاله البعض من نفوذ حكم الحكومات الوضعية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بقاء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فائدة تعود للإنسان، كما فيما </w:t>
      </w:r>
    </w:p>
    <w:p>
      <w:pPr>
        <w:pStyle w:val="BookText"/>
        <w:rPr/>
      </w:pPr>
      <w:r>
        <w:rPr>
          <w:rFonts w:ascii="Amiri" w:hAnsi="Amiri" w:eastAsia="Amiri" w:cs="Amiri"/>
          <w:color w:val="111111"/>
          <w:sz w:val="28"/>
          <w:sz w:val="28"/>
          <w:szCs w:val="28"/>
          <w:rtl w:val="true"/>
          <w:lang w:bidi="ar-SA"/>
        </w:rPr>
        <w:t>رواه الكافي</w:t>
      </w:r>
      <w:r>
        <w:rPr>
          <w:rStyle w:val="FootnoteAnchor"/>
          <w:rtl w:val="true"/>
        </w:rPr>
        <w:footnoteReference w:id="811"/>
      </w: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فيحب بقاءه إلى ان يدخل يده في كيسه فيعطيه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 وملاكه شامل لمن أحب بقاءه لمصلحة عائدة لحزبه أو جماعته أو مرجعيته، كما نرى ذلك في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المصاديق، ما ذكره في المجمع</w:t>
      </w:r>
      <w:r>
        <w:rPr>
          <w:rStyle w:val="FootnoteAnchor"/>
          <w:rtl w:val="true"/>
        </w:rPr>
        <w:footnoteReference w:id="81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 إليه</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إليه بالمحبة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منه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إذ فسر الآية الشريفة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تميلوا إلى المشركينفي شيء من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تام لأن الشرك نوع من الظلم عظيم؛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وشمولها</w:t>
      </w:r>
      <w:r>
        <w:rPr>
          <w:rStyle w:val="FootnoteAnchor"/>
          <w:rtl w:val="true"/>
        </w:rPr>
        <w:footnoteReference w:id="816"/>
      </w:r>
      <w:r>
        <w:rPr>
          <w:rFonts w:ascii="Amiri" w:hAnsi="Amiri" w:eastAsia="Amiri" w:cs="Amiri"/>
          <w:color w:val="111111"/>
          <w:sz w:val="28"/>
          <w:sz w:val="28"/>
          <w:szCs w:val="28"/>
          <w:rtl w:val="true"/>
          <w:lang w:bidi="ar-SA"/>
        </w:rPr>
        <w:t>للحاكم الجائر واضح،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إلى قولهم</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إظهار الرضا </w:t>
      </w:r>
      <w:bookmarkStart w:id="851" w:name="pg7671_76880"/>
    </w:p>
    <w:p>
      <w:pPr>
        <w:pStyle w:val="BookText"/>
        <w:rPr/>
      </w:pPr>
      <w:bookmarkEnd w:id="851"/>
      <w:r>
        <w:rPr>
          <w:rFonts w:ascii="IRNazanin" w:hAnsi="IRNazanin" w:eastAsia="IRNazanin"/>
          <w:color w:val="111111"/>
          <w:sz w:val="28"/>
          <w:sz w:val="28"/>
          <w:szCs w:val="28"/>
          <w:rtl w:val="true"/>
          <w:lang w:bidi="fa-IR"/>
        </w:rPr>
        <w:t>بفعلهم</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مصاحبتهم ومصادقتهم ومداهنتهم</w:t>
      </w:r>
      <w:r>
        <w:rPr>
          <w:rFonts w:eastAsia="IRNazanin" w:cs="IRNazanin"/>
          <w:color w:val="111111"/>
          <w:sz w:val="28"/>
          <w:szCs w:val="28"/>
          <w:rtl w:val="true"/>
          <w:lang w:bidi="fa-IR"/>
        </w:rPr>
        <w:t>).</w:t>
      </w:r>
      <w:r>
        <w:rPr>
          <w:rStyle w:val="FootnoteAnchor"/>
          <w:rtl w:val="true"/>
        </w:rPr>
        <w:footnoteReference w:id="820"/>
      </w:r>
    </w:p>
    <w:p>
      <w:pPr>
        <w:pStyle w:val="Heading4"/>
        <w:numPr>
          <w:ilvl w:val="3"/>
          <w:numId w:val="1"/>
        </w:numPr>
        <w:rPr/>
      </w:pPr>
      <w:bookmarkStart w:id="852" w:name="__RefHeading___Toc3959759_1051229030"/>
      <w:bookmarkStart w:id="853" w:name="_Toc311"/>
      <w:bookmarkEnd w:id="852"/>
      <w:r>
        <w:rPr>
          <w:rtl w:val="true"/>
        </w:rPr>
        <w:t>حرمة الركون للظالم سواء في الأمور الدينية أم الدنيوية</w:t>
      </w:r>
      <w:bookmarkEnd w:id="853"/>
    </w:p>
    <w:p>
      <w:pPr>
        <w:pStyle w:val="BookText"/>
        <w:rPr/>
      </w:pPr>
      <w:r>
        <w:rPr>
          <w:rFonts w:ascii="Amiri" w:hAnsi="Amiri" w:eastAsia="Amiri" w:cs="Amiri"/>
          <w:color w:val="111111"/>
          <w:sz w:val="28"/>
          <w:sz w:val="28"/>
          <w:szCs w:val="28"/>
          <w:rtl w:val="true"/>
          <w:lang w:bidi="ar-SA"/>
        </w:rPr>
        <w:t>والظاهر أن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الظالمين في الأمور الدينية ونحوها محرم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غير تام؛ لإطلاق الآية وللملاك فإن الركون للظالم في شؤونه الشخصية العائلية والاقتصادية، كذلك محرم لترتب نفس المفاسد المذكورة في الروايات، من تقوية الظالم، وحب بقائه حتى يحل المشكلة مثلاً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رواية محمد بن عذافر عن أبيه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عذافر نُبِّئت أنك تعامل أبا أيوب 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حالك 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فقال له أبو عبد الله عليه السلام لما رأى ما أصابه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خوفتك بما خوفني الله عز 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أصاب الرجل منّا الضيق والشدة فيدعى إلى البناء يبنيه أو النهر يكريه أو المسناة ـ أي السد ـ </w:t>
      </w:r>
      <w:bookmarkStart w:id="854" w:name="pg7671_76882"/>
    </w:p>
    <w:p>
      <w:pPr>
        <w:pStyle w:val="BookText"/>
        <w:rPr/>
      </w:pPr>
      <w:bookmarkEnd w:id="854"/>
      <w:r>
        <w:rPr>
          <w:rFonts w:ascii="Amiri" w:hAnsi="Amiri" w:eastAsia="Amiri" w:cs="Amiri"/>
          <w:color w:val="111111"/>
          <w:sz w:val="28"/>
          <w:sz w:val="28"/>
          <w:szCs w:val="28"/>
          <w:rtl w:val="true"/>
          <w:lang w:bidi="ar-SA"/>
        </w:rPr>
        <w:t>يصلحها، فما تقول في ذلك؟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وانَّ لي ما بين لابنيها، لا، ولا مدة بقلم، إن أعوان الظلمة يوم القيامة في سرادق من نار حتى يفرغ الله من الحساب</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وهذه الموارد كما ترى شؤون دنيوية 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ذلك كله ما لو زوحم بالأهم وأحرزت أهميته، شرط إذن الفقيه الجامع للشرائط في ذلك أو إذن شورى المراجع؛ فإنه شأن عام يحتاج لإذنهم كما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والروايات منصرفة عما مثل له قدس سره، من الرجوع لطبيب كافر أو ركوب الطائرة مع أن الطيار كافر مثلاً</w:t>
      </w:r>
      <w:r>
        <w:rPr>
          <w:rStyle w:val="FootnoteAnchor"/>
          <w:rtl w:val="true"/>
        </w:rPr>
        <w:footnoteReference w:id="824"/>
      </w:r>
      <w:r>
        <w:rPr>
          <w:rFonts w:ascii="Amiri" w:hAnsi="Amiri" w:eastAsia="Amiri" w:cs="Amiri"/>
          <w:color w:val="111111"/>
          <w:sz w:val="28"/>
          <w:sz w:val="28"/>
          <w:szCs w:val="28"/>
          <w:rtl w:val="true"/>
          <w:lang w:bidi="ar-SA"/>
        </w:rPr>
        <w:t xml:space="preserve">، ولعله قدس سره 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لو دار بين طبيب مسلم وكافر أو طيارين كذلك، وكانا متساويين، عُدّ انتخاب الكافر ركوناً للظالم، إلا لو لزم عسر وحرج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الأعراف والشرائط والزمان والمكان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وعدمه ـ فتأمل</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959761_1051229030"/>
      <w:bookmarkStart w:id="856" w:name="_Toc312"/>
      <w:bookmarkEnd w:id="855"/>
      <w:r>
        <w:rPr>
          <w:rtl w:val="true"/>
        </w:rPr>
        <w:t xml:space="preserve">شمول </w:t>
      </w:r>
      <w:r>
        <w:rPr>
          <w:rtl w:val="true"/>
        </w:rPr>
        <w:t>(</w:t>
      </w:r>
      <w:r>
        <w:rPr>
          <w:rtl w:val="true"/>
        </w:rPr>
        <w:t>الذين ظلموا</w:t>
      </w:r>
      <w:r>
        <w:rPr>
          <w:rtl w:val="true"/>
        </w:rPr>
        <w:t xml:space="preserve">) </w:t>
      </w:r>
      <w:r>
        <w:rPr>
          <w:rtl w:val="true"/>
        </w:rPr>
        <w:t>للحاكم والحزبي والعالم</w:t>
      </w:r>
      <w:bookmarkEnd w:id="85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الحاكم والوزير ومساعده ونائبه ووكيله وكذا الجندي والشرطي ورجال الأمن والاستخبارات وأشباههم</w:t>
      </w:r>
      <w:r>
        <w:rPr>
          <w:rFonts w:eastAsia="Amiri" w:cs="Amiri" w:ascii="Amiri" w:hAnsi="Amiri"/>
          <w:color w:val="111111"/>
          <w:sz w:val="28"/>
          <w:szCs w:val="28"/>
          <w:rtl w:val="true"/>
          <w:lang w:bidi="ar-SA"/>
        </w:rPr>
        <w:t xml:space="preserve">. </w:t>
      </w:r>
      <w:bookmarkStart w:id="857" w:name="pg7671_76884"/>
    </w:p>
    <w:p>
      <w:pPr>
        <w:pStyle w:val="BookText"/>
        <w:rPr/>
      </w:pPr>
      <w:bookmarkEnd w:id="857"/>
      <w:r>
        <w:rPr>
          <w:rFonts w:ascii="Amiri" w:hAnsi="Amiri" w:eastAsia="Amiri" w:cs="Amiri"/>
          <w:color w:val="111111"/>
          <w:sz w:val="28"/>
          <w:sz w:val="28"/>
          <w:szCs w:val="28"/>
          <w:rtl w:val="true"/>
          <w:lang w:bidi="ar-SA"/>
        </w:rPr>
        <w:t xml:space="preserve">بل الظاهر أعميته من مطلق الظالم حاكماً كان أو لا، فالركون إلى شيخ العشيرة، لو ظلم أحد أفرادها، أو إلى قائد الحزب، أو حتى عالم المحلة ـ فرضاً ـ لو ظلم، مصداق للآية الشريفة، بل حتى ركون الأخ إلى أخيه لو ظلم زوجته مثلاً، والانصراف لو كان فبدوي، إلا أن 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عرفاً، أو يزاحم بالأهم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قبح وحرمة الركون للظالم من المستقلات العقلية كقبح وحرمة الظلم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ذلك بما أشرنا إليه من كون النهي مولوياً؛ لما 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النقاش المبنائي في الضابط الخامس للمولوي</w:t>
      </w:r>
      <w:r>
        <w:rPr>
          <w:rFonts w:eastAsia="Amiri" w:cs="Amiri" w:ascii="Amiri" w:hAnsi="Amiri"/>
          <w:color w:val="111111"/>
          <w:sz w:val="28"/>
          <w:szCs w:val="28"/>
          <w:rtl w:val="true"/>
          <w:lang w:bidi="ar-SA"/>
        </w:rPr>
        <w:t>.</w:t>
      </w:r>
      <w:r>
        <w:rPr>
          <w:rStyle w:val="FootnoteAnchor"/>
          <w:rtl w:val="true"/>
        </w:rPr>
        <w:footnoteReference w:id="825"/>
      </w:r>
    </w:p>
    <w:p>
      <w:pPr>
        <w:pStyle w:val="Heading4"/>
        <w:numPr>
          <w:ilvl w:val="3"/>
          <w:numId w:val="1"/>
        </w:numPr>
        <w:rPr/>
      </w:pPr>
      <w:bookmarkStart w:id="858" w:name="__RefHeading___Toc3959763_1051229030"/>
      <w:bookmarkStart w:id="859" w:name="_Toc313"/>
      <w:bookmarkEnd w:id="858"/>
      <w:r>
        <w:rPr>
          <w:rtl w:val="true"/>
        </w:rPr>
        <w:t>«</w:t>
      </w:r>
      <w:r>
        <w:rPr>
          <w:rtl w:val="true"/>
        </w:rPr>
        <w:t>الذين إذا أصابهم البغي هم ينتصرون</w:t>
      </w:r>
      <w:r>
        <w:rPr>
          <w:rtl w:val="true"/>
        </w:rPr>
        <w:t>»</w:t>
      </w:r>
      <w:bookmarkEnd w:id="859"/>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ومعنى الآية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 بعضهم بعضاً لدفع ذلك البغي</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والظاهر أنه تفسير بأحد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ينتصرون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جعله الله لهم، كراهة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 لأنه إجراء </w:t>
      </w:r>
    </w:p>
    <w:p>
      <w:pPr>
        <w:pStyle w:val="BookText"/>
        <w:rPr/>
      </w:pPr>
      <w:r>
        <w:rPr>
          <w:rFonts w:ascii="Amiri" w:hAnsi="Amiri" w:eastAsia="Amiri" w:cs="Amiri"/>
          <w:color w:val="111111"/>
          <w:sz w:val="28"/>
          <w:sz w:val="28"/>
          <w:szCs w:val="28"/>
          <w:rtl w:val="true"/>
          <w:lang w:bidi="ar-SA"/>
        </w:rPr>
        <w:t>وإغراء على البغي</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مما يظهر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في ما إذا كان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محمود على المتغلب الذي يجرؤه العفو، لا مطلقاً، ويؤيده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إن شاء فعل وإن شاء ترك</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لكن الظاهر ان الانتصار مطلوب للمولى بما هو مولى، ولذا عده من صفات المؤمنين، وجاء في سياق جملة مما أحبه الشارع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بالرخصة الأعم من الندب، إذ هو حق، فلا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بغى عليهم من غير أن يعتدوا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ينتصرون أي يتناصرون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المؤمنين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يعفو عمن ظلمهم وهم الذين ذكروا قبل هذه الآية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يغفرون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وصنفاً ينتصرون ممن ظلمهم وهم الذين ذكروا في هذه الآية، فمن انتصر وأخذ بحقه ولم يجاوز في ذلك ما حد الله، فهو مطيع لله ومن أطاع الله فهو محمود</w:t>
      </w:r>
      <w:r>
        <w:rPr>
          <w:rFonts w:eastAsia="Amiri" w:cs="Amiri" w:ascii="Amiri" w:hAnsi="Amiri"/>
          <w:color w:val="111111"/>
          <w:sz w:val="28"/>
          <w:szCs w:val="28"/>
          <w:rtl w:val="true"/>
          <w:lang w:bidi="ar-SA"/>
        </w:rPr>
        <w:t>).</w:t>
      </w:r>
      <w:r>
        <w:rPr>
          <w:rStyle w:val="FootnoteAnchor"/>
          <w:rtl w:val="true"/>
        </w:rPr>
        <w:footnoteReference w:id="831"/>
      </w:r>
      <w:bookmarkStart w:id="860" w:name="pg7671_76888"/>
    </w:p>
    <w:p>
      <w:pPr>
        <w:pStyle w:val="BookText"/>
        <w:rPr/>
      </w:pPr>
      <w:bookmarkEnd w:id="860"/>
      <w:r>
        <w:rPr>
          <w:rFonts w:ascii="Amiri" w:hAnsi="Amiri" w:eastAsia="Amiri" w:cs="Amiri"/>
          <w:color w:val="111111"/>
          <w:sz w:val="28"/>
          <w:sz w:val="28"/>
          <w:szCs w:val="28"/>
          <w:rtl w:val="true"/>
          <w:lang w:bidi="ar-SA"/>
        </w:rPr>
        <w:t>وقد يسئل عن وجه الجمع بين الآية الشريفة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 فمن تصدق به فهو كفارة له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لوحظ الجانب الشخصي والفردي وفي تلك النوعي والعام أو الفارق بالعنوان الثانوي وعدمه،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بالمظلوم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ظالمه، بين واجب ومستحب، على القول بالمولوية، في ما لو ورد أمر بالانتصار ـ  كما قد تفيده الآية الشريفة ـ على ما أوضحناه في موضع آخر من إفادة الجملة الخبرية الإسمية والفعلية، الوجوب، لو قامت قرينة على إفادتها المطلوبية دون  قرينة معينة للوجوب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يرجح عدم انتصار المظلوم من ظالمه، في الحقوق الشخصية في الجملة فيما دخل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أعفوا واصفحوا ألا تحبون أن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الإرشادية فهي صفة ممدوحة لا غير، إلا على القول بأن من الإرشاد ما هو للإلزام كما نقلناه عن الشيخ الأنصاري والميرزا الشيرازي قدس سرهما</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959765_1051229030"/>
      <w:bookmarkStart w:id="862" w:name="_Toc314"/>
      <w:bookmarkEnd w:id="861"/>
      <w:r>
        <w:rPr>
          <w:rtl w:val="true"/>
        </w:rPr>
        <w:t>«</w:t>
      </w:r>
      <w:r>
        <w:rPr>
          <w:rtl w:val="true"/>
        </w:rPr>
        <w:t>وأمرهم شورى بينهم</w:t>
      </w:r>
      <w:r>
        <w:rPr>
          <w:rtl w:val="true"/>
        </w:rPr>
        <w:t>»</w:t>
      </w:r>
      <w:bookmarkEnd w:id="86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33"/>
      </w:r>
      <w:bookmarkStart w:id="863" w:name="pg7671_76889"/>
    </w:p>
    <w:p>
      <w:pPr>
        <w:pStyle w:val="BookText"/>
        <w:rPr/>
      </w:pPr>
      <w:bookmarkEnd w:id="863"/>
      <w:r>
        <w:rPr>
          <w:rFonts w:ascii="Amiri" w:hAnsi="Amiri" w:eastAsia="Amiri" w:cs="Amiri"/>
          <w:color w:val="111111"/>
          <w:sz w:val="28"/>
          <w:sz w:val="28"/>
          <w:szCs w:val="28"/>
          <w:rtl w:val="true"/>
          <w:lang w:bidi="ar-SA"/>
        </w:rPr>
        <w:t xml:space="preserve">وقد بحثنا حول هذه الآية الشريفة في موضع آخر من هذا الكتاب، كما فصلنا الحديث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والآية التالية، وإن كان ظاهر سياقها، الإخبار، إذ الكلام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خير وأبقى</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للذين يتصفون بهذه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يمكن استظهار دلالتها على الوجوب المولوي بأحد وجهين</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959767_1051229030"/>
      <w:bookmarkStart w:id="865" w:name="_Toc315"/>
      <w:bookmarkEnd w:id="864"/>
      <w:r>
        <w:rPr>
          <w:rtl w:val="true"/>
        </w:rPr>
        <w:t>الدليل الأول على إفادة الآية، وجوب الشورى</w:t>
      </w:r>
      <w:bookmarkEnd w:id="86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الجد الأكبر الميرزا الشيرازي الكبير قدس سره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 الخبرية إذا قامت قرينة على استعمالها في الطلب والإنشاء، فإنها تكون ظاهرة في الوجوب لو لم تقم القرينة على أن المراد أي نوع من الإنشاء وهل هو الوجوبي أو الندبي، مستدلاً بالتبادر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يفرقون بين صيغة الأمر وبين الجمل الخبرية إذا علموا أن المراد بها الإنشاء، مجازاً، في فهم الوجوب واستفادته من اللفظ،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القرينة  الصارفة عن استعمالها في الأخبار، مع عدم القرينة على تعيين أن المراد أي نحو من الإنشاء، وكما يثبت بالأول ظهور الصيغة وضعاً أو إنصرافاً، فكذا يثبت بالثاني ظهور الجمل حينئذٍ في الوجوب ظهوراً عرفياً مستنداً إلى قرينة عامة لازمةٍ للفظ في جميع الموارد على أن المراد الوجوب، إما باستعمال الجمل فيه بخصوصه أو انها مستعملة في مطلق الطلب وهو منصرف إليه عند الإطلاق بأحد أسباب انصراف المطلق إلى بعض أفراده، كما مر في الصيغة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ومستدلاً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الآثار والأخبار المأثورة عن المعصومين الأطهار صلوات الله عليهم وجعلنا معهم في دار القرار؛ فإن من تتبع الكتب المدونة فيها يرى أن غالب ما كان المراد بيان وجوب شيء فهو إنما يبين بالجملة الخبرية الخالية عن القرينة اللاحقة لخصوص المورد، على تعيينه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سياق المدح، وليس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أنه لو كان كذلك</w:t>
      </w:r>
      <w:r>
        <w:rPr>
          <w:rStyle w:val="FootnoteAnchor"/>
          <w:rtl w:val="true"/>
        </w:rPr>
        <w:footnoteReference w:id="837"/>
      </w:r>
      <w:r>
        <w:rPr>
          <w:rFonts w:ascii="Amiri" w:hAnsi="Amiri" w:eastAsia="Amiri" w:cs="Amiri"/>
          <w:color w:val="111111"/>
          <w:sz w:val="28"/>
          <w:sz w:val="28"/>
          <w:szCs w:val="28"/>
          <w:rtl w:val="true"/>
          <w:lang w:bidi="ar-SA"/>
        </w:rPr>
        <w:t xml:space="preserve">، فإنه كاف في الدلالة على المقصود،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المطلوبية والمحبوبية بل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المحبوبية فقط، بل ثواب الآخرة أيضاً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إما استناداً إلى السياق ـ فإنها مطلوبة مع المنع من الترك</w:t>
      </w:r>
      <w:r>
        <w:rPr>
          <w:rStyle w:val="FootnoteAnchor"/>
          <w:rtl w:val="true"/>
        </w:rPr>
        <w:footnoteReference w:id="838"/>
      </w:r>
      <w:r>
        <w:rPr>
          <w:rFonts w:ascii="Amiri" w:hAnsi="Amiri" w:eastAsia="Amiri" w:cs="Amiri"/>
          <w:color w:val="111111"/>
          <w:sz w:val="28"/>
          <w:sz w:val="28"/>
          <w:szCs w:val="28"/>
          <w:rtl w:val="true"/>
          <w:lang w:bidi="ar-SA"/>
        </w:rPr>
        <w:t xml:space="preserve">ـ أو استناداً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لو رجح لوجب، أو استناداً إلى مناسبة الحكم والموضوع في خصوص الشؤون الخطيرة، وإن كان الأخيران ينتجان الوجوب في الجملة لا على إطلاقه</w:t>
      </w:r>
      <w:r>
        <w:rPr>
          <w:rStyle w:val="FootnoteAnchor"/>
          <w:rtl w:val="true"/>
        </w:rPr>
        <w:footnoteReference w:id="839"/>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 xml:space="preserve">. </w:t>
      </w:r>
      <w:bookmarkStart w:id="866" w:name="pg7671_76893"/>
    </w:p>
    <w:p>
      <w:pPr>
        <w:pStyle w:val="Heading4"/>
        <w:numPr>
          <w:ilvl w:val="3"/>
          <w:numId w:val="1"/>
        </w:numPr>
        <w:rPr/>
      </w:pPr>
      <w:bookmarkStart w:id="867" w:name="__RefHeading___Toc3959769_1051229030"/>
      <w:bookmarkStart w:id="868" w:name="_Toc316"/>
      <w:bookmarkEnd w:id="866"/>
      <w:bookmarkEnd w:id="867"/>
      <w:r>
        <w:rPr>
          <w:rtl w:val="true"/>
        </w:rPr>
        <w:t>الدليل الثاني</w:t>
      </w:r>
      <w:bookmarkEnd w:id="868"/>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الأصل فيما يعد صفة للمؤمن انه واجب التحصيل؛ لكون الصفة بمنزلة المعرِّف الذي ينتفي المعرَّف عند انتفائه؛ ولكون الظاهر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إلى بعض الإيرادات على هذا الوجه وأجوبتها</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ولو رفعنا اليد عن دلالتها على الوجوب، فلا شك في دلالتها على الاستحباب، خاصة بقرينة ما ذكر عليه في الآية السابقة من الثواب</w:t>
      </w:r>
      <w:r>
        <w:rPr>
          <w:rStyle w:val="FootnoteAnchor"/>
          <w:rtl w:val="true"/>
        </w:rPr>
        <w:footnoteReference w:id="841"/>
      </w:r>
      <w:r>
        <w:rPr>
          <w:rFonts w:ascii="Amiri" w:hAnsi="Amiri" w:eastAsia="Amiri" w:cs="Amiri"/>
          <w:color w:val="111111"/>
          <w:sz w:val="28"/>
          <w:sz w:val="28"/>
          <w:szCs w:val="28"/>
          <w:rtl w:val="true"/>
          <w:lang w:bidi="ar-SA"/>
        </w:rPr>
        <w:t>، فيجري الكلام السابق من دلالة الآية ـ ولو بالدلالة الإلتزامية بل بدلالة الاقتضاء</w:t>
      </w:r>
      <w:r>
        <w:rPr>
          <w:rStyle w:val="FootnoteAnchor"/>
          <w:rtl w:val="true"/>
        </w:rPr>
        <w:footnoteReference w:id="842"/>
      </w:r>
      <w:r>
        <w:rPr>
          <w:rFonts w:ascii="Amiri" w:hAnsi="Amiri" w:eastAsia="Amiri" w:cs="Amiri"/>
          <w:color w:val="111111"/>
          <w:sz w:val="28"/>
          <w:sz w:val="28"/>
          <w:szCs w:val="28"/>
          <w:rtl w:val="true"/>
          <w:lang w:bidi="ar-SA"/>
        </w:rPr>
        <w:t>ـ على كون الشورى مأموراً بها بالأمر المولوي الندبي لا صرف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المدح، مطلوبية الممدوح عقلاً ـ فإن العقل رسول من باطن ـ ولا يتوقف على طلبه شرعاً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مطلوبيتها شرعاً؛ للعشرات إن لم تكن المئات من الروايات التي أكد الشارع فيها طلبه ودعوته للتشاور والمشورة والشورى، وقد أشرنا إلى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ـ دراسة فقهية 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السيد الوالد قدس سره قسماً كبيراً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تجد قسماً وافراً منها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وجامع أحاديث الشيعة وبحار الأنوار وغيرها</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نفس الآية، مطلوبية الشورى شرعاً، وليس عقلاً فقط</w:t>
      </w:r>
      <w:r>
        <w:rPr>
          <w:rFonts w:eastAsia="Amiri" w:cs="Amiri" w:ascii="Amiri" w:hAnsi="Amiri"/>
          <w:color w:val="111111"/>
          <w:sz w:val="28"/>
          <w:szCs w:val="28"/>
          <w:rtl w:val="true"/>
          <w:lang w:bidi="ar-SA"/>
        </w:rPr>
        <w:t xml:space="preserve">. </w:t>
      </w:r>
      <w:bookmarkStart w:id="869" w:name="pg7671_76898"/>
    </w:p>
    <w:p>
      <w:pPr>
        <w:pStyle w:val="Heading3"/>
        <w:numPr>
          <w:ilvl w:val="2"/>
          <w:numId w:val="1"/>
        </w:numPr>
        <w:rPr/>
      </w:pPr>
      <w:bookmarkStart w:id="870" w:name="__RefHeading___Toc3959771_1051229030"/>
      <w:bookmarkStart w:id="871" w:name="_Toc317"/>
      <w:bookmarkEnd w:id="869"/>
      <w:bookmarkEnd w:id="870"/>
      <w:r>
        <w:rPr/>
        <w:t>8</w:t>
      </w:r>
      <w:r>
        <w:rPr>
          <w:rtl w:val="true"/>
        </w:rPr>
        <w:t>ـ الأوامر والنواهي في الشؤون الاجتماعية</w:t>
      </w:r>
      <w:bookmarkEnd w:id="871"/>
    </w:p>
    <w:p>
      <w:pPr>
        <w:pStyle w:val="Heading4"/>
        <w:numPr>
          <w:ilvl w:val="3"/>
          <w:numId w:val="1"/>
        </w:numPr>
        <w:rPr/>
      </w:pPr>
      <w:bookmarkStart w:id="872" w:name="__RefHeading___Toc3959773_1051229030"/>
      <w:bookmarkStart w:id="873" w:name="_Toc318"/>
      <w:bookmarkEnd w:id="872"/>
      <w:r>
        <w:rPr>
          <w:rtl w:val="true"/>
        </w:rPr>
        <w:t>«</w:t>
      </w:r>
      <w:r>
        <w:rPr>
          <w:rtl w:val="true"/>
        </w:rPr>
        <w:t>امسكوهن بمعروف</w:t>
      </w:r>
      <w:r>
        <w:rPr>
          <w:rtl w:val="true"/>
        </w:rPr>
        <w:t>»</w:t>
      </w:r>
      <w:bookmarkEnd w:id="873"/>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 بِمَعْرُوفٍ أَوْ سَرِّحُوهُنَّ بِمَعْرُوفٍ وَلاَ تُمْسِكُوهُنَّ ضِرَارًا لَّتَعْتَدُواْ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وَأْتَمِرُوا بَيْنَكُم بِمَعْرُوفٍ</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والظاهر أن الأمر بامساكهن بالمعروف أو بالمعاشرة معهن بالمعروف وأشباهه، صغرى لكبرى وجوب أو استحباب المعاشرة والائتمار والمشورة وغيرها، بالمعروف، مع الوالدين والأولاد والأقرباء والأصدقاء وغيرهم، كل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معاشرة مثله، والائتمار بالمعروف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فالظاهر إن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المعاشرة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الامور الفطرية، ومن ما يستقل به العقل، والأمر به أمر مولوي؛ لانطباق ضابط </w:t>
      </w:r>
      <w:bookmarkStart w:id="874" w:name="pg7671_76900"/>
    </w:p>
    <w:p>
      <w:pPr>
        <w:pStyle w:val="BookText"/>
        <w:rPr/>
      </w:pPr>
      <w:bookmarkEnd w:id="874"/>
      <w:r>
        <w:rPr>
          <w:rFonts w:ascii="Amiri" w:hAnsi="Amiri" w:eastAsia="Amiri" w:cs="Amiri"/>
          <w:color w:val="111111"/>
          <w:sz w:val="28"/>
          <w:sz w:val="28"/>
          <w:szCs w:val="28"/>
          <w:rtl w:val="true"/>
          <w:lang w:bidi="ar-SA"/>
        </w:rPr>
        <w:t>المولوية الأول عليه وهو ما صدر من المولى بما هو مولى معملاً مقام مولويته؛ بل وإنطباق الضابط الثاني عليه، فإنه وإن كان ذا مصلحة دنيوية إلا أن الأخروية هي المصبَّ أو أحد الوجهين؛ وكذا الضابط الثالث</w:t>
      </w:r>
      <w:r>
        <w:rPr>
          <w:rStyle w:val="FootnoteAnchor"/>
          <w:rtl w:val="true"/>
        </w:rPr>
        <w:footnoteReference w:id="846"/>
      </w:r>
      <w:r>
        <w:rPr>
          <w:rFonts w:ascii="Amiri" w:hAnsi="Amiri" w:eastAsia="Amiri" w:cs="Amiri"/>
          <w:color w:val="111111"/>
          <w:sz w:val="28"/>
          <w:sz w:val="28"/>
          <w:szCs w:val="28"/>
          <w:rtl w:val="true"/>
          <w:lang w:bidi="ar-SA"/>
        </w:rPr>
        <w:t>، وقد أوضحنا في فصل ضوابط المولوية والإرشادية، عدم تمامية الضابط الخامس</w:t>
      </w:r>
      <w:r>
        <w:rPr>
          <w:rStyle w:val="FootnoteAnchor"/>
          <w:rtl w:val="true"/>
        </w:rPr>
        <w:footnoteReference w:id="847"/>
      </w:r>
      <w:r>
        <w:rPr>
          <w:rFonts w:ascii="Amiri" w:hAnsi="Amiri" w:eastAsia="Amiri" w:cs="Amiri"/>
          <w:color w:val="111111"/>
          <w:sz w:val="28"/>
          <w:sz w:val="28"/>
          <w:szCs w:val="28"/>
          <w:rtl w:val="true"/>
          <w:lang w:bidi="ar-SA"/>
        </w:rPr>
        <w:t>نعم من ذهب إليه أو إلى الضابط السادس، عليه أن يلتزم بكون هذه الأوامر إرشادية، فلا عقوبة لو خالف، وهو خلاف الظاهر والمستفاد من الأدلة</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3959775_1051229030"/>
      <w:bookmarkStart w:id="876" w:name="_Toc319"/>
      <w:bookmarkEnd w:id="875"/>
      <w:r>
        <w:rPr>
          <w:rtl w:val="true"/>
        </w:rPr>
        <w:t>الاحتمالات في المراد ب</w:t>
      </w:r>
      <w:r>
        <w:rPr>
          <w:rtl w:val="true"/>
        </w:rPr>
        <w:t>(</w:t>
      </w:r>
      <w:r>
        <w:rPr>
          <w:rtl w:val="true"/>
        </w:rPr>
        <w:t>المعروف</w:t>
      </w:r>
      <w:r>
        <w:rPr>
          <w:rtl w:val="true"/>
        </w:rPr>
        <w:t>)</w:t>
      </w:r>
      <w:bookmarkEnd w:id="876"/>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قد يراد 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وقد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يقصد به المعروف في العرف العام، أو يقصد به المعروف في العرف الخاص مطلقاً، أو خصوص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وقد يراد به المعروف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وقد يراد 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فعل حسن اختص بوصف زائد على حسنه، إذا عرف فاعله ذلك أو دلّ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عرف فاعله قبحه أو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وتحرير الأحكام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السيد الوالد رحمه الله في الفقه كتاب الأطعمة والأشربة</w:t>
      </w:r>
      <w:r>
        <w:rPr>
          <w:rStyle w:val="FootnoteAnchor"/>
          <w:rtl w:val="true"/>
        </w:rPr>
        <w:footnoteReference w:id="84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احتمالات ثمانية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هذه الأربعة، وذكر ثامنها انه مجمل لا يعلم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السيد السبزواري رحمه الله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الشرع وما يحكم به العقل؛ فإن جميع ذلك من المعروف</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العرف، وهو ما استحسنه العقل ولم يردع عنه الشرع، فيشمل الفطريات والمحسنات العقلية وبناء العقلاء، فإن جميعها حسن ومعروف، وإن كان الفرق بينهما بالاعتبار، والشرع حاكم ومسلط عليها جميعاً فإنه يتممها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وهذا أصح من تفسيره للمعروف في مواضع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أن لهن من الحقوق فيما تعارف بين الناس، على الرجال، مثل ما للرجال عليهن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ذلك إلى العرف المتداول في كل مجتمع</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المتداول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تعارف بين الناس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الوارد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وكذا نسبته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 والمحسنات العقلية وبناء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bookmarkStart w:id="877" w:name="pg7671_76904"/>
    </w:p>
    <w:p>
      <w:pPr>
        <w:pStyle w:val="BookText"/>
        <w:rPr/>
      </w:pPr>
      <w:bookmarkEnd w:id="877"/>
      <w:r>
        <w:rPr>
          <w:rFonts w:ascii="Amiri" w:hAnsi="Amiri" w:eastAsia="Amiri" w:cs="Amiri"/>
          <w:color w:val="111111"/>
          <w:sz w:val="28"/>
          <w:sz w:val="28"/>
          <w:szCs w:val="28"/>
          <w:rtl w:val="true"/>
          <w:lang w:bidi="ar-SA"/>
        </w:rPr>
        <w:t xml:space="preserve">أن يعتبر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لذلك، لكنه غير كافٍ لدفع الإشكال ـ 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الشرعي والعقلي،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العقلي دون ردع،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بالوجه الذي لا ينكر في الشرع، ولا في عادات النساء فلا يكلفنهم ما ليس لهن، ولا يكلفونهن ما ليس لهم</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الأعم من المعروف العرفي والمعروف الشرعي، مع تفسيره المعروف الشرعي بل والعرفي بالسلب الذي هو أعم من الإيجاب، وفيه أنه لا يصدق على كل ما لم ينكره الشرع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المباحات ـ لا عرفاً ولا شرعاً ولذا لا يجب ولا يستحب الأمر به، كما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والظاهر أن المعروف والمنكر من قبيل الضدين اللذين لهما ثالث</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3959777_1051229030"/>
      <w:bookmarkStart w:id="879" w:name="_Toc320"/>
      <w:bookmarkEnd w:id="878"/>
      <w:r>
        <w:rPr>
          <w:rtl w:val="true"/>
        </w:rPr>
        <w:t>هل المراد المعروف العرفي أم الأعم؟</w:t>
      </w:r>
      <w:bookmarkEnd w:id="879"/>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العرف هم الملقى إليهم الكلام، وذلك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حقيقة شرعية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ان الشارع تصرف فيه بعض التصرف زيادة ونقيصة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عرفاً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بحاجة للدليل</w:t>
      </w:r>
      <w:r>
        <w:rPr>
          <w:rFonts w:eastAsia="Amiri" w:cs="Amiri" w:ascii="Amiri" w:hAnsi="Amiri"/>
          <w:color w:val="111111"/>
          <w:sz w:val="28"/>
          <w:szCs w:val="28"/>
          <w:rtl w:val="true"/>
          <w:lang w:bidi="ar-SA"/>
        </w:rPr>
        <w:t xml:space="preserve">. </w:t>
      </w:r>
      <w:bookmarkStart w:id="880" w:name="pg7671_76906"/>
    </w:p>
    <w:p>
      <w:pPr>
        <w:pStyle w:val="BookText"/>
        <w:rPr/>
      </w:pPr>
      <w:bookmarkEnd w:id="880"/>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المعروف العرفي والشرعي والعقلي، وليس مآل القولين واحداً، والكلام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معروف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كلما أمر به الشارع أمراً خاصاً كالصلاة، أو أمراً عاماً لينطبق عقلاً على موارد خاصة، كالإحسان إلى الحيوان؛ فإن حسنه عقلي ولكن بمعنى أن العقل بنفسه يدرك حسنه، ويشمله كلي شرعي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ثم إن الإمساك بالمعروف والتسريح بالمعروف،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المستقلات العقلية</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3959779_1051229030"/>
      <w:bookmarkStart w:id="882" w:name="_Toc321"/>
      <w:bookmarkEnd w:id="881"/>
      <w:r>
        <w:rPr>
          <w:rtl w:val="true"/>
        </w:rPr>
        <w:t>«</w:t>
      </w:r>
      <w:r>
        <w:rPr>
          <w:rtl w:val="true"/>
        </w:rPr>
        <w:t>كونوا قوامين بالقسط</w:t>
      </w:r>
      <w:r>
        <w:rPr>
          <w:rtl w:val="true"/>
        </w:rPr>
        <w:t>»</w:t>
      </w:r>
      <w:bookmarkEnd w:id="8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 وَلَوْ عَلَى أَنفُسِكُمْ</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في الدلالة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صيغة مبالغة</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إنه لا تقتصر دلالته على الكمية فقط أي لا يعني القيام دائماً به فقط، بل يفيد الكيفية والشدة والتشدد والاحتياط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أشارت له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الرجل حقاً، وإن كان على نفسه أو </w:t>
      </w:r>
    </w:p>
    <w:p>
      <w:pPr>
        <w:pStyle w:val="BookText"/>
        <w:rPr/>
      </w:pPr>
      <w:r>
        <w:rPr>
          <w:rFonts w:ascii="Amiri" w:hAnsi="Amiri" w:eastAsia="Amiri" w:cs="Amiri"/>
          <w:color w:val="111111"/>
          <w:sz w:val="28"/>
          <w:sz w:val="28"/>
          <w:szCs w:val="28"/>
          <w:rtl w:val="true"/>
          <w:lang w:bidi="ar-SA"/>
        </w:rPr>
        <w:t>والديه، فلا يميل لهم عن الحق</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إقامته أيضاً أي بعث الآخرين للقيام به لا مجرد القيام به كثيراً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لا وجوب آخر للقوامية بالقسط وراء وجوب القسط نفسه؛ فإن آحاد القسط واجبة، إلا إذا قيل بدلالتها</w:t>
      </w:r>
      <w:r>
        <w:rPr>
          <w:rStyle w:val="FootnoteAnchor"/>
          <w:rtl w:val="true"/>
        </w:rPr>
        <w:footnoteReference w:id="860"/>
      </w:r>
      <w:r>
        <w:rPr>
          <w:rFonts w:ascii="Amiri" w:hAnsi="Amiri" w:eastAsia="Amiri" w:cs="Amiri"/>
          <w:color w:val="111111"/>
          <w:sz w:val="28"/>
          <w:sz w:val="28"/>
          <w:szCs w:val="28"/>
          <w:rtl w:val="true"/>
          <w:lang w:bidi="ar-SA"/>
        </w:rPr>
        <w:t>عرفاً على لزوم تحصيل الملكة لتلازمهما عادة، فتكون الآية من أدلة وجوب الملكة وراء الالتزام العملي، بناء على كونها أمراً وراء العمل ـ كما هو الظاهر ـ وأنها صفة نفسانية وحالة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لها وجوب آخر وراء القسط نفسه، كان الأمر بها إرشادياً إلى وجوبه، بنفس الأدلة التي سيقت لإرشادية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أو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الحكيم في المستمسك، والجواب، الجواب؛ إذ ملاك المولوية صدوره من المولى بما هو مولى، وهو جار في المقام دون لزوم محذور تسلسل أو تحصيلِ حاصلٍ أو لغوية أو ما أشبه، فراجع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كذلك؟ إذا أريد بها الاحتياط في القيام بالقسط، بإتيان حتى محتملاته وإن لم تكن في أطراف العلم الإجمالي، </w:t>
      </w:r>
      <w:bookmarkStart w:id="883" w:name="pg7671_76910"/>
    </w:p>
    <w:p>
      <w:pPr>
        <w:pStyle w:val="BookText"/>
        <w:rPr/>
      </w:pPr>
      <w:bookmarkEnd w:id="883"/>
      <w:r>
        <w:rPr>
          <w:rFonts w:ascii="Amiri" w:hAnsi="Amiri" w:eastAsia="Amiri" w:cs="Amiri"/>
          <w:color w:val="111111"/>
          <w:sz w:val="28"/>
          <w:sz w:val="28"/>
          <w:szCs w:val="28"/>
          <w:rtl w:val="true"/>
          <w:lang w:bidi="ar-SA"/>
        </w:rPr>
        <w:t>وبمعنى الإتيان بشيء من أطرافه حائطةً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يرجع في الحكم بذلك إلى كلي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المستقلات أم لا؟ وقد فصلناه في موضع آخر من الكتاب</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3959781_1051229030"/>
      <w:bookmarkStart w:id="885" w:name="_Toc322"/>
      <w:bookmarkEnd w:id="884"/>
      <w:r>
        <w:rPr>
          <w:rtl w:val="true"/>
        </w:rPr>
        <w:t>الشهادة لله</w:t>
      </w:r>
      <w:bookmarkEnd w:id="885"/>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مقتضى العبودية  لله تعالى، فهي على هذا من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له، بأن يأتي به لله، لا للرياء والسمعة أو عداءً لشخصٍ ـ بأن يقيم الشهادة عليه، وإن كانت حقاً، حقداً منه عليه وبغضاً منه له، لقضية سابقة بينهما مثلاً ـ أو لإحراز مصلحة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خلينا والآية، لأفادت الوجوب النفسي التعبدي لأداء الشهادة لله، لكن الدليل الخارجي يكفي صارفاً، فتبقى دلالتها على أصل المطلوبية في ضمن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بحثنا عن الإخلاص بعض الشيء في ضمن آية أخرى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3959783_1051229030"/>
      <w:bookmarkStart w:id="887" w:name="_Toc323"/>
      <w:bookmarkEnd w:id="886"/>
      <w:r>
        <w:rPr>
          <w:rtl w:val="true"/>
        </w:rPr>
        <w:t>قاعدة الحمل على الصحة</w:t>
      </w:r>
      <w:bookmarkEnd w:id="8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وكقاعدة الحمل على الصحة 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 الْمُؤْمِنُونَ وَالْمُؤْمِنَاتُ بِأَنفُسِهِمْ خَيْراً</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يستفاد منه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 للمولى بما هو مولى، وان طلبه صادر منه بما هو مولى لا بما هو ناصح فقط؛ إذ تعليق الحكم على الوصف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المورد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بنكتة كونهم وحدة واحدة ويداً واحدة وجماعة أو مجتمعاً واحداً، فما يضر بالبعض فإنه مضر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المستظهر أن المراد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وقد فصلنا في الأصول الحديث عن هذه الآية الشريفة والإجابة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جزئية فهي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تنتج، فكيف بأن تنتج قضية كلية؟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بالآخرين من المستقلات العقلية في الجملة</w:t>
      </w:r>
      <w:r>
        <w:rPr>
          <w:rFonts w:eastAsia="Amiri" w:cs="Amiri" w:ascii="Amiri" w:hAnsi="Amiri"/>
          <w:color w:val="111111"/>
          <w:sz w:val="28"/>
          <w:szCs w:val="28"/>
          <w:rtl w:val="true"/>
          <w:lang w:bidi="ar-SA"/>
        </w:rPr>
        <w:t xml:space="preserve">... </w:t>
      </w:r>
      <w:bookmarkStart w:id="888" w:name="pg7671_76913"/>
    </w:p>
    <w:p>
      <w:pPr>
        <w:pStyle w:val="Heading3"/>
        <w:numPr>
          <w:ilvl w:val="2"/>
          <w:numId w:val="1"/>
        </w:numPr>
        <w:rPr/>
      </w:pPr>
      <w:bookmarkStart w:id="889" w:name="__RefHeading___Toc3959785_1051229030"/>
      <w:bookmarkStart w:id="890" w:name="_Toc324"/>
      <w:bookmarkEnd w:id="888"/>
      <w:bookmarkEnd w:id="889"/>
      <w:r>
        <w:rPr/>
        <w:t>9</w:t>
      </w:r>
      <w:r>
        <w:rPr>
          <w:rtl w:val="true"/>
        </w:rPr>
        <w:t xml:space="preserve">- </w:t>
      </w:r>
      <w:r>
        <w:rPr>
          <w:rtl w:val="true"/>
        </w:rPr>
        <w:t>ما يتعلق بالطب والصحة</w:t>
      </w:r>
      <w:bookmarkEnd w:id="890"/>
    </w:p>
    <w:p>
      <w:pPr>
        <w:pStyle w:val="Heading4"/>
        <w:numPr>
          <w:ilvl w:val="3"/>
          <w:numId w:val="1"/>
        </w:numPr>
        <w:rPr/>
      </w:pPr>
      <w:bookmarkStart w:id="891" w:name="__RefHeading___Toc3959787_1051229030"/>
      <w:bookmarkStart w:id="892" w:name="_Toc325"/>
      <w:bookmarkEnd w:id="891"/>
      <w:r>
        <w:rPr>
          <w:rtl w:val="true"/>
        </w:rPr>
        <w:t xml:space="preserve">دليل إرشادية </w:t>
      </w:r>
      <w:r>
        <w:rPr>
          <w:rtl w:val="true"/>
        </w:rPr>
        <w:t>(</w:t>
      </w:r>
      <w:r>
        <w:rPr>
          <w:rtl w:val="true"/>
        </w:rPr>
        <w:t>الأوامر الطبية</w:t>
      </w:r>
      <w:r>
        <w:rPr>
          <w:rtl w:val="true"/>
        </w:rPr>
        <w:t xml:space="preserve">) </w:t>
      </w:r>
      <w:r>
        <w:rPr>
          <w:rtl w:val="true"/>
        </w:rPr>
        <w:t>ومولويتها</w:t>
      </w:r>
      <w:bookmarkEnd w:id="892"/>
    </w:p>
    <w:p>
      <w:pPr>
        <w:pStyle w:val="BookText"/>
        <w:rPr/>
      </w:pPr>
      <w:r>
        <w:rPr>
          <w:rFonts w:ascii="Amiri" w:hAnsi="Amiri" w:eastAsia="Amiri" w:cs="Amiri"/>
          <w:color w:val="111111"/>
          <w:sz w:val="28"/>
          <w:sz w:val="28"/>
          <w:szCs w:val="28"/>
          <w:rtl w:val="true"/>
          <w:lang w:bidi="ar-SA"/>
        </w:rPr>
        <w:t>وأما الأوامر الطبية وما يرجع إلى صحة المرء وسلامة جسده وأعصابه ونفسه، وقواه أو قواها، بل وعقله بل وروحه</w:t>
      </w:r>
      <w:r>
        <w:rPr>
          <w:rStyle w:val="FootnoteAnchor"/>
          <w:rtl w:val="true"/>
        </w:rPr>
        <w:footnoteReference w:id="863"/>
      </w:r>
      <w:r>
        <w:rPr>
          <w:rFonts w:ascii="Amiri" w:hAnsi="Amiri" w:eastAsia="Amiri" w:cs="Amiri"/>
          <w:color w:val="111111"/>
          <w:sz w:val="28"/>
          <w:sz w:val="28"/>
          <w:szCs w:val="28"/>
          <w:rtl w:val="true"/>
          <w:lang w:bidi="ar-SA"/>
        </w:rPr>
        <w:t>فقد ادعي أنها إرشادية، إما بلحاظ أن مصالحها دنيوية، أو بلحاظ أنها لم تصدر من المولى بما هو مولى بل بلحاظه الصرف لما في المأمور به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لا يترتب على مخالفته سوى ما في نفس ترك المأمور به مع قطع النظر عن تعلق الأمر به، ولا على موافقته إلا ما يقتضيه فعله كذلك ـ وهو ما ذهب إليه الشيخ قدس سره في تعريف الإرشادي</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بعضها مولوي، نظراً لانطباق ضابط المولوية </w:t>
      </w:r>
      <w:bookmarkStart w:id="893" w:name="pg7671_76915"/>
    </w:p>
    <w:p>
      <w:pPr>
        <w:pStyle w:val="BookText"/>
        <w:rPr/>
      </w:pPr>
      <w:bookmarkEnd w:id="893"/>
      <w:r>
        <w:rPr>
          <w:rFonts w:ascii="Amiri" w:hAnsi="Amiri" w:eastAsia="Amiri" w:cs="Amiri"/>
          <w:color w:val="111111"/>
          <w:sz w:val="28"/>
          <w:sz w:val="28"/>
          <w:szCs w:val="28"/>
          <w:rtl w:val="true"/>
          <w:lang w:bidi="ar-SA"/>
        </w:rPr>
        <w:t>المرتضى، عليها، وإن لم ينطبق عليها عدد آخر من الضوابط</w:t>
      </w:r>
      <w:r>
        <w:rPr>
          <w:rStyle w:val="FootnoteAnchor"/>
          <w:rtl w:val="true"/>
        </w:rPr>
        <w:footnoteReference w:id="865"/>
      </w:r>
      <w:r>
        <w:rPr>
          <w:rFonts w:ascii="Amiri" w:hAnsi="Amiri" w:eastAsia="Amiri" w:cs="Amiri"/>
          <w:color w:val="111111"/>
          <w:sz w:val="28"/>
          <w:sz w:val="28"/>
          <w:szCs w:val="28"/>
          <w:rtl w:val="true"/>
          <w:lang w:bidi="ar-SA"/>
        </w:rPr>
        <w:t>، فلا يصح سوقها بعصى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لحن الكثير منها أو من القرائن المقامية والمقالية المحتفّة، أنها مولوية ـ ندبية أو وجوبية، لا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 قسماً منها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ـ النصحية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ـ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وبرهانه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العقاب أو الثواب، فلابد من ملاحظة كل مورد مورد بحياله</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959789_1051229030"/>
      <w:bookmarkStart w:id="895" w:name="_Toc326"/>
      <w:bookmarkEnd w:id="894"/>
      <w:r>
        <w:rPr>
          <w:rtl w:val="true"/>
        </w:rPr>
        <w:t>تعلم السباحة والرماية</w:t>
      </w:r>
      <w:bookmarkEnd w:id="895"/>
    </w:p>
    <w:p>
      <w:pPr>
        <w:pStyle w:val="BookText"/>
        <w:rPr/>
      </w:pPr>
      <w:r>
        <w:rPr>
          <w:rFonts w:ascii="Amiri" w:hAnsi="Amiri" w:eastAsia="Amiri" w:cs="Amiri"/>
          <w:color w:val="111111"/>
          <w:sz w:val="28"/>
          <w:sz w:val="28"/>
          <w:szCs w:val="28"/>
          <w:rtl w:val="true"/>
          <w:lang w:bidi="ar-SA"/>
        </w:rPr>
        <w:t xml:space="preserve">ومن الأمثلة على ذلك قول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وكلاهما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للصحة وسلامة النفس والبدن وقوة الأعصاب ـ المؤثر في حسن الخلق ـ ولسلامة العقل وسلامة الفكر، كما أن بهما 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للفساد، فيكونان السبب لسلامة الروح والعقل من هذه الجهة أيضاً، كما أنهما من العلل المعدة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 وغير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الروايات ومن مذاق الشرع، أن هذه الأواخر، محبوبة للشارع الأقدس، فيكون طلب ما يضمنها ويؤدي إليها، لجهة محبوبيته، فينطبق الضابط الثالث، بل والثاني أيضاً، ويرجح كونه مصداقاً للضابط </w:t>
      </w:r>
      <w:bookmarkStart w:id="896" w:name="pg7671_76917"/>
    </w:p>
    <w:p>
      <w:pPr>
        <w:pStyle w:val="BookText"/>
        <w:rPr/>
      </w:pPr>
      <w:bookmarkEnd w:id="896"/>
      <w:r>
        <w:rPr>
          <w:rFonts w:ascii="Amiri" w:hAnsi="Amiri" w:eastAsia="Amiri" w:cs="Amiri"/>
          <w:color w:val="111111"/>
          <w:sz w:val="28"/>
          <w:sz w:val="28"/>
          <w:szCs w:val="28"/>
          <w:rtl w:val="true"/>
          <w:lang w:bidi="ar-SA"/>
        </w:rPr>
        <w:t>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تعليم الرماية والسباحة، في استحبابها وترتب الأجر والثواب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ثبت استحباب التعليم، ثبت استحباب التعلّم، للملازمة عرفاً بينهما، كما ذكروا ذلك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لينذورا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في بحث حجية خبر الواحد</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3959791_1051229030"/>
      <w:bookmarkStart w:id="898" w:name="_Toc327"/>
      <w:bookmarkEnd w:id="897"/>
      <w:r>
        <w:rPr>
          <w:rtl w:val="true"/>
        </w:rPr>
        <w:t>السفر</w:t>
      </w:r>
      <w:bookmarkEnd w:id="898"/>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تصحوا وتغنموا</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وسببية السفر للصحة، بلحاظ أنه موجب لتقلب الأحوال، والتعرض لمختلف الأجواء، وللضغط الذي يواجه به البدن، وكلها من أسباب تقوية مناعته، وتعويده على شدة التحمل والجلد، وذلك من 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تصحوا</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ومن فوائد الحج أيضاً؛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871"/>
      </w:r>
      <w:bookmarkStart w:id="899" w:name="pg7671_76919"/>
    </w:p>
    <w:p>
      <w:pPr>
        <w:pStyle w:val="Heading4"/>
        <w:numPr>
          <w:ilvl w:val="3"/>
          <w:numId w:val="1"/>
        </w:numPr>
        <w:rPr/>
      </w:pPr>
      <w:bookmarkStart w:id="900" w:name="__RefHeading___Toc3959793_1051229030"/>
      <w:bookmarkStart w:id="901" w:name="_Toc328"/>
      <w:bookmarkEnd w:id="899"/>
      <w:bookmarkEnd w:id="900"/>
      <w:r>
        <w:rPr>
          <w:rtl w:val="true"/>
        </w:rPr>
        <w:t>من الأدلة على أن منافع الدنيا محبوبة للمولى بما هو مولى</w:t>
      </w:r>
      <w:bookmarkEnd w:id="901"/>
    </w:p>
    <w:p>
      <w:pPr>
        <w:pStyle w:val="BookText"/>
        <w:rPr/>
      </w:pPr>
      <w:r>
        <w:rPr>
          <w:rFonts w:ascii="Amiri" w:hAnsi="Amiri" w:eastAsia="Amiri" w:cs="Amiri"/>
          <w:color w:val="111111"/>
          <w:sz w:val="28"/>
          <w:sz w:val="28"/>
          <w:szCs w:val="28"/>
          <w:rtl w:val="true"/>
          <w:lang w:bidi="ar-SA"/>
        </w:rPr>
        <w:t xml:space="preserve">ويظهر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المنافع</w:t>
      </w:r>
      <w:r>
        <w:rPr>
          <w:rStyle w:val="FootnoteAnchor"/>
          <w:rtl w:val="true"/>
        </w:rPr>
        <w:footnoteReference w:id="872"/>
      </w:r>
      <w:r>
        <w:rPr>
          <w:rFonts w:ascii="Amiri" w:hAnsi="Amiri" w:eastAsia="Amiri" w:cs="Amiri"/>
          <w:color w:val="111111"/>
          <w:sz w:val="28"/>
          <w:sz w:val="28"/>
          <w:szCs w:val="28"/>
          <w:rtl w:val="true"/>
          <w:lang w:bidi="ar-SA"/>
        </w:rPr>
        <w:t>محبوبة للمولى بما هو مولى ومطلوبة له، مما يكون قرينة على أن طلبه ما يؤدي إليها ـ كالسفر وغيره ـ كان بجهة محبوبيته له، ومولوياً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لشتى منافع الدنيا والآخرة ـ ومنها الصحة والسلامة والربح والغنيمة، وهما موطن الشاهد في ما صرنا إليه من مولوية أمر السفر وأشباهه ـ فقد سئل الإمام الصادق عليه السلام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وفي العيون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الوفادة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استخراج الأموال وتعب الأبدان وحظرها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ومنفعة من في شرق الأرض وغربها ومن في البر والبحر</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ولذا قال الفاضل المقداد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 على منفعتي الدنيا والآخرة لما كان بعيداً من الصواب، ولذلك نكّر المنافع الدال ذلك على تكثيرها</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بل قد عرفت دلالة بعض الروايات على التعميم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من يلاحظ الآيات والروايات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له شك في محبوبية الصحة </w:t>
      </w:r>
      <w:bookmarkStart w:id="902" w:name="pg7671_76921"/>
    </w:p>
    <w:p>
      <w:pPr>
        <w:pStyle w:val="BookText"/>
        <w:rPr/>
      </w:pPr>
      <w:bookmarkEnd w:id="902"/>
      <w:r>
        <w:rPr>
          <w:rFonts w:ascii="Amiri" w:hAnsi="Amiri" w:eastAsia="Amiri" w:cs="Amiri"/>
          <w:color w:val="111111"/>
          <w:sz w:val="28"/>
          <w:sz w:val="28"/>
          <w:szCs w:val="28"/>
          <w:rtl w:val="true"/>
          <w:lang w:bidi="ar-SA"/>
        </w:rPr>
        <w:t>للمولى جل وعلا، بما هو مولى؛حيث جعلت الصحة غاية لعدد من أهم الواجبات من فروع الدين فيعرف بالبرهاني الإني</w:t>
      </w:r>
      <w:r>
        <w:rPr>
          <w:rStyle w:val="FootnoteAnchor"/>
          <w:rtl w:val="true"/>
        </w:rPr>
        <w:footnoteReference w:id="876"/>
      </w:r>
      <w:r>
        <w:rPr>
          <w:rFonts w:ascii="Amiri" w:hAnsi="Amiri" w:eastAsia="Amiri" w:cs="Amiri"/>
          <w:color w:val="111111"/>
          <w:sz w:val="28"/>
          <w:sz w:val="28"/>
          <w:szCs w:val="28"/>
          <w:rtl w:val="true"/>
          <w:lang w:bidi="ar-SA"/>
        </w:rPr>
        <w:t xml:space="preserve">، من جعلها غاية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محبوبيته للمولى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السفر يفتح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آفاقاً جديدة، وعلاقات جديدة، ويقدح في ذهنه أفكاراً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ذلك كله بنحو المقتضي لا العلة التامة، إلا أنه كافٍ في دعوى محبوبيته للمولى، وان الأمر به قد صدر لجهة 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قد فصلنا في موضع آخر من الكتاب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إرشادية أو مولوية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بحد ذاته صارفاً للأمر عن المولوية؛ فإنه قد يكون لتقوية الداعي لإطاعة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ذاتي أم عارض؟ الظاهر الثاني، فحسنه على هذا مقدمي فلا استقلال للعقل بحسنه، إلا بناء على ما سيأتي في مبحث الاستلزامات</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959795_1051229030"/>
      <w:bookmarkStart w:id="904" w:name="_Toc329"/>
      <w:bookmarkEnd w:id="903"/>
      <w:r>
        <w:rPr>
          <w:rtl w:val="true"/>
        </w:rPr>
        <w:t>حكمة مبغوضية السفر منفرداً ومولوية النهي</w:t>
      </w:r>
      <w:bookmarkEnd w:id="904"/>
    </w:p>
    <w:p>
      <w:pPr>
        <w:pStyle w:val="BookText"/>
        <w:rPr/>
      </w:pPr>
      <w:r>
        <w:rPr>
          <w:rFonts w:ascii="Amiri" w:hAnsi="Amiri" w:eastAsia="Amiri" w:cs="Amiri"/>
          <w:color w:val="111111"/>
          <w:sz w:val="28"/>
          <w:sz w:val="28"/>
          <w:szCs w:val="28"/>
          <w:rtl w:val="true"/>
          <w:lang w:bidi="ar-SA"/>
        </w:rPr>
        <w:t xml:space="preserve">وعن أمير المؤمنين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نهى أن يسافر الرجل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شيطان، والاثنان شيطانان، والثلاثة نفر</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شطن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من الصلاح </w:t>
      </w:r>
      <w:bookmarkStart w:id="905" w:name="pg7671_76923"/>
    </w:p>
    <w:p>
      <w:pPr>
        <w:pStyle w:val="BookText"/>
        <w:rPr/>
      </w:pPr>
      <w:bookmarkEnd w:id="905"/>
      <w:r>
        <w:rPr>
          <w:rFonts w:ascii="Amiri" w:hAnsi="Amiri" w:eastAsia="Amiri" w:cs="Amiri"/>
          <w:color w:val="111111"/>
          <w:sz w:val="28"/>
          <w:sz w:val="28"/>
          <w:szCs w:val="28"/>
          <w:rtl w:val="true"/>
          <w:lang w:bidi="ar-SA"/>
        </w:rPr>
        <w:t>والخير</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والمسافر وحده بعيد عن الصلاح والخير وعن رحمة الله، لأنه قريب من الأخطار، وقريب من تمكن الشيطان منه بالوسواس والخوف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الشيطان قد يغري أحدهما بالآخر بما يحرم، أما الثالث فيكون حجاباً حاجزاً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نهيه صلى الله عليه وآله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مولوي أو إرشادي؟</w:t>
      </w:r>
    </w:p>
    <w:p>
      <w:pPr>
        <w:pStyle w:val="BookText"/>
        <w:rPr/>
      </w:pPr>
      <w:r>
        <w:rPr>
          <w:rFonts w:ascii="Amiri" w:hAnsi="Amiri" w:eastAsia="Amiri" w:cs="Amiri"/>
          <w:color w:val="111111"/>
          <w:sz w:val="28"/>
          <w:sz w:val="28"/>
          <w:szCs w:val="28"/>
          <w:rtl w:val="true"/>
          <w:lang w:bidi="ar-SA"/>
        </w:rPr>
        <w:t xml:space="preserve">قد يستظهر الأول بقرينة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مقام النبي بما هو نبي ورسول ومولى، هو النهي عن إتباع الشيطان أو عن ما يوجب الاتصاف بصفاته، وقد يعد رجحان كون النهي عن السفر وحده، مولوياً، مرجحاً لكون الأمر به، مولوياً كذلك، لقرينة التقابل</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959797_1051229030"/>
      <w:bookmarkStart w:id="907" w:name="_Toc330"/>
      <w:bookmarkEnd w:id="906"/>
      <w:r>
        <w:rPr>
          <w:rtl w:val="true"/>
        </w:rPr>
        <w:t>إطعام الحامل</w:t>
      </w:r>
      <w:r>
        <w:rPr>
          <w:rtl w:val="true"/>
        </w:rPr>
        <w:t xml:space="preserve">: </w:t>
      </w:r>
      <w:r>
        <w:rPr>
          <w:rtl w:val="true"/>
        </w:rPr>
        <w:t>التمرَ</w:t>
      </w:r>
      <w:bookmarkEnd w:id="907"/>
    </w:p>
    <w:p>
      <w:pPr>
        <w:pStyle w:val="BookText"/>
        <w:rPr/>
      </w:pPr>
      <w:r>
        <w:rPr>
          <w:rFonts w:ascii="Amiri" w:hAnsi="Amiri" w:eastAsia="Amiri" w:cs="Amiri"/>
          <w:color w:val="111111"/>
          <w:sz w:val="28"/>
          <w:sz w:val="28"/>
          <w:szCs w:val="28"/>
          <w:rtl w:val="true"/>
          <w:lang w:bidi="ar-SA"/>
        </w:rPr>
        <w:t xml:space="preserve">وقال الرسول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r>
        <w:rPr>
          <w:rStyle w:val="FootnoteAnchor"/>
          <w:rtl w:val="true"/>
        </w:rPr>
        <w:footnoteReference w:id="879"/>
      </w:r>
    </w:p>
    <w:p>
      <w:pPr>
        <w:pStyle w:val="Heading4"/>
        <w:numPr>
          <w:ilvl w:val="3"/>
          <w:numId w:val="1"/>
        </w:numPr>
        <w:rPr/>
      </w:pPr>
      <w:bookmarkStart w:id="908" w:name="__RefHeading___Toc3959799_1051229030"/>
      <w:bookmarkStart w:id="909" w:name="_Toc331"/>
      <w:bookmarkEnd w:id="908"/>
      <w:r>
        <w:rPr>
          <w:rtl w:val="true"/>
        </w:rPr>
        <w:t xml:space="preserve">فوائد </w:t>
      </w:r>
      <w:r>
        <w:rPr>
          <w:rtl w:val="true"/>
        </w:rPr>
        <w:t>(</w:t>
      </w:r>
      <w:r>
        <w:rPr>
          <w:rtl w:val="true"/>
        </w:rPr>
        <w:t>الحلم</w:t>
      </w:r>
      <w:r>
        <w:rPr>
          <w:rtl w:val="true"/>
        </w:rPr>
        <w:t xml:space="preserve">) </w:t>
      </w:r>
      <w:r>
        <w:rPr>
          <w:rtl w:val="true"/>
        </w:rPr>
        <w:t>ومولوية أوامره</w:t>
      </w:r>
      <w:bookmarkEnd w:id="90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يراد بها رضى الله تعالى والقرب إليه، وهو من أسباب سمو الروح، وهو زكاة للنفس، كما أنه حاجز عن كثير من المعاصي، كما انه موجب لمحبة الناس، وإذا كانت جهاته الأخروية هي محط النظر في هذا الحديث وأمثاله أكثر من جهاته الدنيوية، انطبق ضابط المولوية </w:t>
      </w:r>
      <w:bookmarkStart w:id="910" w:name="pg7671_76925"/>
    </w:p>
    <w:p>
      <w:pPr>
        <w:pStyle w:val="BookText"/>
        <w:rPr/>
      </w:pPr>
      <w:bookmarkEnd w:id="910"/>
      <w:r>
        <w:rPr>
          <w:rFonts w:ascii="Amiri" w:hAnsi="Amiri" w:eastAsia="Amiri" w:cs="Amiri"/>
          <w:color w:val="111111"/>
          <w:sz w:val="28"/>
          <w:sz w:val="28"/>
          <w:szCs w:val="28"/>
          <w:rtl w:val="true"/>
          <w:lang w:bidi="ar-SA"/>
        </w:rPr>
        <w:t xml:space="preserve">الثاني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أنشأ بلحاظ مصلحة الآخرة</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3959801_1051229030"/>
      <w:bookmarkStart w:id="912" w:name="_Toc332"/>
      <w:bookmarkEnd w:id="911"/>
      <w:r>
        <w:rPr>
          <w:rtl w:val="true"/>
        </w:rPr>
        <w:t>بيان ذلك</w:t>
      </w:r>
      <w:r>
        <w:rPr>
          <w:rtl w:val="true"/>
        </w:rPr>
        <w:t>:</w:t>
      </w:r>
      <w:r>
        <w:rPr>
          <w:rtl w:val="true"/>
        </w:rPr>
        <w:t xml:space="preserve">إن </w:t>
      </w:r>
      <w:r>
        <w:rPr>
          <w:rtl w:val="true"/>
        </w:rPr>
        <w:t>(</w:t>
      </w:r>
      <w:r>
        <w:rPr>
          <w:rtl w:val="true"/>
        </w:rPr>
        <w:t>الحلم</w:t>
      </w:r>
      <w:r>
        <w:rPr>
          <w:rtl w:val="true"/>
        </w:rPr>
        <w:t xml:space="preserve">) </w:t>
      </w:r>
      <w:r>
        <w:rPr>
          <w:rtl w:val="true"/>
        </w:rPr>
        <w:t>مما تعمر به الآخرة ومما يغفر الله به الذنوب</w:t>
      </w:r>
      <w:r>
        <w:rPr>
          <w:rtl w:val="true"/>
        </w:rPr>
        <w:t>.</w:t>
      </w:r>
      <w:bookmarkEnd w:id="912"/>
    </w:p>
    <w:p>
      <w:pPr>
        <w:pStyle w:val="BookText"/>
        <w:rPr/>
      </w:pPr>
      <w:r>
        <w:rPr>
          <w:rFonts w:ascii="Amiri" w:hAnsi="Amiri" w:eastAsia="Amiri" w:cs="Amiri"/>
          <w:color w:val="111111"/>
          <w:sz w:val="28"/>
          <w:sz w:val="28"/>
          <w:szCs w:val="28"/>
          <w:rtl w:val="true"/>
          <w:lang w:bidi="ar-SA"/>
        </w:rPr>
        <w:t>والروايات الدالة على ذلك عديدة ومنها ما ورد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بين رجلين منازعة، نزل ملكان فيقولان للسفيه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وقلت وأنت أهل لما قلت، وستجزى بما قلت، ويقولان للحليم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وحلمت، سيغفر لك إن أتممت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الحليم عليه ارتفع الملكان</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وعلى ذلك فإن الأمر بالحلم أو بما يؤدي إليه هو أمر مولوي، بناء على الضابط الثاني، بل وبناء على الضابط التاسع للمولوية</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سلمنا لكنه يظهر من الحديث ونظائره أنه محبوب للمولى بما هو مولى فينطبق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لمحبوبيته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للمولى جل وعلا وللرسول وأولي الأمر وإنه مطلوب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الكتاب والسنة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ووصف الله تعالى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xml:space="preserve">. </w:t>
      </w:r>
      <w:bookmarkStart w:id="913" w:name="pg7671_76927"/>
    </w:p>
    <w:p>
      <w:pPr>
        <w:pStyle w:val="BookText"/>
        <w:rPr/>
      </w:pPr>
      <w:bookmarkEnd w:id="913"/>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وأما على الضابط الأول، فإنه مولوي لو استظهرنا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هذا 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الطهارة والنقاء من الذنوب</w:t>
      </w:r>
      <w:r>
        <w:rPr>
          <w:rStyle w:val="FootnoteAnchor"/>
          <w:rtl w:val="true"/>
        </w:rPr>
        <w:footnoteReference w:id="886"/>
      </w:r>
      <w:r>
        <w:rPr>
          <w:rFonts w:ascii="IRNazanin" w:hAnsi="IRNazanin" w:eastAsia="IRNazanin"/>
          <w:color w:val="111111"/>
          <w:sz w:val="28"/>
          <w:sz w:val="28"/>
          <w:szCs w:val="28"/>
          <w:rtl w:val="true"/>
          <w:lang w:bidi="fa-IR"/>
        </w:rPr>
        <w:t>، قد صدر منه بما هو 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إطعامها التمر، يكون مستحباً ويترتب عليه الثواب</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3959803_1051229030"/>
      <w:bookmarkStart w:id="915" w:name="_Toc333"/>
      <w:bookmarkEnd w:id="914"/>
      <w:r>
        <w:rPr>
          <w:rtl w:val="true"/>
        </w:rPr>
        <w:t>العلاج والتداوي</w:t>
      </w:r>
      <w:bookmarkEnd w:id="91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تداووا فإن الله عز وجل لم ينزل داء إلا وأنزل له شفاء</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تداووا فإن الذي أنزل الداء أنزل الدواء</w:t>
      </w:r>
      <w:r>
        <w:rPr>
          <w:rFonts w:eastAsia="Amiri" w:cs="Amiri" w:ascii="Amiri" w:hAnsi="Amiri"/>
          <w:color w:val="111111"/>
          <w:sz w:val="28"/>
          <w:szCs w:val="28"/>
          <w:rtl w:val="true"/>
          <w:lang w:bidi="ar-SA"/>
        </w:rPr>
        <w:t>).</w:t>
      </w:r>
      <w:r>
        <w:rPr>
          <w:rStyle w:val="FootnoteAnchor"/>
          <w:rtl w:val="true"/>
        </w:rPr>
        <w:footnoteReference w:id="888"/>
      </w:r>
      <w:bookmarkStart w:id="916" w:name="pg7671_76929"/>
    </w:p>
    <w:p>
      <w:pPr>
        <w:pStyle w:val="Heading4"/>
        <w:numPr>
          <w:ilvl w:val="3"/>
          <w:numId w:val="1"/>
        </w:numPr>
        <w:rPr/>
      </w:pPr>
      <w:bookmarkStart w:id="917" w:name="__RefHeading___Toc3959805_1051229030"/>
      <w:bookmarkStart w:id="918" w:name="_Toc334"/>
      <w:bookmarkEnd w:id="916"/>
      <w:bookmarkEnd w:id="917"/>
      <w:r>
        <w:rPr>
          <w:rtl w:val="true"/>
        </w:rPr>
        <w:t>استظهار مولوية الأمر بالتداوي</w:t>
      </w:r>
      <w:bookmarkEnd w:id="918"/>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يستبعد استظهار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صادر منه بما هو مولى لنا، فإنه بما هو مولى، يبغض المرض، وترك التداوي منه، وقد فصلنا كون الرسول والإمام معنيّاً، بما هو مولى، بكلا شأني الدنيا والآخرة،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الاستناد في 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 بل حتى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مما يدل على محبوبية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للباري جل وعلا، فيدل بالملازمة العرفية على مطلوبية سببه وعلته المعِّدة، سواء ما كان من قبيل القسم الأول</w:t>
      </w:r>
      <w:r>
        <w:rPr>
          <w:rStyle w:val="FootnoteAnchor"/>
          <w:rtl w:val="true"/>
        </w:rPr>
        <w:footnoteReference w:id="891"/>
      </w:r>
      <w:r>
        <w:rPr>
          <w:rFonts w:ascii="Amiri" w:hAnsi="Amiri" w:eastAsia="Amiri" w:cs="Amiri"/>
          <w:color w:val="111111"/>
          <w:sz w:val="28"/>
          <w:sz w:val="28"/>
          <w:szCs w:val="28"/>
          <w:rtl w:val="true"/>
          <w:lang w:bidi="ar-SA"/>
        </w:rPr>
        <w:t>، أم ما كان من قبيل القسم الثاني</w:t>
      </w:r>
      <w:r>
        <w:rPr>
          <w:rStyle w:val="FootnoteAnchor"/>
          <w:rtl w:val="true"/>
        </w:rPr>
        <w:footnoteReference w:id="892"/>
      </w:r>
      <w:r>
        <w:rPr>
          <w:rFonts w:ascii="Amiri" w:hAnsi="Amiri" w:eastAsia="Amiri" w:cs="Amiri"/>
          <w:color w:val="111111"/>
          <w:sz w:val="28"/>
          <w:sz w:val="28"/>
          <w:szCs w:val="28"/>
          <w:rtl w:val="true"/>
          <w:lang w:bidi="ar-SA"/>
        </w:rPr>
        <w:t>المشار إليهما في الآيتين الشريفتين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إمكان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المريض يقعد به المرض عن شؤون الآخرة،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Style w:val="FootnoteAnchor"/>
          <w:rtl w:val="true"/>
        </w:rPr>
        <w:footnoteReference w:id="893"/>
      </w:r>
      <w:r>
        <w:rPr>
          <w:rFonts w:ascii="Amiri" w:hAnsi="Amiri" w:eastAsia="Amiri" w:cs="Amiri"/>
          <w:color w:val="111111"/>
          <w:sz w:val="28"/>
          <w:sz w:val="28"/>
          <w:szCs w:val="28"/>
          <w:rtl w:val="true"/>
          <w:lang w:bidi="ar-SA"/>
        </w:rPr>
        <w:t xml:space="preserve">محبوب للمولى بذاك اللحاظ،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تلزم من إعمال المولوية فيه، التسلسل وسائر المحالات</w:t>
      </w:r>
      <w:r>
        <w:rPr>
          <w:rFonts w:eastAsia="Amiri" w:cs="Amiri" w:ascii="Amiri" w:hAnsi="Amiri"/>
          <w:color w:val="111111"/>
          <w:sz w:val="28"/>
          <w:szCs w:val="28"/>
          <w:rtl w:val="true"/>
          <w:lang w:bidi="ar-SA"/>
        </w:rPr>
        <w:t xml:space="preserve">. </w:t>
      </w:r>
      <w:bookmarkStart w:id="919" w:name="pg7671_76931"/>
    </w:p>
    <w:p>
      <w:pPr>
        <w:pStyle w:val="Heading4"/>
        <w:numPr>
          <w:ilvl w:val="3"/>
          <w:numId w:val="1"/>
        </w:numPr>
        <w:rPr/>
      </w:pPr>
      <w:bookmarkStart w:id="920" w:name="__RefHeading___Toc3959807_1051229030"/>
      <w:bookmarkStart w:id="921" w:name="_Toc335"/>
      <w:bookmarkEnd w:id="919"/>
      <w:bookmarkEnd w:id="920"/>
      <w:r>
        <w:rPr>
          <w:rtl w:val="true"/>
        </w:rPr>
        <w:t>التداوي عند الضرورة فقط من المستقلات العقلية</w:t>
      </w:r>
      <w:bookmarkEnd w:id="921"/>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التداوي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المستقلات العقلية؟ الظاهر انه في الجملة كذلك، فهو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السيد الوالد قدس سره لذلك باباً وصدّره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المعالجة والمداواة في الجملة، وقد تجب</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والظاهر أن استحبابه أو وجوبه غيري، توصلي، مقدمي</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وقيدنا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مطلق التداوي مما يستقل العقل بحسنه أو يحبّذه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 بدائك ما مشى بك</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وقال الإمام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 الدواء ما احتمل بدنك الداء</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 وعنون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يستحب أن لا يكثر من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كون أصل التداوي محبوباً للمولى، أو انه يراد به شؤون الآخرة ـ في محط النظر ولو في الجملة ـ كان عدم الإكثار من الدواء، وتحمل المرض إلى حينٍ وعدم الإسراع للدواء، كذلك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بعدم كونه من المستقلات العقلية، وإن كان أصله من المستقلات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22" w:name="pg7671_76933"/>
    </w:p>
    <w:p>
      <w:pPr>
        <w:pStyle w:val="Heading4"/>
        <w:numPr>
          <w:ilvl w:val="3"/>
          <w:numId w:val="1"/>
        </w:numPr>
        <w:rPr/>
      </w:pPr>
      <w:bookmarkStart w:id="923" w:name="__RefHeading___Toc3959809_1051229030"/>
      <w:bookmarkStart w:id="924" w:name="_Toc336"/>
      <w:bookmarkEnd w:id="922"/>
      <w:bookmarkEnd w:id="923"/>
      <w:r>
        <w:rPr>
          <w:rtl w:val="true"/>
        </w:rPr>
        <w:t>الحجامة</w:t>
      </w:r>
      <w:bookmarkEnd w:id="924"/>
    </w:p>
    <w:p>
      <w:pPr>
        <w:pStyle w:val="BookText"/>
        <w:rPr/>
      </w:pPr>
      <w:r>
        <w:rPr>
          <w:rFonts w:ascii="Amiri" w:hAnsi="Amiri" w:eastAsia="Amiri" w:cs="Amiri"/>
          <w:color w:val="111111"/>
          <w:sz w:val="28"/>
          <w:sz w:val="28"/>
          <w:szCs w:val="28"/>
          <w:rtl w:val="true"/>
          <w:lang w:bidi="ar-SA"/>
        </w:rPr>
        <w:t>وقال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احتجموا إذا هاج بكم الدم؛ فإن الدم ربما تبيغ بصاحبه فيقتله</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والأمر للوجوب، والتعليل مؤكد له، بل هو من قبيل العنوان والمحصّل، ولولا الشهرة على عدمه، لكانت روايات الحجامة كفيلة بإثباته، ومعها لا محيص عن الاستحباب، إلا فيما كان مقدمة للواجب، فواجب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مررت بملأ من الملائكة، إلا قالوا يا محمد احتجم وأؤمر أمتك بالحجامة</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مما يدل على شدة الإهتمام بشؤون الدنيا والأمور الطبية، كالاهتمام بشؤون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تستحب الحجامة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الحجامة كثيرة وقد ذكرت فيها منافع كثيرة</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3959811_1051229030"/>
      <w:bookmarkStart w:id="926" w:name="_Toc337"/>
      <w:bookmarkEnd w:id="925"/>
      <w:r>
        <w:rPr>
          <w:rtl w:val="true"/>
        </w:rPr>
        <w:t>مولوية الأمر بالحجامة</w:t>
      </w:r>
      <w:bookmarkEnd w:id="9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المستظهر من رواية تفسير القمي أن الأمر بها مولوي؛ فإن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وأؤمر أمتك بالحجامة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على ذلك، لا نظراً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للتعبير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والظاهر 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 بما هو نبي مرسل لا بما هو ناصح، ولذا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أمة كل نبي، </w:t>
      </w:r>
    </w:p>
    <w:p>
      <w:pPr>
        <w:pStyle w:val="BookText"/>
        <w:rPr/>
      </w:pPr>
      <w:r>
        <w:rPr>
          <w:rFonts w:ascii="Amiri" w:hAnsi="Amiri" w:eastAsia="Amiri" w:cs="Amiri"/>
          <w:color w:val="111111"/>
          <w:sz w:val="28"/>
          <w:sz w:val="28"/>
          <w:szCs w:val="28"/>
          <w:rtl w:val="true"/>
          <w:lang w:bidi="ar-SA"/>
        </w:rPr>
        <w:t>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يتبع دينه ـ وإن كان في زمانه ـ فليس من أمته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وكذا ما علل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الدم ربما تبيغ بصاحبه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مبغوضية وحرمة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النفس والقتل والانتحار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الشارع ولدى المولى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ورد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على رسول الله بالسواك، والخلال، والحجامة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فإن نزول جبرئيل على النبي صلى الله عليه وآله بذلك دليل على محبوبيته للمولى، ونزوله على النبي صلى الله عليه وآله به بما هو محبوب فينطبق الضابط الثالث، ويستظهر منه استحقاق الثواب عليه، فينطبق الضابط التاسع، كما يقرب استظهار انطباق الضابط الأول الذي ارتضيناه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فليكتحل</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وواضح 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لا إرشادياً، لكنه للاستحباب للصارف، وقد يشعر أن مصلحته أخروية بالأساس وإن تضمن الدنيوية؛ فإن المقياس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ومحط النظر أولاً وبالذات</w:t>
      </w:r>
      <w:r>
        <w:rPr>
          <w:rFonts w:eastAsia="Amiri" w:cs="Amiri" w:ascii="Amiri" w:hAnsi="Amiri"/>
          <w:color w:val="111111"/>
          <w:sz w:val="28"/>
          <w:szCs w:val="28"/>
          <w:rtl w:val="true"/>
          <w:lang w:bidi="ar-SA"/>
        </w:rPr>
        <w:t xml:space="preserve">. </w:t>
      </w:r>
      <w:bookmarkStart w:id="927" w:name="pg7671_76937"/>
    </w:p>
    <w:p>
      <w:pPr>
        <w:pStyle w:val="Heading3"/>
        <w:numPr>
          <w:ilvl w:val="2"/>
          <w:numId w:val="1"/>
        </w:numPr>
        <w:rPr/>
      </w:pPr>
      <w:bookmarkStart w:id="928" w:name="__RefHeading___Toc3959813_1051229030"/>
      <w:bookmarkStart w:id="929" w:name="_Toc338"/>
      <w:bookmarkEnd w:id="927"/>
      <w:bookmarkEnd w:id="928"/>
      <w:r>
        <w:rPr/>
        <w:t>10</w:t>
      </w:r>
      <w:r>
        <w:rPr>
          <w:rtl w:val="true"/>
        </w:rPr>
        <w:t xml:space="preserve">- </w:t>
      </w:r>
      <w:r>
        <w:rPr>
          <w:rtl w:val="true"/>
        </w:rPr>
        <w:t>ما يتعلق بالأكل وخصوصيات الأطعمة</w:t>
      </w:r>
      <w:bookmarkEnd w:id="929"/>
    </w:p>
    <w:p>
      <w:pPr>
        <w:pStyle w:val="Heading4"/>
        <w:numPr>
          <w:ilvl w:val="3"/>
          <w:numId w:val="1"/>
        </w:numPr>
        <w:rPr/>
      </w:pPr>
      <w:bookmarkStart w:id="930" w:name="__RefHeading___Toc3959815_1051229030"/>
      <w:bookmarkStart w:id="931" w:name="_Toc339"/>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وهناك المئات ـ ولعله الآلاف ـ من الآيات والروايات التي تتحدث بإيجاز حيناً وبإسهاب أحياناً أخرى، حول الطعام، وآداب الأكل والشرب، وآداب السفرة والمائدة، وأنواع الأطعمة والأشربة بما فيها الفواكه والخضروات، بين آمر ببعضها وزاجر عن البعض الآخر ـ مما لم يكن حراماً ـ وبين مخبر عن فوائدها أو أضرارها وبين مصرح بمحبوبيتها ومطلوبيتها لله أو الرسول أو الأئمة عليهم الصلاة والسلام أو ملوح بذلك أو دال عليه بدلالة الإيماء والتنبيه والإشارة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بعضها بالحكمة، ولم يصرح في بعضها الآخر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صرح فيه بحكمته، قد يكون ما ذكر فيه هو المصلحة الدنيوية، وقد يكون المصلحة الأخروية، وقد يكون الخطاب فيه للناس وقد يكون للمؤمنين</w:t>
      </w:r>
      <w:r>
        <w:rPr>
          <w:rFonts w:eastAsia="Amiri" w:cs="Amiri" w:ascii="Amiri" w:hAnsi="Amiri"/>
          <w:color w:val="111111"/>
          <w:sz w:val="28"/>
          <w:szCs w:val="28"/>
          <w:rtl w:val="true"/>
          <w:lang w:bidi="ar-SA"/>
        </w:rPr>
        <w:t xml:space="preserve">. </w:t>
      </w:r>
      <w:bookmarkStart w:id="932" w:name="pg7671_76939"/>
    </w:p>
    <w:p>
      <w:pPr>
        <w:pStyle w:val="Heading4"/>
        <w:numPr>
          <w:ilvl w:val="3"/>
          <w:numId w:val="1"/>
        </w:numPr>
        <w:rPr/>
      </w:pPr>
      <w:bookmarkStart w:id="933" w:name="__RefHeading___Toc3959817_1051229030"/>
      <w:bookmarkStart w:id="934" w:name="_Toc340"/>
      <w:bookmarkEnd w:id="932"/>
      <w:bookmarkEnd w:id="933"/>
      <w:r>
        <w:rPr>
          <w:rtl w:val="true"/>
        </w:rPr>
        <w:t>الأمر بالأنواع والخصوصيات مولوي أم إرشادي؟</w:t>
      </w:r>
      <w:bookmarkEnd w:id="934"/>
    </w:p>
    <w:p>
      <w:pPr>
        <w:pStyle w:val="BookText"/>
        <w:rPr/>
      </w:pPr>
      <w:r>
        <w:rPr>
          <w:rFonts w:ascii="Amiri" w:hAnsi="Amiri" w:eastAsia="Amiri" w:cs="Amiri"/>
          <w:color w:val="111111"/>
          <w:sz w:val="28"/>
          <w:sz w:val="28"/>
          <w:szCs w:val="28"/>
          <w:rtl w:val="true"/>
          <w:lang w:bidi="ar-SA"/>
        </w:rPr>
        <w:t xml:space="preserve">وقد جرى بعض الحديث عن ذلك عند الحديث عن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أصل طلبهما مولوي أم إرشادي؟، ويجري الحديث الآن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ثبتت المولوية ههنا، ثبتت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أولوية بل لا تلازم؛ إذ قد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 خصوصية بها يكون مولوياً، وهي لا توجد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قد يستفاد ذلك عرفاً منه</w:t>
      </w:r>
      <w:r>
        <w:rPr>
          <w:rStyle w:val="FootnoteAnchor"/>
          <w:rtl w:val="true"/>
        </w:rPr>
        <w:footnoteReference w:id="904"/>
      </w:r>
      <w:r>
        <w:rPr>
          <w:rFonts w:ascii="Amiri" w:hAnsi="Amiri" w:eastAsia="Amiri" w:cs="Amiri"/>
          <w:color w:val="111111"/>
          <w:sz w:val="28"/>
          <w:sz w:val="28"/>
          <w:szCs w:val="28"/>
          <w:rtl w:val="true"/>
          <w:lang w:bidi="ar-SA"/>
        </w:rPr>
        <w:t>، وقد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تلك الموارد، نظراً لبعض ما سبق، وغيره، مما أشرنا إليه في مواضع أخرى من الكتاب</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3959819_1051229030"/>
      <w:bookmarkStart w:id="936" w:name="_Toc341"/>
      <w:bookmarkEnd w:id="935"/>
      <w:r>
        <w:rPr>
          <w:rtl w:val="true"/>
        </w:rPr>
        <w:t>نموذج للأمر الطبي</w:t>
      </w:r>
      <w:bookmarkEnd w:id="93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يمضغ الطعام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إلى رواية الأمير لابنه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المضغ</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مبني على استظهار المولوية؛ إذ على الإرشادية لا استحباب</w:t>
      </w:r>
      <w:r>
        <w:rPr>
          <w:rFonts w:eastAsia="Amiri" w:cs="Amiri" w:ascii="Amiri" w:hAnsi="Amiri"/>
          <w:color w:val="111111"/>
          <w:sz w:val="28"/>
          <w:szCs w:val="28"/>
          <w:rtl w:val="true"/>
          <w:lang w:bidi="ar-SA"/>
        </w:rPr>
        <w:t xml:space="preserve">. </w:t>
      </w:r>
      <w:bookmarkStart w:id="937" w:name="pg7671_76941"/>
    </w:p>
    <w:p>
      <w:pPr>
        <w:pStyle w:val="BookText"/>
        <w:rPr/>
      </w:pPr>
      <w:bookmarkEnd w:id="937"/>
      <w:r>
        <w:rPr>
          <w:rFonts w:ascii="Amiri" w:hAnsi="Amiri" w:eastAsia="Amiri" w:cs="Amiri"/>
          <w:color w:val="111111"/>
          <w:sz w:val="28"/>
          <w:sz w:val="28"/>
          <w:szCs w:val="28"/>
          <w:rtl w:val="true"/>
          <w:lang w:bidi="ar-SA"/>
        </w:rPr>
        <w:t xml:space="preserve">لكن قد يقال إن إنشاء الأمر هذا بلحاظ مصلحةٍ دنيويةٍ، فعلى الضابط الثاني في المولوية والإرشادية، فإنه أمر إرشادي، ويستتبع ذلك أن لا ثواب ولا استحباب، لكن هذا الضابط غير تام كما فصلناه، والصحيح هو الضابط الأول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ما صدر من المولى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ويبدو انه قده استظهر صدوره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بعد قليل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959821_1051229030"/>
      <w:bookmarkStart w:id="939" w:name="_Toc342"/>
      <w:bookmarkEnd w:id="938"/>
      <w:r>
        <w:rPr>
          <w:rtl w:val="true"/>
        </w:rPr>
        <w:t>مصاديق لأطعمة يستحب أكلها ويثاب عليها، على المولوية</w:t>
      </w:r>
      <w:bookmarkEnd w:id="939"/>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اختيار جملة من الأطعمة ورعاية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اختيار خبز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اللبن من محض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لأنه يقوي العقل ـ فإنه غذاء المخ ـ ويهدئ الأعصاب، وهما من أهم ما يحفظ الإيمان</w:t>
      </w:r>
      <w:r>
        <w:rPr>
          <w:rStyle w:val="FootnoteAnchor"/>
          <w:rtl w:val="true"/>
        </w:rPr>
        <w:footnoteReference w:id="907"/>
      </w:r>
      <w:r>
        <w:rPr>
          <w:rFonts w:ascii="Amiri" w:hAnsi="Amiri" w:eastAsia="Amiri" w:cs="Amiri"/>
          <w:color w:val="111111"/>
          <w:sz w:val="28"/>
          <w:sz w:val="28"/>
          <w:szCs w:val="28"/>
          <w:rtl w:val="true"/>
          <w:lang w:bidi="ar-SA"/>
        </w:rPr>
        <w:t>، ولعل له تأثيراً غيبياً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يستفهم عن سبب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الاقتصار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أو تبعيضية؟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بالأبيضين الخبز 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الملح</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أكل 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أكل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بالعسل وحبة السوداء</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لا الإرشادية؟ لكن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للمولوية،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أقرب للإرشادية والتعبير عن أحدهما بالآخر، لا يقتضي ثبوت خصوصياته له</w:t>
      </w:r>
      <w:r>
        <w:rPr>
          <w:rStyle w:val="FootnoteAnchor"/>
          <w:rtl w:val="true"/>
        </w:rPr>
        <w:footnoteReference w:id="910"/>
      </w: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في اللغة كما فصله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فصلنا في موضع آخر الحديث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أكل التمر والابتداء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أكل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 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الأهليلج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لروايات مستفيضة في أكثرها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واستقراء كل ذلك مما يطول به المقام، لكثرة الروايات الواردة فيها، وصراحة بعضها في المقصود، وحاجة بعضها للتنقيح والإيضاح، ولعلنا نبحث جانباً من ذلك في المجلد الثاني، إذا شاء الله؛ مع بحث أسنادها </w:t>
      </w:r>
      <w:bookmarkStart w:id="940" w:name="pg7671_76945"/>
    </w:p>
    <w:p>
      <w:pPr>
        <w:pStyle w:val="BookText"/>
        <w:rPr/>
      </w:pPr>
      <w:bookmarkEnd w:id="940"/>
      <w:r>
        <w:rPr>
          <w:rFonts w:ascii="Amiri" w:hAnsi="Amiri" w:eastAsia="Amiri" w:cs="Amiri"/>
          <w:color w:val="111111"/>
          <w:sz w:val="28"/>
          <w:sz w:val="28"/>
          <w:szCs w:val="28"/>
          <w:rtl w:val="true"/>
          <w:lang w:bidi="ar-SA"/>
        </w:rPr>
        <w:t>نظراً لصحة سند بعضها، وتواتر بعضها تواتراً إجمالياً أو مضمونياً، واحتفاف بعضها بالقرائن المفيدة للعلم أو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ههنا بروايتين كمثال وللتبرك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حبتين حبتين إنه يستحب</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الاستحباب الظاهر في استحقاق الثواب، واحتمال إرادة الاستحباب اللغوي بعيد ـ فتأمل</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3959823_1051229030"/>
      <w:bookmarkStart w:id="942" w:name="_Toc343"/>
      <w:bookmarkEnd w:id="941"/>
      <w:r>
        <w:rPr>
          <w:rtl w:val="true"/>
        </w:rPr>
        <w:t>(</w:t>
      </w:r>
      <w:r>
        <w:rPr>
          <w:rtl w:val="true"/>
        </w:rPr>
        <w:t>أكل الرمان يطرد الشيطان</w:t>
      </w:r>
      <w:r>
        <w:rPr>
          <w:rtl w:val="true"/>
        </w:rPr>
        <w:t>)</w:t>
      </w:r>
      <w:r>
        <w:rPr>
          <w:rtl w:val="true"/>
        </w:rPr>
        <w:t>، وهل الجملة الخبرية هنا، إنشائية؟</w:t>
      </w:r>
      <w:bookmarkEnd w:id="942"/>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رمانة على الريق، أنارت قلبه، وطردت شيطان الوسوسة أربعين صباحاً</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وبمضمونها أحاديث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وطردت عنه وسوسة الشيطان ومن طردت عنه وسوسة الشيطان، لم يعص الله، ومن لم يعص الله دخل الجنة</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السيد الوالد جانباً من فلسفة ذلك ـ إضافة إلى الجانب الغيبي ـ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من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الجسم، والرمان ينقي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يفسد الجسم كما تقدم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الدم من السمومات، كما يصفي الكلية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البين لحاظ المصلحة الأخروية في هذه الروايات؛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طردت عنه شيطان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فعلى الضابط الثاني، فإن الأمر ـ لو ورد ـ فهو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إمكان اعتبار الجملة الخبرية، إنشائية، ووقوعه، ولو لم يكن المقام منها، فإن هذه الجملة لا شك دالة على مطلوبيته للمولى، فقد فصلنا في موقع آخر ما ذهب إليه الميرزا الشيرازي قدس سره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الخبرية لو قامت قرينة على إرادة الطلب منها، كان الأصل فيها الوجوب عندئذٍ لا الندب، بل تكفي الدلالة على الندب، فإنه مولوي، بل لا حاجة لنا لكل ذلك، إذ أن دلالة مثل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طردت عنه وسوسة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بالدلالة الإلتزامية أو بدلالة الاقتضاء، على سبق أمر من المولى، لو أنكرت، فإنه تكفي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يشفع بأمر، في رجحان الإتيان بما يحقِّقه بل وجوبه ـ على حسبه ـ كما فصلنا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حاجة لنا إلى كل ذلك؛ إذ يكفي صريح كلام الإمام في ترتيب الثواب عليه</w:t>
      </w:r>
      <w:r>
        <w:rPr>
          <w:rStyle w:val="FootnoteAnchor"/>
          <w:rtl w:val="true"/>
        </w:rPr>
        <w:footnoteReference w:id="91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مطلوباً للمولى بما هو مولى لا بما هو ناصح وإلا فلا ثواب، فينطبق عليه الضابط التاسع للمولوي، وهو ما ذهب إليه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عليه الثواب والعقاب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الضابط الثالث أيضاً مما ينطبق على المقام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الأول؛ فإن المستظهر </w:t>
      </w:r>
      <w:bookmarkStart w:id="943" w:name="pg7671_76949"/>
    </w:p>
    <w:p>
      <w:pPr>
        <w:pStyle w:val="BookText"/>
        <w:rPr/>
      </w:pPr>
      <w:bookmarkEnd w:id="943"/>
      <w:r>
        <w:rPr>
          <w:rFonts w:ascii="Amiri" w:hAnsi="Amiri" w:eastAsia="Amiri" w:cs="Amiri"/>
          <w:color w:val="111111"/>
          <w:sz w:val="28"/>
          <w:sz w:val="28"/>
          <w:szCs w:val="28"/>
          <w:rtl w:val="true"/>
          <w:lang w:bidi="ar-SA"/>
        </w:rPr>
        <w:t>من ذلك كله أن طلبه قد صدر من المولى بما هو مولى معملاً مقامه</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3959825_1051229030"/>
      <w:bookmarkStart w:id="945" w:name="_Toc344"/>
      <w:bookmarkEnd w:id="944"/>
      <w:r>
        <w:rPr>
          <w:rtl w:val="true"/>
        </w:rPr>
        <w:t>الحاصل</w:t>
      </w:r>
      <w:r>
        <w:rPr>
          <w:rtl w:val="true"/>
        </w:rPr>
        <w:t xml:space="preserve">: </w:t>
      </w:r>
      <w:r>
        <w:rPr>
          <w:rtl w:val="true"/>
        </w:rPr>
        <w:t>على المولوية، لأكل العسل والتمر وشبههما ثواب، دون الإرشادية</w:t>
      </w:r>
      <w:bookmarkEnd w:id="94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استظهار المولوية، فإن أكل العسل والتمر وسائر المذكورات، يكون مستحباً ويترتب عليه استحقاق الثواب لكونه إطاعة لأمر المولى، دون ما لو قلنا بالإرشادية، وان المرشِد مخبر عن المصلحة على رأيٍ، ومنشأ بداعي النصح للعمل على رأي آخر، فلا استحباب ولا ثواب في إطاعته، إلا على ما ذهبنا إليه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يصدر من المولى بما هو مولى، فيكون لخصوص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النصح الصادر مجرداً عن مقام المولوية أو لحاظها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الأمر حسب الاختلاف في الضوابط التي يصار إليها للمولوي والإرشادي، وحسب اللحن والقرائن في كل مورد ومورد، فلابد من ملاحظة كل مورد ورواية بذاتها، كما قد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فتدبر جيداً</w:t>
      </w:r>
      <w:r>
        <w:rPr>
          <w:rFonts w:eastAsia="Amiri" w:cs="Amiri" w:ascii="Amiri" w:hAnsi="Amiri"/>
          <w:color w:val="111111"/>
          <w:sz w:val="28"/>
          <w:szCs w:val="28"/>
          <w:rtl w:val="true"/>
          <w:lang w:bidi="ar-SA"/>
        </w:rPr>
        <w:t xml:space="preserve">. </w:t>
      </w:r>
      <w:bookmarkStart w:id="946" w:name="pg7671_76951"/>
    </w:p>
    <w:p>
      <w:pPr>
        <w:pStyle w:val="Heading3"/>
        <w:numPr>
          <w:ilvl w:val="2"/>
          <w:numId w:val="1"/>
        </w:numPr>
        <w:rPr/>
      </w:pPr>
      <w:bookmarkStart w:id="947" w:name="__RefHeading___Toc3959827_1051229030"/>
      <w:bookmarkStart w:id="948" w:name="_Toc345"/>
      <w:bookmarkEnd w:id="946"/>
      <w:bookmarkEnd w:id="947"/>
      <w:r>
        <w:rPr/>
        <w:t>11</w:t>
      </w:r>
      <w:r>
        <w:rPr>
          <w:rtl w:val="true"/>
        </w:rPr>
        <w:t xml:space="preserve">- </w:t>
      </w:r>
      <w:r>
        <w:rPr>
          <w:rtl w:val="true"/>
        </w:rPr>
        <w:t>ما يتعلق بالوعظ والنصح</w:t>
      </w:r>
      <w:bookmarkEnd w:id="948"/>
    </w:p>
    <w:p>
      <w:pPr>
        <w:pStyle w:val="Heading4"/>
        <w:numPr>
          <w:ilvl w:val="3"/>
          <w:numId w:val="1"/>
        </w:numPr>
        <w:rPr/>
      </w:pPr>
      <w:bookmarkStart w:id="949" w:name="__RefHeading___Toc3959829_1051229030"/>
      <w:bookmarkStart w:id="950" w:name="_Toc346"/>
      <w:bookmarkEnd w:id="949"/>
      <w:r>
        <w:rPr>
          <w:rtl w:val="true"/>
        </w:rPr>
        <w:t>الفرق بين الوعظ والنصح</w:t>
      </w:r>
      <w:bookmarkEnd w:id="95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عادة على ما يرتبط بمكارم الأخلاق أو شؤون الآخرة، فلا يطلق على النصائح الطبية مثلاً، ولا على النصائح التجارية وما أشبه مما يعود للجسد أو المال وشؤون الدنيا عموماً، فلا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 الدواء الكذائي أو ببيع منزله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عادة على ما يرتبط بشؤون المعاش أو الشؤون الشخصية، أي شؤون الدنيا عموماً،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بشراء كذا أو بعدم السفر أو الزواج من تلك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يطلق كل منهما على الآخر، فإنهما مما إذا اجتمعا افترقا، وإذا افترقا اجتمعا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الأصح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الوعظ هو الزجر المقترن بالتخويف ـ كما في المفردات</w:t>
      </w:r>
      <w:r>
        <w:rPr>
          <w:rStyle w:val="FootnoteAnchor"/>
          <w:rtl w:val="true"/>
        </w:rPr>
        <w:footnoteReference w:id="916"/>
      </w:r>
      <w:r>
        <w:rPr>
          <w:rFonts w:ascii="Amiri" w:hAnsi="Amiri" w:eastAsia="Amiri" w:cs="Amiri"/>
          <w:color w:val="111111"/>
          <w:sz w:val="28"/>
          <w:sz w:val="28"/>
          <w:szCs w:val="28"/>
          <w:rtl w:val="true"/>
          <w:lang w:bidi="ar-SA"/>
        </w:rPr>
        <w:t xml:space="preserve">ـ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التذكير بالخير فيما يرق له القلب</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والظاهر أن الوعظ أعم من التعريف الأول بلحاظ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يشترطان فيه، إضافة إلى أن مفهوم الوعظ أقرب للإيجاب منه للسلب</w:t>
      </w:r>
      <w:r>
        <w:rPr>
          <w:rStyle w:val="FootnoteAnchor"/>
          <w:rtl w:val="true"/>
        </w:rPr>
        <w:footnoteReference w:id="91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 بأن يقرأ القرآن أو يزيد من إكرام أمه أو أن يتصدق دائماً</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فقول الخليل أقرب، نعم ربما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استعمالاته في القرآن الكريم، أعم</w:t>
      </w:r>
      <w:r>
        <w:rPr>
          <w:rStyle w:val="FootnoteAnchor"/>
          <w:rtl w:val="true"/>
        </w:rPr>
        <w:footnoteReference w:id="920"/>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جائتكم موعظة من ربكم وشفاء لما في الصدور وهدى ورحمة للمؤمنين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 فعل أو قول فيه صلاح صاحبه</w:t>
      </w:r>
      <w:r>
        <w:rPr>
          <w:rFonts w:eastAsia="Amiri" w:cs="Amiri" w:ascii="Amiri" w:hAnsi="Amiri"/>
          <w:color w:val="111111"/>
          <w:sz w:val="28"/>
          <w:szCs w:val="28"/>
          <w:rtl w:val="true"/>
          <w:lang w:bidi="ar-SA"/>
        </w:rPr>
        <w:t>).</w:t>
      </w:r>
      <w:r>
        <w:rPr>
          <w:rStyle w:val="FootnoteAnchor"/>
          <w:rtl w:val="true"/>
        </w:rPr>
        <w:footnoteReference w:id="923"/>
      </w:r>
      <w:bookmarkStart w:id="951" w:name="pg7671_76955"/>
    </w:p>
    <w:p>
      <w:pPr>
        <w:pStyle w:val="Heading4"/>
        <w:numPr>
          <w:ilvl w:val="3"/>
          <w:numId w:val="1"/>
        </w:numPr>
        <w:rPr/>
      </w:pPr>
      <w:bookmarkStart w:id="952" w:name="__RefHeading___Toc3959831_1051229030"/>
      <w:bookmarkStart w:id="953" w:name="_Toc347"/>
      <w:bookmarkEnd w:id="951"/>
      <w:bookmarkEnd w:id="952"/>
      <w:r>
        <w:rPr>
          <w:rtl w:val="true"/>
        </w:rPr>
        <w:t xml:space="preserve">معنى </w:t>
      </w:r>
      <w:r>
        <w:rPr>
          <w:rtl w:val="true"/>
        </w:rPr>
        <w:t>(</w:t>
      </w:r>
      <w:r>
        <w:rPr>
          <w:rtl w:val="true"/>
        </w:rPr>
        <w:t>النصيحة لأئمة المسلمين</w:t>
      </w:r>
      <w:r>
        <w:rPr>
          <w:rtl w:val="true"/>
        </w:rPr>
        <w:t>)</w:t>
      </w:r>
      <w:bookmarkEnd w:id="953"/>
    </w:p>
    <w:p>
      <w:pPr>
        <w:pStyle w:val="BookText"/>
        <w:rPr/>
      </w:pPr>
      <w:r>
        <w:rPr>
          <w:rFonts w:ascii="Amiri" w:hAnsi="Amiri" w:eastAsia="Amiri" w:cs="Amiri"/>
          <w:color w:val="111111"/>
          <w:sz w:val="28"/>
          <w:sz w:val="28"/>
          <w:szCs w:val="28"/>
          <w:rtl w:val="true"/>
          <w:lang w:bidi="ar-SA"/>
        </w:rPr>
        <w:t xml:space="preserve">وبذلك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هي كل فعل أو قول يؤدي لصلاحهم، لا بما هم أشخاص أو بما هم حكام، بل بما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لوحظت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بما هو متصف بهذه الصفة ومتقلّد هذه المسؤولية، من حقوقه على الناس ـ وبالعكس ـ أن يفعلوا كل معروف ومنه أن يضغطوا كل ضغط عليه، لكي تستقيم حكومته ويصلح حاله وتحسن إدارته، فلو لم يفعلوا أخلوا بحق من حقوقه، بما هو إمام لهم، عليهم، وأخلوا بواجب من 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مما يشهد لهذا المعنى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وبذلك ظهر ضعف ما توهمه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النصيحة لهم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لهم وخلوص النية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غير معهود عرفاً، وغير متفاهم منه عرفاً، وإن كان أحد معنييه لغة كما سيأتي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توهم في مثل صحيحة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النصيحة له في المشهد والمغيب</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 فإن </w:t>
      </w:r>
    </w:p>
    <w:p>
      <w:pPr>
        <w:pStyle w:val="BookText"/>
        <w:rPr/>
      </w:pP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والأقرب هو 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 كل فعل أو قول فيه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رواية الإمام الباقر عليه السلام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 فإن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ليخلص لأخيه كإخلاصه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 كل ما فيه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ويتضح ذلك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وأقبلوا النصيحة ممن أهداها إليكم</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كما يدل على ما ذكرناه أيضاً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النصح أنفع من حلاوة الغش</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أكبر التوفيق الأخذ بالنصيحة</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النصيحة أمن من الفضيحة</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بالنصيحة من يلتذ بالفضيحة</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مناصحك مشفق عليك، محسن إليك، ناظر في عواقبك، مستدرك فوارطك، ففي طاعته رشادك وفي مخالفته فسادك</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الظاهر أن المعنى المعهود عرفاً للنصيحة هو المراد في كل </w:t>
      </w:r>
    </w:p>
    <w:p>
      <w:pPr>
        <w:pStyle w:val="BookText"/>
        <w:rPr/>
      </w:pPr>
      <w:r>
        <w:rPr>
          <w:rFonts w:ascii="Amiri" w:hAnsi="Amiri" w:eastAsia="Amiri" w:cs="Amiri"/>
          <w:color w:val="111111"/>
          <w:sz w:val="28"/>
          <w:sz w:val="28"/>
          <w:szCs w:val="28"/>
          <w:rtl w:val="true"/>
          <w:lang w:bidi="ar-SA"/>
        </w:rPr>
        <w:t xml:space="preserve">هذه المواطن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والخلوص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صحيحة الريان بن الصلت في تعليل الإمام الرضا عليه السلام عدم نهيه قوماً يتعاطون أموراً 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خشنة</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والظاهر أنه عليه السلام لم يكن يحتمل التأثير فيهم، أو كان هناك ضرر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إنه لو أريد بالنصح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اللغوي، كان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النية لهم في نصحهم وإرشادهم وزجرهم عن الباطل وأمرهم بالمعروف، لحقهم عليه بما هو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 كان إماماً بالحق، وإلا كان سالبة بإنتفاء الموضوع ـ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النية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 أن يقوم بما يقوم به لا لأجل جلب مصلحة شخصية، أو دفع ضرر محتمل، بل لمحض الإخلاص والخلوص لهم، بما هم أئمة للمسلمين، والذي مآله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النية بل نية القربة أيضاً، بكل قول أو فعل يراد به تسديدهم ـ حدوثاً أو بقاءً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خلوص النية لهم فيقوم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خلوصها لهم بما هم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قول أو فعل يثبتهم على الحق ويردعهم عن الباطل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للنصح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يحاول ويسعى لإحكام وإستحكام أمورهم على الحق وإحكام إدارتهم الأمور بما يرضي الرب، وبما يضمن لهم حسن العاقبة، ولذا سمي الخياط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لإحكامه ربط قِطَع القماش بعضها ببعض،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أمورهم وأحكامهم بالحق، أو يحكم ربط بعضها </w:t>
      </w:r>
      <w:bookmarkStart w:id="954" w:name="pg7671_76961"/>
    </w:p>
    <w:p>
      <w:pPr>
        <w:pStyle w:val="BookText"/>
        <w:rPr/>
      </w:pPr>
      <w:bookmarkEnd w:id="954"/>
      <w:r>
        <w:rPr>
          <w:rFonts w:ascii="Amiri" w:hAnsi="Amiri" w:eastAsia="Amiri" w:cs="Amiri"/>
          <w:color w:val="111111"/>
          <w:sz w:val="28"/>
          <w:sz w:val="28"/>
          <w:szCs w:val="28"/>
          <w:rtl w:val="true"/>
          <w:lang w:bidi="ar-SA"/>
        </w:rPr>
        <w:t>ببعض، مما يكون حقاً مرضياً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المسلمين، من المستقلات العقلية، بكل محتملات معانيها الثلاثة، بل لعله من الأمور الفطرية لكونه شكراً للنعمة ـ بتصدي الإمام العادل لإدارة شؤون الأمة، وسهره وتكبده المشاق لإقرار أمنها وإزدهارها وسعادتها وتقدمها ـ وفيه جلب المنفعة ودفع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بها، يعد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مولوياً، فهو واجب، وفي تركه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إرشادي، لكنه غير تام مبنى كما فصلناه في موضعه</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3959833_1051229030"/>
      <w:bookmarkStart w:id="956" w:name="_Toc348"/>
      <w:bookmarkEnd w:id="955"/>
      <w:r>
        <w:rPr>
          <w:rtl w:val="true"/>
        </w:rPr>
        <w:t xml:space="preserve">معنى </w:t>
      </w:r>
      <w:r>
        <w:rPr>
          <w:rtl w:val="true"/>
        </w:rPr>
        <w:t>(</w:t>
      </w:r>
      <w:r>
        <w:rPr>
          <w:rtl w:val="true"/>
        </w:rPr>
        <w:t>النصح</w:t>
      </w:r>
      <w:r>
        <w:rPr>
          <w:rtl w:val="true"/>
        </w:rPr>
        <w:t>)</w:t>
      </w:r>
      <w:bookmarkEnd w:id="95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فإن النصح أعم من ما فيه صلاح الدنيا أو الآخرة، ومما يعود إلى الشخص أو المجتمع، ومما كان فيه زجر وتخويف أم لا، بل ومما كان ضاراً بالآخرين أو لا، مادام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النصح في القرآن الكريم لكلا جانبي الدنيا والآخرة،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أني لكما من الناصحين</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أبلغتكم رسالة ربي ونصحت لكم ولكن لا تحبون الناصحين</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هل أدلكم على أهل بيت يكفلونه وهم له ناصحون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 فهو أعم من الوعظ، ويؤيد أعميته مادة اشتقاقه فإنه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ـ كما سبق ـ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للخياط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يحكم قطع القماش بعضها ببعض، أو يحكم صنعته،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ناصح العسل أي 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كليهما فإنه شامل لكل ما ذكر</w:t>
      </w:r>
      <w:r>
        <w:rPr>
          <w:rStyle w:val="FootnoteAnchor"/>
          <w:rtl w:val="true"/>
        </w:rPr>
        <w:footnoteReference w:id="940"/>
      </w:r>
      <w:r>
        <w:rPr>
          <w:rFonts w:ascii="Amiri" w:hAnsi="Amiri" w:eastAsia="Amiri" w:cs="Amiri"/>
          <w:color w:val="111111"/>
          <w:sz w:val="28"/>
          <w:sz w:val="28"/>
          <w:szCs w:val="28"/>
          <w:rtl w:val="true"/>
          <w:lang w:bidi="ar-SA"/>
        </w:rPr>
        <w:t>فإنه النصح له، أما بمعنى خلوص النية في ما ينصحه، أو بمعنى إحكامها وإتقانها، وكل منهما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 الأوامر وإرشاديتها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فيها، يظهر الحال في أوامر ونواهي المعصومين عليهم السلام الواردة في شؤون المعاش والاقتصاد أو الشؤون الطبية أو الأخلاقية أو غيرها مما يتعلق بالشخص نفسه أو الأعم، فهل هي إرشادية بدون طلب؟ أو إرشادية طلبية لغير الإلزام؟ أو إرشادية طلبية ندبية؟ أو إرشادية طلبية وجوبية؟ أو أنها مولوية؟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إرشاديان للندب أو للوجوب أيضاً ـ على ما ذهب إليه الشيخ من إنقسام الإرشادي إلى الواجب والمندوب ـ بل هل هما ممحضان في الإرشادية أم إن من أقسامهما ما هو مولوي؟</w:t>
      </w:r>
      <w:r>
        <w:rPr>
          <w:rStyle w:val="FootnoteAnchor"/>
          <w:rtl w:val="true"/>
        </w:rPr>
        <w:footnoteReference w:id="941"/>
      </w:r>
      <w:bookmarkStart w:id="957" w:name="pg7671_76965"/>
    </w:p>
    <w:p>
      <w:pPr>
        <w:pStyle w:val="Heading3"/>
        <w:numPr>
          <w:ilvl w:val="2"/>
          <w:numId w:val="1"/>
        </w:numPr>
        <w:rPr/>
      </w:pPr>
      <w:bookmarkStart w:id="958" w:name="__RefHeading___Toc3959835_1051229030"/>
      <w:bookmarkStart w:id="959" w:name="_Toc349"/>
      <w:bookmarkEnd w:id="957"/>
      <w:bookmarkEnd w:id="958"/>
      <w:r>
        <w:rPr/>
        <w:t>12</w:t>
      </w:r>
      <w:r>
        <w:rPr>
          <w:rtl w:val="true"/>
        </w:rPr>
        <w:t xml:space="preserve">- </w:t>
      </w:r>
      <w:r>
        <w:rPr>
          <w:rtl w:val="true"/>
        </w:rPr>
        <w:t>أوامر ونواهي العقود والإيقاعات</w:t>
      </w:r>
      <w:bookmarkEnd w:id="95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 المتعلقة بأبواب العقود والإيقاعات، من أجزائها وشرائطها وموانعها وروافعها، فهل هي مولوية ولو للندب؟ أو إرشادية للشرطية والمانعية وغيرها؟ وقد تكلمنا في موضع آخر من الكتاب عنها بالتفصيل، فليراجع</w:t>
      </w:r>
      <w:r>
        <w:rPr>
          <w:rFonts w:eastAsia="Amiri" w:cs="Amiri" w:ascii="Amiri" w:hAnsi="Amiri"/>
          <w:color w:val="111111"/>
          <w:sz w:val="28"/>
          <w:szCs w:val="28"/>
          <w:rtl w:val="true"/>
          <w:lang w:bidi="ar-SA"/>
        </w:rPr>
        <w:t xml:space="preserve">. </w:t>
      </w:r>
      <w:bookmarkStart w:id="960" w:name="pg7671_76967"/>
    </w:p>
    <w:p>
      <w:pPr>
        <w:pStyle w:val="Heading3"/>
        <w:numPr>
          <w:ilvl w:val="2"/>
          <w:numId w:val="1"/>
        </w:numPr>
        <w:rPr/>
      </w:pPr>
      <w:bookmarkStart w:id="961" w:name="__RefHeading___Toc3959837_1051229030"/>
      <w:bookmarkStart w:id="962" w:name="_Toc350"/>
      <w:bookmarkEnd w:id="960"/>
      <w:bookmarkEnd w:id="961"/>
      <w:r>
        <w:rPr/>
        <w:t>13-14</w:t>
      </w:r>
      <w:r>
        <w:rPr>
          <w:rtl w:val="true"/>
        </w:rPr>
        <w:t xml:space="preserve">- </w:t>
      </w:r>
      <w:r>
        <w:rPr>
          <w:rtl w:val="true"/>
        </w:rPr>
        <w:t>مصاديق أخرى</w:t>
      </w:r>
      <w:bookmarkEnd w:id="96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بالتوصلي ما يقابل التعبدي ـ وهو المعنى الرابع الذي ذكرناه 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سواء كان توصلياً بالقياس للمكلف ـ وهو المعنى الأول ـ أم لا، وسواء كان توصلياً بالقياس للإختيار والقصد ـ وهو المعنى الثاني ـ أم لا، وسواء كان توصلياً بالقياس للفرد المحلل والمحرم أم لا ـ وهو المعنى الثالث ـ </w:t>
      </w:r>
      <w:r>
        <w:rPr>
          <w:rStyle w:val="FootnoteAnchor"/>
          <w:rtl w:val="true"/>
        </w:rPr>
        <w:footnoteReference w:id="942"/>
      </w:r>
      <w:r>
        <w:rPr>
          <w:rFonts w:ascii="Amiri" w:hAnsi="Amiri" w:eastAsia="Amiri" w:cs="Amiri"/>
          <w:color w:val="111111"/>
          <w:sz w:val="28"/>
          <w:sz w:val="28"/>
          <w:szCs w:val="28"/>
          <w:rtl w:val="true"/>
          <w:lang w:bidi="ar-SA"/>
        </w:rPr>
        <w:t xml:space="preserve"> وذلك كأوامر نزح البئر وغسل البدن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مولوية غيرية، أو مولوية نفسية، أو إرشادية؟ أو بالاختلاف؟</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مما تعلق بأبواب الأحكام من ارث وقصاص وغيرها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الصحة أو القبول في العبادات، كالأمر بالاستقبال والساتر وحضور القلب، والنهي عن القهقهة، فهل هي إرشادية للشرطية والمانعية؟ أم مولوية تكليفية؟ ذهب بعض الأعلام للأول، والأصح الثاني، وسنفصل الحديث عن هذا في الجزء الثاني بإذن الله تعالى</w:t>
      </w:r>
      <w:r>
        <w:rPr>
          <w:rFonts w:eastAsia="Amiri" w:cs="Amiri" w:ascii="Amiri" w:hAnsi="Amiri"/>
          <w:color w:val="111111"/>
          <w:sz w:val="28"/>
          <w:szCs w:val="28"/>
          <w:rtl w:val="true"/>
          <w:lang w:bidi="ar-SA"/>
        </w:rPr>
        <w:t xml:space="preserve">. </w:t>
      </w:r>
      <w:bookmarkStart w:id="963" w:name="pg7671_76969"/>
    </w:p>
    <w:p>
      <w:pPr>
        <w:pStyle w:val="Heading2"/>
        <w:numPr>
          <w:ilvl w:val="1"/>
          <w:numId w:val="1"/>
        </w:numPr>
        <w:rPr/>
      </w:pPr>
      <w:bookmarkStart w:id="964" w:name="__RefHeading___Toc3959839_1051229030"/>
      <w:bookmarkStart w:id="965" w:name="_Toc351"/>
      <w:bookmarkEnd w:id="963"/>
      <w:bookmarkEnd w:id="964"/>
      <w:r>
        <w:rPr>
          <w:rtl w:val="true"/>
        </w:rPr>
        <w:t>المبحث السابع</w:t>
      </w:r>
      <w:r>
        <w:rPr>
          <w:rtl w:val="true"/>
        </w:rPr>
        <w:t xml:space="preserve">: </w:t>
      </w:r>
      <w:r>
        <w:rPr>
          <w:rtl w:val="true"/>
        </w:rPr>
        <w:t>الضابط والملاك في الأوامر والنواهي الإرشادية</w:t>
      </w:r>
      <w:bookmarkEnd w:id="96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6" w:name="__RefHeading___Toc3959841_1051229030"/>
      <w:bookmarkStart w:id="967" w:name="_Toc352"/>
      <w:bookmarkEnd w:id="966"/>
      <w:r>
        <w:rPr>
          <w:rtl w:val="true"/>
        </w:rPr>
        <w:t>اشارة</w:t>
      </w:r>
      <w:bookmarkEnd w:id="96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7671_76972"/>
      <w:bookmarkStart w:id="969" w:name="pg7671_76972"/>
      <w:bookmarkEnd w:id="969"/>
    </w:p>
    <w:p>
      <w:pPr>
        <w:pStyle w:val="BookText"/>
        <w:rPr/>
      </w:pPr>
      <w:bookmarkStart w:id="970" w:name="pg7671_76972"/>
      <w:bookmarkEnd w:id="970"/>
      <w:r>
        <w:rPr>
          <w:rFonts w:ascii="Amiri" w:hAnsi="Amiri" w:eastAsia="Amiri" w:cs="Amiri"/>
          <w:color w:val="111111"/>
          <w:sz w:val="28"/>
          <w:sz w:val="28"/>
          <w:szCs w:val="28"/>
          <w:rtl w:val="true"/>
          <w:lang w:bidi="ar-SA"/>
        </w:rPr>
        <w:t>إن ما ذكر كضابط للأوامر والنواهي بل مطلق الدوالّ الإرشادية والمولوية، أو ما يصلح</w:t>
      </w:r>
    </w:p>
    <w:p>
      <w:pPr>
        <w:pStyle w:val="BookText"/>
        <w:rPr/>
      </w:pPr>
      <w:r>
        <w:rPr>
          <w:rFonts w:ascii="Amiri" w:hAnsi="Amiri" w:eastAsia="Amiri" w:cs="Amiri"/>
          <w:color w:val="111111"/>
          <w:sz w:val="28"/>
          <w:sz w:val="28"/>
          <w:szCs w:val="28"/>
          <w:rtl w:val="true"/>
          <w:lang w:bidi="ar-SA"/>
        </w:rPr>
        <w:t>أن يعدّ ضابطاً هو</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3959843_1051229030"/>
      <w:bookmarkStart w:id="972" w:name="_Toc353"/>
      <w:bookmarkEnd w:id="971"/>
      <w:r>
        <w:rPr/>
        <w:t>1</w:t>
      </w:r>
      <w:r>
        <w:rPr>
          <w:rtl w:val="true"/>
        </w:rPr>
        <w:t xml:space="preserve">- </w:t>
      </w:r>
      <w:r>
        <w:rPr>
          <w:rtl w:val="true"/>
        </w:rPr>
        <w:t>ما صدر من المولى مُعمِلاً مقامه</w:t>
      </w:r>
      <w:bookmarkEnd w:id="972"/>
    </w:p>
    <w:p>
      <w:pPr>
        <w:pStyle w:val="Heading4"/>
        <w:numPr>
          <w:ilvl w:val="3"/>
          <w:numId w:val="1"/>
        </w:numPr>
        <w:rPr/>
      </w:pPr>
      <w:bookmarkStart w:id="973" w:name="__RefHeading___Toc3959845_1051229030"/>
      <w:bookmarkStart w:id="974" w:name="_Toc354"/>
      <w:bookmarkEnd w:id="973"/>
      <w:r>
        <w:rPr>
          <w:rtl w:val="true"/>
        </w:rPr>
        <w:t>اشارة</w:t>
      </w:r>
      <w:bookmarkEnd w:id="97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صدر من المولى بما هو مولى أي معمِلاً مقام مولويته</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سواء كان الأمر لمصلحة عائدة للآمر أم للمأمور أم لغيرهما، سواء كان</w:t>
      </w:r>
      <w:r>
        <w:rPr>
          <w:rStyle w:val="FootnoteAnchor"/>
          <w:rtl w:val="true"/>
        </w:rPr>
        <w:footnoteReference w:id="944"/>
      </w:r>
      <w:r>
        <w:rPr>
          <w:rFonts w:ascii="Amiri" w:hAnsi="Amiri" w:eastAsia="Amiri" w:cs="Amiri"/>
          <w:color w:val="111111"/>
          <w:sz w:val="28"/>
          <w:sz w:val="28"/>
          <w:szCs w:val="28"/>
          <w:rtl w:val="true"/>
          <w:lang w:bidi="ar-SA"/>
        </w:rPr>
        <w:t xml:space="preserve">متعلقاً بهما أم أجنبياً عنهما كما فصلناه في موضع آخر، أم كان لا لمصلحة ـ فرضاً ـ بل تشهياً بل حتى عبثاً، لكنهأعمل </w:t>
      </w:r>
    </w:p>
    <w:p>
      <w:pPr>
        <w:pStyle w:val="BookText"/>
        <w:rPr/>
      </w:pPr>
      <w:r>
        <w:rPr>
          <w:rFonts w:ascii="Amiri" w:hAnsi="Amiri" w:eastAsia="Amiri" w:cs="Amiri"/>
          <w:color w:val="111111"/>
          <w:sz w:val="28"/>
          <w:sz w:val="28"/>
          <w:szCs w:val="28"/>
          <w:rtl w:val="true"/>
          <w:lang w:bidi="ar-SA"/>
        </w:rPr>
        <w:t>مقام مولويته، إذ له ذلك بما هو مالك، وإن لم يجر ذلك في المالك الحقيقي، لكنه نظراً لحكمته، لا بلحاظ توقف المولوية على عدم كونه كذلك</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باستحقاق</w:t>
      </w:r>
      <w:r>
        <w:rPr>
          <w:rStyle w:val="FootnoteAnchor"/>
          <w:rtl w:val="true"/>
        </w:rPr>
        <w:footnoteReference w:id="946"/>
      </w:r>
      <w:r>
        <w:rPr>
          <w:rFonts w:ascii="Amiri" w:hAnsi="Amiri" w:eastAsia="Amiri" w:cs="Amiri"/>
          <w:color w:val="111111"/>
          <w:sz w:val="28"/>
          <w:sz w:val="28"/>
          <w:szCs w:val="28"/>
          <w:rtl w:val="true"/>
          <w:lang w:bidi="ar-SA"/>
        </w:rPr>
        <w:t>الثواب على الموافقة والعقاب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فتفسيره به، تفسير باللازم، وليس بذاتي باب الكليات الخمسة</w:t>
      </w:r>
      <w:r>
        <w:rPr>
          <w:rStyle w:val="FootnoteAnchor"/>
          <w:rtl w:val="true"/>
        </w:rPr>
        <w:footnoteReference w:id="947"/>
      </w:r>
      <w:r>
        <w:rPr>
          <w:rFonts w:ascii="Amiri" w:hAnsi="Amiri" w:eastAsia="Amiri" w:cs="Amiri"/>
          <w:color w:val="111111"/>
          <w:sz w:val="28"/>
          <w:sz w:val="28"/>
          <w:szCs w:val="28"/>
          <w:rtl w:val="true"/>
          <w:lang w:bidi="ar-SA"/>
        </w:rPr>
        <w:t>، بل ولا ذاتي باب البرهان</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وبذلك يظهر عدم 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إضافة إلى 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استحقاق للثواب على الإطاعة، بل كله تفضل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منه ـ أو من غيره ـ بما هو ناصح، ملاحظاً</w:t>
      </w:r>
      <w:r>
        <w:rPr>
          <w:rStyle w:val="FootnoteAnchor"/>
          <w:rtl w:val="true"/>
        </w:rPr>
        <w:footnoteReference w:id="949"/>
      </w:r>
      <w:r>
        <w:rPr>
          <w:rFonts w:ascii="Amiri" w:hAnsi="Amiri" w:eastAsia="Amiri" w:cs="Amiri"/>
          <w:color w:val="111111"/>
          <w:sz w:val="28"/>
          <w:sz w:val="28"/>
          <w:szCs w:val="28"/>
          <w:rtl w:val="true"/>
          <w:lang w:bidi="ar-SA"/>
        </w:rPr>
        <w:t>المصلحة في المتعلق سواء كانت دنيوية أم أخروية، أم كانت واجدة لكلتيهما، بالمساواة أو التغليب بشقيه</w:t>
      </w:r>
      <w:r>
        <w:rPr>
          <w:rStyle w:val="FootnoteAnchor"/>
          <w:rtl w:val="true"/>
        </w:rPr>
        <w:footnoteReference w:id="950"/>
      </w:r>
      <w:r>
        <w:rPr>
          <w:rFonts w:ascii="Amiri" w:hAnsi="Amiri" w:eastAsia="Amiri" w:cs="Amiri"/>
          <w:color w:val="111111"/>
          <w:sz w:val="28"/>
          <w:sz w:val="28"/>
          <w:szCs w:val="28"/>
          <w:rtl w:val="true"/>
          <w:lang w:bidi="ar-SA"/>
        </w:rPr>
        <w:t>، وسواء كان محبوباً للآمر بما هو هو</w:t>
      </w:r>
      <w:r>
        <w:rPr>
          <w:rStyle w:val="FootnoteAnchor"/>
          <w:rtl w:val="true"/>
        </w:rPr>
        <w:footnoteReference w:id="951"/>
      </w:r>
      <w:r>
        <w:rPr>
          <w:rFonts w:ascii="IRNazanin" w:hAnsi="IRNazanin" w:eastAsia="IRNazanin"/>
          <w:color w:val="111111"/>
          <w:sz w:val="28"/>
          <w:sz w:val="28"/>
          <w:szCs w:val="28"/>
          <w:rtl w:val="true"/>
          <w:lang w:bidi="fa-IR"/>
        </w:rPr>
        <w:t>أم لا</w:t>
      </w:r>
      <w:r>
        <w:rPr>
          <w:rStyle w:val="FootnoteAnchor"/>
          <w:rtl w:val="true"/>
        </w:rPr>
        <w:footnoteReference w:id="952"/>
      </w:r>
      <w:r>
        <w:rPr>
          <w:rFonts w:ascii="Amiri" w:hAnsi="Amiri" w:eastAsia="Amiri" w:cs="Amiri"/>
          <w:color w:val="111111"/>
          <w:sz w:val="28"/>
          <w:sz w:val="28"/>
          <w:szCs w:val="28"/>
          <w:rtl w:val="true"/>
          <w:lang w:bidi="ar-SA"/>
        </w:rPr>
        <w:t xml:space="preserve">أم لم يكن محبوباً له، بل حتى لو كان </w:t>
      </w:r>
      <w:bookmarkStart w:id="975" w:name="pg7671_76976"/>
    </w:p>
    <w:p>
      <w:pPr>
        <w:pStyle w:val="BookText"/>
        <w:rPr/>
      </w:pPr>
      <w:bookmarkEnd w:id="975"/>
      <w:r>
        <w:rPr>
          <w:rFonts w:ascii="Amiri" w:hAnsi="Amiri" w:eastAsia="Amiri" w:cs="Amiri"/>
          <w:color w:val="111111"/>
          <w:sz w:val="28"/>
          <w:sz w:val="28"/>
          <w:szCs w:val="28"/>
          <w:rtl w:val="true"/>
          <w:lang w:bidi="ar-SA"/>
        </w:rPr>
        <w:t>مبغوضاً له</w:t>
      </w:r>
      <w:r>
        <w:rPr>
          <w:rStyle w:val="FootnoteAnchor"/>
          <w:rtl w:val="true"/>
        </w:rPr>
        <w:footnoteReference w:id="953"/>
      </w:r>
      <w:r>
        <w:rPr>
          <w:rFonts w:ascii="Amiri" w:hAnsi="Amiri" w:eastAsia="Amiri" w:cs="Amiri"/>
          <w:color w:val="111111"/>
          <w:sz w:val="28"/>
          <w:sz w:val="28"/>
          <w:szCs w:val="28"/>
          <w:rtl w:val="true"/>
          <w:lang w:bidi="ar-SA"/>
        </w:rPr>
        <w:t>، فتأمل وسيأتي وجهه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بالمصداق؛ لأن الإرشادي مطلق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من المولى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ما صدر من النظير للنظير وغيره، ناصحاً كان أو غير ناصح، أو الصادر من المولى لا بلحاظ مقام مولويته، ولا ناصحاً، ولعل منه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ما يراه الطرف نصحاً مفيداً ويراه هو أمراً بلا فائدة بل مضراً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بنصح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منه ـ أو من غيره ـ لا كذلك، ـ أي غير معمل مقام مولويته ـ بل بما هو ناصح أو شبهه أو لا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إن تشبثنا بكون المولوي والإرشادي من قبيل الضدين اللذين لا ثالث لهما</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3959847_1051229030"/>
      <w:bookmarkStart w:id="977" w:name="_Toc355"/>
      <w:bookmarkEnd w:id="976"/>
      <w:r>
        <w:rPr>
          <w:rtl w:val="true"/>
        </w:rPr>
        <w:t>هل البعث في الإرشادي، حقيقي؟</w:t>
      </w:r>
      <w:bookmarkEnd w:id="97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والبعث على هذا إما أن يصار إلى كونه حقيقياً ـ وهو المنصور لشهادة الوجدان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وليس مخبراً فحسب، نعم ملزومه الإخبار ـ أو صورياً، فلا طلب وبعثحقيقة</w:t>
      </w:r>
      <w:r>
        <w:rPr>
          <w:rStyle w:val="FootnoteAnchor"/>
          <w:rtl w:val="true"/>
        </w:rPr>
        <w:footnoteReference w:id="954"/>
      </w:r>
      <w:r>
        <w:rPr>
          <w:rFonts w:ascii="Amiri" w:hAnsi="Amiri" w:eastAsia="Amiri" w:cs="Amiri"/>
          <w:color w:val="111111"/>
          <w:sz w:val="28"/>
          <w:sz w:val="28"/>
          <w:szCs w:val="28"/>
          <w:rtl w:val="true"/>
          <w:lang w:bidi="ar-SA"/>
        </w:rPr>
        <w:t>، بل هو مجرد عنوان مشير</w:t>
      </w:r>
      <w:r>
        <w:rPr>
          <w:rStyle w:val="FootnoteAnchor"/>
          <w:rtl w:val="true"/>
        </w:rPr>
        <w:footnoteReference w:id="955"/>
      </w:r>
      <w:r>
        <w:rPr>
          <w:rFonts w:ascii="Amiri" w:hAnsi="Amiri" w:eastAsia="Amiri" w:cs="Amiri"/>
          <w:color w:val="111111"/>
          <w:sz w:val="28"/>
          <w:sz w:val="28"/>
          <w:szCs w:val="28"/>
          <w:rtl w:val="true"/>
          <w:lang w:bidi="ar-SA"/>
        </w:rPr>
        <w:t>فهو كالمرآة،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الصادر من الواعظ صوري، </w:t>
      </w:r>
      <w:bookmarkStart w:id="978" w:name="pg7671_76978"/>
    </w:p>
    <w:p>
      <w:pPr>
        <w:pStyle w:val="BookText"/>
        <w:rPr/>
      </w:pPr>
      <w:bookmarkEnd w:id="978"/>
      <w:r>
        <w:rPr>
          <w:rFonts w:ascii="Amiri" w:hAnsi="Amiri" w:eastAsia="Amiri" w:cs="Amiri"/>
          <w:color w:val="111111"/>
          <w:sz w:val="28"/>
          <w:sz w:val="28"/>
          <w:szCs w:val="28"/>
          <w:rtl w:val="true"/>
          <w:lang w:bidi="ar-SA"/>
        </w:rPr>
        <w:t>وهو في واقعه إخبار عن المصلحة والمفسدة في المتعلق، لكن بقالب الأمر، فلا بعث فيه، ولا زجر في النهي منه، كما ذهب إليه البعض، وهذا القول لضعفه، لا حاجة لرده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3959849_1051229030"/>
      <w:bookmarkStart w:id="980" w:name="_Toc356"/>
      <w:bookmarkEnd w:id="979"/>
      <w:r>
        <w:rPr>
          <w:rtl w:val="true"/>
        </w:rPr>
        <w:t>الأقسام الثلاثة للنصح</w:t>
      </w:r>
      <w:bookmarkEnd w:id="980"/>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956"/>
      </w:r>
      <w:r>
        <w:rPr>
          <w:rFonts w:ascii="Amiri" w:hAnsi="Amiri" w:eastAsia="Amiri" w:cs="Amiri"/>
          <w:color w:val="111111"/>
          <w:sz w:val="28"/>
          <w:sz w:val="28"/>
          <w:szCs w:val="28"/>
          <w:rtl w:val="true"/>
          <w:lang w:bidi="ar-SA"/>
        </w:rPr>
        <w:t xml:space="preserve">ربما أمكن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يصدر منه بما هو مولى ـ فيكون للإيجاب أو الندب ـ على حسب نوع نصحه ـ وإن بدون استحقاق العقاب بناء على إمكان التفكيك بينهما ـ كما سيأتي بإذن الله تعالى من أن الأمر الإرشادي قد يكون للوجوب وقد يكون للندب، بل الصادر من غير المولى أيضاً قد يكون للإيجاب كما لو أمره الطبيب إلزاماً بدواء نظراً لخطورة حاله، نعم يبقى البحث عن منشأ سلطته للإيجاب مادام غير مولى وليس برب، ونتطرق له لاحقاً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يصدر من غيره بما هو صرف متوخي لمصلحة المأمور، لكن ملزماً أو نادباً، وذلك كالنصح الصادر من الصديق، أو حتى العدو المنصف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يصدر من المولى لا بما هو مولى، بل بما هو ناصح نصحاً إلزامياً أو ندبياً</w:t>
      </w:r>
      <w:r>
        <w:rPr>
          <w:rFonts w:eastAsia="Amiri" w:cs="Amiri" w:ascii="Amiri" w:hAnsi="Amiri"/>
          <w:color w:val="111111"/>
          <w:sz w:val="28"/>
          <w:szCs w:val="28"/>
          <w:rtl w:val="true"/>
          <w:lang w:bidi="ar-SA"/>
        </w:rPr>
        <w:t xml:space="preserve">. </w:t>
      </w:r>
      <w:bookmarkStart w:id="981" w:name="pg7671_76980"/>
    </w:p>
    <w:p>
      <w:pPr>
        <w:pStyle w:val="Heading4"/>
        <w:numPr>
          <w:ilvl w:val="3"/>
          <w:numId w:val="1"/>
        </w:numPr>
        <w:rPr/>
      </w:pPr>
      <w:bookmarkStart w:id="982" w:name="__RefHeading___Toc3959851_1051229030"/>
      <w:bookmarkStart w:id="983" w:name="_Toc357"/>
      <w:bookmarkEnd w:id="981"/>
      <w:bookmarkEnd w:id="982"/>
      <w:r>
        <w:rPr>
          <w:rtl w:val="true"/>
        </w:rPr>
        <w:t>ما الفرق بين الأمرين المولويين؟</w:t>
      </w:r>
      <w:bookmarkEnd w:id="983"/>
    </w:p>
    <w:p>
      <w:pPr>
        <w:pStyle w:val="BookText"/>
        <w:rPr/>
      </w:pPr>
      <w:r>
        <w:rPr>
          <w:rFonts w:ascii="Amiri" w:hAnsi="Amiri" w:eastAsia="Amiri" w:cs="Amiri"/>
          <w:color w:val="111111"/>
          <w:sz w:val="28"/>
          <w:sz w:val="28"/>
          <w:szCs w:val="28"/>
          <w:rtl w:val="true"/>
          <w:lang w:bidi="ar-SA"/>
        </w:rPr>
        <w:t>لكن على هذا يشكل الفرق بين الأوامر المولوية بالمعنى الأخص، والأوامر الصادرة من المولى ناصحاً لكن بما هو مولى له، فيكون هذا دليلاً على أنه لا يوجد نصح صادر من المولى بما هو مولى</w:t>
      </w:r>
      <w:r>
        <w:rPr>
          <w:rStyle w:val="FootnoteAnchor"/>
          <w:rtl w:val="true"/>
        </w:rPr>
        <w:footnoteReference w:id="957"/>
      </w:r>
      <w:r>
        <w:rPr>
          <w:rFonts w:ascii="IRNazanin" w:hAnsi="IRNazanin" w:eastAsia="IRNazanin"/>
          <w:color w:val="111111"/>
          <w:sz w:val="28"/>
          <w:sz w:val="28"/>
          <w:szCs w:val="28"/>
          <w:rtl w:val="true"/>
          <w:lang w:bidi="fa-IR"/>
        </w:rPr>
        <w:t>وعلى أنه لا نصح واجباً</w:t>
      </w:r>
      <w:r>
        <w:rPr>
          <w:rStyle w:val="FootnoteAnchor"/>
          <w:rtl w:val="true"/>
        </w:rPr>
        <w:footnoteReference w:id="958"/>
      </w:r>
      <w:r>
        <w:rPr>
          <w:rFonts w:ascii="IRNazanin" w:hAnsi="IRNazanin" w:eastAsia="IRNazanin"/>
          <w:color w:val="111111"/>
          <w:sz w:val="28"/>
          <w:sz w:val="28"/>
          <w:szCs w:val="28"/>
          <w:rtl w:val="true"/>
          <w:lang w:bidi="fa-IR"/>
        </w:rPr>
        <w:t>؟</w:t>
      </w:r>
    </w:p>
    <w:p>
      <w:pPr>
        <w:pStyle w:val="Heading4"/>
        <w:numPr>
          <w:ilvl w:val="3"/>
          <w:numId w:val="1"/>
        </w:numPr>
        <w:rPr/>
      </w:pPr>
      <w:bookmarkStart w:id="984" w:name="__RefHeading___Toc3959853_1051229030"/>
      <w:bookmarkStart w:id="985" w:name="_Toc358"/>
      <w:bookmarkEnd w:id="984"/>
      <w:r>
        <w:rPr>
          <w:rtl w:val="true"/>
        </w:rPr>
        <w:t>وجه الفرق بين المولويين</w:t>
      </w:r>
      <w:r>
        <w:rPr>
          <w:rtl w:val="true"/>
        </w:rPr>
        <w:t xml:space="preserve">: </w:t>
      </w:r>
      <w:r>
        <w:rPr>
          <w:rtl w:val="true"/>
        </w:rPr>
        <w:t>التشريعي والنصحي</w:t>
      </w:r>
      <w:bookmarkEnd w:id="985"/>
    </w:p>
    <w:p>
      <w:pPr>
        <w:pStyle w:val="BookText"/>
        <w:rPr/>
      </w:pPr>
      <w:r>
        <w:rPr>
          <w:rFonts w:ascii="Amiri" w:hAnsi="Amiri" w:eastAsia="Amiri" w:cs="Amiri"/>
          <w:color w:val="111111"/>
          <w:sz w:val="28"/>
          <w:sz w:val="28"/>
          <w:szCs w:val="28"/>
          <w:rtl w:val="true"/>
          <w:lang w:bidi="ar-SA"/>
        </w:rPr>
        <w:t>لكن قد يجاب باختلاف الاعتبار، وباختلاف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فلأن صدور الأمر منه بما هو مولى معملاً مقام مولويته، يستلزم استحقاق العقاب لو خالف، دون ما لو صدر منه بما هو مولى ناصحاً غير ملاحظ ولا معتبر ما سبق، فلا عقاب بل تترتب المفسدة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وجوه ثلاثة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بما هو مولى معملاً مقامه، قد يأمر بما هو مشرِّع وقد يأمر بما هو ناصح،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959"/>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فإنه اعتبار وهو خفيف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الصادر منه بما هو مولى معملاً مقامه، لو كان بلحاظ أن خلافه هتك له كان أمراً مولوياً بالمعنى الأخص، ولو كان بلحاظ ما يعود للعبد من الفائدة ـ لكنه أمره بما هو مولى لا بلحاظ الهتك ـ كان نصحاً، لكنه واجب على التقديرين إذ صدر منه بما هو مولى معملاً مقامه</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منه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ـ وليس تفسيراً ـ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 الجامع الوجوب، ويراد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معملاً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له من السلطة، إلا أن السلطة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التشريع، فمولوي، وسلطة النصح</w:t>
      </w:r>
      <w:r>
        <w:rPr>
          <w:rStyle w:val="FootnoteAnchor"/>
          <w:rtl w:val="true"/>
        </w:rPr>
        <w:footnoteReference w:id="962"/>
      </w:r>
      <w:r>
        <w:rPr>
          <w:rFonts w:ascii="Amiri" w:hAnsi="Amiri" w:eastAsia="Amiri" w:cs="Amiri"/>
          <w:color w:val="111111"/>
          <w:sz w:val="28"/>
          <w:sz w:val="28"/>
          <w:szCs w:val="28"/>
          <w:rtl w:val="true"/>
          <w:lang w:bidi="ar-SA"/>
        </w:rPr>
        <w:t>، فإرشادي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غير ما لو كان الصادر منه، لا بما هو مولى، بل بما هو محب أو صديق لكنه أيضاً بما هو ناصح نصحاً إلزامياً أو ندبياً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اندفاع إشكال التضاد بين إعمال مقام المولوية والنصح، كما ظهر اندفاع إشكال التضاد بين النصح والوجوب ـ فتأمل</w:t>
      </w:r>
      <w:r>
        <w:rPr>
          <w:rFonts w:eastAsia="Amiri" w:cs="Amiri" w:ascii="Amiri" w:hAnsi="Amiri"/>
          <w:color w:val="111111"/>
          <w:sz w:val="28"/>
          <w:szCs w:val="28"/>
          <w:rtl w:val="true"/>
          <w:lang w:bidi="ar-SA"/>
        </w:rPr>
        <w:t xml:space="preserve">. </w:t>
      </w:r>
      <w:bookmarkStart w:id="986" w:name="pg7671_76984"/>
    </w:p>
    <w:p>
      <w:pPr>
        <w:pStyle w:val="Heading4"/>
        <w:numPr>
          <w:ilvl w:val="3"/>
          <w:numId w:val="1"/>
        </w:numPr>
        <w:rPr/>
      </w:pPr>
      <w:bookmarkStart w:id="987" w:name="__RefHeading___Toc3959855_1051229030"/>
      <w:bookmarkStart w:id="988" w:name="_Toc359"/>
      <w:bookmarkEnd w:id="986"/>
      <w:bookmarkEnd w:id="987"/>
      <w:r>
        <w:rPr>
          <w:rtl w:val="true"/>
        </w:rPr>
        <w:t>الأقسام الخمسة للمولوي والنصحي</w:t>
      </w:r>
      <w:bookmarkEnd w:id="988"/>
    </w:p>
    <w:p>
      <w:pPr>
        <w:pStyle w:val="BookText"/>
        <w:rPr/>
      </w:pPr>
      <w:r>
        <w:rPr>
          <w:rFonts w:ascii="Amiri" w:hAnsi="Amiri" w:eastAsia="Amiri" w:cs="Amiri"/>
          <w:color w:val="111111"/>
          <w:sz w:val="28"/>
          <w:sz w:val="28"/>
          <w:szCs w:val="28"/>
          <w:rtl w:val="true"/>
          <w:lang w:bidi="ar-SA"/>
        </w:rPr>
        <w:t>والحاصل أن رؤوس الأقسام خمسة</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منه بما هو مولى مولوياً</w:t>
      </w:r>
      <w:r>
        <w:rPr>
          <w:rStyle w:val="FootnoteAnchor"/>
          <w:rtl w:val="true"/>
        </w:rPr>
        <w:footnoteReference w:id="964"/>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بما أنا مولى، مرتباً على الخلاف استحقاق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منه بما هو مولى</w:t>
      </w:r>
      <w:r>
        <w:rPr>
          <w:rStyle w:val="FootnoteAnchor"/>
          <w:rtl w:val="true"/>
        </w:rPr>
        <w:footnoteReference w:id="965"/>
      </w:r>
      <w:r>
        <w:rPr>
          <w:rFonts w:ascii="Amiri" w:hAnsi="Amiri" w:eastAsia="Amiri" w:cs="Amiri"/>
          <w:color w:val="111111"/>
          <w:sz w:val="28"/>
          <w:sz w:val="28"/>
          <w:szCs w:val="28"/>
          <w:rtl w:val="true"/>
          <w:lang w:bidi="ar-SA"/>
        </w:rPr>
        <w:t>ناصحاً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بما أنا مولى حريصاً على مصلحتك ملزماً لك أو نادباً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منه لا بما هو مولى، ناصحاً، بأن لا يلاحظ مقام مولويته عند النصيحة ملزماً أو نادباً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غير المولى ناصحاً، ملزماً تارة ونادباً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غيره مدعياً مقامه فيأمر مولوياً، وهو من مصاديق من لا علو له لكن يأمر مستعلياً ولا شأن للخامس في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كلها متصورة ومتمايزة وذات آثار مختلفة ومتحققة خارجاً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الشارع فلابد من ملاحظة لسان الدليل كما سنذكره في موضع آخر بإذن الله تعالى</w:t>
      </w:r>
      <w:r>
        <w:rPr>
          <w:rFonts w:eastAsia="Amiri" w:cs="Amiri" w:ascii="Amiri" w:hAnsi="Amiri"/>
          <w:color w:val="111111"/>
          <w:sz w:val="28"/>
          <w:szCs w:val="28"/>
          <w:rtl w:val="true"/>
          <w:lang w:bidi="ar-SA"/>
        </w:rPr>
        <w:t xml:space="preserve">. </w:t>
      </w:r>
      <w:bookmarkStart w:id="989" w:name="pg7671_76986"/>
    </w:p>
    <w:p>
      <w:pPr>
        <w:pStyle w:val="Heading3"/>
        <w:numPr>
          <w:ilvl w:val="2"/>
          <w:numId w:val="1"/>
        </w:numPr>
        <w:rPr/>
      </w:pPr>
      <w:bookmarkStart w:id="990" w:name="__RefHeading___Toc3959857_1051229030"/>
      <w:bookmarkStart w:id="991" w:name="_Toc360"/>
      <w:bookmarkEnd w:id="989"/>
      <w:bookmarkEnd w:id="990"/>
      <w:r>
        <w:rPr/>
        <w:t>2</w:t>
      </w:r>
      <w:r>
        <w:rPr>
          <w:rtl w:val="true"/>
        </w:rPr>
        <w:t xml:space="preserve">- </w:t>
      </w:r>
      <w:r>
        <w:rPr>
          <w:rtl w:val="true"/>
        </w:rPr>
        <w:t>ما أنشأ بلحاظ مصلحة الآخرة</w:t>
      </w:r>
      <w:bookmarkEnd w:id="991"/>
    </w:p>
    <w:p>
      <w:pPr>
        <w:pStyle w:val="Heading4"/>
        <w:numPr>
          <w:ilvl w:val="3"/>
          <w:numId w:val="1"/>
        </w:numPr>
        <w:rPr/>
      </w:pPr>
      <w:bookmarkStart w:id="992" w:name="__RefHeading___Toc3959859_1051229030"/>
      <w:bookmarkStart w:id="993" w:name="_Toc361"/>
      <w:bookmarkEnd w:id="992"/>
      <w:r>
        <w:rPr>
          <w:rtl w:val="true"/>
        </w:rPr>
        <w:t>اشارة</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أُنشأ بلحاظ مصلحة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لوحظت فيه مصلحة الآخرة</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والنهي المولوي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صدر بلحاظ مفسدة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أعم مما لو كانت المصلحة عائدة للمكلف نفسه، أو لمن يتعلق به، أو للأجنبي عنه، أو 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بلحاظ المصلحة أو المفسدة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كانت مصلحة الآخرة، عائدة لنفسه فقط، أما ما عاد لغيره، فهو إرشاد،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فإرشاد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مصلحة ومفسدة الآخرة أو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 ومحط النظر، فلا يضر كونه واجداً للمصلحة أو المفسدة الأخرى، بل لا تضر حتى الغلبة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نهى عن الخنزير أو الخمر بلحاظ مفاسدهما الدنيوية ـ غالبة كانت أو مساوية أو أقل من المفسدة الدنيوية ـ كان إرشاداً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نهى عنهما بلحاظ مفاسدهما الأخروية كان نهياً مولوياً</w:t>
      </w:r>
      <w:r>
        <w:rPr>
          <w:rFonts w:eastAsia="Amiri" w:cs="Amiri" w:ascii="Amiri" w:hAnsi="Amiri"/>
          <w:color w:val="111111"/>
          <w:sz w:val="28"/>
          <w:szCs w:val="28"/>
          <w:rtl w:val="true"/>
          <w:lang w:bidi="ar-SA"/>
        </w:rPr>
        <w:t xml:space="preserve">. </w:t>
      </w:r>
      <w:bookmarkStart w:id="994" w:name="pg7671_76988"/>
    </w:p>
    <w:p>
      <w:pPr>
        <w:pStyle w:val="BookText"/>
        <w:rPr/>
      </w:pPr>
      <w:bookmarkEnd w:id="994"/>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أريد بالإرشاد معناه المصطلح أي الدال على ما هو الأليق والأصلح بحال العبد في الأمور الدنيوية خاصة، كما يستفاد من كلامهم في الأمر الإرشادي وغيره</w:t>
      </w:r>
      <w:r>
        <w:rPr>
          <w:rFonts w:eastAsia="Amiri" w:cs="Amiri" w:ascii="Amiri" w:hAnsi="Amiri"/>
          <w:color w:val="111111"/>
          <w:sz w:val="28"/>
          <w:szCs w:val="28"/>
          <w:rtl w:val="true"/>
          <w:lang w:bidi="ar-SA"/>
        </w:rPr>
        <w:t>...).</w:t>
      </w:r>
      <w:r>
        <w:rPr>
          <w:rStyle w:val="FootnoteAnchor"/>
          <w:rtl w:val="true"/>
        </w:rPr>
        <w:footnoteReference w:id="968"/>
      </w:r>
    </w:p>
    <w:p>
      <w:pPr>
        <w:pStyle w:val="Heading4"/>
        <w:numPr>
          <w:ilvl w:val="3"/>
          <w:numId w:val="1"/>
        </w:numPr>
        <w:rPr/>
      </w:pPr>
      <w:bookmarkStart w:id="995" w:name="__RefHeading___Toc3959861_1051229030"/>
      <w:bookmarkStart w:id="996" w:name="_Toc362"/>
      <w:bookmarkEnd w:id="995"/>
      <w:r>
        <w:rPr>
          <w:rtl w:val="true"/>
        </w:rPr>
        <w:t>وجه عدم تمامية هذا الضابط</w:t>
      </w:r>
      <w:bookmarkEnd w:id="996"/>
    </w:p>
    <w:p>
      <w:pPr>
        <w:pStyle w:val="BookText"/>
        <w:rPr/>
      </w:pPr>
      <w:r>
        <w:rPr>
          <w:rFonts w:ascii="Amiri" w:hAnsi="Amiri" w:eastAsia="Amiri" w:cs="Amiri"/>
          <w:color w:val="111111"/>
          <w:sz w:val="28"/>
          <w:sz w:val="28"/>
          <w:szCs w:val="28"/>
          <w:rtl w:val="true"/>
          <w:lang w:bidi="ar-SA"/>
        </w:rPr>
        <w:t>لكن قد يورد عليه</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959863_1051229030"/>
      <w:bookmarkStart w:id="998" w:name="_Toc363"/>
      <w:bookmarkEnd w:id="997"/>
      <w:r>
        <w:rPr/>
        <w:t>1</w:t>
      </w:r>
      <w:r>
        <w:rPr>
          <w:rtl w:val="true"/>
        </w:rPr>
        <w:t xml:space="preserve">- </w:t>
      </w:r>
      <w:r>
        <w:rPr>
          <w:rtl w:val="true"/>
        </w:rPr>
        <w:t>النهي مولوياً عن ما فيه مفسدة دنيوية</w:t>
      </w:r>
      <w:bookmarkEnd w:id="998"/>
    </w:p>
    <w:p>
      <w:pPr>
        <w:pStyle w:val="Heading5"/>
        <w:numPr>
          <w:ilvl w:val="4"/>
          <w:numId w:val="1"/>
        </w:numPr>
        <w:rPr/>
      </w:pPr>
      <w:bookmarkStart w:id="999" w:name="__RefHeading___Toc3959865_1051229030"/>
      <w:bookmarkStart w:id="1000" w:name="_Toc364"/>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بأن المولى لو نهاه بما هو مولى عن ما فيه مفسدة دنيوية، بلحاظها، بل حتى عن المباح، لكونه مولى ومالكاً له، معملاً مقام مولويته، فإنه مولوي وليس إرشادياً؟ فإن النهي وإن كان بلحاظها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لأجلها، منع، لكن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مادام أعمل مقام مولويته، كان لحاظها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مادام أعمل مقام مولويته فإنه نهي مولوي؛ إذ المفسدة عندئذٍ علة لإعماله مقام المولوية في النهي، فلا تدافع، وآية ذلك استحقاق العقاب عندئذ بالمخالفة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نهى بلحاظ مفسدة الآخرة، لكن بما هو ناصح، لكونه غير مولى، أو غير معمل مقام المولوية، فإنه إرشاد</w:t>
      </w:r>
      <w:r>
        <w:rPr>
          <w:rFonts w:eastAsia="Amiri" w:cs="Amiri" w:ascii="Amiri" w:hAnsi="Amiri"/>
          <w:color w:val="111111"/>
          <w:sz w:val="28"/>
          <w:szCs w:val="28"/>
          <w:rtl w:val="true"/>
          <w:lang w:bidi="ar-SA"/>
        </w:rPr>
        <w:t xml:space="preserve">. </w:t>
      </w:r>
      <w:bookmarkStart w:id="1001" w:name="pg7671_76990"/>
    </w:p>
    <w:p>
      <w:pPr>
        <w:pStyle w:val="Heading5"/>
        <w:numPr>
          <w:ilvl w:val="4"/>
          <w:numId w:val="1"/>
        </w:numPr>
        <w:rPr/>
      </w:pPr>
      <w:bookmarkStart w:id="1002" w:name="__RefHeading___Toc3959867_1051229030"/>
      <w:bookmarkStart w:id="1003" w:name="_Toc365"/>
      <w:bookmarkEnd w:id="1001"/>
      <w:bookmarkEnd w:id="1002"/>
      <w:r>
        <w:rPr>
          <w:rtl w:val="true"/>
        </w:rPr>
        <w:t>هل رعاية المصالح الدنيوية من شأن المولى؟</w:t>
      </w:r>
      <w:bookmarkEnd w:id="1003"/>
    </w:p>
    <w:p>
      <w:pPr>
        <w:pStyle w:val="BookText"/>
        <w:rPr/>
      </w:pPr>
      <w:r>
        <w:rPr>
          <w:rFonts w:ascii="Amiri" w:hAnsi="Amiri" w:eastAsia="Amiri" w:cs="Amiri"/>
          <w:color w:val="111111"/>
          <w:sz w:val="28"/>
          <w:sz w:val="28"/>
          <w:szCs w:val="28"/>
          <w:rtl w:val="true"/>
          <w:lang w:bidi="ar-SA"/>
        </w:rPr>
        <w:t xml:space="preserve">ولعل منشأ هذا الضابط 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مصالح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يُنشأ من الأمر بلحاظها، لا يصدر إلا من المولى وبما هو مولى، وأن 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الدنيا ومفاسدها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لعامة الناس، ليس من شأن الله والرسول والإمام، فلو أمروا بلحاظها أو نهوا كذلك، كان إرشاداً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الوهم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فلوضوح إمكان ووقوع رعاية غير المولى ـ كالصديق ـ لمصالح الآخرة، لصديقه، فيأمره بأمرٍ بهذا اللحاظ، ووضوح أن المولى قد يأمر ناصحاً غير ملاحظٍ مقامه ولا معملٍ إياه، ويتضح ذلك أكثر بملاحظة حال الأب في نصحه ابنه بما يعود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فلأن المستظهر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رعاية 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والدنيوية، المادية والمعنوية، ما عاد للآخرة محضاً أو للدنيا محضاً أو بالاشتراك، كلها محط نظر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ورسله وأوصيائه، وكلها مما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لقد عد الله تعالى رعاية كلا الجانبين من أغراض البعثة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ولعل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 والأغلال التي كانت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لمصالح عائدة لدنياهم، وإن استلزمت مصالح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إن ذلك صادر من مقام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مولى، وكونها للامتنان لا ينفي ذلك بل يؤكده، خاصة بلحاظ السياق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منه صلى الله عليه وآله، بما هو مولى، وأمره بالمعروف امتنان وتفضل عليهم لعود فائدته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تصدير الآية الشريفة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مقام مولويته ـ فتأمل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وَمَنَافِعُ لِلنَّاسِ وَإِثْمُهُمَآ أَكْبَرُ مِن نَّفْعِهِمَا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فإن كثيراً منها ذات مصالح وفوائد دنيوية</w:t>
      </w:r>
      <w:r>
        <w:rPr>
          <w:rFonts w:eastAsia="Amiri" w:cs="Amiri" w:ascii="Amiri" w:hAnsi="Amiri"/>
          <w:color w:val="111111"/>
          <w:sz w:val="28"/>
          <w:szCs w:val="28"/>
          <w:rtl w:val="true"/>
          <w:lang w:bidi="ar-SA"/>
        </w:rPr>
        <w:t xml:space="preserve">. </w:t>
      </w:r>
      <w:bookmarkStart w:id="1004" w:name="pg7671_76994"/>
    </w:p>
    <w:p>
      <w:pPr>
        <w:pStyle w:val="BookText"/>
        <w:rPr/>
      </w:pPr>
      <w:bookmarkEnd w:id="1004"/>
      <w:r>
        <w:rPr>
          <w:rFonts w:ascii="Amiri" w:hAnsi="Amiri" w:eastAsia="Amiri" w:cs="Amiri"/>
          <w:color w:val="111111"/>
          <w:sz w:val="28"/>
          <w:sz w:val="28"/>
          <w:szCs w:val="28"/>
          <w:rtl w:val="true"/>
          <w:lang w:bidi="ar-SA"/>
        </w:rPr>
        <w:t xml:space="preserve">وما ورد في تعليل الأمر بالمعروف والنهي عن المنكر، من المصالح الدنيوية والأخروية، مثل رواية التهذيب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وقد فصلنا الحديث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كما يمكن الاستدلال على ذلك بخطبة الصديقة الزهراء عليها الصلاة والسلام كما فصلناه في الكتاب المزبور</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ولذلك نجد المئات بل الألوف من الروايات قد وردت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ذلك، وقد وردت مثلاً الألوف من الروايات حول الشؤون الطبية للإنسان،كما وردت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جانب من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دنيوي أيضاً في مواضع مختلفة من فقه التعاون على البر والتقوى</w:t>
      </w:r>
      <w:r>
        <w:rPr>
          <w:rStyle w:val="FootnoteAnchor"/>
          <w:rtl w:val="true"/>
        </w:rPr>
        <w:footnoteReference w:id="981"/>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3959869_1051229030"/>
      <w:bookmarkStart w:id="1006" w:name="_Toc366"/>
      <w:bookmarkEnd w:id="1005"/>
      <w:r>
        <w:rPr/>
        <w:t>2</w:t>
      </w:r>
      <w:r>
        <w:rPr>
          <w:rtl w:val="true"/>
        </w:rPr>
        <w:t xml:space="preserve">- </w:t>
      </w:r>
      <w:r>
        <w:rPr>
          <w:rtl w:val="true"/>
        </w:rPr>
        <w:t>النقض بوجود المولوي في العرف</w:t>
      </w:r>
      <w:bookmarkEnd w:id="10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بما ذكره الميرزا الشيرازي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الوجوب والندب لا ينحصران في الأوامر الشرعية، بل يجريان في العرفية أيضاً، إذ لا ريب إن بعضها ـ أيضاً ـ وجوبي، وبعضها ندبي، وبعضها </w:t>
      </w:r>
    </w:p>
    <w:p>
      <w:pPr>
        <w:pStyle w:val="BookText"/>
        <w:rPr/>
      </w:pPr>
      <w:r>
        <w:rPr>
          <w:rFonts w:ascii="Amiri" w:hAnsi="Amiri" w:eastAsia="Amiri" w:cs="Amiri"/>
          <w:color w:val="111111"/>
          <w:sz w:val="28"/>
          <w:sz w:val="28"/>
          <w:szCs w:val="28"/>
          <w:rtl w:val="true"/>
          <w:lang w:bidi="ar-SA"/>
        </w:rPr>
        <w:t>إرشادي، ولا ريب أن الوجوبية والندبية منها ليست إلا لمصالح دنيوية، فبطل الفرق المذكور</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ومحصله أن الأوامر العرفية منها ما هو مولوي دون ريب، لكن لازم هذا الضابط كونها بأجمعها إرشادية، لأن الأوامر العرفية كلها عائدة لمصلحة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الضابط كانت الأوامر العرفية كلها إرشادية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مصالحها دنيوية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المولوية العرفية ـ وجوبية كانت أم ندبية ـ كثيراً ما تكون لمصلحة أخروية، فلو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تنمو ثمارها فيتصدق بها، فإن المصلحة أخروية، والأمر عرفي مولوي، إلا أن يفرق بالمصلحة القريبة والبعيدة</w:t>
      </w:r>
      <w:r>
        <w:rPr>
          <w:rStyle w:val="FootnoteAnchor"/>
          <w:rtl w:val="true"/>
        </w:rPr>
        <w:footnoteReference w:id="983"/>
      </w:r>
      <w:r>
        <w:rPr>
          <w:rFonts w:ascii="Amiri" w:hAnsi="Amiri" w:eastAsia="Amiri" w:cs="Amiri"/>
          <w:color w:val="111111"/>
          <w:sz w:val="28"/>
          <w:sz w:val="28"/>
          <w:szCs w:val="28"/>
          <w:rtl w:val="true"/>
          <w:lang w:bidi="ar-SA"/>
        </w:rPr>
        <w:t>لكنه لو تم فإنه لايتم في شتى أوامر الموالي لعبيدهم</w:t>
      </w:r>
      <w:r>
        <w:rPr>
          <w:rStyle w:val="FootnoteAnchor"/>
          <w:rtl w:val="true"/>
        </w:rPr>
        <w:footnoteReference w:id="984"/>
      </w:r>
      <w:r>
        <w:rPr>
          <w:rFonts w:ascii="Amiri" w:hAnsi="Amiri" w:eastAsia="Amiri" w:cs="Amiri"/>
          <w:color w:val="111111"/>
          <w:sz w:val="28"/>
          <w:sz w:val="28"/>
          <w:szCs w:val="28"/>
          <w:rtl w:val="true"/>
          <w:lang w:bidi="ar-SA"/>
        </w:rPr>
        <w:t>لو لاحظوا بها مصلحة الآخرة كأمره لعبده بالصلاة أو إصلاح ذات البين قربة لله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أوامر مولى الموالي تنقسم إلى المولوية والإرشادية، وإلى ما لوحظت فيه مصلحة الآخرة والدنيا، كذلك الموالي العرفية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النقض غير تام</w:t>
      </w:r>
      <w:r>
        <w:rPr>
          <w:rFonts w:eastAsia="Amiri" w:cs="Amiri" w:ascii="Amiri" w:hAnsi="Amiri"/>
          <w:color w:val="111111"/>
          <w:sz w:val="28"/>
          <w:szCs w:val="28"/>
          <w:rtl w:val="true"/>
          <w:lang w:bidi="ar-SA"/>
        </w:rPr>
        <w:t xml:space="preserve">. </w:t>
      </w:r>
      <w:bookmarkStart w:id="1007" w:name="pg7671_76998"/>
    </w:p>
    <w:p>
      <w:pPr>
        <w:pStyle w:val="BookText"/>
        <w:rPr/>
      </w:pPr>
      <w:bookmarkEnd w:id="1007"/>
      <w:r>
        <w:rPr>
          <w:rFonts w:ascii="Amiri" w:hAnsi="Amiri" w:eastAsia="Amiri" w:cs="Amiri"/>
          <w:color w:val="111111"/>
          <w:sz w:val="28"/>
          <w:sz w:val="28"/>
          <w:szCs w:val="28"/>
          <w:rtl w:val="true"/>
          <w:lang w:bidi="ar-SA"/>
        </w:rPr>
        <w:t>كما ظهر عدم تمامية تنزل المحقق الرشتي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التعريف لو صح، صح في خصوص الأوامر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التنزل على تسليم حصر العرفية في ما كان لمصلحة الدنيا، وقد ظهر لك وجه الإشكال عليه، ولعدم صحته في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الأوامر الشرعية لو صدرت بلحاظ المصالح الدنيوية، لكن منهم عليهم السلام بما هم موالي، كانت مولوية ـ فتأمل</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959871_1051229030"/>
      <w:bookmarkStart w:id="1009" w:name="_Toc367"/>
      <w:bookmarkEnd w:id="1008"/>
      <w:r>
        <w:rPr/>
        <w:t>3</w:t>
      </w:r>
      <w:r>
        <w:rPr>
          <w:rtl w:val="true"/>
        </w:rPr>
        <w:t xml:space="preserve">- </w:t>
      </w:r>
      <w:r>
        <w:rPr>
          <w:rtl w:val="true"/>
        </w:rPr>
        <w:t>النقض بلزوم كون أمر الإطاعة، مولوياً</w:t>
      </w:r>
      <w:bookmarkEnd w:id="1009"/>
    </w:p>
    <w:p>
      <w:pPr>
        <w:pStyle w:val="Heading5"/>
        <w:numPr>
          <w:ilvl w:val="4"/>
          <w:numId w:val="1"/>
        </w:numPr>
        <w:rPr/>
      </w:pPr>
      <w:bookmarkStart w:id="1010" w:name="__RefHeading___Toc3959873_1051229030"/>
      <w:bookmarkStart w:id="1011" w:name="_Toc368"/>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أيضاً بما ذكره المحقق الرشتي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بلزوم كون أمر الإطاعة مولوياً</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كونه كذلك، على النقيض من الميرزا الشيرازي رحمه الله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وإن التزمنا بكونه مولوياً، كما فصلناه في محله، إلا أن للقائل بهذا الوجه أن لا يلتزم بالمولوية، لكن مع إضافة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لوحظت فيه مصلحة الآخرة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للمولوي، فيخرج أمر الإطاعة؛ لأن المصلحة هي في غيره، وهي العناوين الكلية كالصلاة التي ورد أمر الإطاعة عليها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كونه فارقاً لدى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لإتحاد الكلي الطبيعي مع أفراده، وجنسه مع أنواعه</w:t>
      </w:r>
      <w:r>
        <w:rPr>
          <w:rStyle w:val="FootnoteAnchor"/>
          <w:rtl w:val="true"/>
        </w:rPr>
        <w:footnoteReference w:id="986"/>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ليس من ذاك الباب</w:t>
      </w:r>
      <w:r>
        <w:rPr>
          <w:rStyle w:val="FootnoteAnchor"/>
          <w:rtl w:val="true"/>
        </w:rPr>
        <w:footnoteReference w:id="987"/>
      </w:r>
      <w:r>
        <w:rPr>
          <w:rFonts w:ascii="Amiri" w:hAnsi="Amiri" w:eastAsia="Amiri" w:cs="Amiri"/>
          <w:color w:val="111111"/>
          <w:sz w:val="28"/>
          <w:sz w:val="28"/>
          <w:szCs w:val="28"/>
          <w:rtl w:val="true"/>
          <w:lang w:bidi="ar-SA"/>
        </w:rPr>
        <w:t>لأن أحدهما متعلق للآخر وليس فرده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نقول بالكلي الطبيعي</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تعددت الحيثية، فإنه</w:t>
      </w:r>
      <w:r>
        <w:rPr>
          <w:rStyle w:val="FootnoteAnchor"/>
          <w:rtl w:val="true"/>
        </w:rPr>
        <w:footnoteReference w:id="990"/>
      </w:r>
      <w:r>
        <w:rPr>
          <w:rFonts w:ascii="Amiri" w:hAnsi="Amiri" w:eastAsia="Amiri" w:cs="Amiri"/>
          <w:color w:val="111111"/>
          <w:sz w:val="28"/>
          <w:sz w:val="28"/>
          <w:szCs w:val="28"/>
          <w:rtl w:val="true"/>
          <w:lang w:bidi="ar-SA"/>
        </w:rPr>
        <w:t>لا يشكل فارقاً لدى العقل، مادام الملاك مصلحة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إن تعدد الحيثية مع اتحاد الوجود غير مجدٍ، فإن المصداق هو الحامل للغرض وهو واحد</w:t>
      </w:r>
      <w:r>
        <w:rPr>
          <w:rStyle w:val="FootnoteAnchor"/>
          <w:rtl w:val="true"/>
        </w:rPr>
        <w:footnoteReference w:id="991"/>
      </w:r>
      <w:r>
        <w:rPr>
          <w:rFonts w:ascii="Amiri" w:hAnsi="Amiri" w:eastAsia="Amiri" w:cs="Amiri"/>
          <w:color w:val="111111"/>
          <w:sz w:val="28"/>
          <w:sz w:val="28"/>
          <w:szCs w:val="28"/>
          <w:rtl w:val="true"/>
          <w:lang w:bidi="ar-SA"/>
        </w:rPr>
        <w:t>، فالأمر إما مولوي أو لا، والحيثية داع للآمر ليأمر مولوياً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أن 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 فارقاً لدى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من غير حاجة لتعليل ذلك باتحاد الكلي الطبيعي مع مصاديقه؛ فإنه سواء التزمنا بأصل وجوده ثم اتحاده معها على فرضه وعدمه،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يصنع فارقاً لدى العقل بين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حمله المصلحة الأخروية وكونه مولوياً بهذا اللحاظ وعدمه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أصل إشكال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لوحظت فيه مصلحة الآخرة ولو لذاته</w:t>
      </w:r>
      <w:r>
        <w:rPr>
          <w:rFonts w:eastAsia="Amiri" w:cs="Amiri" w:ascii="Amiri" w:hAnsi="Amiri"/>
          <w:color w:val="111111"/>
          <w:sz w:val="28"/>
          <w:szCs w:val="28"/>
          <w:rtl w:val="true"/>
          <w:lang w:bidi="ar-SA"/>
        </w:rPr>
        <w:t xml:space="preserve">) </w:t>
      </w:r>
      <w:bookmarkStart w:id="1012" w:name="pg7671_77001"/>
    </w:p>
    <w:p>
      <w:pPr>
        <w:pStyle w:val="BookText"/>
        <w:rPr/>
      </w:pPr>
      <w:bookmarkEnd w:id="1012"/>
      <w:r>
        <w:rPr>
          <w:rFonts w:ascii="Amiri" w:hAnsi="Amiri" w:eastAsia="Amiri" w:cs="Amiri"/>
          <w:color w:val="111111"/>
          <w:sz w:val="28"/>
          <w:sz w:val="28"/>
          <w:szCs w:val="28"/>
          <w:rtl w:val="true"/>
          <w:lang w:bidi="ar-SA"/>
        </w:rPr>
        <w:t xml:space="preserve">ليس هو المقياس للمولوية، للنقض بالناصح، ولما سبق من أن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معملاً مقام مولويته</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3959875_1051229030"/>
      <w:bookmarkStart w:id="1014" w:name="_Toc369"/>
      <w:bookmarkEnd w:id="1013"/>
      <w:r>
        <w:rPr>
          <w:rtl w:val="true"/>
        </w:rPr>
        <w:t>الشيرازي</w:t>
      </w:r>
      <w:r>
        <w:rPr>
          <w:rtl w:val="true"/>
        </w:rPr>
        <w:t>: (</w:t>
      </w:r>
      <w:r>
        <w:rPr>
          <w:rtl w:val="true"/>
        </w:rPr>
        <w:t>أمر الإطاعة</w:t>
      </w:r>
      <w:r>
        <w:rPr>
          <w:rtl w:val="true"/>
        </w:rPr>
        <w:t xml:space="preserve">) </w:t>
      </w:r>
      <w:r>
        <w:rPr>
          <w:rtl w:val="true"/>
        </w:rPr>
        <w:t>إرشادي، والمصلحة دنيوية</w:t>
      </w:r>
      <w:bookmarkEnd w:id="1014"/>
    </w:p>
    <w:p>
      <w:pPr>
        <w:pStyle w:val="BookText"/>
        <w:rPr/>
      </w:pPr>
      <w:r>
        <w:rPr>
          <w:rFonts w:ascii="Amiri" w:hAnsi="Amiri" w:eastAsia="Amiri" w:cs="Amiri"/>
          <w:color w:val="111111"/>
          <w:sz w:val="28"/>
          <w:sz w:val="28"/>
          <w:szCs w:val="28"/>
          <w:rtl w:val="true"/>
          <w:lang w:bidi="ar-SA"/>
        </w:rPr>
        <w:t>ثم أن الميرزا الشيرازي نقل هذا الضابط عن بعضهم، بهذا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أخروية،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دنيوية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أورد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أوامر الإطاعة كلها إرشادية، مع أنها ليست إلا للمصالح الأخروية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3959877_1051229030"/>
      <w:bookmarkStart w:id="1016" w:name="_Toc370"/>
      <w:bookmarkEnd w:id="1015"/>
      <w:r>
        <w:rPr>
          <w:rtl w:val="true"/>
        </w:rPr>
        <w:t>أجوبة ثلاثة</w:t>
      </w:r>
      <w:bookmarkEnd w:id="1016"/>
    </w:p>
    <w:p>
      <w:pPr>
        <w:pStyle w:val="BookText"/>
        <w:rPr/>
      </w:pPr>
      <w:r>
        <w:rPr>
          <w:rFonts w:ascii="Amiri" w:hAnsi="Amiri" w:eastAsia="Amiri" w:cs="Amiri"/>
          <w:color w:val="111111"/>
          <w:sz w:val="28"/>
          <w:sz w:val="28"/>
          <w:szCs w:val="28"/>
          <w:rtl w:val="true"/>
          <w:lang w:bidi="ar-SA"/>
        </w:rPr>
        <w:t>لكن ربما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بما أشرنا إليه في موضع آخر</w:t>
      </w:r>
      <w:r>
        <w:rPr>
          <w:rStyle w:val="FootnoteAnchor"/>
          <w:rtl w:val="true"/>
        </w:rPr>
        <w:footnoteReference w:id="994"/>
      </w:r>
      <w:r>
        <w:rPr>
          <w:rFonts w:ascii="Amiri" w:hAnsi="Amiri" w:eastAsia="Amiri" w:cs="Amiri"/>
          <w:color w:val="111111"/>
          <w:sz w:val="28"/>
          <w:sz w:val="28"/>
          <w:szCs w:val="28"/>
          <w:rtl w:val="true"/>
          <w:lang w:bidi="ar-SA"/>
        </w:rPr>
        <w:t>من أن أوامر الإطاعة، مولوية، وأنه لا يلزم محذور التسلسل أو تحصيل الحاصل أو تعدد العقاب أو اللغوية أو ما أشبه من كونها كذلك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على الصحيح من كون الإرشاد للوجوب أيضاً، كما </w:t>
      </w:r>
    </w:p>
    <w:p>
      <w:pPr>
        <w:pStyle w:val="BookText"/>
        <w:rPr/>
      </w:pPr>
      <w:r>
        <w:rPr>
          <w:rFonts w:ascii="IRNazanin" w:hAnsi="IRNazanin" w:eastAsia="IRNazanin"/>
          <w:color w:val="111111"/>
          <w:sz w:val="28"/>
          <w:sz w:val="28"/>
          <w:szCs w:val="28"/>
          <w:rtl w:val="true"/>
          <w:lang w:bidi="fa-IR"/>
        </w:rPr>
        <w:t>ارتضاه هو قدس سره</w:t>
      </w:r>
      <w:r>
        <w:rPr>
          <w:rStyle w:val="FootnoteAnchor"/>
          <w:rtl w:val="true"/>
        </w:rPr>
        <w:footnoteReference w:id="996"/>
      </w:r>
      <w:r>
        <w:rPr>
          <w:rFonts w:ascii="Amiri" w:hAnsi="Amiri" w:eastAsia="Amiri" w:cs="Amiri"/>
          <w:color w:val="111111"/>
          <w:sz w:val="28"/>
          <w:sz w:val="28"/>
          <w:szCs w:val="28"/>
          <w:rtl w:val="true"/>
          <w:lang w:bidi="ar-SA"/>
        </w:rPr>
        <w:t>فإنه لا محذور من كون أوامر الإطاعة مولوية في مواردها</w:t>
      </w:r>
      <w:r>
        <w:rPr>
          <w:rStyle w:val="FootnoteAnchor"/>
          <w:rtl w:val="true"/>
        </w:rPr>
        <w:footnoteReference w:id="997"/>
      </w:r>
      <w:r>
        <w:rPr>
          <w:rFonts w:ascii="Amiri" w:hAnsi="Amiri" w:eastAsia="Amiri" w:cs="Amiri"/>
          <w:color w:val="111111"/>
          <w:sz w:val="28"/>
          <w:sz w:val="28"/>
          <w:szCs w:val="28"/>
          <w:rtl w:val="true"/>
          <w:lang w:bidi="ar-SA"/>
        </w:rPr>
        <w:t xml:space="preserve">حتى وإن قبلنا مبناه من كونأمر الإطاعة إرشادياً، إذ يقصد به أمر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للأوامر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تلزم تلك المحاذير من كون أمر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مولوياً؛ إذ مثل تعدد العقاب، يلزم من مخالفة المولوي لا الإرشادي، فلا 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يلزم الإشكال في الجملة</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اللهم إلا لو قيل بانصراف كلامه إلى ما تعلق بالأوامر المولوية منها</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ولا محذور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ـ على المسلك الأول ـ بأن يأمره ناصحاً مرشداً ثم يتلبس بلباس المولى فيأمره بإطاعة ذلك الأمر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على هذا الضابط أيضاً إذ يمكن أن يأمره ملاحظاً المصلحة الدنيوية، ثم يأمر بالإطاعة ملاحظاً المصلحة الأخروية في هذا الأمر، نظراً لمحبوبيته له أو لمقربيته له أو ما أشبه ـ فتأمل، لأنه وإن لم يلزم محذور تعدد العقاب مثلاً واللغوية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داع جديد للإطاعة وهو داع الاستجابة لطلب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يلزم محذور التسلسل </w:t>
      </w:r>
      <w:bookmarkStart w:id="1017" w:name="pg7671_77005"/>
    </w:p>
    <w:p>
      <w:pPr>
        <w:pStyle w:val="BookText"/>
        <w:rPr/>
      </w:pPr>
      <w:bookmarkEnd w:id="1017"/>
      <w:r>
        <w:rPr>
          <w:rFonts w:ascii="Amiri" w:hAnsi="Amiri" w:eastAsia="Amiri" w:cs="Amiri"/>
          <w:color w:val="111111"/>
          <w:sz w:val="28"/>
          <w:sz w:val="28"/>
          <w:szCs w:val="28"/>
          <w:rtl w:val="true"/>
          <w:lang w:bidi="ar-SA"/>
        </w:rPr>
        <w:t>وتحصيل الحاصل؛ إذ الفرض قبول مبنى الإرشادية نظراً لهذين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عكس الثاني ـ يمكن لهذا القائل بهذا القول أن يقول بأن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لوحظت فيه المصلحة الدنيوية للمأمور</w:t>
      </w:r>
      <w:r>
        <w:rPr>
          <w:rStyle w:val="FootnoteAnchor"/>
          <w:rtl w:val="true"/>
        </w:rPr>
        <w:footnoteReference w:id="1000"/>
      </w:r>
      <w:r>
        <w:rPr>
          <w:rFonts w:ascii="Amiri" w:hAnsi="Amiri" w:eastAsia="Amiri" w:cs="Amiri"/>
          <w:color w:val="111111"/>
          <w:sz w:val="28"/>
          <w:sz w:val="28"/>
          <w:szCs w:val="28"/>
          <w:rtl w:val="true"/>
          <w:lang w:bidi="ar-SA"/>
        </w:rPr>
        <w:t>وإن كان متعلقه قد لوحظت فيه المصلحة الأخروية،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للأخروية،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بعده، لوحظت مصلحته الدنيوية، فإن من لا يطيع يتضرر دنيوياً</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لكن فيه أنه وإن أمكن ثبوتاً، إلا أنه خلاف الظاهر من أوامر الإطاعة، ومن ظهور اتحاد العلة أو الحكمة في الأمرين</w:t>
      </w:r>
      <w:r>
        <w:rPr>
          <w:rFonts w:eastAsia="Amiri" w:cs="Amiri" w:ascii="Amiri" w:hAnsi="Amiri"/>
          <w:color w:val="111111"/>
          <w:sz w:val="28"/>
          <w:szCs w:val="28"/>
          <w:rtl w:val="true"/>
          <w:lang w:bidi="ar-SA"/>
        </w:rPr>
        <w:t>.</w:t>
      </w:r>
      <w:r>
        <w:rPr>
          <w:rStyle w:val="FootnoteAnchor"/>
          <w:rtl w:val="true"/>
        </w:rPr>
        <w:footnoteReference w:id="1002"/>
      </w:r>
    </w:p>
    <w:p>
      <w:pPr>
        <w:pStyle w:val="Heading4"/>
        <w:numPr>
          <w:ilvl w:val="3"/>
          <w:numId w:val="1"/>
        </w:numPr>
        <w:rPr/>
      </w:pPr>
      <w:bookmarkStart w:id="1018" w:name="__RefHeading___Toc3959879_1051229030"/>
      <w:bookmarkStart w:id="1019" w:name="_Toc371"/>
      <w:bookmarkEnd w:id="1018"/>
      <w:r>
        <w:rPr/>
        <w:t>4</w:t>
      </w:r>
      <w:r>
        <w:rPr>
          <w:rtl w:val="true"/>
        </w:rPr>
        <w:t xml:space="preserve">- </w:t>
      </w:r>
      <w:r>
        <w:rPr>
          <w:rtl w:val="true"/>
        </w:rPr>
        <w:t>نقض الشيرازي بالسواك وغسل الجمعة</w:t>
      </w:r>
      <w:bookmarkEnd w:id="1019"/>
    </w:p>
    <w:p>
      <w:pPr>
        <w:pStyle w:val="Heading5"/>
        <w:numPr>
          <w:ilvl w:val="4"/>
          <w:numId w:val="1"/>
        </w:numPr>
        <w:rPr/>
      </w:pPr>
      <w:bookmarkStart w:id="1020" w:name="__RefHeading___Toc3959881_1051229030"/>
      <w:bookmarkStart w:id="1021" w:name="_Toc372"/>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الميرزا الشيرازي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بعض أوامر المندوبات إنما هي لمصلحة دنيوية، كالأمر بغسل الجمعة لحكمة إزالة الرائحة الكريهة، وكالأمر بالسواك لمنافع عديدة دنيوية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وظاهره أن قصده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أوامرها مولوية، فيلزم من هذا الضابط كونها إرشادية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قدس سره صحيح من حيث الالتزام بكون أوامرها مولوية، وذلك نظراً للضابط الذي ارتضيناه من كون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غيرفرق بين كون الداعي لذلك مصلحة </w:t>
      </w:r>
      <w:bookmarkStart w:id="1022" w:name="pg7671_77007"/>
    </w:p>
    <w:p>
      <w:pPr>
        <w:pStyle w:val="BookText"/>
        <w:rPr/>
      </w:pPr>
      <w:bookmarkEnd w:id="1022"/>
      <w:r>
        <w:rPr>
          <w:rFonts w:ascii="Amiri" w:hAnsi="Amiri" w:eastAsia="Amiri" w:cs="Amiri"/>
          <w:color w:val="111111"/>
          <w:sz w:val="28"/>
          <w:sz w:val="28"/>
          <w:szCs w:val="28"/>
          <w:rtl w:val="true"/>
          <w:lang w:bidi="ar-SA"/>
        </w:rPr>
        <w:t>دنيوية أو أخروية، وبين كونه محبوباً له وقد صدر لجهة محبوبيته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يلتزم بهذا الضابط الثاني، له أن يجيب عن هذا النقض بجوابين</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959883_1051229030"/>
      <w:bookmarkStart w:id="1024" w:name="_Toc373"/>
      <w:bookmarkEnd w:id="1023"/>
      <w:r>
        <w:rPr>
          <w:rtl w:val="true"/>
        </w:rPr>
        <w:t>أولاً</w:t>
      </w:r>
      <w:r>
        <w:rPr>
          <w:rtl w:val="true"/>
        </w:rPr>
        <w:t xml:space="preserve">: </w:t>
      </w:r>
      <w:r>
        <w:rPr>
          <w:rtl w:val="true"/>
        </w:rPr>
        <w:t>الأمر بالغسل والسواك، مولوي لمصالحهما الأخروية</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غسل الجمعة والسواك وإن تضمنا مصالح دنيوية، إلا أنهما قد ندب إليهما ـ مولوياً</w:t>
      </w:r>
      <w:r>
        <w:rPr>
          <w:rStyle w:val="FootnoteAnchor"/>
          <w:rtl w:val="true"/>
        </w:rPr>
        <w:footnoteReference w:id="1004"/>
      </w:r>
      <w:r>
        <w:rPr>
          <w:rFonts w:ascii="Amiri" w:hAnsi="Amiri" w:eastAsia="Amiri" w:cs="Amiri"/>
          <w:color w:val="111111"/>
          <w:sz w:val="28"/>
          <w:sz w:val="28"/>
          <w:szCs w:val="28"/>
          <w:rtl w:val="true"/>
          <w:lang w:bidi="ar-SA"/>
        </w:rPr>
        <w:t>، كما هو الظاهر والمبنى ـ لمصالحهما الأخروية، فلا يلزم كونهما إرشاديين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المصالح الدنيوية، بل لحاظها أيضاً لا يضر بالمولوية، لو كان المصبّ لحاظ الأخروية كما سيجيء، بل ذلك ككل أوامر الواجبات التي لها حِكَم دنيوية، فإن وجودها لا يصحح القول بأنها بلحاظها</w:t>
      </w:r>
      <w:r>
        <w:rPr>
          <w:rStyle w:val="FootnoteAnchor"/>
          <w:rtl w:val="true"/>
        </w:rPr>
        <w:footnoteReference w:id="1005"/>
      </w:r>
      <w:r>
        <w:rPr>
          <w:rFonts w:ascii="Amiri" w:hAnsi="Amiri" w:eastAsia="Amiri" w:cs="Amiri"/>
          <w:color w:val="111111"/>
          <w:sz w:val="28"/>
          <w:sz w:val="28"/>
          <w:szCs w:val="28"/>
          <w:rtl w:val="true"/>
          <w:lang w:bidi="ar-SA"/>
        </w:rPr>
        <w:t>وأنها لمصلحة دنيوية، فهي إرشادية</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3959885_1051229030"/>
      <w:bookmarkStart w:id="1026" w:name="_Toc374"/>
      <w:bookmarkEnd w:id="1025"/>
      <w:r>
        <w:rPr>
          <w:rtl w:val="true"/>
        </w:rPr>
        <w:t>ثانياً</w:t>
      </w:r>
      <w:r>
        <w:rPr>
          <w:rtl w:val="true"/>
        </w:rPr>
        <w:t xml:space="preserve">: </w:t>
      </w:r>
      <w:r>
        <w:rPr>
          <w:rtl w:val="true"/>
        </w:rPr>
        <w:t>أ</w:t>
      </w:r>
      <w:r>
        <w:rPr>
          <w:rtl w:val="true"/>
        </w:rPr>
        <w:t>- (</w:t>
      </w:r>
      <w:r>
        <w:rPr>
          <w:rtl w:val="true"/>
        </w:rPr>
        <w:t>السواك</w:t>
      </w:r>
      <w:r>
        <w:rPr>
          <w:rtl w:val="true"/>
        </w:rPr>
        <w:t xml:space="preserve">) </w:t>
      </w:r>
      <w:r>
        <w:rPr>
          <w:rtl w:val="true"/>
        </w:rPr>
        <w:t>ليس لصرف المصالح الدنيوية، وأدلته</w:t>
      </w:r>
      <w:bookmarkEnd w:id="1026"/>
    </w:p>
    <w:p>
      <w:pPr>
        <w:pStyle w:val="Heading6"/>
        <w:numPr>
          <w:ilvl w:val="5"/>
          <w:numId w:val="1"/>
        </w:numPr>
        <w:rPr/>
      </w:pPr>
      <w:bookmarkStart w:id="1027" w:name="__RefHeading___Toc3959887_1051229030"/>
      <w:bookmarkStart w:id="1028" w:name="_Toc375"/>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التام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لمصلحة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صرحت بمصالح أخروية أيضاً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السواك ففي الكافي والخصال وثواب الأعمال والمحاسن عن محمد بن عيسى اليقطيني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ويضاعف </w:t>
      </w:r>
    </w:p>
    <w:p>
      <w:pPr>
        <w:pStyle w:val="BookText"/>
        <w:rPr/>
      </w:pPr>
      <w:r>
        <w:rPr>
          <w:rFonts w:ascii="Amiri" w:hAnsi="Amiri" w:eastAsia="Amiri" w:cs="Amiri"/>
          <w:color w:val="111111"/>
          <w:sz w:val="28"/>
          <w:sz w:val="28"/>
          <w:szCs w:val="28"/>
          <w:rtl w:val="true"/>
          <w:lang w:bidi="ar-SA"/>
        </w:rPr>
        <w:t>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وتفرح به الملائكة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للرب، يضاعف الحسنات سبعين ضعفاً، وهو من السنة</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وبذلك المضمون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خصالاً مثل 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للرب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 من المصالح الأخروية، وأنه قد ندب إليها بهذا اللحاظ، ولا يضر ذكر المصالح الدنيوية أيضاً بل ولحاظها أيضاً، بذلك، إذ المستظهر كون المصب هو لحاظ تلك لا هذه</w:t>
      </w:r>
      <w:r>
        <w:rPr>
          <w:rStyle w:val="FootnoteAnchor"/>
          <w:rtl w:val="true"/>
        </w:rPr>
        <w:footnoteReference w:id="1008"/>
      </w:r>
      <w:r>
        <w:rPr>
          <w:rFonts w:ascii="Amiri" w:hAnsi="Amiri" w:eastAsia="Amiri" w:cs="Amiri"/>
          <w:color w:val="111111"/>
          <w:sz w:val="28"/>
          <w:sz w:val="28"/>
          <w:szCs w:val="28"/>
          <w:rtl w:val="true"/>
          <w:lang w:bidi="ar-SA"/>
        </w:rPr>
        <w:t>، بل لو قيل بكون هذه المصب أيضاً كان مصداقاً لاجتماع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والإرشادي، فلا يتم النقض على القائل بهذا الضابط، كما أن الظاهر إن هذا الندب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هو مولى دعى وندب لا بما هو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من مصالح الآخرة؛ فلأنه بعد العلم بأنه لا يشترط فيها تحققها في الآخرة كما لا يخفى،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الآخرة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مصلحة أخروية، وإن كان متعلقها أعم، إذ هو شامل للدنيا والآخرة، فإن رضاه في الدنيا أيضاً من مصاديق مصالح الآخرة إذ الملاك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عنواناً مشيراً لكل ما يرضي الرب، حتى لو كان مما يعمر به الدنيا، فإنه بتعلق رضاه به يكون </w:t>
      </w:r>
    </w:p>
    <w:p>
      <w:pPr>
        <w:pStyle w:val="BookText"/>
        <w:rPr/>
      </w:pPr>
      <w:r>
        <w:rPr>
          <w:rFonts w:ascii="Amiri" w:hAnsi="Amiri" w:eastAsia="Amiri" w:cs="Amiri"/>
          <w:color w:val="111111"/>
          <w:sz w:val="28"/>
          <w:sz w:val="28"/>
          <w:szCs w:val="28"/>
          <w:rtl w:val="true"/>
          <w:lang w:bidi="ar-SA"/>
        </w:rPr>
        <w:t>إعماراً للآخرة أيضاً، أو لوحدة الملاك لدى أصحاب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سنه الأنبياء أو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وعليهم، وهو أعم مما سنوه لشؤون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كذلك، إلا أنه قد يقال إن إتباع السنة هو ذا مصلحة أخروية بلحاظ الانتساب</w:t>
      </w:r>
      <w:r>
        <w:rPr>
          <w:rStyle w:val="FootnoteAnchor"/>
          <w:rtl w:val="true"/>
        </w:rPr>
        <w:footnoteReference w:id="1009"/>
      </w:r>
      <w:r>
        <w:rPr>
          <w:rFonts w:ascii="Amiri" w:hAnsi="Amiri" w:eastAsia="Amiri" w:cs="Amiri"/>
          <w:color w:val="111111"/>
          <w:sz w:val="28"/>
          <w:sz w:val="28"/>
          <w:szCs w:val="28"/>
          <w:rtl w:val="true"/>
          <w:lang w:bidi="ar-SA"/>
        </w:rPr>
        <w:t xml:space="preserve">وظاهر الرواية التحريض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سنة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مقام سنّهم أمراً، أنهم بما هم أنبياء قد سنّوه لا بما هم ناصحين،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سنّوه بما أنه يرضي الرب أو محبوب له، ولا يمنعه لحاظ كونه مصلحة للمأمور كما سبق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وإن ذكرت مصالح دنيوية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للفم، ومجلاة للبصر، ويذهب بالبلغم، ويزيد في الحفظ، ويبيض الأسنان، ويذهب بالحفر، ويشد اللثة، ويشهي الطعام</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إلا أنه معها لا يصح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لمصلحة 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يعلم أنه بلحاظها، بل لعله بلحاظ مصالح الآخرة مصباً ـ كما سبق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ـ وكما سبق فإنه ـ حتى لو كان باللحاظين، فإنه لا امتناع من جمع اللحاظين فتكون أوامر السواك والجمعة مولوية ـ إرشادية؛ إذ لا مانعة جمع بينهما على جملة من الضوابط ومنها هذا الضابط</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حال السواك من هذه الجهة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bookmarkStart w:id="1029" w:name="pg7671_77014"/>
    </w:p>
    <w:p>
      <w:pPr>
        <w:pStyle w:val="BookText"/>
        <w:rPr/>
      </w:pPr>
      <w:bookmarkEnd w:id="1029"/>
      <w:r>
        <w:rPr>
          <w:rFonts w:ascii="Amiri" w:hAnsi="Amiri" w:eastAsia="Amiri" w:cs="Amiri"/>
          <w:color w:val="111111"/>
          <w:sz w:val="28"/>
          <w:sz w:val="28"/>
          <w:szCs w:val="28"/>
          <w:rtl w:val="true"/>
          <w:lang w:bidi="ar-SA"/>
        </w:rPr>
        <w:t>الدعائم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يذهبن النسيان ويحدثن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والسواك، والصيام</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وفي رواية الفقيه عن الرسول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قراءة القرآن والسواك واللبان، منفاة للبلغم</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الجهات الدنيوية لا يصرف الأمر عن كونه مولوياً، غايتة الاجتماع</w:t>
      </w:r>
      <w:r>
        <w:rPr>
          <w:rFonts w:eastAsia="Amiri" w:cs="Amiri" w:ascii="Amiri" w:hAnsi="Amiri"/>
          <w:color w:val="111111"/>
          <w:sz w:val="28"/>
          <w:szCs w:val="28"/>
          <w:rtl w:val="true"/>
          <w:lang w:bidi="ar-SA"/>
        </w:rPr>
        <w:t>.</w:t>
      </w:r>
      <w:r>
        <w:rPr>
          <w:rStyle w:val="FootnoteAnchor"/>
          <w:rtl w:val="true"/>
        </w:rPr>
        <w:footnoteReference w:id="1013"/>
      </w:r>
    </w:p>
    <w:p>
      <w:pPr>
        <w:pStyle w:val="Heading6"/>
        <w:numPr>
          <w:ilvl w:val="5"/>
          <w:numId w:val="1"/>
        </w:numPr>
        <w:rPr/>
      </w:pPr>
      <w:bookmarkStart w:id="1030" w:name="__RefHeading___Toc3959889_1051229030"/>
      <w:bookmarkStart w:id="1031" w:name="_Toc376"/>
      <w:bookmarkEnd w:id="1030"/>
      <w:r>
        <w:rPr>
          <w:rtl w:val="true"/>
        </w:rPr>
        <w:t>الوجه في كون أوامر الصناعات والتجارة والأخلاق والطب، مولوية</w:t>
      </w:r>
      <w:bookmarkEnd w:id="1031"/>
    </w:p>
    <w:p>
      <w:pPr>
        <w:pStyle w:val="BookText"/>
        <w:rPr/>
      </w:pPr>
      <w:r>
        <w:rPr>
          <w:rFonts w:ascii="Amiri" w:hAnsi="Amiri" w:eastAsia="Amiri" w:cs="Amiri"/>
          <w:color w:val="111111"/>
          <w:sz w:val="28"/>
          <w:sz w:val="28"/>
          <w:szCs w:val="28"/>
          <w:rtl w:val="true"/>
          <w:lang w:bidi="ar-SA"/>
        </w:rPr>
        <w:t xml:space="preserve">وبذلك ظهر الوجه فيما نذهب إليه من كون كثير من الأوامر الصحية والطبية، وكذا الأوامر المتعلقة بالصناعات والحرف والتجارة ومكارم الأخلاق وغيرها، مولوية، إذ إن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من المولى بما هو مولى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ووجود مصالح دنيوية فيها بل وتصريح الروايات بذلك، لا يدعو إلى إرشاديتها فإن الملاك ما سبق</w:t>
      </w:r>
      <w:r>
        <w:rPr>
          <w:rStyle w:val="FootnoteAnchor"/>
          <w:rtl w:val="true"/>
        </w:rPr>
        <w:footnoteReference w:id="1014"/>
      </w:r>
      <w:r>
        <w:rPr>
          <w:rFonts w:ascii="Amiri" w:hAnsi="Amiri" w:eastAsia="Amiri" w:cs="Amiri"/>
          <w:color w:val="111111"/>
          <w:sz w:val="28"/>
          <w:sz w:val="28"/>
          <w:szCs w:val="28"/>
          <w:rtl w:val="true"/>
          <w:lang w:bidi="ar-SA"/>
        </w:rPr>
        <w:t>، سواء كانت مصالحه متمحضة في الأخروية، أم كانت دنيوية ـ أخروية فيعرض الآخر، أم كانت المصلحتان طوليتين بنوعيهما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دنيوية، والبعيدة أخروية، أو بالعكس ـ أم كانت دنيوية صرفة، فإنه في هذه الأقسام الخمسة لو صدر الأمر من المولى بما هو مولى، كانت مولوية، وإلا فإرشادية</w:t>
      </w:r>
      <w:r>
        <w:rPr>
          <w:rFonts w:eastAsia="Amiri" w:cs="Amiri" w:ascii="Amiri" w:hAnsi="Amiri"/>
          <w:color w:val="111111"/>
          <w:sz w:val="28"/>
          <w:szCs w:val="28"/>
          <w:rtl w:val="true"/>
          <w:lang w:bidi="ar-SA"/>
        </w:rPr>
        <w:t xml:space="preserve">. </w:t>
      </w:r>
      <w:bookmarkStart w:id="1032" w:name="pg7671_77016"/>
    </w:p>
    <w:p>
      <w:pPr>
        <w:pStyle w:val="BookText"/>
        <w:rPr/>
      </w:pPr>
      <w:bookmarkEnd w:id="1032"/>
      <w:r>
        <w:rPr>
          <w:rFonts w:ascii="Amiri" w:hAnsi="Amiri" w:eastAsia="Amiri" w:cs="Amiri"/>
          <w:color w:val="111111"/>
          <w:sz w:val="28"/>
          <w:sz w:val="28"/>
          <w:szCs w:val="28"/>
          <w:rtl w:val="true"/>
          <w:lang w:bidi="ar-SA"/>
        </w:rPr>
        <w:t>وبذلك ظهر أن ما أمر به لمصالح دنيوية فإنه على أربعة أقسام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التمحض والاشتراك والطولية بقسميها من حيث غايته القريبة والبعيدة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فإن كل تلك الحكم المذكورة للسواك، قد تكون أخرويتها ودنيويتها في عرض الآخر وقد تكون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هو المصب، فتكون ثلاثة منها</w:t>
      </w:r>
      <w:r>
        <w:rPr>
          <w:rStyle w:val="FootnoteAnchor"/>
          <w:rtl w:val="true"/>
        </w:rPr>
        <w:footnoteReference w:id="1015"/>
      </w:r>
      <w:r>
        <w:rPr>
          <w:rFonts w:ascii="Amiri" w:hAnsi="Amiri" w:eastAsia="Amiri" w:cs="Amiri"/>
          <w:color w:val="111111"/>
          <w:sz w:val="28"/>
          <w:sz w:val="28"/>
          <w:szCs w:val="28"/>
          <w:rtl w:val="true"/>
          <w:lang w:bidi="ar-SA"/>
        </w:rPr>
        <w:t>ممكن كونه مولوياً، ويبقى واحد</w:t>
      </w:r>
      <w:r>
        <w:rPr>
          <w:rStyle w:val="FootnoteAnchor"/>
          <w:rtl w:val="true"/>
        </w:rPr>
        <w:footnoteReference w:id="1016"/>
      </w:r>
      <w:r>
        <w:rPr>
          <w:rFonts w:ascii="Amiri" w:hAnsi="Amiri" w:eastAsia="Amiri" w:cs="Amiri"/>
          <w:color w:val="111111"/>
          <w:sz w:val="28"/>
          <w:sz w:val="28"/>
          <w:szCs w:val="28"/>
          <w:rtl w:val="true"/>
          <w:lang w:bidi="ar-SA"/>
        </w:rPr>
        <w:t>منها لابد من القول بإرشاديته، إلا أنه ـ كصغرى ـ لا نجد في أي مورد من موارد أوامر الشرع ـ سواء الطبية أم ما يرتبط بالحِرَف، أم مثل السواك وغسل الجمعة ـ ما كانت مصالحه متمحضة في الدنيوية، فلا يرد النقض بأن السواك وغسل الجمعة حيث كانت مصالحهما دنيوية، كان أمرها إرشادياً والتالي باطل فالمقدم مثله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959891_1051229030"/>
      <w:bookmarkStart w:id="1034" w:name="_Toc377"/>
      <w:bookmarkEnd w:id="1033"/>
      <w:r>
        <w:rPr>
          <w:rtl w:val="true"/>
        </w:rPr>
        <w:t>ثانياً</w:t>
      </w:r>
      <w:r>
        <w:rPr>
          <w:rtl w:val="true"/>
        </w:rPr>
        <w:t xml:space="preserve">: </w:t>
      </w:r>
      <w:r>
        <w:rPr>
          <w:rtl w:val="true"/>
        </w:rPr>
        <w:t>ب</w:t>
      </w:r>
      <w:r>
        <w:rPr>
          <w:rtl w:val="true"/>
        </w:rPr>
        <w:t>- (</w:t>
      </w:r>
      <w:r>
        <w:rPr>
          <w:rtl w:val="true"/>
        </w:rPr>
        <w:t>غسل الجمعة</w:t>
      </w:r>
      <w:r>
        <w:rPr>
          <w:rtl w:val="true"/>
        </w:rPr>
        <w:t xml:space="preserve">) </w:t>
      </w:r>
      <w:r>
        <w:rPr>
          <w:rtl w:val="true"/>
        </w:rPr>
        <w:t>شرّع للمصالح الأخروية</w:t>
      </w:r>
      <w:bookmarkEnd w:id="103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به، إنما هو لصرف المصلحة الدنيوية بحكمة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الرائحة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الميرزا الشيرازي</w:t>
      </w:r>
      <w:r>
        <w:rPr>
          <w:rStyle w:val="FootnoteAnchor"/>
          <w:rtl w:val="true"/>
        </w:rPr>
        <w:footnoteReference w:id="1017"/>
      </w:r>
      <w:r>
        <w:rPr>
          <w:rFonts w:ascii="Amiri" w:hAnsi="Amiri" w:eastAsia="Amiri" w:cs="Amiri"/>
          <w:color w:val="111111"/>
          <w:sz w:val="28"/>
          <w:sz w:val="28"/>
          <w:szCs w:val="28"/>
          <w:rtl w:val="true"/>
          <w:lang w:bidi="ar-SA"/>
        </w:rPr>
        <w:t>،  ففي الفقيه والهداية،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مصالح الآخرة،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منصرفه المعنوي، سلمنا لكنه شامل له، هذا إن لم نقل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لما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له</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وفي المستدرك عن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شيء من التطوع أعظم منه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بلحاظ المادة ـ ما كان من شأن العبد والمولى</w:t>
      </w:r>
      <w:r>
        <w:rPr>
          <w:rStyle w:val="FootnoteAnchor"/>
          <w:rtl w:val="true"/>
        </w:rPr>
        <w:footnoteReference w:id="1021"/>
      </w:r>
      <w:r>
        <w:rPr>
          <w:rFonts w:ascii="Amiri" w:hAnsi="Amiri" w:eastAsia="Amiri" w:cs="Amiri"/>
          <w:color w:val="111111"/>
          <w:sz w:val="28"/>
          <w:sz w:val="28"/>
          <w:szCs w:val="28"/>
          <w:rtl w:val="true"/>
          <w:lang w:bidi="ar-SA"/>
        </w:rPr>
        <w:t>ـ فالأمر واضح على الضابط الأول ـ بل على هذا الضابط، فإن ظاهر أن يكون العبد طوع أمر الله تعالى، هو شؤون الآخرة ـ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علي بن إبراهيم عن أبيه عن حماد بن عيسى عن حريز عن زرارة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وظاهرٌ كونه مولوياً،  وإرادة مصلحة الآخرة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ووجوبها وإن لم يلتزم به، لإعراض المشهور، إلا أنه لا وجه لرفع اليد عن الظهور فيهما</w:t>
      </w:r>
      <w:r>
        <w:rPr>
          <w:rStyle w:val="FootnoteAnchor"/>
          <w:rtl w:val="true"/>
        </w:rPr>
        <w:footnoteReference w:id="1023"/>
      </w:r>
      <w:r>
        <w:rPr>
          <w:rFonts w:ascii="Amiri" w:hAnsi="Amiri" w:eastAsia="Amiri" w:cs="Amiri"/>
          <w:color w:val="111111"/>
          <w:sz w:val="28"/>
          <w:sz w:val="28"/>
          <w:szCs w:val="28"/>
          <w:rtl w:val="true"/>
          <w:lang w:bidi="ar-SA"/>
        </w:rPr>
        <w:t>، فإنه لا إعراض هنا، بل العكس ثابت فإنه 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روايات أخرى ذكرت حكماً أخروية صريحة لغسل الجمعة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التهذيب والكافي، قال سألت أبا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يوم الجمعة واجباً؟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أتمّ صلاة الفريضة بصلاة النافلة، وأتم صيام الفريضة بصيام النافلة، وأتم وضوء الفريضة بغسل اليوم الجمعة، ما كان في ذلك من سهو أو </w:t>
      </w:r>
      <w:bookmarkStart w:id="1035" w:name="pg7671_77020"/>
    </w:p>
    <w:p>
      <w:pPr>
        <w:pStyle w:val="BookText"/>
        <w:rPr/>
      </w:pPr>
      <w:bookmarkEnd w:id="1035"/>
      <w:r>
        <w:rPr>
          <w:rFonts w:ascii="Amiri" w:hAnsi="Amiri" w:eastAsia="Amiri" w:cs="Amiri"/>
          <w:color w:val="111111"/>
          <w:sz w:val="28"/>
          <w:sz w:val="28"/>
          <w:szCs w:val="28"/>
          <w:rtl w:val="true"/>
          <w:lang w:bidi="ar-SA"/>
        </w:rPr>
        <w:t>تقصير أو نسيان أو نقصان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البين أن إتمام الصلاة والصيام والوضوء الواجب، بشيء، إنما هو من مصالح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عيون الأخبار وعلل الشرائع عن محمد بن سنان، فيما كتب إليه الرضا عليه السلام عن علة غسل العيدين والجمعة وغير ذلك من الأغسال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تعظيم العبد ربه، واستقباله الكريم الجليل، وطلب المغفرة لذنوبه</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فإن هذه كلها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تعد تلك الحكمة</w:t>
      </w:r>
      <w:r>
        <w:rPr>
          <w:rStyle w:val="FootnoteAnchor"/>
          <w:rtl w:val="true"/>
        </w:rPr>
        <w:footnoteReference w:id="1026"/>
      </w:r>
      <w:r>
        <w:rPr>
          <w:rFonts w:ascii="Amiri" w:hAnsi="Amiri" w:eastAsia="Amiri" w:cs="Amiri"/>
          <w:color w:val="111111"/>
          <w:sz w:val="28"/>
          <w:sz w:val="28"/>
          <w:szCs w:val="28"/>
          <w:rtl w:val="true"/>
          <w:lang w:bidi="ar-SA"/>
        </w:rPr>
        <w:t>مندكة في هذه، وبلحاظها، مقدمة لها، فهي المقصود الأصلي وهذه الطريق، بل لو قيل بكون كل منهما، علة تامة للتشريع، ثم التداخل فإنه لا يضر كما سبق</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3959893_1051229030"/>
      <w:bookmarkStart w:id="1037" w:name="_Toc378"/>
      <w:bookmarkEnd w:id="1036"/>
      <w:r>
        <w:rPr>
          <w:rtl w:val="true"/>
        </w:rPr>
        <w:t>تنبيه</w:t>
      </w:r>
      <w:r>
        <w:rPr>
          <w:rtl w:val="true"/>
        </w:rPr>
        <w:t>:</w:t>
      </w:r>
      <w:bookmarkEnd w:id="103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لأن ما ذكر إضافة إلى موضوعيته وأهمية غسل الجمعة والسواك، فإنه نافع جداً في توضيح ما نذهب إليه من مولوية كثير من الأوامر الطبية، وما يرتبط بالحرف والصناعات والتجارة وشبهها، لشدة ارتكاز إرشادية أوامرها نظراً لمصالحها الدنيوية، في أذهان الكثيرين، فليتدبر جيداً</w:t>
      </w:r>
      <w:r>
        <w:rPr>
          <w:rFonts w:eastAsia="Amiri" w:cs="Amiri" w:ascii="Amiri" w:hAnsi="Amiri"/>
          <w:color w:val="111111"/>
          <w:sz w:val="28"/>
          <w:szCs w:val="28"/>
          <w:rtl w:val="true"/>
          <w:lang w:bidi="ar-SA"/>
        </w:rPr>
        <w:t xml:space="preserve">. </w:t>
      </w:r>
      <w:bookmarkStart w:id="1038" w:name="pg7671_77021"/>
    </w:p>
    <w:p>
      <w:pPr>
        <w:pStyle w:val="Heading3"/>
        <w:numPr>
          <w:ilvl w:val="2"/>
          <w:numId w:val="1"/>
        </w:numPr>
        <w:rPr/>
      </w:pPr>
      <w:bookmarkStart w:id="1039" w:name="__RefHeading___Toc3959895_1051229030"/>
      <w:bookmarkStart w:id="1040" w:name="_Toc379"/>
      <w:bookmarkEnd w:id="1038"/>
      <w:bookmarkEnd w:id="1039"/>
      <w:r>
        <w:rPr/>
        <w:t>3</w:t>
      </w:r>
      <w:r>
        <w:rPr>
          <w:rtl w:val="true"/>
        </w:rPr>
        <w:t xml:space="preserve">- </w:t>
      </w:r>
      <w:r>
        <w:rPr>
          <w:rtl w:val="true"/>
        </w:rPr>
        <w:t>ما كان محبوباً للمولى، وقد صدر لمحبوبيته</w:t>
      </w:r>
      <w:bookmarkEnd w:id="1040"/>
    </w:p>
    <w:p>
      <w:pPr>
        <w:pStyle w:val="Heading4"/>
        <w:numPr>
          <w:ilvl w:val="3"/>
          <w:numId w:val="1"/>
        </w:numPr>
        <w:rPr/>
      </w:pPr>
      <w:bookmarkStart w:id="1041" w:name="__RefHeading___Toc3959897_1051229030"/>
      <w:bookmarkStart w:id="1042" w:name="_Toc380"/>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محبوباً للمولى وقد صدر لجهة محبوبيته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المحقق الرشتي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وباعتبار محبوبية الفعل عنده، وملاحظته إياها حين الأمر، غير إرشادي</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وذلك سواء كان لتعلق أغراضه به ووجود المصلحة أو المفسدة فيه ـ كما في الموالي العرفية، أو المولى الحقيقي على مسلك العدلية؛ فإن تعلق الأغراض ووجود المصلحة أو المفسدة أعم من كونها عائدة للآمر أو المأمور أو الأجنبي عنهما ـ أم لم يكن ـ كما على مسلكالأشعري من عدم معللية أفعاله تعالى بمصالح ومفاسد في المتعلقات ـ إلا أن يقول</w:t>
      </w:r>
      <w:r>
        <w:rPr>
          <w:rStyle w:val="FootnoteAnchor"/>
          <w:rtl w:val="true"/>
        </w:rPr>
        <w:footnoteReference w:id="1028"/>
      </w:r>
      <w:r>
        <w:rPr>
          <w:rFonts w:ascii="Amiri" w:hAnsi="Amiri" w:eastAsia="Amiri" w:cs="Amiri"/>
          <w:color w:val="111111"/>
          <w:sz w:val="28"/>
          <w:sz w:val="28"/>
          <w:szCs w:val="28"/>
          <w:rtl w:val="true"/>
          <w:lang w:bidi="ar-SA"/>
        </w:rPr>
        <w:t>بعدم محبوبيته كعدم وجود المصلحة فيه، وهو منه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سيق الأمر فيه للنصح، وكان لأجل مصلحة عائدة للمكلف ـ دنيوية كانت أو أخروية ـ أو لغيره ممن يرتبط به أو مطلقاً فتأمل</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باعتبار ما فيه من النصح والإرشاد، وملاحظته إياه إرشادي</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الإرشادي ما سيق للنصح، بمعنى أن الغرض من الأمر فيه هو خصوص النصح، كسائر الأوامر المسنونة لأغراض أخرى، مثل الامتحان والتسجيل والتهديد ونحوها، فإن سيق الأمر للنصح فهو </w:t>
      </w:r>
      <w:bookmarkStart w:id="1043" w:name="pg7671_77022"/>
    </w:p>
    <w:p>
      <w:pPr>
        <w:pStyle w:val="BookText"/>
        <w:rPr/>
      </w:pPr>
      <w:bookmarkEnd w:id="1043"/>
      <w:r>
        <w:rPr>
          <w:rFonts w:ascii="Amiri" w:hAnsi="Amiri" w:eastAsia="Amiri" w:cs="Amiri"/>
          <w:color w:val="111111"/>
          <w:sz w:val="28"/>
          <w:sz w:val="28"/>
          <w:szCs w:val="28"/>
          <w:rtl w:val="true"/>
          <w:lang w:bidi="ar-SA"/>
        </w:rPr>
        <w:t>إرشادي، سواء كان الفعل المأمور به محبوباً للآمر في نفسه أيضاً أو مبغوضاً له؛ إذ قد تقتضي المصلحة الإرشاد إلى الفعل المبغوض للآمر</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أنه على هذا القول ـ بل وعلى القول الأول والثاني أيضاً كما سيظهر لاحقاً بإذن الله تعالى ـ فإنه يمكن كون الأمر مولوياً وإرشادياً لاجتماع الجهتين فيه، بناء على عدم أخذ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 لجهة المحبوبية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الظاهر</w:t>
      </w:r>
      <w:r>
        <w:rPr>
          <w:rStyle w:val="FootnoteAnchor"/>
          <w:rtl w:val="true"/>
        </w:rPr>
        <w:footnoteReference w:id="1032"/>
      </w:r>
      <w:r>
        <w:rPr>
          <w:rFonts w:ascii="Amiri" w:hAnsi="Amiri" w:eastAsia="Amiri" w:cs="Amiri"/>
          <w:color w:val="111111"/>
          <w:sz w:val="28"/>
          <w:sz w:val="28"/>
          <w:szCs w:val="28"/>
          <w:rtl w:val="true"/>
          <w:lang w:bidi="ar-SA"/>
        </w:rPr>
        <w:t>، وخلافه خلاف الحكمة، وإلا امتنع الاجتماع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الضابط هو الذي استظهره المحقق الرشتي من ما حكي عن السلطان، وذهب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عنه</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3959899_1051229030"/>
      <w:bookmarkStart w:id="1045" w:name="_Toc381"/>
      <w:bookmarkEnd w:id="1044"/>
      <w:r>
        <w:rPr>
          <w:rtl w:val="true"/>
        </w:rPr>
        <w:t>فرق هذا عن الأول والنسبة بينهما</w:t>
      </w:r>
      <w:bookmarkEnd w:id="1045"/>
    </w:p>
    <w:p>
      <w:pPr>
        <w:pStyle w:val="BookText"/>
        <w:rPr/>
      </w:pPr>
      <w:r>
        <w:rPr>
          <w:rFonts w:ascii="Amiri" w:hAnsi="Amiri" w:eastAsia="Amiri" w:cs="Amiri"/>
          <w:color w:val="111111"/>
          <w:sz w:val="28"/>
          <w:sz w:val="28"/>
          <w:szCs w:val="28"/>
          <w:rtl w:val="true"/>
          <w:lang w:bidi="ar-SA"/>
        </w:rPr>
        <w:t>والفرق بين هذا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المولوية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وصدوره لأجل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الرشتي، فلا يهم إعماله مقام مولويته وعدمه</w:t>
      </w:r>
      <w:r>
        <w:rPr>
          <w:rStyle w:val="FootnoteAnchor"/>
          <w:rtl w:val="true"/>
        </w:rPr>
        <w:footnoteReference w:id="1033"/>
      </w:r>
      <w:r>
        <w:rPr>
          <w:rFonts w:ascii="Amiri" w:hAnsi="Amiri" w:eastAsia="Amiri" w:cs="Amiri"/>
          <w:color w:val="111111"/>
          <w:sz w:val="28"/>
          <w:sz w:val="28"/>
          <w:szCs w:val="28"/>
          <w:rtl w:val="true"/>
          <w:lang w:bidi="ar-SA"/>
        </w:rPr>
        <w:t xml:space="preserve">، وعلى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مقام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محبوباً ذاتاً أم لا، وسواء صدر لجهة المحبوبية أم لا؟</w:t>
      </w:r>
    </w:p>
    <w:p>
      <w:pPr>
        <w:pStyle w:val="BookText"/>
        <w:rPr/>
      </w:pPr>
      <w:r>
        <w:rPr>
          <w:rFonts w:ascii="Amiri" w:hAnsi="Amiri" w:eastAsia="Amiri" w:cs="Amiri"/>
          <w:color w:val="111111"/>
          <w:sz w:val="28"/>
          <w:sz w:val="28"/>
          <w:szCs w:val="28"/>
          <w:rtl w:val="true"/>
          <w:lang w:bidi="ar-SA"/>
        </w:rPr>
        <w:t>وهما متغايران ذاتاً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النسبة بينهما، فقد يقال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bookmarkStart w:id="1046" w:name="pg7671_77023"/>
    </w:p>
    <w:p>
      <w:pPr>
        <w:pStyle w:val="BookText"/>
        <w:rPr/>
      </w:pPr>
      <w:bookmarkEnd w:id="1046"/>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إرشاداً لما هو محبوب له، لكن دون إعمال مقامه، كالأب الناصح؛ وافتراق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أعمل مقامه آمراً بما لا يحبه ولا يبغضه، أو آمراً بما هو مبغوضه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ويتصور ذلك فيمن أمر بمبغوض له، لإكراه مكره له، أو جبر جائر له، معملاً مقام مولويته، أو من 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بمبغوض، معملاً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ترويضاً لنفسه أو امتحاناً لها أو لو فعل 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لأجل محبوبيته</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959901_1051229030"/>
      <w:bookmarkStart w:id="1048" w:name="_Toc382"/>
      <w:bookmarkEnd w:id="1047"/>
      <w:r>
        <w:rPr>
          <w:rtl w:val="true"/>
        </w:rPr>
        <w:t>لكن قد يقال</w:t>
      </w:r>
      <w:r>
        <w:rPr>
          <w:rtl w:val="true"/>
        </w:rPr>
        <w:t>:</w:t>
      </w:r>
      <w:bookmarkEnd w:id="1048"/>
    </w:p>
    <w:p>
      <w:pPr>
        <w:pStyle w:val="BookText"/>
        <w:rPr/>
      </w:pPr>
      <w:r>
        <w:rPr>
          <w:rFonts w:ascii="Amiri" w:hAnsi="Amiri" w:eastAsia="Amiri" w:cs="Amiri"/>
          <w:color w:val="111111"/>
          <w:sz w:val="28"/>
          <w:sz w:val="28"/>
          <w:szCs w:val="28"/>
          <w:rtl w:val="true"/>
          <w:lang w:bidi="ar-SA"/>
        </w:rPr>
        <w:t>في الأول إنه لو أمر بمحبوب له وبلحاظ محبوبيته له، لم يكن إرشاداً، بل كان مولوياً للندب أو الوجوب ـ حسب درجة المحبوبية ـ وإن لم يعمل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يورد عليه بما سبق من أن الملاك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إعمال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تلازم بين الأمر بالمحبوب وإن كان بلحاظ محبوبيته وبين إعمال المقام؛ إذ قد يأمر بالمحبوب،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بالمآل محبوب له ولو لطرو عنوان ثانوي بل قد يقال باستحالة أمره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المبغوض حتى بعد طرو العنوان 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لاستحالة الترجيح بلا مرجح فكيف بترجيح المرجوح فتأمل</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لكنه محال بالنظر للحكمة، فلا يصدر من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أنه قد يقال النسبة</w:t>
      </w:r>
      <w:r>
        <w:rPr>
          <w:rStyle w:val="FootnoteAnchor"/>
          <w:rtl w:val="true"/>
        </w:rPr>
        <w:footnoteReference w:id="1035"/>
      </w:r>
      <w:r>
        <w:rPr>
          <w:rFonts w:ascii="Amiri" w:hAnsi="Amiri" w:eastAsia="Amiri" w:cs="Amiri"/>
          <w:color w:val="111111"/>
          <w:sz w:val="28"/>
          <w:sz w:val="28"/>
          <w:szCs w:val="28"/>
          <w:rtl w:val="true"/>
          <w:lang w:bidi="ar-SA"/>
        </w:rPr>
        <w:t xml:space="preserve">هي العموم المطلق وهو تام بناء على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بالمحبوب ولو لطارئ أي بعد الكسر والانكسار فكل ما صدر من المولى معملاً مقام مولويته كان محبوباً له حتماً ذاتاً أو لطارئ وقد لوحظت محبوبيته وصدر لأجلها، وليس كلما صدر لأجل محبوبيته، مولوياً إذ لعله صدر لأجل محبوبيته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الإشكال على ما ذكره المحقق الرشتي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المصلحة لو اقتضت الإرشاد للمبغوض، كان محبوباً بالمآل والنتيجة وبعد الكسر والانكسار، إلا أن يريد المبغوض بعنوانه الأولى، ويؤيده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فيه أن التقسيم عندئذٍ شكلي</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لكن هذا الإشكال غير ضار بملاك تقسيمه إذ الملاك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 لجهة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لجهة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به كون الصادر لجهة النصح منقسماً إلى المحبوب في نفسه والمبغوض حتى بعد الطارئ أم لا</w:t>
      </w:r>
      <w:r>
        <w:rPr>
          <w:rFonts w:eastAsia="Amiri" w:cs="Amiri" w:ascii="Amiri" w:hAnsi="Amiri"/>
          <w:color w:val="111111"/>
          <w:sz w:val="28"/>
          <w:szCs w:val="28"/>
          <w:rtl w:val="true"/>
          <w:lang w:bidi="ar-SA"/>
        </w:rPr>
        <w:t>.</w:t>
      </w:r>
      <w:r>
        <w:rPr>
          <w:rStyle w:val="FootnoteAnchor"/>
          <w:rtl w:val="true"/>
        </w:rPr>
        <w:footnoteReference w:id="103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الإشكال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بالوجدان والعرف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مقام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وبرهانه الإني دوران استحقاقه للعقاب بالمخالفة وعدمه على ذلك لا غير</w:t>
      </w:r>
      <w:r>
        <w:rPr>
          <w:rFonts w:eastAsia="Amiri" w:cs="Amiri" w:ascii="Amiri" w:hAnsi="Amiri"/>
          <w:color w:val="111111"/>
          <w:sz w:val="28"/>
          <w:szCs w:val="28"/>
          <w:rtl w:val="true"/>
          <w:lang w:bidi="ar-SA"/>
        </w:rPr>
        <w:t>.</w:t>
      </w:r>
      <w:r>
        <w:rPr>
          <w:rStyle w:val="FootnoteAnchor"/>
          <w:rtl w:val="true"/>
        </w:rPr>
        <w:footnoteReference w:id="1038"/>
      </w:r>
      <w:bookmarkStart w:id="1049" w:name="pg7671_77025"/>
    </w:p>
    <w:p>
      <w:pPr>
        <w:pStyle w:val="BookText"/>
        <w:rPr/>
      </w:pPr>
      <w:bookmarkEnd w:id="1049"/>
      <w:r>
        <w:rPr>
          <w:rFonts w:ascii="Amiri" w:hAnsi="Amiri" w:eastAsia="Amiri" w:cs="Amiri"/>
          <w:color w:val="111111"/>
          <w:sz w:val="28"/>
          <w:sz w:val="28"/>
          <w:szCs w:val="28"/>
          <w:rtl w:val="true"/>
          <w:lang w:bidi="ar-SA"/>
        </w:rPr>
        <w:t xml:space="preserve">وبذلك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والملاك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مقام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خلط لدى هذا القائل ظاهراً بين الداعي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تعريفه للمولوي والإرشادي، إنهما عنده من قبيل الضدين اللذين لهما ثالث</w:t>
      </w:r>
      <w:r>
        <w:rPr>
          <w:rFonts w:eastAsia="Amiri" w:cs="Amiri" w:ascii="Amiri" w:hAnsi="Amiri"/>
          <w:color w:val="111111"/>
          <w:sz w:val="28"/>
          <w:szCs w:val="28"/>
          <w:rtl w:val="true"/>
          <w:lang w:bidi="ar-SA"/>
        </w:rPr>
        <w:t>.</w:t>
      </w:r>
      <w:r>
        <w:rPr>
          <w:rStyle w:val="FootnoteAnchor"/>
          <w:rtl w:val="true"/>
        </w:rPr>
        <w:footnoteReference w:id="1039"/>
      </w:r>
    </w:p>
    <w:p>
      <w:pPr>
        <w:pStyle w:val="Heading3"/>
        <w:numPr>
          <w:ilvl w:val="2"/>
          <w:numId w:val="1"/>
        </w:numPr>
        <w:rPr/>
      </w:pPr>
      <w:bookmarkStart w:id="1050" w:name="__RefHeading___Toc3959903_1051229030"/>
      <w:bookmarkStart w:id="1051" w:name="_Toc383"/>
      <w:bookmarkEnd w:id="1050"/>
      <w:r>
        <w:rPr/>
        <w:t>4</w:t>
      </w:r>
      <w:r>
        <w:rPr>
          <w:rtl w:val="true"/>
        </w:rPr>
        <w:t xml:space="preserve">- </w:t>
      </w:r>
      <w:r>
        <w:rPr>
          <w:rtl w:val="true"/>
        </w:rPr>
        <w:t>المولوي ما لم يلزم منه التسلسل ونظائره</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يلزم من إعمال المولوية فيه أحد المحاذير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تسلسلٍ، أو تحصيلٍ للحاصل، مما هو محال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لغويةٍ، مما هو محال وقوعاً ـ من الحكيم جل وعلا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تعدد عقابٍ أو تعدد استحقاقه ـ مما هو خلاف الضرورة من الشرع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منه أحدها</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والظاهر ضرورة إضافة قيد على هذا التعريف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تعريف بالأعم؛ إذ يستبعد ذهاب هذا القائل إلى مولوية كل ما لا يلزم منه أحد هذه المحاذير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الأوامر الإرشادية ـ كأوامر الطبيب والصديق والأدنى ناصحاً </w:t>
      </w:r>
      <w:bookmarkStart w:id="1052" w:name="pg7671_77026"/>
    </w:p>
    <w:p>
      <w:pPr>
        <w:pStyle w:val="BookText"/>
        <w:rPr/>
      </w:pPr>
      <w:bookmarkEnd w:id="1052"/>
      <w:r>
        <w:rPr>
          <w:rFonts w:ascii="Amiri" w:hAnsi="Amiri" w:eastAsia="Amiri" w:cs="Amiri"/>
          <w:color w:val="111111"/>
          <w:sz w:val="28"/>
          <w:sz w:val="28"/>
          <w:szCs w:val="28"/>
          <w:rtl w:val="true"/>
          <w:lang w:bidi="ar-SA"/>
        </w:rPr>
        <w:t>بل والأعلى كذلك ـ لا ريب في عدم لزوم أحد المحاذير المذكورة منها، رغم أنه لا شك أنها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القيد ينبغي أن يكون أحد الضوابط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معملاً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ففي الحقيقة ليس هذا ضابطاً جديداً، بل هو قيد يضاف إلى أي ضابط من الضوابط تم انتخابه</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وغير خفي أننا حيث ذهبنا إلى القول الأول، فإن كبرى هذا الضابط تعتبر قيداً لما ذكرناه</w:t>
      </w:r>
      <w:r>
        <w:rPr>
          <w:rStyle w:val="FootnoteAnchor"/>
          <w:rtl w:val="true"/>
        </w:rPr>
        <w:footnoteReference w:id="1042"/>
      </w:r>
      <w:r>
        <w:rPr>
          <w:rFonts w:ascii="Amiri" w:hAnsi="Amiri" w:eastAsia="Amiri" w:cs="Amiri"/>
          <w:color w:val="111111"/>
          <w:sz w:val="28"/>
          <w:sz w:val="28"/>
          <w:szCs w:val="28"/>
          <w:rtl w:val="true"/>
          <w:lang w:bidi="ar-SA"/>
        </w:rPr>
        <w:t>والنقاش إنما هو في صغراه فيما عدا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ـ إلا الأخير ـ في عدّ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مولوية، أي لا يلزم التسلسل ولا تحصيل الحاصل ولا اللغوية، أما آخر المحاذير</w:t>
      </w:r>
      <w:r>
        <w:rPr>
          <w:rStyle w:val="FootnoteAnchor"/>
          <w:rtl w:val="true"/>
        </w:rPr>
        <w:footnoteReference w:id="1043"/>
      </w:r>
      <w:r>
        <w:rPr>
          <w:rFonts w:ascii="Amiri" w:hAnsi="Amiri" w:eastAsia="Amiri" w:cs="Amiri"/>
          <w:color w:val="111111"/>
          <w:sz w:val="28"/>
          <w:sz w:val="28"/>
          <w:szCs w:val="28"/>
          <w:rtl w:val="true"/>
          <w:lang w:bidi="ar-SA"/>
        </w:rPr>
        <w:t>فننكر كونه محذوراً</w:t>
      </w:r>
      <w:r>
        <w:rPr>
          <w:rStyle w:val="FootnoteAnchor"/>
          <w:rtl w:val="true"/>
        </w:rPr>
        <w:footnoteReference w:id="1044"/>
      </w:r>
      <w:r>
        <w:rPr>
          <w:rFonts w:ascii="Amiri" w:hAnsi="Amiri" w:eastAsia="Amiri" w:cs="Amiri"/>
          <w:color w:val="111111"/>
          <w:sz w:val="28"/>
          <w:sz w:val="28"/>
          <w:szCs w:val="28"/>
          <w:rtl w:val="true"/>
          <w:lang w:bidi="ar-SA"/>
        </w:rPr>
        <w:t xml:space="preserve">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r>
        <w:rPr>
          <w:rStyle w:val="FootnoteAnchor"/>
          <w:rtl w:val="true"/>
        </w:rPr>
        <w:footnoteReference w:id="1045"/>
      </w:r>
    </w:p>
    <w:p>
      <w:pPr>
        <w:pStyle w:val="Heading3"/>
        <w:numPr>
          <w:ilvl w:val="2"/>
          <w:numId w:val="1"/>
        </w:numPr>
        <w:rPr/>
      </w:pPr>
      <w:bookmarkStart w:id="1053" w:name="__RefHeading___Toc3959905_1051229030"/>
      <w:bookmarkStart w:id="1054" w:name="_Toc384"/>
      <w:bookmarkEnd w:id="1053"/>
      <w:r>
        <w:rPr/>
        <w:t>5</w:t>
      </w:r>
      <w:r>
        <w:rPr>
          <w:rtl w:val="true"/>
        </w:rPr>
        <w:t xml:space="preserve">- </w:t>
      </w:r>
      <w:r>
        <w:rPr>
          <w:rtl w:val="true"/>
        </w:rPr>
        <w:t>المولوي</w:t>
      </w:r>
      <w:r>
        <w:rPr>
          <w:rtl w:val="true"/>
        </w:rPr>
        <w:t xml:space="preserve">: </w:t>
      </w:r>
      <w:r>
        <w:rPr>
          <w:rtl w:val="true"/>
        </w:rPr>
        <w:t>ما عدا المستقلات العقلية</w:t>
      </w:r>
      <w:r>
        <w:rPr>
          <w:rtl w:val="true"/>
        </w:rPr>
        <w:t>.</w:t>
      </w:r>
      <w:bookmarkEnd w:id="105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موارد المستقلات العقلية مطلقاً أو في الجملة</w:t>
      </w:r>
      <w:r>
        <w:rPr>
          <w:rStyle w:val="FootnoteAnchor"/>
          <w:rtl w:val="true"/>
        </w:rPr>
        <w:footnoteReference w:id="10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w:t>
      </w:r>
      <w:r>
        <w:rPr>
          <w:rFonts w:eastAsia="Amiri" w:cs="Amiri" w:ascii="Amiri" w:hAnsi="Amiri"/>
          <w:color w:val="111111"/>
          <w:sz w:val="28"/>
          <w:szCs w:val="28"/>
          <w:rtl w:val="true"/>
          <w:lang w:bidi="ar-SA"/>
        </w:rPr>
        <w:t xml:space="preserve">. </w:t>
      </w:r>
      <w:bookmarkStart w:id="1055" w:name="pg7671_77027"/>
    </w:p>
    <w:p>
      <w:pPr>
        <w:pStyle w:val="BookText"/>
        <w:rPr/>
      </w:pPr>
      <w:bookmarkEnd w:id="1055"/>
      <w:r>
        <w:rPr>
          <w:rFonts w:ascii="Amiri" w:hAnsi="Amiri" w:eastAsia="Amiri" w:cs="Amiri"/>
          <w:color w:val="111111"/>
          <w:sz w:val="28"/>
          <w:sz w:val="28"/>
          <w:szCs w:val="28"/>
          <w:rtl w:val="true"/>
          <w:lang w:bidi="ar-SA"/>
        </w:rPr>
        <w:t>وهذا ما ذهب إليه جمع من المتأخرين، وأصروا عليه أي إصرار، بل ادعوا استحالته ذاتاً ووقوعاً، وهو الذي قال عنه المحقق الرشتي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صيرورة الواجبات الشرعية المطابقة لحكم العقل، كوجوب رد الوديعة وأمثالها، إرشادية، مما لا يساعد عليه اصطلاحهم، وإن كان قد يطلق عليه في لسان من لا مهارة له في الفن، بل عن بعض تفسير الأمر الإرشادي بخصوص الأوامر الواردة في المستقلات العقلية وإن ما عداها من الأوامر كلها غير إرشادي، فهو كلام خال عن التحصيل حسبما عرفت</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يشك أحد من القوم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شرعياً، وكذا سائر الأوامر الشرعية الملحوظ فيها فوائد الآخرة بلا واسطة أو معها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وحيث بحثنا خصوص هذا الضابط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لذا لا حاجة بنا هنا إلى الإعادة</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959907_1051229030"/>
      <w:bookmarkStart w:id="1057" w:name="_Toc385"/>
      <w:bookmarkEnd w:id="1056"/>
      <w:r>
        <w:rPr/>
        <w:t>6</w:t>
      </w:r>
      <w:r>
        <w:rPr>
          <w:rtl w:val="true"/>
        </w:rPr>
        <w:t xml:space="preserve">- </w:t>
      </w:r>
      <w:r>
        <w:rPr>
          <w:rtl w:val="true"/>
        </w:rPr>
        <w:t>المولوي</w:t>
      </w:r>
      <w:r>
        <w:rPr>
          <w:rtl w:val="true"/>
        </w:rPr>
        <w:t xml:space="preserve">: </w:t>
      </w:r>
      <w:r>
        <w:rPr>
          <w:rtl w:val="true"/>
        </w:rPr>
        <w:t>ما لم تكن المصلحة معلومة للمأمور قبل الأمر</w:t>
      </w:r>
      <w:bookmarkEnd w:id="1057"/>
    </w:p>
    <w:p>
      <w:pPr>
        <w:pStyle w:val="Heading4"/>
        <w:numPr>
          <w:ilvl w:val="3"/>
          <w:numId w:val="1"/>
        </w:numPr>
        <w:rPr/>
      </w:pPr>
      <w:bookmarkStart w:id="1058" w:name="__RefHeading___Toc3959909_1051229030"/>
      <w:bookmarkStart w:id="1059" w:name="_Toc386"/>
      <w:bookmarkEnd w:id="1058"/>
      <w:r>
        <w:rPr>
          <w:rtl w:val="true"/>
        </w:rPr>
        <w:t>اشارة</w:t>
      </w:r>
      <w:bookmarkEnd w:id="105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المصلحة الباعثة للأمر، غير معلومة للمأمور قبل الأمر</w:t>
      </w:r>
      <w:r>
        <w:rPr>
          <w:rFonts w:eastAsia="Amiri" w:cs="Amiri" w:ascii="Amiri" w:hAnsi="Amiri"/>
          <w:color w:val="111111"/>
          <w:sz w:val="28"/>
          <w:szCs w:val="28"/>
          <w:rtl w:val="true"/>
          <w:lang w:bidi="ar-SA"/>
        </w:rPr>
        <w:t xml:space="preserve">. </w:t>
      </w:r>
      <w:bookmarkStart w:id="1060" w:name="pg7671_77028"/>
    </w:p>
    <w:p>
      <w:pPr>
        <w:pStyle w:val="BookText"/>
        <w:rPr/>
      </w:pPr>
      <w:bookmarkEnd w:id="10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المصلحة معلومة له قبله، وقد نقله المحقق الرشتي في بدائعه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مرتبة لاحقة عن كون صدور الأمر من الشارع مولوياً أو إرشادياً، وظاهر هذا الإشكال الاستحالة،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كون الأمر مولوياً أو إرشادياً، فكيف يكون سبباً له؟</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المأمور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المأمور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المعتبر ملاكاً في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المأمور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للصفة لا للموصوف، أي لنوع الأمر وكونه إرشادياً لا لأصله ـ فتأمل</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3959911_1051229030"/>
      <w:bookmarkStart w:id="1062" w:name="_Toc387"/>
      <w:bookmarkEnd w:id="1061"/>
      <w:r>
        <w:rPr>
          <w:rtl w:val="true"/>
        </w:rPr>
        <w:t>وجوه الإيراد على هذا الوجه</w:t>
      </w:r>
      <w:bookmarkEnd w:id="10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صدور الأمر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ملاك المولوية مطلقاً كما سبق في الضابط الأول، إضافة إلى أن الوجدان يشهد والارتكاز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الصادر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مولوياً وقد يكون إرشادياً، سواء علم المأمور بالمصلحة أم لا، وسواء علم المولى بعلم المأمور بالمصلحة أم لا وسواء لاحظ علمه بها أم لا، فالأمر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 نفس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مع قطع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 نفس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عند إصدار الأمر ـ وقبل أن يعلم المأمور بأمره، وسواء علم بالمصلحة أم لا ـ إما أن يأمر مولوياً وبما هو مولى، أو إرشادياً وبما هو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المصلحة معلومة للمأمور أو لا، فقد يأمر مولوياً أي معملاً مقام المولوية، وقد يأمر إرشادياً أي ناصحاً؛ فإن الطبيب الناصح بشرب كذا، أمره إرشادي،سواء علم المأمور وجه المصلحة أو لا، وأمر الشارع بالصلاة مولوي، سواء علمنا الوجه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وشبههما،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يرد على هذا الوجه استلزامه لتال فاسد،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مولوي وإما إرشادي، وليس مولوياً بالقياس إلى مكلف وإرشادياً بالقياس إلى آخر وهو التالي الفاسد لهذا الضابط، فإنه وإن كان ذلك ممكناً لتنوع المتعلق، ولكون الإرشادية وشبههما من الدواعي ـ كما قاله الآخوند ـ فلا يلزم استعمال اللفظ في أكثر من معنى، بل وإن لزم فلا استحالة كما بيناه في موضع آخر، إلا أنه خلاف الظاهر والمتفاهم العرفي والارتكاز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ينقض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كون الأوامر المولوية كلها بالنسبة للأنبياء والأوصياء بل ومطلق الراسخين في العلم، إرشادية، نظراً لعلمهم بمصالحها قبل الأمر لا أقل في الجملة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المحتمل في من يذهب لهذا الضابط إنه يرى أنه معلومية المصلحة للمأمور قبل الأمر، سبب لانصراف الأمر إلى الإرشادية، فهو ضابط إثباتي لا ثبوتي،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ما أوردناه على هذا الضابط ثبوتاً فالأولى صرفه إلى إرادة عالم الإثبات، وأنه ما هو الأصل لا ما هو الملاك</w:t>
      </w:r>
      <w:r>
        <w:rPr>
          <w:rFonts w:eastAsia="Amiri" w:cs="Amiri" w:ascii="Amiri" w:hAnsi="Amiri"/>
          <w:color w:val="111111"/>
          <w:sz w:val="28"/>
          <w:szCs w:val="28"/>
          <w:rtl w:val="true"/>
          <w:lang w:bidi="ar-SA"/>
        </w:rPr>
        <w:t xml:space="preserve">. </w:t>
      </w:r>
      <w:bookmarkStart w:id="1063" w:name="pg7671_77030"/>
    </w:p>
    <w:p>
      <w:pPr>
        <w:pStyle w:val="BookText"/>
        <w:rPr/>
      </w:pPr>
      <w:bookmarkEnd w:id="1063"/>
      <w:r>
        <w:rPr>
          <w:rFonts w:ascii="Amiri" w:hAnsi="Amiri" w:eastAsia="Amiri" w:cs="Amiri"/>
          <w:color w:val="111111"/>
          <w:sz w:val="28"/>
          <w:sz w:val="28"/>
          <w:szCs w:val="28"/>
          <w:rtl w:val="true"/>
          <w:lang w:bidi="ar-SA"/>
        </w:rPr>
        <w:t>ويحتمل أنه يرى أن معلوميتها</w:t>
      </w:r>
      <w:r>
        <w:rPr>
          <w:rStyle w:val="FootnoteAnchor"/>
          <w:rtl w:val="true"/>
        </w:rPr>
        <w:footnoteReference w:id="1050"/>
      </w:r>
      <w:r>
        <w:rPr>
          <w:rFonts w:ascii="Amiri" w:hAnsi="Amiri" w:eastAsia="Amiri" w:cs="Amiri"/>
          <w:color w:val="111111"/>
          <w:sz w:val="28"/>
          <w:sz w:val="28"/>
          <w:szCs w:val="28"/>
          <w:rtl w:val="true"/>
          <w:lang w:bidi="ar-SA"/>
        </w:rPr>
        <w:t>سبب للاستحالة، بنفس أو ببعض البراهين التي ذكرت للاستحالة في المستقلات العقلية كلزوم تحصيل الحاصل</w:t>
      </w:r>
      <w:r>
        <w:rPr>
          <w:rStyle w:val="FootnoteAnchor"/>
          <w:rtl w:val="true"/>
        </w:rPr>
        <w:footnoteReference w:id="1051"/>
      </w:r>
      <w:r>
        <w:rPr>
          <w:rFonts w:ascii="Amiri" w:hAnsi="Amiri" w:eastAsia="Amiri" w:cs="Amiri"/>
          <w:color w:val="111111"/>
          <w:sz w:val="28"/>
          <w:sz w:val="28"/>
          <w:szCs w:val="28"/>
          <w:rtl w:val="true"/>
          <w:lang w:bidi="ar-SA"/>
        </w:rPr>
        <w:t>أو اللغوية، والجواب، الجواب</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3959913_1051229030"/>
      <w:bookmarkStart w:id="1065" w:name="_Toc388"/>
      <w:bookmarkEnd w:id="1064"/>
      <w:r>
        <w:rPr>
          <w:rtl w:val="true"/>
        </w:rPr>
        <w:t>النسبة بين هذا الضابط وسابقه</w:t>
      </w:r>
      <w:bookmarkEnd w:id="1065"/>
    </w:p>
    <w:p>
      <w:pPr>
        <w:pStyle w:val="BookText"/>
        <w:rPr/>
      </w:pPr>
      <w:r>
        <w:rPr>
          <w:rFonts w:ascii="Amiri" w:hAnsi="Amiri" w:eastAsia="Amiri" w:cs="Amiri"/>
          <w:color w:val="111111"/>
          <w:sz w:val="28"/>
          <w:sz w:val="28"/>
          <w:szCs w:val="28"/>
          <w:rtl w:val="true"/>
          <w:lang w:bidi="ar-SA"/>
        </w:rPr>
        <w:t>والظاهر أن النسبة بين هذا الضابط وما سبقه هو العموم من وجه؛ إذ هذا الضابط يبتني على معلومية المصلحة للمأمور من قبل، سواء كانت</w:t>
      </w:r>
      <w:r>
        <w:rPr>
          <w:rStyle w:val="FootnoteAnchor"/>
          <w:rtl w:val="true"/>
        </w:rPr>
        <w:footnoteReference w:id="1052"/>
      </w:r>
      <w:r>
        <w:rPr>
          <w:rFonts w:ascii="Amiri" w:hAnsi="Amiri" w:eastAsia="Amiri" w:cs="Amiri"/>
          <w:color w:val="111111"/>
          <w:sz w:val="28"/>
          <w:sz w:val="28"/>
          <w:szCs w:val="28"/>
          <w:rtl w:val="true"/>
          <w:lang w:bidi="ar-SA"/>
        </w:rPr>
        <w:t>أمراً مستقلاً عقلياً أم لا،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المأمور به مستقلاً عقلياً، سواء علم المأمور بالمصلحة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تكون مصلحته معلومة للمأمور؛ وإلا لم يكن مستقلاً عقليا،ً فالنسبة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استقلال العقل بحكمٍ، أمر، وعلم المأمور بوجه المصلحة فيما حكم فيه العقل أمر آخر، ولا تلازم، إلا أن يقال بشهادة الوجدان بمعلومية المصالح فيها ولو إجمالاً وارتكازاً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صرف هذا الضابط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مع كون النسبة من وجه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كون قسم من غير المستقلات العقلية معلومة المصلحة، أما في الموالي العرفية فواضح، وأما في أوامر </w:t>
      </w:r>
      <w:bookmarkStart w:id="1066" w:name="pg7671_77031"/>
    </w:p>
    <w:p>
      <w:pPr>
        <w:pStyle w:val="BookText"/>
        <w:rPr/>
      </w:pPr>
      <w:bookmarkEnd w:id="1066"/>
      <w:r>
        <w:rPr>
          <w:rFonts w:ascii="Amiri" w:hAnsi="Amiri" w:eastAsia="Amiri" w:cs="Amiri"/>
          <w:color w:val="111111"/>
          <w:sz w:val="28"/>
          <w:sz w:val="28"/>
          <w:szCs w:val="28"/>
          <w:rtl w:val="true"/>
          <w:lang w:bidi="ar-SA"/>
        </w:rPr>
        <w:t>ونواهي الشارع؛ فلمعلومية مصالح ومفاسد كثير منها للمكلفين قبل الأمر؛ لوضوحها أو لبيان كثير منها في الآيات والروايات، قبل التشريع، كما في آية 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قسماً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معلولة المصلحة لكل مكلف كما سبق، ولو رفضنا ذلك، لما سبق، وذهبنا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 هي العموم والخصوص المطلق، فهو أيضا دليل على عدم صحة صَرْفِ هذا الضابط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للقائل بهذا الضابط أن يجعل الملاك أمراً آخر قريباً منه،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علم الآمر بعلم المأمور بالمصلحة 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ورده يظهر مما سبق فلا نطيل</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959915_1051229030"/>
      <w:bookmarkStart w:id="1068" w:name="_Toc389"/>
      <w:bookmarkEnd w:id="1067"/>
      <w:r>
        <w:rPr/>
        <w:t>7</w:t>
      </w:r>
      <w:r>
        <w:rPr>
          <w:rtl w:val="true"/>
        </w:rPr>
        <w:t xml:space="preserve">- </w:t>
      </w:r>
      <w:r>
        <w:rPr>
          <w:rtl w:val="true"/>
        </w:rPr>
        <w:t>المولوي</w:t>
      </w:r>
      <w:r>
        <w:rPr>
          <w:rtl w:val="true"/>
        </w:rPr>
        <w:t xml:space="preserve">: </w:t>
      </w:r>
      <w:r>
        <w:rPr>
          <w:rtl w:val="true"/>
        </w:rPr>
        <w:t>ما توقفت المصلحة على الأمر</w:t>
      </w:r>
      <w:bookmarkEnd w:id="1068"/>
    </w:p>
    <w:p>
      <w:pPr>
        <w:pStyle w:val="Heading4"/>
        <w:numPr>
          <w:ilvl w:val="3"/>
          <w:numId w:val="1"/>
        </w:numPr>
        <w:rPr/>
      </w:pPr>
      <w:bookmarkStart w:id="1069" w:name="__RefHeading___Toc3959917_1051229030"/>
      <w:bookmarkStart w:id="1070" w:name="_Toc390"/>
      <w:bookmarkEnd w:id="1069"/>
      <w:r>
        <w:rPr>
          <w:rtl w:val="true"/>
        </w:rPr>
        <w:t>اشارة</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المصلحة فيه موقوفة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 المصلحة الداعية للأمر، حاصله في نفس الفعل ذاتاً، موجودة قبل الأمر، بمعنى أن الآتي بذلك الفعل يدرك تلك المصلحة، وإن لم يأمره به آمر، أو لم يأته بداعي الأمر</w:t>
      </w:r>
      <w:r>
        <w:rPr>
          <w:rFonts w:eastAsia="Amiri" w:cs="Amiri" w:ascii="Amiri" w:hAnsi="Amiri"/>
          <w:color w:val="111111"/>
          <w:sz w:val="28"/>
          <w:szCs w:val="28"/>
          <w:rtl w:val="true"/>
          <w:lang w:bidi="ar-SA"/>
        </w:rPr>
        <w:t>).</w:t>
      </w:r>
      <w:r>
        <w:rPr>
          <w:rStyle w:val="FootnoteAnchor"/>
          <w:rtl w:val="true"/>
        </w:rPr>
        <w:footnoteReference w:id="105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فيه قصد القربة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قصد القربة به، فالمصلحة موقوفة على الأمر،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إرشادي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أوجد مصلحة فيه، كان الأمر مولوياً، وإذا لم يوجدها بل كانت قائمة بذات المتعلق كان الأمر به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إن هذا تصويب باطل، إلا أن يراد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مصلحة إضافية في المأمور به ـ وهي مثلاً مصلحة إطاعة المولى أيضاً ـ إضافة للمصلحة الملزمة الواقعية وهذا تام، لكنه كالتاسع تفسير باللازم،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أعمل المولى فيه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مصلحة إضافية على إطاعته، وما لم يعمل لا مصلحة له إلا المتعلق ـ فتأمل؛ إذ قد يقال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فيه تلك المصلحة الإضافية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تقديره واحترامه مثلاً لانتساب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المصلحتين الإضافيتين تختلفان بالنوع أو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 هذا الوجه</w:t>
      </w:r>
      <w:r>
        <w:rPr>
          <w:rStyle w:val="FootnoteAnchor"/>
          <w:rtl w:val="true"/>
        </w:rPr>
        <w:footnoteReference w:id="1055"/>
      </w:r>
      <w:r>
        <w:rPr>
          <w:rFonts w:ascii="Amiri" w:hAnsi="Amiri" w:eastAsia="Amiri" w:cs="Amiri"/>
          <w:color w:val="111111"/>
          <w:sz w:val="28"/>
          <w:sz w:val="28"/>
          <w:szCs w:val="28"/>
          <w:rtl w:val="true"/>
          <w:lang w:bidi="ar-SA"/>
        </w:rPr>
        <w:t xml:space="preserve">وسابقه أن سابقه يجعل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من غير ارتهان المصلحة بالأمر وعدمه فكلما علمت المصلحة من قبل، كان الأمر إرشادياً وإن لم تعلم كان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فإنه يجعل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متولدة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تفرعت المصلحة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مولوياً، وإذا تفرعت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إرشادياً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الوجه السابق مدار الإثبات والعلم، وهذا يدور مدار الثبوت والمصلحة، وتوقفها على الأمر أو الواقع والمتعلق، وهو ما </w:t>
      </w:r>
      <w:bookmarkStart w:id="1071" w:name="pg7671_77033"/>
    </w:p>
    <w:p>
      <w:pPr>
        <w:pStyle w:val="BookText"/>
        <w:rPr/>
      </w:pPr>
      <w:bookmarkEnd w:id="1071"/>
      <w:r>
        <w:rPr>
          <w:rFonts w:ascii="Amiri" w:hAnsi="Amiri" w:eastAsia="Amiri" w:cs="Amiri"/>
          <w:color w:val="111111"/>
          <w:sz w:val="28"/>
          <w:sz w:val="28"/>
          <w:szCs w:val="28"/>
          <w:rtl w:val="true"/>
          <w:lang w:bidi="ar-SA"/>
        </w:rPr>
        <w:t xml:space="preserve">يشهد له ما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يوحي بالتغاير وكون المدار الثبوت، لكن ما بعده، يوحي بكون المدار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مما يوحي بالعينية، ولو في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3959919_1051229030"/>
      <w:bookmarkStart w:id="1073" w:name="_Toc391"/>
      <w:bookmarkEnd w:id="1072"/>
      <w:r>
        <w:rPr>
          <w:rtl w:val="true"/>
        </w:rPr>
        <w:t>وجوه عدم تمامية هذا الضابط</w:t>
      </w:r>
      <w:bookmarkEnd w:id="1073"/>
    </w:p>
    <w:p>
      <w:pPr>
        <w:pStyle w:val="BookText"/>
        <w:rPr/>
      </w:pPr>
      <w:r>
        <w:rPr>
          <w:rFonts w:ascii="Amiri" w:hAnsi="Amiri" w:eastAsia="Amiri" w:cs="Amiri"/>
          <w:color w:val="111111"/>
          <w:sz w:val="28"/>
          <w:sz w:val="28"/>
          <w:szCs w:val="28"/>
          <w:rtl w:val="true"/>
          <w:lang w:bidi="ar-SA"/>
        </w:rPr>
        <w:t>لكن قد يورد عليه ـ بناء على عودته للتفريق بملاك التعبدية والتوصلية ـ أنه غير مطرد ولا منعكس وذلك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الضابط إن تم فإنها يتم في الأوامر المولوية دون النواهي المولوية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النهي، ولولاها لما كانت مفسدة،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لإنتقاضه بأوامر الموالي العرفية فإنها مولوية، ولا تتوقف على قصد القربة</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المصلحة ـ في أغراض المولى الملزمة كما لو سقط ابنه في البئر ـ غير متوقفة على الأمر، ولا على قصد القربة، مع أن الأمر في مثل هذا المورد مولوي بلا شك، لكن على هذا التعريف والضابط يلزم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توقف للمصلحة على الأمر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إرشادي، وبطلانه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w:t>
      </w:r>
      <w:r>
        <w:rPr>
          <w:rStyle w:val="FootnoteAnchor"/>
          <w:rtl w:val="true"/>
        </w:rPr>
        <w:footnoteReference w:id="1060"/>
      </w:r>
      <w:r>
        <w:rPr>
          <w:rFonts w:ascii="Amiri" w:hAnsi="Amiri" w:eastAsia="Amiri" w:cs="Amiri"/>
          <w:color w:val="111111"/>
          <w:sz w:val="28"/>
          <w:sz w:val="28"/>
          <w:szCs w:val="28"/>
          <w:rtl w:val="true"/>
          <w:lang w:bidi="ar-SA"/>
        </w:rPr>
        <w:t>المحقق الرشتي بلزوم كون الأوامر التوصلية</w:t>
      </w:r>
      <w:r>
        <w:rPr>
          <w:rStyle w:val="FootnoteAnchor"/>
          <w:rtl w:val="true"/>
        </w:rPr>
        <w:footnoteReference w:id="1061"/>
      </w:r>
      <w:r>
        <w:rPr>
          <w:rFonts w:ascii="Amiri" w:hAnsi="Amiri" w:eastAsia="Amiri" w:cs="Amiri"/>
          <w:color w:val="111111"/>
          <w:sz w:val="28"/>
          <w:sz w:val="28"/>
          <w:szCs w:val="28"/>
          <w:rtl w:val="true"/>
          <w:lang w:bidi="ar-SA"/>
        </w:rPr>
        <w:t>كلها إرشادية ـ ومنها أوامر الدَّين مثلاً ـ مع أنه لا يساعده اتفاقهم على كون التوصليات أوامر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وينقض بالأمر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في مقام النصح، بأن أمره أمراً مولوياً أولاً، ثم أمره ناصحاً ثانياً، إذ المصلحة موقوفة على الأمر الأول لا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مساوياً له</w:t>
      </w:r>
      <w:r>
        <w:rPr>
          <w:rStyle w:val="FootnoteAnchor"/>
          <w:rtl w:val="true"/>
        </w:rPr>
        <w:footnoteReference w:id="1062"/>
      </w:r>
      <w:r>
        <w:rPr>
          <w:rFonts w:ascii="Amiri" w:hAnsi="Amiri" w:eastAsia="Amiri" w:cs="Amiri"/>
          <w:color w:val="111111"/>
          <w:sz w:val="28"/>
          <w:sz w:val="28"/>
          <w:szCs w:val="28"/>
          <w:rtl w:val="true"/>
          <w:lang w:bidi="ar-SA"/>
        </w:rPr>
        <w:t xml:space="preserve">، بل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ومادة الافتراق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أمره ثانياً ناصحاً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الأمر الثاني لا يطلق عليه أنه أمر تعبدي إذ لا يشترط في سقوطه وامتثاله قصد القربة وإن اشترط في الأول، إلا أن يجاب بالاتحاد عرفاً أو دقة لاتحاد الكلي الطبيعي مع مصاديقه ـ فتأمل، وقد سبق وجهه في نظيره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مع التوصلي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وليس مساوياً له أيضاً</w:t>
      </w:r>
      <w:r>
        <w:rPr>
          <w:rFonts w:eastAsia="Amiri" w:cs="Amiri" w:ascii="Amiri" w:hAnsi="Amiri"/>
          <w:color w:val="111111"/>
          <w:sz w:val="28"/>
          <w:szCs w:val="28"/>
          <w:rtl w:val="true"/>
          <w:lang w:bidi="ar-SA"/>
        </w:rPr>
        <w:t xml:space="preserve">. </w:t>
      </w:r>
      <w:bookmarkStart w:id="1074" w:name="pg7671_77035"/>
    </w:p>
    <w:p>
      <w:pPr>
        <w:pStyle w:val="Heading3"/>
        <w:numPr>
          <w:ilvl w:val="2"/>
          <w:numId w:val="1"/>
        </w:numPr>
        <w:rPr/>
      </w:pPr>
      <w:bookmarkStart w:id="1075" w:name="__RefHeading___Toc3959921_1051229030"/>
      <w:bookmarkStart w:id="1076" w:name="_Toc392"/>
      <w:bookmarkEnd w:id="1074"/>
      <w:bookmarkEnd w:id="1075"/>
      <w:r>
        <w:rPr/>
        <w:t>8</w:t>
      </w:r>
      <w:r>
        <w:rPr>
          <w:rtl w:val="true"/>
        </w:rPr>
        <w:t xml:space="preserve">- </w:t>
      </w:r>
      <w:r>
        <w:rPr>
          <w:rtl w:val="true"/>
        </w:rPr>
        <w:t>المولوي</w:t>
      </w:r>
      <w:r>
        <w:rPr>
          <w:rtl w:val="true"/>
        </w:rPr>
        <w:t xml:space="preserve">: </w:t>
      </w:r>
      <w:r>
        <w:rPr>
          <w:rtl w:val="true"/>
        </w:rPr>
        <w:t>ما عادت المصلحة للآمر</w:t>
      </w:r>
      <w:bookmarkEnd w:id="1076"/>
    </w:p>
    <w:p>
      <w:pPr>
        <w:pStyle w:val="Heading4"/>
        <w:numPr>
          <w:ilvl w:val="3"/>
          <w:numId w:val="1"/>
        </w:numPr>
        <w:rPr/>
      </w:pPr>
      <w:bookmarkStart w:id="1077" w:name="__RefHeading___Toc3959923_1051229030"/>
      <w:bookmarkStart w:id="1078" w:name="_Toc393"/>
      <w:bookmarkEnd w:id="1077"/>
      <w:r>
        <w:rPr>
          <w:rtl w:val="true"/>
        </w:rPr>
        <w:t>اشارة</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عادت المصلحة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عادت للمأمور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إليه الميرزا الشيرازي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في البطلان ما ربما يتوهم من أن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في الوجوب والندب إنما هو لمصلحة عائدة إلى الآمر، وفي الإرشاد إنما هو لمصلحة عائدة إلى المأمور</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وجه لإعادة ما نقلناه عن المحقق الرشتي من الضابط السابق إلى هذا، إلا توهم أن الضبط في تعريفه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يكذبه ما قابله به من الإرشادي هناك فتدبر</w:t>
      </w:r>
      <w:r>
        <w:rPr>
          <w:rFonts w:eastAsia="Amiri" w:cs="Amiri" w:ascii="Amiri" w:hAnsi="Amiri"/>
          <w:color w:val="111111"/>
          <w:sz w:val="28"/>
          <w:szCs w:val="28"/>
          <w:rtl w:val="true"/>
          <w:lang w:bidi="ar-SA"/>
        </w:rPr>
        <w:t>.</w:t>
      </w:r>
      <w:r>
        <w:rPr>
          <w:rStyle w:val="FootnoteAnchor"/>
          <w:rtl w:val="true"/>
        </w:rPr>
        <w:footnoteReference w:id="1066"/>
      </w:r>
    </w:p>
    <w:p>
      <w:pPr>
        <w:pStyle w:val="Heading4"/>
        <w:numPr>
          <w:ilvl w:val="3"/>
          <w:numId w:val="1"/>
        </w:numPr>
        <w:rPr/>
      </w:pPr>
      <w:bookmarkStart w:id="1079" w:name="__RefHeading___Toc3959925_1051229030"/>
      <w:bookmarkStart w:id="1080" w:name="_Toc394"/>
      <w:bookmarkEnd w:id="1079"/>
      <w:r>
        <w:rPr>
          <w:rtl w:val="true"/>
        </w:rPr>
        <w:t>إشكالات عديدة</w:t>
      </w:r>
      <w:bookmarkEnd w:id="1080"/>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تكون المصلحة عائدة للآمر، ومع ذلك يأمره أمراً إرشادياً؛ إذ لو طلب منه ما تعود مصلحته إليه ـ أي إلى الآمر الطالب ـ لكن بما هو صديق أو بلحاظ التباني ـ كما ذكره الميرزا في موضع آخر ـ أو حتى بلحاظ صرف الإرشاد والوعظ والنصح، فإنه إرشاد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كلام الميرزا في الإجابة على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الحال في الإرشاد وإن كان كذلك</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إذ المصلحة في </w:t>
      </w:r>
    </w:p>
    <w:p>
      <w:pPr>
        <w:pStyle w:val="BookText"/>
        <w:rPr/>
      </w:pPr>
      <w:r>
        <w:rPr>
          <w:rFonts w:ascii="Amiri" w:hAnsi="Amiri" w:eastAsia="Amiri" w:cs="Amiri"/>
          <w:color w:val="111111"/>
          <w:sz w:val="28"/>
          <w:sz w:val="28"/>
          <w:szCs w:val="28"/>
          <w:rtl w:val="true"/>
          <w:lang w:bidi="ar-SA"/>
        </w:rPr>
        <w:t>الإرشاد قد تعود للآمر، ومع ذلك يكون طلبه إرشادياً؛ لعدم إعماله مقام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تكون المصلحة عائدة للمأمور، ومع ذلك يأمره أمراً مولوياً، أي بما هو مولى معملاً مقام مولويته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نقض الميرزا الشيرازي لولا أن مثاله قد يستشكل عليه، وكان الأولى أن يعلله بما ذكرناه،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الوجوب والندب لا يلزمهما أن يكون الطلب فيهما لما ذكر، بل قد يكون لمصلحة راجعة إلى المأمور، كما إذا كان الآمر يحب وصولها إلى المأمور فيأمره بذلك</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ومثاله أوامر المولى الحقيقي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الآمر وصول المصلحة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مصلحة عائدة له، أو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تنفيذ المأمور، لما أحبه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للآمر؛ لأنه محقق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ولم نقل بأن المراد بالمصلحة غير مثل ذلك</w:t>
      </w:r>
      <w:r>
        <w:rPr>
          <w:rStyle w:val="FootnoteAnchor"/>
          <w:rtl w:val="true"/>
        </w:rPr>
        <w:footnoteReference w:id="1069"/>
      </w:r>
      <w:r>
        <w:rPr>
          <w:rFonts w:ascii="Amiri" w:hAnsi="Amiri" w:eastAsia="Amiri" w:cs="Amiri"/>
          <w:color w:val="111111"/>
          <w:sz w:val="28"/>
          <w:sz w:val="28"/>
          <w:szCs w:val="28"/>
          <w:rtl w:val="true"/>
          <w:lang w:bidi="ar-SA"/>
        </w:rPr>
        <w:t>، فإنه لا يتم في الله تعالى؛ لما ثبت بالبداهة من علم العقيدة والكلام، أن أفعاله تعالى لا تعلل بأغراض عائدة له تعالى بل لنا، فحبه تعالى لمصلحة تعود لنا، راجع لنا أيضاً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لو بني على ذلك، لزم كون أوامر الشارع بأسرها </w:t>
      </w:r>
      <w:bookmarkStart w:id="1081" w:name="pg7671_77037"/>
    </w:p>
    <w:p>
      <w:pPr>
        <w:pStyle w:val="BookText"/>
        <w:rPr/>
      </w:pPr>
      <w:bookmarkEnd w:id="1081"/>
      <w:r>
        <w:rPr>
          <w:rFonts w:ascii="Amiri" w:hAnsi="Amiri" w:eastAsia="Amiri" w:cs="Amiri"/>
          <w:color w:val="111111"/>
          <w:sz w:val="28"/>
          <w:sz w:val="28"/>
          <w:szCs w:val="28"/>
          <w:rtl w:val="true"/>
          <w:lang w:bidi="ar-SA"/>
        </w:rPr>
        <w:t>إرشادية، كما لا يخفى وفساده أظهر من أن يذكر فافهم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وهو تام، إلا أن يفرق القائل ـ كما أشرنا إليه ـ بين مثل محبة الشيء بما هو ، ويعده من ما عادت المصلحة فيه للآمر توسعاً أو يجعله قسيماً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هو ما عادت المصلحة للآمر، أو ما أمره به محبة له وإن لم تعد مصلحته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يعود النفع فيه حقيقة للمأمور، فيخص الإرشادي بالثاني فلا يلزم كون أوامر الشارع كلها، إرشادية، لكنه يكون تلفيقاً من هذا الضابط ومن الضابط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فالضابط في حد ذاته ـ سواء قبل التعديل أم بعده ـ محل تأمل لما سبق إيضاحه من أن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مقام المولوية وعدمه، إضافة إلى لزوم النقوض الثلاثة قبل التعديل، وغيرها بعده</w:t>
      </w:r>
      <w:r>
        <w:rPr>
          <w:rFonts w:eastAsia="Amiri" w:cs="Amiri" w:ascii="Amiri" w:hAnsi="Amiri"/>
          <w:color w:val="111111"/>
          <w:sz w:val="28"/>
          <w:szCs w:val="28"/>
          <w:rtl w:val="true"/>
          <w:lang w:bidi="ar-SA"/>
        </w:rPr>
        <w:t>.</w:t>
      </w:r>
      <w:r>
        <w:rPr>
          <w:rStyle w:val="FootnoteAnchor"/>
          <w:rtl w:val="true"/>
        </w:rPr>
        <w:footnoteReference w:id="1072"/>
      </w:r>
    </w:p>
    <w:p>
      <w:pPr>
        <w:pStyle w:val="Heading3"/>
        <w:numPr>
          <w:ilvl w:val="2"/>
          <w:numId w:val="1"/>
        </w:numPr>
        <w:rPr/>
      </w:pPr>
      <w:bookmarkStart w:id="1082" w:name="__RefHeading___Toc3959927_1051229030"/>
      <w:bookmarkStart w:id="1083" w:name="_Toc395"/>
      <w:bookmarkEnd w:id="1082"/>
      <w:r>
        <w:rPr/>
        <w:t>9</w:t>
      </w:r>
      <w:r>
        <w:rPr>
          <w:rtl w:val="true"/>
        </w:rPr>
        <w:t xml:space="preserve">- </w:t>
      </w:r>
      <w:r>
        <w:rPr>
          <w:rtl w:val="true"/>
        </w:rPr>
        <w:t>المولوي</w:t>
      </w:r>
      <w:r>
        <w:rPr>
          <w:rtl w:val="true"/>
        </w:rPr>
        <w:t xml:space="preserve">: </w:t>
      </w:r>
      <w:r>
        <w:rPr>
          <w:rtl w:val="true"/>
        </w:rPr>
        <w:t>ما يترتب عليه الثواب والعقاب</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على موافقته أو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نقله المحقق الرشتي في بدائع الأفكار أيضاً، وقد ذكره الشيخ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أنه تعريف باللازم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الكبرى فإن النهي في المكروهات الشرعية، مولوي، لكن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هذا تعريف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تلازم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الثواب أو العقاب بالفعل والترك، إذ</w:t>
      </w:r>
      <w:r>
        <w:rPr>
          <w:rStyle w:val="FootnoteAnchor"/>
          <w:rtl w:val="true"/>
        </w:rPr>
        <w:footnoteReference w:id="1073"/>
      </w:r>
      <w:r>
        <w:rPr>
          <w:rFonts w:ascii="Amiri" w:hAnsi="Amiri" w:eastAsia="Amiri" w:cs="Amiri"/>
          <w:color w:val="111111"/>
          <w:sz w:val="28"/>
          <w:sz w:val="28"/>
          <w:szCs w:val="28"/>
          <w:rtl w:val="true"/>
          <w:lang w:bidi="ar-SA"/>
        </w:rPr>
        <w:t>سبق أن التلازم هو بين خصوص الوجوب المعمل فيه مقام المولوية، لا الوجوب الذي أنشأه بما هو ناصح، وذلك</w:t>
      </w:r>
      <w:r>
        <w:rPr>
          <w:rStyle w:val="FootnoteAnchor"/>
          <w:rtl w:val="true"/>
        </w:rPr>
        <w:footnoteReference w:id="1074"/>
      </w:r>
      <w:r>
        <w:rPr>
          <w:rFonts w:ascii="Amiri" w:hAnsi="Amiri" w:eastAsia="Amiri" w:cs="Amiri"/>
          <w:color w:val="111111"/>
          <w:sz w:val="28"/>
          <w:sz w:val="28"/>
          <w:szCs w:val="28"/>
          <w:rtl w:val="true"/>
          <w:lang w:bidi="ar-SA"/>
        </w:rPr>
        <w:t>لأن المدعي أدعى التلازم بين المولوي والثواب والعقاب، لا بين مطلق الوجوب ـ وإن كان غير مولوي ـ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يورد عليه أنه لا تلازم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 بالمخالفة أو حتى الثواب بالموافقة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لما أسلفناه من أن المولوي أعم من المولوي بالمعنى الأخص والمولوي ـ النصحي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صادراً من مقام المولى بما هو مولى لكن ناصحاً، ولا استحقاق للعقاب فيه على المخالفة، إلا أن يجاب بأن التلازم المدعى إنما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الاستحقاق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كان الأولى بهذا الضابط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يترتب على موافقته أو مخالفته،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يترتب دوماً دون الفعلية،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فارقاً،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لكونه قد يرفع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فيلزم كون ما هو كذلك </w:t>
      </w:r>
      <w:bookmarkStart w:id="1084" w:name="pg7671_77039"/>
    </w:p>
    <w:p>
      <w:pPr>
        <w:pStyle w:val="BookText"/>
        <w:rPr/>
      </w:pPr>
      <w:bookmarkEnd w:id="1084"/>
      <w:r>
        <w:rPr>
          <w:rFonts w:ascii="Amiri" w:hAnsi="Amiri" w:eastAsia="Amiri" w:cs="Amiri"/>
          <w:color w:val="111111"/>
          <w:sz w:val="28"/>
          <w:sz w:val="28"/>
          <w:szCs w:val="28"/>
          <w:rtl w:val="true"/>
          <w:lang w:bidi="ar-SA"/>
        </w:rPr>
        <w:t>ـ من الأوامر المولوية ـ إرشادياً، رغم بداهة مولويته؛ فإن أمر الصلاة، مولوي، ولا ينقلب إرشادياً لرفع العقاب بالتوبة أو نظيرها لدى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شأناً، أو أن يقيد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لكنه يستلزم المحذور الآخر</w:t>
      </w:r>
      <w:r>
        <w:rPr>
          <w:rStyle w:val="FootnoteAnchor"/>
          <w:rtl w:val="true"/>
        </w:rPr>
        <w:footnoteReference w:id="1077"/>
      </w:r>
      <w:r>
        <w:rPr>
          <w:rFonts w:ascii="IRNazanin" w:hAnsi="IRNazanin" w:eastAsia="IRNazanin"/>
          <w:color w:val="111111"/>
          <w:sz w:val="28"/>
          <w:sz w:val="28"/>
          <w:szCs w:val="28"/>
          <w:rtl w:val="true"/>
          <w:lang w:bidi="fa-IR"/>
        </w:rPr>
        <w:t>وأما الأول</w:t>
      </w:r>
      <w:r>
        <w:rPr>
          <w:rStyle w:val="FootnoteAnchor"/>
          <w:rtl w:val="true"/>
        </w:rPr>
        <w:footnoteReference w:id="1078"/>
      </w:r>
      <w:r>
        <w:rPr>
          <w:rFonts w:ascii="IRNazanin" w:hAnsi="IRNazanin" w:eastAsia="IRNazanin"/>
          <w:color w:val="111111"/>
          <w:sz w:val="28"/>
          <w:sz w:val="28"/>
          <w:szCs w:val="28"/>
          <w:rtl w:val="true"/>
          <w:lang w:bidi="fa-IR"/>
        </w:rPr>
        <w:t>فمآله للاستحقاق</w:t>
      </w:r>
      <w:r>
        <w:rPr>
          <w:rFonts w:eastAsia="IRNazanin" w:cs="IRNazanin"/>
          <w:color w:val="111111"/>
          <w:sz w:val="28"/>
          <w:szCs w:val="28"/>
          <w:rtl w:val="true"/>
          <w:lang w:bidi="fa-IR"/>
        </w:rPr>
        <w:t>.</w:t>
      </w:r>
    </w:p>
    <w:p>
      <w:pPr>
        <w:pStyle w:val="Heading3"/>
        <w:numPr>
          <w:ilvl w:val="2"/>
          <w:numId w:val="1"/>
        </w:numPr>
        <w:rPr/>
      </w:pPr>
      <w:bookmarkStart w:id="1085" w:name="__RefHeading___Toc3959929_1051229030"/>
      <w:bookmarkStart w:id="1086" w:name="_Toc396"/>
      <w:bookmarkEnd w:id="1085"/>
      <w:r>
        <w:rPr>
          <w:rtl w:val="true"/>
        </w:rPr>
        <w:t>تنبيه</w:t>
      </w:r>
      <w:r>
        <w:rPr>
          <w:rtl w:val="true"/>
        </w:rPr>
        <w:t>:</w:t>
      </w:r>
      <w:bookmarkEnd w:id="1086"/>
    </w:p>
    <w:p>
      <w:pPr>
        <w:pStyle w:val="Heading4"/>
        <w:numPr>
          <w:ilvl w:val="3"/>
          <w:numId w:val="1"/>
        </w:numPr>
        <w:rPr/>
      </w:pPr>
      <w:bookmarkStart w:id="1087" w:name="__RefHeading___Toc3959931_1051229030"/>
      <w:bookmarkStart w:id="1088" w:name="_Toc397"/>
      <w:bookmarkEnd w:id="1087"/>
      <w:r>
        <w:rPr>
          <w:rtl w:val="true"/>
        </w:rPr>
        <w:t>اشارة</w:t>
      </w:r>
      <w:bookmarkEnd w:id="108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والإرشادي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قبيل الضدين اللذين لا ثالث لهما على بعض تلك الضوابط، ومن قبيل الضدين اللذين لهما ثالث، على بعضها الآخر، خاصة إذا لوحظ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ظاهر لفظه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مصلحة في المتعلق أو ما أشبه، فليتدبر</w:t>
      </w:r>
      <w:r>
        <w:rPr>
          <w:rFonts w:eastAsia="Amiri" w:cs="Amiri" w:ascii="Amiri" w:hAnsi="Amiri"/>
          <w:color w:val="111111"/>
          <w:sz w:val="28"/>
          <w:szCs w:val="28"/>
          <w:rtl w:val="true"/>
          <w:lang w:bidi="ar-SA"/>
        </w:rPr>
        <w:t xml:space="preserve">. </w:t>
      </w:r>
      <w:bookmarkStart w:id="1089" w:name="pg7671_77040"/>
    </w:p>
    <w:p>
      <w:pPr>
        <w:pStyle w:val="Heading4"/>
        <w:numPr>
          <w:ilvl w:val="3"/>
          <w:numId w:val="1"/>
        </w:numPr>
        <w:rPr/>
      </w:pPr>
      <w:bookmarkStart w:id="1090" w:name="__RefHeading___Toc3959933_1051229030"/>
      <w:bookmarkStart w:id="1091" w:name="_Toc398"/>
      <w:bookmarkEnd w:id="1089"/>
      <w:bookmarkEnd w:id="1090"/>
      <w:r>
        <w:rPr>
          <w:rtl w:val="true"/>
        </w:rPr>
        <w:t>التحقيق</w:t>
      </w:r>
      <w:r>
        <w:rPr>
          <w:rtl w:val="true"/>
        </w:rPr>
        <w:t xml:space="preserve">: </w:t>
      </w:r>
      <w:r>
        <w:rPr>
          <w:rtl w:val="true"/>
        </w:rPr>
        <w:t xml:space="preserve">الدوران في </w:t>
      </w:r>
      <w:r>
        <w:rPr>
          <w:rtl w:val="true"/>
        </w:rPr>
        <w:t>(</w:t>
      </w:r>
      <w:r>
        <w:rPr>
          <w:rtl w:val="true"/>
        </w:rPr>
        <w:t>الضابط</w:t>
      </w:r>
      <w:r>
        <w:rPr>
          <w:rtl w:val="true"/>
        </w:rPr>
        <w:t>)</w:t>
      </w:r>
      <w:r>
        <w:rPr>
          <w:rtl w:val="true"/>
        </w:rPr>
        <w:t xml:space="preserve">، مدار </w:t>
      </w:r>
      <w:r>
        <w:rPr>
          <w:rtl w:val="true"/>
        </w:rPr>
        <w:t>(</w:t>
      </w:r>
      <w:r>
        <w:rPr>
          <w:rtl w:val="true"/>
        </w:rPr>
        <w:t>الغرض</w:t>
      </w:r>
      <w:r>
        <w:rPr>
          <w:rtl w:val="true"/>
        </w:rPr>
        <w:t>)</w:t>
      </w:r>
      <w:bookmarkEnd w:id="1091"/>
    </w:p>
    <w:p>
      <w:pPr>
        <w:pStyle w:val="Heading4"/>
        <w:numPr>
          <w:ilvl w:val="3"/>
          <w:numId w:val="1"/>
        </w:numPr>
        <w:rPr/>
      </w:pPr>
      <w:bookmarkStart w:id="1092" w:name="__RefHeading___Toc3959935_1051229030"/>
      <w:bookmarkStart w:id="1093" w:name="_Toc399"/>
      <w:bookmarkEnd w:id="1092"/>
      <w:r>
        <w:rPr>
          <w:rtl w:val="true"/>
        </w:rPr>
        <w:t>والتحقيق</w:t>
      </w:r>
      <w:r>
        <w:rPr>
          <w:rtl w:val="true"/>
        </w:rPr>
        <w:t>:</w:t>
      </w:r>
      <w:bookmarkEnd w:id="1093"/>
    </w:p>
    <w:p>
      <w:pPr>
        <w:pStyle w:val="BookText"/>
        <w:rPr/>
      </w:pPr>
      <w:r>
        <w:rPr>
          <w:rFonts w:ascii="Amiri" w:hAnsi="Amiri" w:eastAsia="Amiri" w:cs="Amiri"/>
          <w:color w:val="111111"/>
          <w:sz w:val="28"/>
          <w:sz w:val="28"/>
          <w:szCs w:val="28"/>
          <w:rtl w:val="true"/>
          <w:lang w:bidi="ar-SA"/>
        </w:rPr>
        <w:t xml:space="preserve">إنه ينبغي أن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 الأوامر والنواهي إلى الإرشادية والمولوية، فإنه سيكون الفيصل في تعريفهما والمائز بينهما، والمرجع في أحكامهما، بعد أنه لم يرد في الشرع هذان المصطلحان ليبحث عن حدودهما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سابقاً أن ما ورد في الشرع هو بعض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 xml:space="preserve">ومادته،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ومادته وبعض مشتقاته</w:t>
      </w:r>
      <w:r>
        <w:rPr>
          <w:rStyle w:val="FootnoteAnchor"/>
          <w:rtl w:val="true"/>
        </w:rPr>
        <w:footnoteReference w:id="1080"/>
      </w:r>
      <w:r>
        <w:rPr>
          <w:rFonts w:ascii="Amiri" w:hAnsi="Amiri" w:eastAsia="Amiri" w:cs="Amiri"/>
          <w:color w:val="111111"/>
          <w:sz w:val="28"/>
          <w:sz w:val="28"/>
          <w:szCs w:val="28"/>
          <w:rtl w:val="true"/>
          <w:lang w:bidi="ar-SA"/>
        </w:rPr>
        <w:t>، وليس مجموع الصفة والموصوف</w:t>
      </w:r>
      <w:r>
        <w:rPr>
          <w:rStyle w:val="FootnoteAnchor"/>
          <w:rtl w:val="true"/>
        </w:rPr>
        <w:footnoteReference w:id="1081"/>
      </w:r>
      <w:r>
        <w:rPr>
          <w:rFonts w:ascii="Amiri" w:hAnsi="Amiri" w:eastAsia="Amiri" w:cs="Amiri"/>
          <w:color w:val="111111"/>
          <w:sz w:val="28"/>
          <w:sz w:val="28"/>
          <w:szCs w:val="28"/>
          <w:rtl w:val="true"/>
          <w:lang w:bidi="ar-SA"/>
        </w:rPr>
        <w:t>أي المركب منهما، ثم إن ذلك الذي ورد لا يطابق الاصطلاح، إذ ـ كما فصلناه في محله ـ كل منهما أعم من كل من المولوي والإرشادي المصطلحين بل والإخبار أيضاً</w:t>
      </w:r>
      <w:r>
        <w:rPr>
          <w:rFonts w:eastAsia="Amiri" w:cs="Amiri" w:ascii="Amiri" w:hAnsi="Amiri"/>
          <w:color w:val="111111"/>
          <w:sz w:val="28"/>
          <w:szCs w:val="28"/>
          <w:rtl w:val="true"/>
          <w:lang w:bidi="ar-SA"/>
        </w:rPr>
        <w:t xml:space="preserve">. </w:t>
      </w:r>
      <w:bookmarkStart w:id="1094" w:name="pg7671_77041"/>
    </w:p>
    <w:p>
      <w:pPr>
        <w:pStyle w:val="Heading4"/>
        <w:numPr>
          <w:ilvl w:val="3"/>
          <w:numId w:val="1"/>
        </w:numPr>
        <w:rPr/>
      </w:pPr>
      <w:bookmarkStart w:id="1095" w:name="__RefHeading___Toc3959937_1051229030"/>
      <w:bookmarkStart w:id="1096" w:name="_Toc400"/>
      <w:bookmarkEnd w:id="1094"/>
      <w:bookmarkEnd w:id="1095"/>
      <w:r>
        <w:rPr/>
        <w:t>1</w:t>
      </w:r>
      <w:r>
        <w:rPr>
          <w:rtl w:val="true"/>
        </w:rPr>
        <w:t xml:space="preserve">- </w:t>
      </w:r>
      <w:r>
        <w:rPr>
          <w:rtl w:val="true"/>
        </w:rPr>
        <w:t>هل الغرض استحقاق الثواب أو العقاب؟</w:t>
      </w:r>
      <w:bookmarkEnd w:id="1096"/>
    </w:p>
    <w:p>
      <w:pPr>
        <w:pStyle w:val="Heading5"/>
        <w:numPr>
          <w:ilvl w:val="4"/>
          <w:numId w:val="1"/>
        </w:numPr>
        <w:rPr/>
      </w:pPr>
      <w:bookmarkStart w:id="1097" w:name="__RefHeading___Toc3959939_1051229030"/>
      <w:bookmarkStart w:id="1098" w:name="_Toc401"/>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يستحق عليه الثواب أو العقاب وما لا يستحق، إنطبق على بعض الضوابط دون بعض كما سنوضحه بعد قليل</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959941_1051229030"/>
      <w:bookmarkStart w:id="1100" w:name="_Toc402"/>
      <w:bookmarkEnd w:id="1099"/>
      <w:r>
        <w:rPr>
          <w:rtl w:val="true"/>
        </w:rPr>
        <w:t>ويرد عليه أولاً</w:t>
      </w:r>
      <w:r>
        <w:rPr>
          <w:rtl w:val="true"/>
        </w:rPr>
        <w:t xml:space="preserve">: </w:t>
      </w:r>
      <w:r>
        <w:rPr>
          <w:rtl w:val="true"/>
        </w:rPr>
        <w:t>إنه غرض كلامي</w:t>
      </w:r>
      <w:bookmarkEnd w:id="1100"/>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غرض كلامي</w:t>
      </w:r>
      <w:r>
        <w:rPr>
          <w:rStyle w:val="FootnoteAnchor"/>
          <w:rtl w:val="true"/>
        </w:rPr>
        <w:footnoteReference w:id="1082"/>
      </w:r>
      <w:r>
        <w:rPr>
          <w:rFonts w:ascii="Amiri" w:hAnsi="Amiri" w:eastAsia="Amiri" w:cs="Amiri"/>
          <w:color w:val="111111"/>
          <w:sz w:val="28"/>
          <w:sz w:val="28"/>
          <w:szCs w:val="28"/>
          <w:rtl w:val="true"/>
          <w:lang w:bidi="ar-SA"/>
        </w:rPr>
        <w:t xml:space="preserve">وليس أصولياً ولا فقهياً؛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Style w:val="FootnoteAnchor"/>
          <w:rtl w:val="true"/>
        </w:rPr>
        <w:footnoteReference w:id="1083"/>
      </w:r>
      <w:r>
        <w:rPr>
          <w:rFonts w:ascii="Amiri" w:hAnsi="Amiri" w:eastAsia="Amiri" w:cs="Amiri"/>
          <w:color w:val="111111"/>
          <w:sz w:val="28"/>
          <w:sz w:val="28"/>
          <w:szCs w:val="28"/>
          <w:rtl w:val="true"/>
          <w:lang w:bidi="ar-SA"/>
        </w:rPr>
        <w:t>الحجة على الأحكام الشرعية،</w:t>
      </w:r>
    </w:p>
    <w:p>
      <w:pPr>
        <w:pStyle w:val="BookText"/>
        <w:rPr/>
      </w:pPr>
      <w:r>
        <w:rPr>
          <w:rFonts w:ascii="Amiri" w:hAnsi="Amiri" w:eastAsia="Amiri" w:cs="Amiri"/>
          <w:color w:val="111111"/>
          <w:sz w:val="28"/>
          <w:sz w:val="28"/>
          <w:szCs w:val="28"/>
          <w:rtl w:val="true"/>
          <w:lang w:bidi="ar-SA"/>
        </w:rPr>
        <w:t xml:space="preserve">سواء استلزمت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كافة الأحكام الوضعية لا استحقاق للعقاب عليها، بل لا معنى 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والنيابة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 الشرطية، المانعية والقاطعية والرافعية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نعم الحكم التكليفي المنتزع منها ـ أو المنتزعة هي منه ـ لو كان، فإن عليه استحقاق العقاب أو الثواب، لا عليها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فإنه حتى على الاستلزام، فإن بحث الأصولي عنها ليس من هذه الجهة</w:t>
      </w:r>
      <w:r>
        <w:rPr>
          <w:rFonts w:eastAsia="Amiri" w:cs="Amiri" w:ascii="Amiri" w:hAnsi="Amiri"/>
          <w:color w:val="111111"/>
          <w:sz w:val="28"/>
          <w:szCs w:val="28"/>
          <w:rtl w:val="true"/>
          <w:lang w:bidi="ar-SA"/>
        </w:rPr>
        <w:t xml:space="preserve">. </w:t>
      </w:r>
      <w:bookmarkStart w:id="1101" w:name="pg7671_77042"/>
    </w:p>
    <w:p>
      <w:pPr>
        <w:pStyle w:val="BookText"/>
        <w:rPr/>
      </w:pPr>
      <w:bookmarkEnd w:id="1101"/>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معرفة الحكم الشرعي، نعم استحقاق العقاب، لازم بعض أقسامه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3959943_1051229030"/>
      <w:bookmarkStart w:id="1103" w:name="_Toc403"/>
      <w:bookmarkEnd w:id="1102"/>
      <w:r>
        <w:rPr>
          <w:rtl w:val="true"/>
        </w:rPr>
        <w:t>وثانياً</w:t>
      </w:r>
      <w:r>
        <w:rPr>
          <w:rtl w:val="true"/>
        </w:rPr>
        <w:t xml:space="preserve">: </w:t>
      </w:r>
      <w:r>
        <w:rPr>
          <w:rtl w:val="true"/>
        </w:rPr>
        <w:t>إنه أخص من المولوي</w:t>
      </w:r>
      <w:bookmarkEnd w:id="1103"/>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فهو ليس طارداً للإرشادي فحسب، بل لأقسام مهمة جداً من المولوي، وذلك ككل الأحكام الوضعيةكما فصلناه في موضع آخر من الكتاب من كونها مولوية، وأجبنا عن توهم كونها إرشادية، وأوضحنا المراد من الإرشادية هناك حيث لا يراد بها ما هو قسيم المولوي ـ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طارد لأمثال حديث الرفع وقاعدة لا ضرر التي أوضحنا في بحثهما أنهما مولويان ـ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طارد أيضاً للمباح من التكليفية بل والمكروه منه أيضاً</w:t>
      </w:r>
      <w:r>
        <w:rPr>
          <w:rStyle w:val="FootnoteAnchor"/>
          <w:rtl w:val="true"/>
        </w:rPr>
        <w:footnoteReference w:id="1084"/>
      </w:r>
      <w:r>
        <w:rPr>
          <w:rFonts w:ascii="Amiri" w:hAnsi="Amiri" w:eastAsia="Amiri" w:cs="Amiri"/>
          <w:color w:val="111111"/>
          <w:sz w:val="28"/>
          <w:sz w:val="28"/>
          <w:szCs w:val="28"/>
          <w:rtl w:val="true"/>
          <w:lang w:bidi="ar-SA"/>
        </w:rPr>
        <w:t>فيستلزم ذلك حصر الفقه في الأحكام الثلاثة فقط</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بل هو طارد لكل الأوامر التوصلية رغم كون بعضها مولوياً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هو المحدد للمولوي والإرشادي فلا يصح نقضه بخروج ما لا ينطبق عليه هذه الغرض، عن المولوية؟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مولوية، أو بلحاظ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أو ما أشبه، مما يكشف منه بالبرهان الإني، عدم تمامية </w:t>
      </w:r>
      <w:bookmarkStart w:id="1104" w:name="pg7671_77043"/>
    </w:p>
    <w:p>
      <w:pPr>
        <w:pStyle w:val="BookText"/>
        <w:rPr/>
      </w:pPr>
      <w:bookmarkEnd w:id="1104"/>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959945_1051229030"/>
      <w:bookmarkStart w:id="1106" w:name="_Toc404"/>
      <w:bookmarkEnd w:id="1105"/>
      <w:r>
        <w:rPr>
          <w:rtl w:val="true"/>
        </w:rPr>
        <w:t>النسبة بين هذا الغرض والضوابط التسعة</w:t>
      </w:r>
      <w:bookmarkEnd w:id="1106"/>
    </w:p>
    <w:p>
      <w:pPr>
        <w:pStyle w:val="BookText"/>
        <w:rPr/>
      </w:pPr>
      <w:r>
        <w:rPr>
          <w:rFonts w:ascii="Amiri" w:hAnsi="Amiri" w:eastAsia="Amiri" w:cs="Amiri"/>
          <w:color w:val="111111"/>
          <w:sz w:val="28"/>
          <w:sz w:val="28"/>
          <w:szCs w:val="28"/>
          <w:rtl w:val="true"/>
          <w:lang w:bidi="ar-SA"/>
        </w:rPr>
        <w:t>وعلى أي تقدير فإن كان الغرض هو ذلك، فإنَّ نسبته مع الضوابط التسعة 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متطابق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الأول لما أشرنا إليه قبل قليل</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ومع الضابط التاسع فإنه أخص؛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أريد بالترتب الأعم من الاستحقاق، لكنه يرد عليه أنه يكون عندئذٍ تعريفاً لفظياً فإنه جعل الغرض هو الضابط، مع أن الضابط في رتبة الموضوع بل هو هو</w:t>
      </w:r>
      <w:r>
        <w:rPr>
          <w:rStyle w:val="FootnoteAnchor"/>
          <w:rtl w:val="true"/>
        </w:rPr>
        <w:footnoteReference w:id="1087"/>
      </w:r>
      <w:r>
        <w:rPr>
          <w:rFonts w:ascii="Amiri" w:hAnsi="Amiri" w:eastAsia="Amiri" w:cs="Amiri"/>
          <w:color w:val="111111"/>
          <w:sz w:val="28"/>
          <w:sz w:val="28"/>
          <w:szCs w:val="28"/>
          <w:rtl w:val="true"/>
          <w:lang w:bidi="ar-SA"/>
        </w:rPr>
        <w:t>والغرض معلول له ثبوتاً وكاشف عنه إثباتاً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الضابط الثاني فإن النسبة هي العموم والخصوص من وجه، إذ استحقاق العقاب يترتب على مطلق ما أعمل فيه المولى مقام مولويته، وإن كان لمصلحة الدنيا</w:t>
      </w:r>
      <w:r>
        <w:rPr>
          <w:rStyle w:val="FootnoteAnchor"/>
          <w:rtl w:val="true"/>
        </w:rPr>
        <w:footnoteReference w:id="1088"/>
      </w:r>
      <w:r>
        <w:rPr>
          <w:rFonts w:ascii="Amiri" w:hAnsi="Amiri" w:eastAsia="Amiri" w:cs="Amiri"/>
          <w:color w:val="111111"/>
          <w:sz w:val="28"/>
          <w:sz w:val="28"/>
          <w:szCs w:val="28"/>
          <w:rtl w:val="true"/>
          <w:lang w:bidi="ar-SA"/>
        </w:rPr>
        <w:t>،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استحقاق للعقاب، كما في مفاد أمثال حديث الرفع ولا ضرر</w:t>
      </w:r>
      <w:r>
        <w:rPr>
          <w:rStyle w:val="FootnoteAnchor"/>
          <w:rtl w:val="true"/>
        </w:rPr>
        <w:footnoteReference w:id="1089"/>
      </w:r>
      <w:r>
        <w:rPr>
          <w:rFonts w:ascii="Amiri" w:hAnsi="Amiri" w:eastAsia="Amiri" w:cs="Amiri"/>
          <w:color w:val="111111"/>
          <w:sz w:val="28"/>
          <w:sz w:val="28"/>
          <w:szCs w:val="28"/>
          <w:rtl w:val="true"/>
          <w:lang w:bidi="ar-SA"/>
        </w:rPr>
        <w:t xml:space="preserve">وأما ما أنشأ بلحاظ مصلحة الآخرة لكنه بما هو ناصح لا بلحاظ مقام المولوية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استحقاق للعقاب بالترك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قد يلتزم القائل بالضابط الثاني بالمولوية مطلقاً في كل ما كان </w:t>
      </w:r>
    </w:p>
    <w:p>
      <w:pPr>
        <w:pStyle w:val="BookText"/>
        <w:rPr/>
      </w:pPr>
      <w:r>
        <w:rPr>
          <w:rFonts w:ascii="Amiri" w:hAnsi="Amiri" w:eastAsia="Amiri" w:cs="Amiri"/>
          <w:color w:val="111111"/>
          <w:sz w:val="28"/>
          <w:sz w:val="28"/>
          <w:szCs w:val="28"/>
          <w:rtl w:val="true"/>
          <w:lang w:bidi="ar-SA"/>
        </w:rPr>
        <w:t>بلحاظ الآخرة،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استحقاق العقاب كما لو أمر مولوياً بما فيه مصلحة الدنيا ـ فتأمل</w:t>
      </w:r>
      <w:r>
        <w:rPr>
          <w:rStyle w:val="FootnoteAnchor"/>
          <w:rtl w:val="true"/>
        </w:rPr>
        <w:footnoteReference w:id="1090"/>
      </w:r>
      <w:r>
        <w:rPr>
          <w:rFonts w:ascii="Amiri" w:hAnsi="Amiri" w:eastAsia="Amiri" w:cs="Amiri"/>
          <w:color w:val="111111"/>
          <w:sz w:val="28"/>
          <w:sz w:val="28"/>
          <w:szCs w:val="28"/>
          <w:rtl w:val="true"/>
          <w:lang w:bidi="ar-SA"/>
        </w:rPr>
        <w:t>، فالتعريف غير مطرد ولا منعكس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تطابق أيضاً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سلباً ولا إيجاباً إذ لا دليل</w:t>
      </w:r>
      <w:r>
        <w:rPr>
          <w:rStyle w:val="FootnoteAnchor"/>
          <w:rtl w:val="true"/>
        </w:rPr>
        <w:footnoteReference w:id="1091"/>
      </w:r>
      <w:r>
        <w:rPr>
          <w:rFonts w:ascii="Amiri" w:hAnsi="Amiri" w:eastAsia="Amiri" w:cs="Amiri"/>
          <w:color w:val="111111"/>
          <w:sz w:val="28"/>
          <w:sz w:val="28"/>
          <w:szCs w:val="28"/>
          <w:rtl w:val="true"/>
          <w:lang w:bidi="ar-SA"/>
        </w:rPr>
        <w:t>على كون كل محبوب للمولى موجباً لاستحقاق الثواب، وكل مبغوض له موجباً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أنه مع قيد صدور الأمر لجهة المحبوبية والنهي لجهة المبغوضية، قد يقال بالتلازم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غير معملٍ مقام مولويته فإنه لا يستلزم أمره ونهيه وإن كانا لجهة المحبوبية والمبغوضية، استحقاقاً للعقاب أو الثواب ـ فإن الناصح كذلك، وكذا الأحكام الوضعية وكذا عكسه</w:t>
      </w:r>
      <w:r>
        <w:rPr>
          <w:rStyle w:val="FootnoteAnchor"/>
          <w:rtl w:val="true"/>
        </w:rPr>
        <w:footnoteReference w:id="1092"/>
      </w:r>
      <w:r>
        <w:rPr>
          <w:rFonts w:ascii="Amiri" w:hAnsi="Amiri" w:eastAsia="Amiri" w:cs="Amiri"/>
          <w:color w:val="111111"/>
          <w:sz w:val="28"/>
          <w:sz w:val="28"/>
          <w:szCs w:val="28"/>
          <w:rtl w:val="true"/>
          <w:lang w:bidi="ar-SA"/>
        </w:rPr>
        <w:t xml:space="preserve">فإنه قد يوجب استحقاق العقاب إذا صدر منه بما هو مولى، وإن لم يكن محبوباً له، كما ادعى إنه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محبوب للمولى وقد أصدر لمحبوبيته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ما لا استحقاق للعقاب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التوصليات بل كلها على رأي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 فيه الاستحقاق، كالعدل والتوبة </w:t>
      </w:r>
    </w:p>
    <w:p>
      <w:pPr>
        <w:pStyle w:val="BookText"/>
        <w:rPr/>
      </w:pPr>
      <w:r>
        <w:rPr>
          <w:rFonts w:ascii="Amiri" w:hAnsi="Amiri" w:eastAsia="Amiri" w:cs="Amiri"/>
          <w:color w:val="111111"/>
          <w:sz w:val="28"/>
          <w:sz w:val="28"/>
          <w:szCs w:val="28"/>
          <w:rtl w:val="true"/>
          <w:lang w:bidi="ar-SA"/>
        </w:rPr>
        <w:t>وأمر الإطاعة على بعض الآراء، والثاني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استحقاق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محبوباً للمولى وقد أمر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مخالفته استحقاق العقاب، كالأحكام الوضعية وكالتوصليات،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يكن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به لا لمحبوبيته، بل لجهة أخرى، قد يستحق على مخالفته العقاب كصورة التباني أو الإتفاق وكالأمر الإمتحاني وما كان لتقية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أنه ليس كل ما لم يلزم منه التسلسل وسائر المحاذير، مما يترتب عليه استحقاق للعقاب، نعم ما لزم منه التسلسل وشبهه فليس مولوياً، وإن استحق عليه العقاب كأمر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يستحق عليه العقاب وقد لا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كأمر الصلاة وأمر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يستحق عليها الثواب والعقاب ـ على رأي، رغم أنها على التعريف الخامس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المستقلات لا يستحق عليه العقاب، كالأحكام الوضعية والمكروه والمباح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الأمر بها مولوياً وقد يكون إرشادياً على رأي، وقد يستحق عليها العقاب وأحياناً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من وجه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كون كل المستقلات العقلية غير مولوية،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وغرضاً، إلا لو قيل باستحقاق العقاب عليها </w:t>
      </w:r>
    </w:p>
    <w:p>
      <w:pPr>
        <w:pStyle w:val="BookText"/>
        <w:rPr/>
      </w:pPr>
      <w:r>
        <w:rPr>
          <w:rFonts w:ascii="Amiri" w:hAnsi="Amiri" w:eastAsia="Amiri" w:cs="Amiri"/>
          <w:color w:val="111111"/>
          <w:sz w:val="28"/>
          <w:sz w:val="28"/>
          <w:szCs w:val="28"/>
          <w:rtl w:val="true"/>
          <w:lang w:bidi="ar-SA"/>
        </w:rPr>
        <w:t>وإن كان لا للأمر الشرعي بل للعقلي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غيرها ماذا؟ فهذا الضابط ساكت عنه فلو أوكله للسان الدليل، فبها، وإلا لو ارتأى</w:t>
      </w:r>
      <w:r>
        <w:rPr>
          <w:rStyle w:val="FootnoteAnchor"/>
          <w:rtl w:val="true"/>
        </w:rPr>
        <w:footnoteReference w:id="1093"/>
      </w:r>
      <w:r>
        <w:rPr>
          <w:rFonts w:ascii="Amiri" w:hAnsi="Amiri" w:eastAsia="Amiri" w:cs="Amiri"/>
          <w:color w:val="111111"/>
          <w:sz w:val="28"/>
          <w:sz w:val="28"/>
          <w:szCs w:val="28"/>
          <w:rtl w:val="true"/>
          <w:lang w:bidi="ar-SA"/>
        </w:rPr>
        <w:t>كون مطلق ما عداها مولوياً، لزمه استحقاق العقاب على التوصلي أيضاً أو المكروه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منه كون كثير من الأوامر المولوية، إرشادية، لكن يستحق العقاب عليها نظراً لعلم المأمور بالمصلحة فيها إذا علم بها من قبل كالصلاة؛ فإنها معلوم ـ قبل التشريع ـ كونها قربان كل تقي ومقرِّبة لله تعالى، بل ذلك بديهي، وكونها تنهى ـ اقتضاءً ـ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بأن يمثل بما جهلت مصلحته من التكليفيات ـ كالمستحبات والمكروهات ـ والوضعيات، فإنها مولوية على هذا الضابط لكن لا استحقاق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تكن المصلحة فيه معلومة للمأمور قبل الأمر، قد يكون إرشادياً أي لا استحقاق للعقاب عليه، كما إذا أمر ناصحاً بما تجهل حكمته، مع أنه حسب هذا 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يترتب عليه استحقاق العقاب فهذا التعريف أيضاً غير مطرد ولا منعكس،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مادة الجمع للمولوي ـ على هذا ـ المستحق عليه العقاب فهو مثل أمر سجدتي السهو أو أمر صوم خصوص شهر رمضان، على فرض جهل وجهه</w:t>
      </w:r>
      <w:r>
        <w:rPr>
          <w:rFonts w:eastAsia="Amiri" w:cs="Amiri" w:ascii="Amiri" w:hAnsi="Amiri"/>
          <w:color w:val="111111"/>
          <w:sz w:val="28"/>
          <w:szCs w:val="28"/>
          <w:rtl w:val="true"/>
          <w:lang w:bidi="ar-SA"/>
        </w:rPr>
        <w:t xml:space="preserve">. </w:t>
      </w:r>
      <w:bookmarkStart w:id="1107" w:name="pg7671_77047"/>
    </w:p>
    <w:p>
      <w:pPr>
        <w:pStyle w:val="BookText"/>
        <w:rPr/>
      </w:pPr>
      <w:bookmarkEnd w:id="1107"/>
      <w:r>
        <w:rPr>
          <w:rFonts w:ascii="Amiri" w:hAnsi="Amiri" w:eastAsia="Amiri" w:cs="Amiri"/>
          <w:color w:val="111111"/>
          <w:sz w:val="28"/>
          <w:sz w:val="28"/>
          <w:szCs w:val="28"/>
          <w:rtl w:val="true"/>
          <w:lang w:bidi="ar-SA"/>
        </w:rPr>
        <w:t>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العاصي يستحق العقاب بمخالفة الأمر المولوي تعبدياً كان أو توصلياً، ولا يستحقه بمخالفة الأمر الإرشادي تعبدياً كان أو توصلياً فتأمل، فإنه إشكال مبنائي، إضافة إلى ما 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الإرشادي ـ كأمر الطاعة والعدل ـ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توقفت المصلحة فيه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على هذا الضابط، لكنه قد لا يستحق عليه العقاب فلا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كالأمر الإمتحاني أو الأمر الصادر تقية أو ذو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تتوقف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 على هذا، لكنه قد يستحق عليه العقاب كبعض أوامر التوصليات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كذلك غير مطرد ولا منعكس،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تعود المصلحة فيه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يستوجب استحقاق العقاب، لكونه ناصحاً بما يعود نفعه إليه ـ إلى إلى الآمر ـ مع أنه على هذا الضابط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تعود المصلحة فيه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يستوجب استحقاق العقاب، كأمر الصلاة والصوم، مع أنه على هذا الضابط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يستوجبه، فالنسبة بين ذلك الغرض وهذا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من وجه أيضاً</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959947_1051229030"/>
      <w:bookmarkStart w:id="1109" w:name="_Toc405"/>
      <w:bookmarkEnd w:id="1108"/>
      <w:r>
        <w:rPr/>
        <w:t>2</w:t>
      </w:r>
      <w:r>
        <w:rPr>
          <w:rtl w:val="true"/>
        </w:rPr>
        <w:t xml:space="preserve">- </w:t>
      </w:r>
      <w:r>
        <w:rPr>
          <w:rtl w:val="true"/>
        </w:rPr>
        <w:t>أم الغرض</w:t>
      </w:r>
      <w:r>
        <w:rPr>
          <w:rtl w:val="true"/>
        </w:rPr>
        <w:t xml:space="preserve">: </w:t>
      </w:r>
      <w:r>
        <w:rPr>
          <w:rtl w:val="true"/>
        </w:rPr>
        <w:t>الحجة على الحكم الشرعي؟</w:t>
      </w:r>
      <w:bookmarkEnd w:id="1109"/>
    </w:p>
    <w:p>
      <w:pPr>
        <w:pStyle w:val="Heading5"/>
        <w:numPr>
          <w:ilvl w:val="4"/>
          <w:numId w:val="1"/>
        </w:numPr>
        <w:rPr/>
      </w:pPr>
      <w:bookmarkStart w:id="1110" w:name="__RefHeading___Toc3959949_1051229030"/>
      <w:bookmarkStart w:id="1111" w:name="_Toc406"/>
      <w:bookmarkEnd w:id="1110"/>
      <w:r>
        <w:rPr>
          <w:rtl w:val="true"/>
        </w:rPr>
        <w:t>اشارة</w:t>
      </w:r>
      <w:bookmarkEnd w:id="111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الغرض هو معرفة الحجة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وجوب وحرمة وغيرهما ـ وما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الاستحقاق للعقاب والثواب ـ كما هو مطمح نظر الأصولي ـ فكل </w:t>
      </w:r>
      <w:bookmarkStart w:id="1112" w:name="pg7671_77048"/>
    </w:p>
    <w:p>
      <w:pPr>
        <w:pStyle w:val="BookText"/>
        <w:rPr/>
      </w:pPr>
      <w:bookmarkEnd w:id="1112"/>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فمولوي، كان الضابط الأول غير متطابق أيضاً</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3959951_1051229030"/>
      <w:bookmarkStart w:id="1114" w:name="_Toc407"/>
      <w:bookmarkEnd w:id="1113"/>
      <w:r>
        <w:rPr>
          <w:rtl w:val="true"/>
        </w:rPr>
        <w:t>التطابق وعدمه بناء على التعاريف السبعة ل</w:t>
      </w:r>
      <w:r>
        <w:rPr>
          <w:rtl w:val="true"/>
        </w:rPr>
        <w:t>(</w:t>
      </w:r>
      <w:r>
        <w:rPr>
          <w:rtl w:val="true"/>
        </w:rPr>
        <w:t>الحكم</w:t>
      </w:r>
      <w:r>
        <w:rPr>
          <w:rtl w:val="true"/>
        </w:rPr>
        <w:t>)</w:t>
      </w:r>
      <w:bookmarkEnd w:id="1114"/>
    </w:p>
    <w:p>
      <w:pPr>
        <w:pStyle w:val="BookText"/>
        <w:rPr/>
      </w:pPr>
      <w:r>
        <w:rPr>
          <w:rFonts w:ascii="Amiri" w:hAnsi="Amiri" w:eastAsia="Amiri" w:cs="Amiri"/>
          <w:color w:val="111111"/>
          <w:sz w:val="28"/>
          <w:sz w:val="28"/>
          <w:szCs w:val="28"/>
          <w:rtl w:val="true"/>
          <w:lang w:bidi="ar-SA"/>
        </w:rPr>
        <w:t xml:space="preserve">وذلك إن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بناء على أن لا إلزام في الإرشادي 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ضابط المولوية الأول ينطبق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الاستحباب والكراهة، مع عدم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تطابق، نعم بناء على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متطابقان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تعريف الحكم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الإرشادي كذلك، لكنه لا ينطبق عليه الضابط الأول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ليس بتام على التعاريف الأخرى للحكم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الشرعي المسبوق بالطلب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الفعل أو الترك مع الإلزام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بأجمعها تنطبق على الإرشادي</w:t>
      </w:r>
      <w:r>
        <w:rPr>
          <w:rStyle w:val="FootnoteAnchor"/>
          <w:rtl w:val="true"/>
        </w:rPr>
        <w:footnoteReference w:id="1094"/>
      </w:r>
      <w:r>
        <w:rPr>
          <w:rFonts w:ascii="Amiri" w:hAnsi="Amiri" w:eastAsia="Amiri" w:cs="Amiri"/>
          <w:color w:val="111111"/>
          <w:sz w:val="28"/>
          <w:sz w:val="28"/>
          <w:szCs w:val="28"/>
          <w:rtl w:val="true"/>
          <w:lang w:bidi="ar-SA"/>
        </w:rPr>
        <w:t>وهذا الضابط يطردها، فليس تاماً لعدم مطابقته للغرض، إلا لو ادعي انصراف هذه التعاريف، لكنه غير مجد في مقام التعريف والضابط، فإنه لابد في هذا المقام من التحديد والتقييد، كما أن الدليل على العموم والشمول، كما بيناه في مكان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ليس بتام إذا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 الشيخ القائل بانقسام الإرشادي إلى الواجب والمندوب ـ وإن كان دون استحقاق للعقاب في أولهما أيضاً، ولذا لم نستثن فيما إذا كان الغرض ذلك</w:t>
      </w:r>
      <w:r>
        <w:rPr>
          <w:rStyle w:val="FootnoteAnchor"/>
          <w:rtl w:val="true"/>
        </w:rPr>
        <w:footnoteReference w:id="1095"/>
      </w:r>
      <w:r>
        <w:rPr>
          <w:rFonts w:ascii="Amiri" w:hAnsi="Amiri" w:eastAsia="Amiri" w:cs="Amiri"/>
          <w:color w:val="111111"/>
          <w:sz w:val="28"/>
          <w:sz w:val="28"/>
          <w:szCs w:val="28"/>
          <w:rtl w:val="true"/>
          <w:lang w:bidi="ar-SA"/>
        </w:rPr>
        <w:t>فإنه إضافة لورود النقضين السابقين</w:t>
      </w:r>
      <w:r>
        <w:rPr>
          <w:rStyle w:val="FootnoteAnchor"/>
          <w:rtl w:val="true"/>
        </w:rPr>
        <w:footnoteReference w:id="1096"/>
      </w:r>
      <w:r>
        <w:rPr>
          <w:rFonts w:ascii="Amiri" w:hAnsi="Amiri" w:eastAsia="Amiri" w:cs="Amiri"/>
          <w:color w:val="111111"/>
          <w:sz w:val="28"/>
          <w:sz w:val="28"/>
          <w:szCs w:val="28"/>
          <w:rtl w:val="true"/>
          <w:lang w:bidi="ar-SA"/>
        </w:rPr>
        <w:t xml:space="preserve">يرد النقض بالأمر الإرشادي الوجوبي، لكن باتجاه معاكس فتدبر، إلا لو قيل بانصراف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الوجوب الإرشادي، وقد سبق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الحكم بأحد التعاريف الأخيرة، لكانت الأوامر الإرشادية كالمولوية، محققة للغرض تماماً، فلم يكن من الصحيح اعتبارها أجنبية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وإبعادها عنه، وكان هذا الضابط الأول غير تام لأنه تعريف بالأخص</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الضابط الثاني</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فإنه غير متطابق 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التعريفين الأولين للحكم؛ لكونه</w:t>
      </w:r>
      <w:r>
        <w:rPr>
          <w:rStyle w:val="FootnoteAnchor"/>
          <w:rtl w:val="true"/>
        </w:rPr>
        <w:footnoteReference w:id="1098"/>
      </w:r>
      <w:r>
        <w:rPr>
          <w:rFonts w:ascii="IRNazanin" w:hAnsi="IRNazanin" w:eastAsia="IRNazanin"/>
          <w:color w:val="111111"/>
          <w:sz w:val="28"/>
          <w:sz w:val="28"/>
          <w:szCs w:val="28"/>
          <w:rtl w:val="true"/>
          <w:lang w:bidi="fa-IR"/>
        </w:rPr>
        <w:t>أعم من الغرض</w:t>
      </w:r>
      <w:r>
        <w:rPr>
          <w:rStyle w:val="FootnoteAnchor"/>
          <w:rtl w:val="true"/>
        </w:rPr>
        <w:footnoteReference w:id="1099"/>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الإرشادي أيضاً، سواء قلنا بأنه قسيم للطلب أم قلنا بأنه قسم منه، وسواء قلنا بأنه منقسم للوجوب والندب أم أنه قسيم للأخير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على التعريف الثالث</w:t>
      </w:r>
      <w:r>
        <w:rPr>
          <w:rStyle w:val="FootnoteAnchor"/>
          <w:rtl w:val="true"/>
        </w:rPr>
        <w:footnoteReference w:id="1100"/>
      </w:r>
      <w:r>
        <w:rPr>
          <w:rFonts w:ascii="Amiri" w:hAnsi="Amiri" w:eastAsia="Amiri" w:cs="Amiri"/>
          <w:color w:val="111111"/>
          <w:sz w:val="28"/>
          <w:sz w:val="28"/>
          <w:szCs w:val="28"/>
          <w:rtl w:val="true"/>
          <w:lang w:bidi="ar-SA"/>
        </w:rPr>
        <w:t xml:space="preserve">ينقض بهما فقط،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بأحدهما فقط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التعاريف الأخيرة للحكم فغير تام لكونه أخص منه؛ إذ الغرض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وهذا أعم من الضابط؛ فإن الخطاب الإلهي المتعلق بأفعالهم قد يكون لمصلحة الدنيا فيكون إرشادياً على الضابط الثاني، لكنه مولوي بناء على 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ويلزمه طرده عن ساحة مطمح نظر الأصولي، مع أنه منه لانطباق الغرض عليه، وكونه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الاصطلاح، غير ضار؛ إذ هذا الاصطلاح وهذا التقسيم لا وقع له ولا فائدة فيه بعد أجنبيته عن الغرض،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الضابط الثالث فإنه ليس بتامٍ على التعاريف الثلاثة الأولى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الأحكام الخمسة، أو مع الوضعية، أو الإلزام مع الإلتزام بعدم وجوده في الإرشادي، لكن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 الصادر أمره لأنه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إذ يشمل غيره أيضاً؛ إذ المأمور به بالأمر الإرشادي أيضاً محبوب صادر أمره لأجل محبوبيته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التعاريف الأخيرة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الضابط الثالث أخص من الغرض</w:t>
      </w:r>
      <w:r>
        <w:rPr>
          <w:rStyle w:val="FootnoteAnchor"/>
          <w:rtl w:val="true"/>
        </w:rPr>
        <w:footnoteReference w:id="1101"/>
      </w:r>
      <w:r>
        <w:rPr>
          <w:rFonts w:ascii="IRNazanin" w:hAnsi="IRNazanin" w:eastAsia="IRNazanin"/>
          <w:color w:val="111111"/>
          <w:sz w:val="28"/>
          <w:sz w:val="28"/>
          <w:szCs w:val="28"/>
          <w:rtl w:val="true"/>
          <w:lang w:bidi="fa-IR"/>
        </w:rPr>
        <w:t>فلا وجه 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حال بقية الضوابط في نسبتها لهذا الغرض مما ذكرناه</w:t>
      </w:r>
      <w:r>
        <w:rPr>
          <w:rFonts w:eastAsia="Amiri" w:cs="Amiri" w:ascii="Amiri" w:hAnsi="Amiri"/>
          <w:color w:val="111111"/>
          <w:sz w:val="28"/>
          <w:szCs w:val="28"/>
          <w:rtl w:val="true"/>
          <w:lang w:bidi="ar-SA"/>
        </w:rPr>
        <w:t xml:space="preserve">. </w:t>
      </w:r>
      <w:bookmarkStart w:id="1115" w:name="pg7671_77051"/>
    </w:p>
    <w:p>
      <w:pPr>
        <w:pStyle w:val="BookText"/>
        <w:rPr/>
      </w:pPr>
      <w:bookmarkEnd w:id="1115"/>
      <w:r>
        <w:rPr>
          <w:rFonts w:ascii="Amiri" w:hAnsi="Amiri" w:eastAsia="Amiri" w:cs="Amiri"/>
          <w:color w:val="111111"/>
          <w:sz w:val="28"/>
          <w:sz w:val="28"/>
          <w:szCs w:val="28"/>
          <w:rtl w:val="true"/>
          <w:lang w:bidi="ar-SA"/>
        </w:rPr>
        <w:t xml:space="preserve">فإن بالتدبر فيما سبق، يظهر الحال في مدى تطابق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الأخيرة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بتفاسيره السبعة الآنفة؛ فإن الضابط التاسع مثلاً كالضابط الأول في كونه أخص على التفاسير الأربعة الأخيرة وحال الثلاثة الأولى مختلف</w:t>
      </w:r>
      <w:r>
        <w:rPr>
          <w:rStyle w:val="FootnoteAnchor"/>
          <w:rtl w:val="true"/>
        </w:rPr>
        <w:footnoteReference w:id="1102"/>
      </w:r>
      <w:r>
        <w:rPr>
          <w:rFonts w:ascii="Amiri" w:hAnsi="Amiri" w:eastAsia="Amiri" w:cs="Amiri"/>
          <w:color w:val="111111"/>
          <w:sz w:val="28"/>
          <w:sz w:val="28"/>
          <w:szCs w:val="28"/>
          <w:rtl w:val="true"/>
          <w:lang w:bidi="ar-SA"/>
        </w:rPr>
        <w:t>ـ فتأمل جيداً</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3959953_1051229030"/>
      <w:bookmarkStart w:id="1117" w:name="_Toc408"/>
      <w:bookmarkEnd w:id="1116"/>
      <w:r>
        <w:rPr/>
        <w:t>3</w:t>
      </w:r>
      <w:r>
        <w:rPr>
          <w:rtl w:val="true"/>
        </w:rPr>
        <w:t xml:space="preserve">- </w:t>
      </w:r>
      <w:r>
        <w:rPr>
          <w:rtl w:val="true"/>
        </w:rPr>
        <w:t>أغراض أخرى</w:t>
      </w:r>
      <w:bookmarkEnd w:id="1117"/>
    </w:p>
    <w:p>
      <w:pPr>
        <w:pStyle w:val="Heading5"/>
        <w:numPr>
          <w:ilvl w:val="4"/>
          <w:numId w:val="1"/>
        </w:numPr>
        <w:rPr/>
      </w:pPr>
      <w:bookmarkStart w:id="1118" w:name="__RefHeading___Toc3959955_1051229030"/>
      <w:bookmarkStart w:id="1119" w:name="_Toc409"/>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هذا كله لو كان الغرض</w:t>
      </w:r>
      <w:r>
        <w:rPr>
          <w:rStyle w:val="FootnoteAnchor"/>
          <w:rtl w:val="true"/>
        </w:rPr>
        <w:footnoteReference w:id="1103"/>
      </w:r>
      <w:r>
        <w:rPr>
          <w:rFonts w:ascii="IRNazanin" w:hAnsi="IRNazanin" w:eastAsia="IRNazanin"/>
          <w:color w:val="111111"/>
          <w:sz w:val="28"/>
          <w:sz w:val="28"/>
          <w:szCs w:val="28"/>
          <w:rtl w:val="true"/>
          <w:lang w:bidi="fa-IR"/>
        </w:rPr>
        <w:t>هو ما سبق</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وأما لو كان الغرض غيرهما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تحصيل وإحراز القرب لله تعالى، أو محبته جل اسمه، أو الحصول على المصلحة الدنيوية أو الأخروية أو هما معاً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أو الآخرة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كونها أغراضاً كلامية أو أخلاقية، وليست فقهية ولا أصولية، فإنها وإن كانت أغراضاً للفقيه والأصولي، لكنها أغراض طولية بعيدة وليست غرضاً قريباً له، وبما هو فقيه وأصولي، فما ذكره السيد بحر العلوم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موضوعه فعل مكلفينا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الفوز بعلّيينا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القريبة، </w:t>
      </w:r>
      <w:bookmarkStart w:id="1120" w:name="pg7671_77052"/>
    </w:p>
    <w:p>
      <w:pPr>
        <w:pStyle w:val="BookText"/>
        <w:rPr/>
      </w:pPr>
      <w:bookmarkEnd w:id="1120"/>
      <w:r>
        <w:rPr>
          <w:rFonts w:ascii="Amiri" w:hAnsi="Amiri" w:eastAsia="Amiri" w:cs="Amiri"/>
          <w:color w:val="111111"/>
          <w:sz w:val="28"/>
          <w:sz w:val="28"/>
          <w:szCs w:val="28"/>
          <w:rtl w:val="true"/>
          <w:lang w:bidi="ar-SA"/>
        </w:rPr>
        <w:t>وإلا لما تمايزت كثير من العلوم المشتركة في هذا الغرض</w:t>
      </w:r>
      <w:r>
        <w:rPr>
          <w:rStyle w:val="FootnoteAnchor"/>
          <w:rtl w:val="true"/>
        </w:rPr>
        <w:footnoteReference w:id="1105"/>
      </w:r>
      <w:r>
        <w:rPr>
          <w:rFonts w:ascii="IRNazanin" w:hAnsi="IRNazanin" w:eastAsia="IRNazanin"/>
          <w:color w:val="111111"/>
          <w:sz w:val="28"/>
          <w:sz w:val="28"/>
          <w:szCs w:val="28"/>
          <w:rtl w:val="true"/>
          <w:lang w:bidi="fa-IR"/>
        </w:rPr>
        <w:t>، به</w:t>
      </w:r>
      <w:r>
        <w:rPr>
          <w:rStyle w:val="FootnoteAnchor"/>
          <w:rtl w:val="true"/>
        </w:rPr>
        <w:footnoteReference w:id="1106"/>
      </w:r>
      <w:r>
        <w:rPr>
          <w:rFonts w:ascii="Amiri" w:hAnsi="Amiri" w:eastAsia="Amiri" w:cs="Amiri"/>
          <w:color w:val="111111"/>
          <w:sz w:val="28"/>
          <w:sz w:val="28"/>
          <w:szCs w:val="28"/>
          <w:rtl w:val="true"/>
          <w:lang w:bidi="ar-SA"/>
        </w:rPr>
        <w:t>مع أن تمايز العلوم بالأغراض</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959957_1051229030"/>
      <w:bookmarkStart w:id="1122" w:name="_Toc410"/>
      <w:bookmarkEnd w:id="1121"/>
      <w:r>
        <w:rPr>
          <w:rtl w:val="true"/>
        </w:rPr>
        <w:t>النسبة بين هذه الأغراض، والمولوي والإرشادي</w:t>
      </w:r>
      <w:bookmarkEnd w:id="1122"/>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107"/>
      </w:r>
      <w:r>
        <w:rPr>
          <w:rFonts w:ascii="Amiri" w:hAnsi="Amiri" w:eastAsia="Amiri" w:cs="Amiri"/>
          <w:color w:val="111111"/>
          <w:sz w:val="28"/>
          <w:sz w:val="28"/>
          <w:szCs w:val="28"/>
          <w:rtl w:val="true"/>
          <w:lang w:bidi="ar-SA"/>
        </w:rPr>
        <w:t>الثلاثة الأولى عامة شاملة لموارد الأوامر والنواهي المولوية والإرشادية، دون الأخير فإن بينه وبينهما</w:t>
      </w:r>
      <w:r>
        <w:rPr>
          <w:rStyle w:val="FootnoteAnchor"/>
          <w:rtl w:val="true"/>
        </w:rPr>
        <w:footnoteReference w:id="1108"/>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الأولين</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كل منهما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مولوي موجباً للقرب إليه تعالى ومحبته، بل خصوص التعبدي منه، دون التوصلي</w:t>
      </w:r>
      <w:r>
        <w:rPr>
          <w:rStyle w:val="FootnoteAnchor"/>
          <w:rtl w:val="true"/>
        </w:rPr>
        <w:footnoteReference w:id="1110"/>
      </w:r>
      <w:r>
        <w:rPr>
          <w:rFonts w:ascii="Amiri" w:hAnsi="Amiri" w:eastAsia="Amiri" w:cs="Amiri"/>
          <w:color w:val="111111"/>
          <w:sz w:val="28"/>
          <w:sz w:val="28"/>
          <w:szCs w:val="28"/>
          <w:rtl w:val="true"/>
          <w:lang w:bidi="ar-SA"/>
        </w:rPr>
        <w:t>، إلا لو قصد به القربة لكنه أمر خارج وأجنبي عن خصوص علقة المولوي بهما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مادة الإفتراق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الجهة الأخرى، فلأنه ليس كل موجب للقرب أو المحبة، مولوياً أي مأموراً به بالأمر المولوي، وذلك كمحقق غرض المولى من غير أمر، إما لغفلته ـ في الموالي العرفية ـ كما لو سقط ابن المولى في البئر بدون علمه، أو لوجود مانع عن الأمر به أو النهي عنه رغم وجود غرضه، كما في صدر الإسلام وتدريجية نزول الأحكام، أو لمانع كالاستحالة، كما فيما يلزم من الأمر به مولوياً، المحال؛ كما قالوه </w:t>
      </w:r>
    </w:p>
    <w:p>
      <w:pPr>
        <w:pStyle w:val="BookText"/>
        <w:rPr/>
      </w:pPr>
      <w:r>
        <w:rPr>
          <w:rFonts w:ascii="Amiri" w:hAnsi="Amiri" w:eastAsia="Amiri" w:cs="Amiri"/>
          <w:color w:val="111111"/>
          <w:sz w:val="28"/>
          <w:sz w:val="28"/>
          <w:szCs w:val="28"/>
          <w:rtl w:val="true"/>
          <w:lang w:bidi="ar-SA"/>
        </w:rPr>
        <w:t xml:space="preserve">في المستقلات العقلية، فإن عدم تعلق الأمر بها لا يمنع كونها موجبة لقربه ومحبته، بل إن المأمور به بالأمر الإرشادي أيضاً قد يكون موجباً للقرب إليه ومحبته، فالنسبة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نسبتهما إليه هي العموم والخصوص من 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بعض المقرب أو المحبوب إرشادي، وهذه مادة الإجتماع، كغسل الجمعة على رأي وككل المستقلات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كالعدل وحفظ الأمانة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مشهور، بل وككل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الإرشادي غير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لوحظت مصلحته صرفاً وكانت المصلحة أو المفسدة دنيوية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المقرب، غير إرشادي، كالتعبديات، وذلك كله يختلف حسب الضوابط التسعة فلاحظ وتدبر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النسبة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لو أريد به أي من السعادتين، عما لو أريد خصوص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كل ضابط ضابط من الضوابط التسعة، ويعرف الحال في جميع ذلك من التدبر فيما ذكرناه آنفاً والله المسدد الهادي وهو المستعان</w:t>
      </w:r>
      <w:r>
        <w:rPr>
          <w:rFonts w:eastAsia="Amiri" w:cs="Amiri" w:ascii="Amiri" w:hAnsi="Amiri"/>
          <w:color w:val="111111"/>
          <w:sz w:val="28"/>
          <w:szCs w:val="28"/>
          <w:rtl w:val="true"/>
          <w:lang w:bidi="ar-SA"/>
        </w:rPr>
        <w:t xml:space="preserve">. </w:t>
      </w:r>
      <w:bookmarkStart w:id="1123" w:name="pg7671_77054"/>
    </w:p>
    <w:p>
      <w:pPr>
        <w:pStyle w:val="Heading5"/>
        <w:numPr>
          <w:ilvl w:val="4"/>
          <w:numId w:val="1"/>
        </w:numPr>
        <w:rPr/>
      </w:pPr>
      <w:bookmarkStart w:id="1124" w:name="__RefHeading___Toc3959959_1051229030"/>
      <w:bookmarkStart w:id="1125" w:name="_Toc411"/>
      <w:bookmarkEnd w:id="1123"/>
      <w:bookmarkEnd w:id="1124"/>
      <w:r>
        <w:rPr>
          <w:rtl w:val="true"/>
        </w:rPr>
        <w:t xml:space="preserve">شمول بحث </w:t>
      </w:r>
      <w:r>
        <w:rPr>
          <w:rtl w:val="true"/>
        </w:rPr>
        <w:t>(</w:t>
      </w:r>
      <w:r>
        <w:rPr>
          <w:rtl w:val="true"/>
        </w:rPr>
        <w:t>المولوية</w:t>
      </w:r>
      <w:r>
        <w:rPr>
          <w:rtl w:val="true"/>
        </w:rPr>
        <w:t xml:space="preserve">) </w:t>
      </w:r>
      <w:r>
        <w:rPr>
          <w:rtl w:val="true"/>
        </w:rPr>
        <w:t xml:space="preserve">و </w:t>
      </w:r>
      <w:r>
        <w:rPr>
          <w:rtl w:val="true"/>
        </w:rPr>
        <w:t>(</w:t>
      </w:r>
      <w:r>
        <w:rPr>
          <w:rtl w:val="true"/>
        </w:rPr>
        <w:t>الضوابط</w:t>
      </w:r>
      <w:r>
        <w:rPr>
          <w:rtl w:val="true"/>
        </w:rPr>
        <w:t xml:space="preserve">) </w:t>
      </w:r>
      <w:r>
        <w:rPr>
          <w:rtl w:val="true"/>
        </w:rPr>
        <w:t>للأحكام الفطرية والعقلائية</w:t>
      </w:r>
      <w:bookmarkEnd w:id="1125"/>
    </w:p>
    <w:p>
      <w:pPr>
        <w:pStyle w:val="BookText"/>
        <w:rPr/>
      </w:pPr>
      <w:r>
        <w:rPr>
          <w:rFonts w:ascii="Amiri" w:hAnsi="Amiri" w:eastAsia="Amiri" w:cs="Amiri"/>
          <w:color w:val="111111"/>
          <w:sz w:val="28"/>
          <w:sz w:val="28"/>
          <w:szCs w:val="28"/>
          <w:rtl w:val="true"/>
          <w:lang w:bidi="ar-SA"/>
        </w:rPr>
        <w:t xml:space="preserve">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المستقلات العقلية من حيث الإمكان وعدمه، جار بعينه في الأحكام الفطرية، وذلك لأن الأدلة التي سيقت للطرفين، في المستقلات العقلية، بعينها جارية في الأحكام الفطرية والعقلائية، وقد ذكرنا تفصيل ذلك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الضوابط التسع، فإنها جارية فيها، فمن ذهب إلى استحالةٍ ذاتيةٍ أو وقوعيةٍ لكون الأوامر مولوية في مواطن المستقلات العقلية، نظراً للزوم التسلسل أو تحصيل الحاصل، منالمحالات الذاتية أو اللغوية أو تعدد العقاب أو تعدد استحقاقه ـ من المحاذير الوقوعية، بلحاظ الحكمة، أو منافاة ما علم ضرورة من الدين ـ في أمر الإطاعة أو التوبة مثلاً كما فصلناه والجواب عنه في مباحث الأصول، كتاب الملازمة بين حكم العقل والشرع، وكما بحثناه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مناص له من أن يذهب إلى استحالة كون الأوامر مولوية في موارد الأحكام الفطرية والعقلائية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لابد أن يعمم مورد البحث والخلاف والنقاش للأقسام الثلاثة الأخرى من الأوامر والنواهي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المتعلقة بالأحكام الفطرية، والعقلائية، بل والشرعية، فيما لو أمر بها ثانياً ـ كما أشرنا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فليراجع</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3959961_1051229030"/>
      <w:bookmarkStart w:id="1127" w:name="_Toc412"/>
      <w:bookmarkEnd w:id="1126"/>
      <w:r>
        <w:rPr>
          <w:rtl w:val="true"/>
        </w:rPr>
        <w:t>الثمرة</w:t>
      </w:r>
      <w:bookmarkEnd w:id="112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ليس في الوجوب والحرمة شرعاً واستحقاق العقاب كذلك، وعدمها فقط، بل فيما علم من الخارج أنه ليس بإلزامي أيضاً، </w:t>
      </w:r>
      <w:bookmarkStart w:id="1128" w:name="pg7671_77055"/>
    </w:p>
    <w:p>
      <w:pPr>
        <w:pStyle w:val="BookText"/>
        <w:rPr/>
      </w:pPr>
      <w:bookmarkEnd w:id="1128"/>
      <w:r>
        <w:rPr>
          <w:rFonts w:ascii="Amiri" w:hAnsi="Amiri" w:eastAsia="Amiri" w:cs="Amiri"/>
          <w:color w:val="111111"/>
          <w:sz w:val="28"/>
          <w:sz w:val="28"/>
          <w:szCs w:val="28"/>
          <w:rtl w:val="true"/>
          <w:lang w:bidi="ar-SA"/>
        </w:rPr>
        <w:t xml:space="preserve">فإن ثمرة الذهاب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لو 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عدم وجوبه، من الارتكاز ولسان الأدلة والإجماع وسائر الأدلة، بعد عدم حكم الفطرة أو العقل بأكثر من الحسن والرجحان لا إلى حد المنع من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تظهر الثمرة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959963_1051229030"/>
      <w:bookmarkStart w:id="1130" w:name="_Toc413"/>
      <w:bookmarkEnd w:id="1129"/>
      <w:r>
        <w:rPr>
          <w:rtl w:val="true"/>
        </w:rPr>
        <w:t>موارد الابتلاء بمبحث الإرشادية والمولوية كثيرة جداً وهامة</w:t>
      </w:r>
      <w:bookmarkEnd w:id="1130"/>
    </w:p>
    <w:p>
      <w:pPr>
        <w:pStyle w:val="BookText"/>
        <w:rPr/>
      </w:pPr>
      <w:r>
        <w:rPr>
          <w:rFonts w:ascii="Amiri" w:hAnsi="Amiri" w:eastAsia="Amiri" w:cs="Amiri"/>
          <w:color w:val="111111"/>
          <w:sz w:val="28"/>
          <w:sz w:val="28"/>
          <w:szCs w:val="28"/>
          <w:rtl w:val="true"/>
          <w:lang w:bidi="ar-SA"/>
        </w:rPr>
        <w:t>وقد 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الابتلاء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 والمولوية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بالقليلة، بل هي كثيرة جداً وهامة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المستقلات العقلية ـ وهي مورد النزاع والنقاش أيضاً ـ كثيرة جداً من حيث الأنواع</w:t>
      </w:r>
      <w:r>
        <w:rPr>
          <w:rStyle w:val="FootnoteAnchor"/>
          <w:rtl w:val="true"/>
        </w:rPr>
        <w:footnoteReference w:id="1111"/>
      </w:r>
      <w:r>
        <w:rPr>
          <w:rFonts w:ascii="Amiri" w:hAnsi="Amiri" w:eastAsia="Amiri" w:cs="Amiri"/>
          <w:color w:val="111111"/>
          <w:sz w:val="28"/>
          <w:sz w:val="28"/>
          <w:szCs w:val="28"/>
          <w:rtl w:val="true"/>
          <w:lang w:bidi="ar-SA"/>
        </w:rPr>
        <w:t>وإن جمعها جامع اعتباري أو انتزاعي وهو التحسين والتقبيح العقليان</w:t>
      </w:r>
      <w:r>
        <w:rPr>
          <w:rStyle w:val="FootnoteAnchor"/>
          <w:rtl w:val="true"/>
        </w:rPr>
        <w:footnoteReference w:id="1112"/>
      </w:r>
      <w:r>
        <w:rPr>
          <w:rFonts w:ascii="Amiri" w:hAnsi="Amiri" w:eastAsia="Amiri" w:cs="Amiri"/>
          <w:color w:val="111111"/>
          <w:sz w:val="28"/>
          <w:sz w:val="28"/>
          <w:szCs w:val="28"/>
          <w:rtl w:val="true"/>
          <w:lang w:bidi="ar-SA"/>
        </w:rPr>
        <w:t>بل وإن قيل بكونهما جنساً أو جنساً عالياً</w:t>
      </w:r>
      <w:r>
        <w:rPr>
          <w:rStyle w:val="FootnoteAnchor"/>
          <w:rtl w:val="true"/>
        </w:rPr>
        <w:footnoteReference w:id="1113"/>
      </w:r>
      <w:r>
        <w:rPr>
          <w:rFonts w:ascii="Amiri" w:hAnsi="Amiri" w:eastAsia="Amiri" w:cs="Amiri"/>
          <w:color w:val="111111"/>
          <w:sz w:val="28"/>
          <w:sz w:val="28"/>
          <w:szCs w:val="28"/>
          <w:rtl w:val="true"/>
          <w:lang w:bidi="ar-SA"/>
        </w:rPr>
        <w:t>كما فصلنا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أيضاً الأحكام الفطرية فإنها كثيرة جداً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الأحكام العقلائية، فإنها كثيرة جداً أيضاً</w:t>
      </w:r>
      <w:r>
        <w:rPr>
          <w:rFonts w:eastAsia="Amiri" w:cs="Amiri" w:ascii="Amiri" w:hAnsi="Amiri"/>
          <w:color w:val="111111"/>
          <w:sz w:val="28"/>
          <w:szCs w:val="28"/>
          <w:rtl w:val="true"/>
          <w:lang w:bidi="ar-SA"/>
        </w:rPr>
        <w:t xml:space="preserve">. </w:t>
      </w:r>
      <w:bookmarkStart w:id="1131" w:name="pg7671_77056"/>
    </w:p>
    <w:p>
      <w:pPr>
        <w:pStyle w:val="BookText"/>
        <w:rPr/>
      </w:pPr>
      <w:bookmarkEnd w:id="1131"/>
      <w:r>
        <w:rPr>
          <w:rFonts w:ascii="Amiri" w:hAnsi="Amiri" w:eastAsia="Amiri" w:cs="Amiri"/>
          <w:color w:val="111111"/>
          <w:sz w:val="28"/>
          <w:sz w:val="28"/>
          <w:szCs w:val="28"/>
          <w:rtl w:val="true"/>
          <w:lang w:bidi="ar-SA"/>
        </w:rPr>
        <w:t xml:space="preserve">بل إن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على ما ذكر من موارد حكم العقل أو الفطرة أو العقلاء، بل إنه يشمل المئات ـ ولعل الألوف ـ من الأوامر أو الأحكام الواردة في لسان الشرع مما لا حكم للعقل أو الفطرة أو العقلاء بها، لقصورهم عن إدراك واقعها وجهاتها والمصلحة أو المفسدة فيها ـ مما يحتمل كونها 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أعمل الشارع مقامه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حسب الضابط الأول،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محبوبة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حسب الضابط الثاني ـ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مصلحته 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حسب الضابط الثاني ـ ومما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من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حسب الضابط الخامس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هذا الكتاب للعشرات من الأمثلة على ذلك في شتى الأبواب</w:t>
      </w:r>
      <w:r>
        <w:rPr>
          <w:rFonts w:eastAsia="Amiri" w:cs="Amiri" w:ascii="Amiri" w:hAnsi="Amiri"/>
          <w:color w:val="111111"/>
          <w:sz w:val="28"/>
          <w:szCs w:val="28"/>
          <w:rtl w:val="true"/>
          <w:lang w:bidi="ar-SA"/>
        </w:rPr>
        <w:t>.</w:t>
      </w:r>
      <w:r>
        <w:rPr>
          <w:rStyle w:val="FootnoteAnchor"/>
          <w:rtl w:val="true"/>
        </w:rPr>
        <w:footnoteReference w:id="1114"/>
      </w:r>
    </w:p>
    <w:p>
      <w:pPr>
        <w:pStyle w:val="Heading5"/>
        <w:numPr>
          <w:ilvl w:val="4"/>
          <w:numId w:val="1"/>
        </w:numPr>
        <w:rPr/>
      </w:pPr>
      <w:bookmarkStart w:id="1132" w:name="__RefHeading___Toc3959965_1051229030"/>
      <w:bookmarkStart w:id="1133" w:name="_Toc414"/>
      <w:bookmarkEnd w:id="1132"/>
      <w:r>
        <w:rPr>
          <w:rtl w:val="true"/>
        </w:rPr>
        <w:t xml:space="preserve">ظهور الفرق على المباني التسعة في </w:t>
      </w:r>
      <w:r>
        <w:rPr>
          <w:rtl w:val="true"/>
        </w:rPr>
        <w:t>(</w:t>
      </w:r>
      <w:r>
        <w:rPr>
          <w:rtl w:val="true"/>
        </w:rPr>
        <w:t>فاحتط لدينك</w:t>
      </w:r>
      <w:r>
        <w:rPr>
          <w:rtl w:val="true"/>
        </w:rPr>
        <w:t>)</w:t>
      </w:r>
      <w:bookmarkEnd w:id="113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الفرق ـ على المباني التسعة ـ أكثر بملاحظة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إضافة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فوجوب الاحتياط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الآيات الشريفة المشار إليها آنفاً،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 ـ ثبوتاً ـ مولوياً، كما يمكن كونه إرشادياً، على تفصيل ذكرنا بعضه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ولعلنا نكمله في الجزء الثاني إذا شاء الله تعالى، عند التطرق لرأي المحقق العراقي وما لدينا عليه من تحفظات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إثباتاً  فالأمر موقوف على ملاحظة لسان الدليل والقرائن، وأنه أمر بالاحتياط بما هو مولى تشريعاً، أو بما هو مولى ناصحاً، أو بما هو مرشد ناصحاً موجباً أو نادباً</w:t>
      </w:r>
      <w:r>
        <w:rPr>
          <w:rStyle w:val="FootnoteAnchor"/>
          <w:rtl w:val="true"/>
        </w:rPr>
        <w:footnoteReference w:id="1115"/>
      </w:r>
      <w:r>
        <w:rPr>
          <w:rFonts w:ascii="Amiri" w:hAnsi="Amiri" w:eastAsia="Amiri" w:cs="Amiri"/>
          <w:color w:val="111111"/>
          <w:sz w:val="28"/>
          <w:sz w:val="28"/>
          <w:szCs w:val="28"/>
          <w:rtl w:val="true"/>
          <w:lang w:bidi="ar-SA"/>
        </w:rPr>
        <w:t xml:space="preserve">، فهل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الإرشاد، بدعوى أن كليّ التعليل يفيده؟ أو أن خصوص تمهيد تقديم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المفيد لذلك أم لا؟</w:t>
      </w:r>
    </w:p>
    <w:p>
      <w:pPr>
        <w:pStyle w:val="BookText"/>
        <w:rPr/>
      </w:pPr>
      <w:r>
        <w:rPr>
          <w:rFonts w:ascii="Amiri" w:hAnsi="Amiri" w:eastAsia="Amiri" w:cs="Amiri"/>
          <w:color w:val="111111"/>
          <w:sz w:val="28"/>
          <w:sz w:val="28"/>
          <w:szCs w:val="28"/>
          <w:rtl w:val="true"/>
          <w:lang w:bidi="ar-SA"/>
        </w:rPr>
        <w:t>والظاهر أن أمره به بما هو مولى مشرّعاً، وأن وجوب الاحتياط في الجملة</w:t>
      </w:r>
      <w:r>
        <w:rPr>
          <w:rStyle w:val="FootnoteAnchor"/>
          <w:rtl w:val="true"/>
        </w:rPr>
        <w:footnoteReference w:id="1116"/>
      </w:r>
      <w:r>
        <w:rPr>
          <w:rFonts w:ascii="Amiri" w:hAnsi="Amiri" w:eastAsia="Amiri" w:cs="Amiri"/>
          <w:color w:val="111111"/>
          <w:sz w:val="28"/>
          <w:sz w:val="28"/>
          <w:szCs w:val="28"/>
          <w:rtl w:val="true"/>
          <w:lang w:bidi="ar-SA"/>
        </w:rPr>
        <w:t xml:space="preserve">مولوي غيري وإن احتملت نفسيته، وسنفصل الحديث عن النفسية والغيرية في الجزء الثاني بإذن الله تعالى، كما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المولوية أو الإرشادية، في موضع آخر، وعن أن التعليل ليس دليل الإرشاد في موضع ثالث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بالإشارة إلى ما ذكره السيد الوالد في الأصول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أوامر الاحتياط، كسائر الأوامر الواردة عنه سبحانه، أو عنهم عليهم الصلاة والسلام، كلها مولوية، إلا ما علم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وتقسيمها إليها وإلى الإرشادية، فلا يترتب عليها سوى ما كان العقل مستقلاً به، من حسن الإنقياد، واستيفاء الواقع بدون الاستحباب؛ فلا تصح نيته، فيه، في موارد الطرق والأمارات والأصول، غير ظاهر الوجه، وإن ذكره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صحة قصد الاستحباب في موارد الاحتياط</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أما على الضابط الثاني فهو مولوي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إنه بما هو دين قد شرع لمصلحة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للمصلحتين؛ لأن الشارع في حكمة تشريعه الأحكام، لاحظ كلتا جهتي المصلحة والمفسدة الدنيوية والأخروية، إجمالاً، بل قد يدعى اجتماع الجهتين في كل حكم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الاستناد في الكلي أو الكلية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وغيرها وللتفصيل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لهما غير ضار،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Style w:val="FootnoteAnchor"/>
          <w:rtl w:val="true"/>
        </w:rPr>
        <w:footnoteReference w:id="1121"/>
      </w:r>
      <w:r>
        <w:rPr>
          <w:rFonts w:ascii="Amiri" w:hAnsi="Amiri" w:eastAsia="Amiri" w:cs="Amiri"/>
          <w:color w:val="111111"/>
          <w:sz w:val="28"/>
          <w:sz w:val="28"/>
          <w:szCs w:val="28"/>
          <w:rtl w:val="true"/>
          <w:lang w:bidi="ar-SA"/>
        </w:rPr>
        <w:t>والغلبة</w:t>
      </w:r>
      <w:r>
        <w:rPr>
          <w:rStyle w:val="FootnoteAnchor"/>
          <w:rtl w:val="true"/>
        </w:rPr>
        <w:footnoteReference w:id="1122"/>
      </w:r>
      <w:r>
        <w:rPr>
          <w:rFonts w:ascii="IRNazanin" w:hAnsi="IRNazanin" w:eastAsia="IRNazanin"/>
          <w:color w:val="111111"/>
          <w:sz w:val="28"/>
          <w:sz w:val="28"/>
          <w:szCs w:val="28"/>
          <w:rtl w:val="true"/>
          <w:lang w:bidi="fa-IR"/>
        </w:rPr>
        <w:t>والشأن</w:t>
      </w:r>
      <w:r>
        <w:rPr>
          <w:rStyle w:val="FootnoteAnchor"/>
          <w:rtl w:val="true"/>
        </w:rPr>
        <w:footnoteReference w:id="1123"/>
      </w:r>
      <w:r>
        <w:rPr>
          <w:rFonts w:ascii="Amiri" w:hAnsi="Amiri" w:eastAsia="Amiri" w:cs="Amiri"/>
          <w:color w:val="111111"/>
          <w:sz w:val="28"/>
          <w:sz w:val="28"/>
          <w:szCs w:val="28"/>
          <w:rtl w:val="true"/>
          <w:lang w:bidi="ar-SA"/>
        </w:rPr>
        <w:t xml:space="preserve">بل حتى ظهور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دان الله به عباده لشؤون الآخرة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الضابط الثالث فكالأول، إذ توجد كلتا جهتي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متعلقات الأحكام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جهتا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محبوبه أو مبغوضه للمولى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كذلك</w:t>
      </w:r>
      <w:r>
        <w:rPr>
          <w:rStyle w:val="FootnoteAnchor"/>
          <w:rtl w:val="true"/>
        </w:rPr>
        <w:footnoteReference w:id="1124"/>
      </w:r>
      <w:r>
        <w:rPr>
          <w:rFonts w:ascii="Amiri" w:hAnsi="Amiri" w:eastAsia="Amiri" w:cs="Amiri"/>
          <w:color w:val="111111"/>
          <w:sz w:val="28"/>
          <w:sz w:val="28"/>
          <w:szCs w:val="28"/>
          <w:rtl w:val="true"/>
          <w:lang w:bidi="ar-SA"/>
        </w:rPr>
        <w:t>سواء كان</w:t>
      </w:r>
      <w:r>
        <w:rPr>
          <w:rStyle w:val="FootnoteAnchor"/>
          <w:rtl w:val="true"/>
        </w:rPr>
        <w:footnoteReference w:id="1125"/>
      </w:r>
      <w:r>
        <w:rPr>
          <w:rFonts w:ascii="Amiri" w:hAnsi="Amiri" w:eastAsia="Amiri" w:cs="Amiri"/>
          <w:color w:val="111111"/>
          <w:sz w:val="28"/>
          <w:sz w:val="28"/>
          <w:szCs w:val="28"/>
          <w:rtl w:val="true"/>
          <w:lang w:bidi="ar-SA"/>
        </w:rPr>
        <w:t>لمصلحة أو مفسدة أخروية أم دنيوية فيها أو فيه</w:t>
      </w:r>
      <w:r>
        <w:rPr>
          <w:rStyle w:val="FootnoteAnchor"/>
          <w:rtl w:val="true"/>
        </w:rPr>
        <w:footnoteReference w:id="1126"/>
      </w:r>
      <w:r>
        <w:rPr>
          <w:rFonts w:ascii="Amiri" w:hAnsi="Amiri" w:eastAsia="Amiri" w:cs="Amiri"/>
          <w:color w:val="111111"/>
          <w:sz w:val="28"/>
          <w:sz w:val="28"/>
          <w:szCs w:val="28"/>
          <w:rtl w:val="true"/>
          <w:lang w:bidi="ar-SA"/>
        </w:rPr>
        <w:t xml:space="preserve">فإن كل ما يعود للمكلف مما هو لصالحه دنياً أو ديناً وآخرةً فهو محبوب للمولى، وعكسه المبغوض له،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رحيم</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وغيرها مما يستظهر منه كون كل ما هو لصالح العباد محبوباً لله تعالى مطلوباً له، وتفصيله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w:t>
      </w:r>
      <w:r>
        <w:rPr>
          <w:rStyle w:val="FootnoteAnchor"/>
          <w:rtl w:val="true"/>
        </w:rPr>
        <w:footnoteReference w:id="1131"/>
      </w:r>
      <w:r>
        <w:rPr>
          <w:rFonts w:ascii="Amiri" w:hAnsi="Amiri" w:eastAsia="Amiri" w:cs="Amiri"/>
          <w:color w:val="111111"/>
          <w:sz w:val="28"/>
          <w:sz w:val="28"/>
          <w:szCs w:val="28"/>
          <w:rtl w:val="true"/>
          <w:lang w:bidi="ar-SA"/>
        </w:rPr>
        <w:t>ذات مصلحة أو مفسدة، للمكلف، كما أنه كذلك</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xml:space="preserve">وعلى ذلك فإن أمره بالاحتياط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لمحبوبية متعلقاته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يوصل له، للمولى،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لمحبوبيته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فيكون مولوياً ـ حسب هذا الضابط ـ إلا أن الفرق في مولويته النفسية أو الغيرية،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متعلقاته، أو فيه، كما أن أمره يمكن كونه قد سيق للنصح لها، فيكون إرشادياً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ملاحظة الأدلة في عالم الإثبات، فقد يستظهر من قوله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لسان مراعاة مصلحة المكلف مثلاً فهو إرشاد، أو يستظهر المولوية بلحاظ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كونها مطلوبة للمولى محبوبه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الضابط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بإرشادية أمر الاحتياط بدعوى حصول محاذير تحصيل الحاصل أو اللغوية أو تعدد العقوبة مما فصلنا الحديث عنها وعن أجوبتها في فقه التعاون وفي مباحث الأصول وسيكون لها مزيد تتمة في الجزء الثاني من هذا الكتاب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يفصل على حسب المحاذير؛ فإنه بناء على محذور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استحقاقه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المولوية، فإن أوامر الاحتياط إرشادية لجريانه</w:t>
      </w:r>
      <w:r>
        <w:rPr>
          <w:rStyle w:val="FootnoteAnchor"/>
          <w:rtl w:val="true"/>
        </w:rPr>
        <w:footnoteReference w:id="1133"/>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يجاب بما أجبنا به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النقاش صغرى وكبرى</w:t>
      </w:r>
      <w:r>
        <w:rPr>
          <w:rStyle w:val="FootnoteAnchor"/>
          <w:rtl w:val="true"/>
        </w:rPr>
        <w:footnoteReference w:id="1134"/>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كون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غير جار؛ إذ الأمر بالاحتياط لإيجاد داع الجمع بين المحتملين مثلاً، والأمر بالعنوان الواقعي كان لإيجاد الداعي 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أجبنا به في مباحث الأصول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تشكيكية، فالأمر الجديد المولوي يوجد الرتبة الأشد منه، فلا تحصيل </w:t>
      </w:r>
    </w:p>
    <w:p>
      <w:pPr>
        <w:pStyle w:val="BookText"/>
        <w:rPr/>
      </w:pPr>
      <w:r>
        <w:rPr>
          <w:rFonts w:ascii="Amiri" w:hAnsi="Amiri" w:eastAsia="Amiri" w:cs="Amiri"/>
          <w:color w:val="111111"/>
          <w:sz w:val="28"/>
          <w:sz w:val="28"/>
          <w:szCs w:val="28"/>
          <w:rtl w:val="true"/>
          <w:lang w:bidi="ar-SA"/>
        </w:rPr>
        <w:t>للحاصل؛ إذ الداعي قد يكون ضعيفاً غير كافٍ في التحريك،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المولوي بالاحتياط أو بالإطاعة ـ في بابها ـ سيكون جزء العلة الأخير، للتحريك، إلى غير ذلك من الأجوبة التي فصلناها هنالك مع ما يرد عليها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اندفاع محذور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التسلسل فلا يلزم من مولوية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بلزومه من مولوية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التوبة فليتأمل، إذ قد يدعى لزومه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بالاحتياط لو كان مولوياً، لزم الاحتياط في امتثاله أيضاً فيكون الأمر بالأمر بالاحتياط مولوياً أيضاً، وهكذا، وفيه ما لا يخفى وأجوبتنا في بابي الإطاعة والتوبة جارية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الضابط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الاحتياط مما استقل به العقل، فيكون الأمر به إرشادياً، وقد سبق تفصيله والنقاش مبنائياً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الضابط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الاحتياط قد يقال بكونه إرشادياً أيضاً؛ لأن المصلحة فيه معلومة للمأمور قبل الأمر، لوضوح أن مصلحته إحراز الواقع وتحصيل مرادات المولى، اللهم إلا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معلومية المصلحة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على هذا كون أمر الاحتياط مولوياً، وفيه ما لا يخفى بناء، ومبنى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 الاحتياط، بناء عليه، إرشادي؛ إذ لا تتوقف مصلحة الاحتياط على الأمر به، لأنها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متحققة أمر به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على كون مراده التفصيل بالتعبدية والتوصلية</w:t>
      </w:r>
      <w:r>
        <w:rPr>
          <w:rStyle w:val="FootnoteAnchor"/>
          <w:rtl w:val="true"/>
        </w:rPr>
        <w:footnoteReference w:id="1135"/>
      </w:r>
      <w:r>
        <w:rPr>
          <w:rFonts w:ascii="Amiri" w:hAnsi="Amiri" w:eastAsia="Amiri" w:cs="Amiri"/>
          <w:color w:val="111111"/>
          <w:sz w:val="28"/>
          <w:sz w:val="28"/>
          <w:szCs w:val="28"/>
          <w:rtl w:val="true"/>
          <w:lang w:bidi="ar-SA"/>
        </w:rPr>
        <w:t xml:space="preserve">، فإن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احتمل فيه ذلك، فيكون مولوياً فيما أحرز كون متعلقه من التعبديات وتردد مصداقه بين هذا وذاك، وإلا فإرشادي، إلا لو أشكل عليه بعدم إمكان قصد القربة في المردد وتفصيله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دلالة له</w:t>
      </w:r>
      <w:r>
        <w:rPr>
          <w:rStyle w:val="FootnoteAnchor"/>
          <w:rtl w:val="true"/>
        </w:rPr>
        <w:footnoteReference w:id="1136"/>
      </w:r>
      <w:r>
        <w:rPr>
          <w:rFonts w:ascii="Amiri" w:hAnsi="Amiri" w:eastAsia="Amiri" w:cs="Amiri"/>
          <w:color w:val="111111"/>
          <w:sz w:val="28"/>
          <w:sz w:val="28"/>
          <w:szCs w:val="28"/>
          <w:rtl w:val="true"/>
          <w:lang w:bidi="ar-SA"/>
        </w:rPr>
        <w:t xml:space="preserve">على كون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 وأمره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على هذا يكون أمر الاحتياط المتعلق بالتعبديات، مولوياً، والمتعلق بالتوصليات،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الاحتياط، بناء عليه، في مولى الموالي، إرشادي مطلقاً لعدم عود المصلحة إليه،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الموالي العرفية، فإن الحال يختلف فإن كان أمره به</w:t>
      </w:r>
      <w:r>
        <w:rPr>
          <w:rStyle w:val="FootnoteAnchor"/>
          <w:rtl w:val="true"/>
        </w:rPr>
        <w:footnoteReference w:id="1137"/>
      </w:r>
      <w:r>
        <w:rPr>
          <w:rFonts w:ascii="Amiri" w:hAnsi="Amiri" w:eastAsia="Amiri" w:cs="Amiri"/>
          <w:color w:val="111111"/>
          <w:sz w:val="28"/>
          <w:sz w:val="28"/>
          <w:szCs w:val="28"/>
          <w:rtl w:val="true"/>
          <w:lang w:bidi="ar-SA"/>
        </w:rPr>
        <w:t xml:space="preserve">بلحاظ مصلحة عائدة له إذا أدى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مولوياً، وإلا كان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الإشكال المبنائي على هذا القول ولزوم كون أوامر الله تعالى كلها، إرشادية، واستحالة الأمر والنهي المولوي في حقه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الضابط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المرجع ظاهر لسان أوامر الاحتياط وقرائن المقام، فإن دلت على الثواب بالاحتياط والعقاب بالترك، كان أمره مولوياً وإلا فإرشادياً، بعد كون مقام الثبوت محتملاً للأمرين إلا على ما ذهب إليه البعض في الأمر المتوجه للمقدمة ـ بعد </w:t>
      </w:r>
      <w:bookmarkStart w:id="1134" w:name="pg7671_77063"/>
    </w:p>
    <w:p>
      <w:pPr>
        <w:pStyle w:val="BookText"/>
        <w:rPr/>
      </w:pPr>
      <w:bookmarkEnd w:id="1134"/>
      <w:r>
        <w:rPr>
          <w:rFonts w:ascii="Amiri" w:hAnsi="Amiri" w:eastAsia="Amiri" w:cs="Amiri"/>
          <w:color w:val="111111"/>
          <w:sz w:val="28"/>
          <w:sz w:val="28"/>
          <w:szCs w:val="28"/>
          <w:rtl w:val="true"/>
          <w:lang w:bidi="ar-SA"/>
        </w:rPr>
        <w:t xml:space="preserve">فرض عدم حسن ذاتي للاحتياط في نفسه ولا مصلحة سلوكية ـ من عدم استحقاق ثواب عليها ولا عقاب على تركها؛ لجريان نفس الوجوه في المقام ـ وقد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هناك ـ إذ على هذا الرأي في المقدمة، وأنه حتى لو تعلق بها أمر أو نهي صريح شرعي فإنه لا ثواب عليه ولا عقاب، كما ذكره الآخوند في عدم العقاب والثواب على الغيري إلا من باب الأحمزية أو التفضل، فراجع كلامه في مقدمة الواجب 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الرأي في المقدمة يكون أمر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3959967_1051229030"/>
      <w:bookmarkStart w:id="1136" w:name="_Toc415"/>
      <w:bookmarkEnd w:id="1135"/>
      <w:r>
        <w:rPr>
          <w:rtl w:val="true"/>
        </w:rPr>
        <w:t>شمول البحث في المولوية والإرشادية لكل ما وضعُه ورفعُه بيد الشارع</w:t>
      </w:r>
      <w:bookmarkEnd w:id="1136"/>
    </w:p>
    <w:p>
      <w:pPr>
        <w:pStyle w:val="BookText"/>
        <w:rPr/>
      </w:pPr>
      <w:r>
        <w:rPr>
          <w:rFonts w:ascii="Amiri" w:hAnsi="Amiri" w:eastAsia="Amiri" w:cs="Amiri"/>
          <w:color w:val="111111"/>
          <w:sz w:val="28"/>
          <w:sz w:val="28"/>
          <w:szCs w:val="28"/>
          <w:rtl w:val="true"/>
          <w:lang w:bidi="ar-SA"/>
        </w:rPr>
        <w:t>وبما سبق كله ظهر أن الأولى التعميم، 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والنواهي ومطلق الأحكام</w:t>
      </w:r>
      <w:r>
        <w:rPr>
          <w:rStyle w:val="FootnoteAnchor"/>
          <w:rtl w:val="true"/>
        </w:rPr>
        <w:footnoteReference w:id="1138"/>
      </w:r>
      <w:r>
        <w:rPr>
          <w:rFonts w:ascii="Amiri" w:hAnsi="Amiri" w:eastAsia="Amiri" w:cs="Amiri"/>
          <w:color w:val="111111"/>
          <w:sz w:val="28"/>
          <w:sz w:val="28"/>
          <w:szCs w:val="28"/>
          <w:rtl w:val="true"/>
          <w:lang w:bidi="ar-SA"/>
        </w:rPr>
        <w:t>وإن لم تكن من مؤدياتها</w:t>
      </w:r>
      <w:r>
        <w:rPr>
          <w:rStyle w:val="FootnoteAnchor"/>
          <w:rtl w:val="true"/>
        </w:rPr>
        <w:footnoteReference w:id="1139"/>
      </w:r>
      <w:r>
        <w:rPr>
          <w:rFonts w:ascii="Amiri" w:hAnsi="Amiri" w:eastAsia="Amiri" w:cs="Amiri"/>
          <w:color w:val="111111"/>
          <w:sz w:val="28"/>
          <w:sz w:val="28"/>
          <w:szCs w:val="28"/>
          <w:rtl w:val="true"/>
          <w:lang w:bidi="ar-SA"/>
        </w:rPr>
        <w:t>ومطلق ما جعله الشارع أو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مولوية أو إرشادية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الأوامر والنواهي على عدد من الأقوال،أو مطلقاً</w:t>
      </w:r>
      <w:r>
        <w:rPr>
          <w:rStyle w:val="FootnoteAnchor"/>
          <w:rtl w:val="true"/>
        </w:rPr>
        <w:footnoteReference w:id="1140"/>
      </w:r>
      <w:r>
        <w:rPr>
          <w:rFonts w:ascii="Amiri" w:hAnsi="Amiri" w:eastAsia="Amiri" w:cs="Amiri"/>
          <w:color w:val="111111"/>
          <w:sz w:val="28"/>
          <w:sz w:val="28"/>
          <w:szCs w:val="28"/>
          <w:rtl w:val="true"/>
          <w:lang w:bidi="ar-SA"/>
        </w:rPr>
        <w:t>، كما فصلناه في هذا الكتاب عند التطرق لتلك العناوين الثلاثة</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على عدد من الأقوال</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نفياً للحكم بلسان نفي موضوعه فهو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نفي الحكم الناشئ من قبله الضرر أي نفي الحكم الضرري كما ذهب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نفي الضرر غير المتدارك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هذه الأقوال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كما هو الظاهر، ويحتمل كونه إرشاداً إلى ذلك، وعلى أي فإن البحث عن مطلق ما وضعه ورفعه بيد الشارع، وعن كونها مولوية أو إرشادية؟ وعن الأقوال التسعة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جارية فيها حذو القذة بالقذة ـ فتدبر</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7" w:name="pg7671_77066"/>
      <w:bookmarkStart w:id="1138" w:name="pg7671_77066"/>
      <w:bookmarkEnd w:id="1138"/>
    </w:p>
    <w:p>
      <w:pPr>
        <w:pStyle w:val="Heading2"/>
        <w:numPr>
          <w:ilvl w:val="1"/>
          <w:numId w:val="1"/>
        </w:numPr>
        <w:rPr/>
      </w:pPr>
      <w:bookmarkStart w:id="1139" w:name="pg7671_77066"/>
      <w:bookmarkStart w:id="1140" w:name="__RefHeading___Toc3959969_1051229030"/>
      <w:bookmarkStart w:id="1141" w:name="_Toc416"/>
      <w:bookmarkEnd w:id="1139"/>
      <w:bookmarkEnd w:id="1140"/>
      <w:r>
        <w:rPr>
          <w:rtl w:val="true"/>
        </w:rPr>
        <w:t>المبحث الثامن</w:t>
      </w:r>
      <w:r>
        <w:rPr>
          <w:rtl w:val="true"/>
        </w:rPr>
        <w:t xml:space="preserve">: </w:t>
      </w:r>
      <w:r>
        <w:rPr>
          <w:rtl w:val="true"/>
        </w:rPr>
        <w:t>لا اختصاص للبحث بالمستقلات العقلية بل يشمل الفطرية وغيرها</w:t>
      </w:r>
      <w:bookmarkEnd w:id="114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2" w:name="__RefHeading___Toc3959971_1051229030"/>
      <w:bookmarkStart w:id="1143" w:name="_Toc417"/>
      <w:bookmarkEnd w:id="1142"/>
      <w:r>
        <w:rPr>
          <w:rtl w:val="true"/>
        </w:rPr>
        <w:t>اشارة</w:t>
      </w:r>
      <w:bookmarkEnd w:id="114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4" w:name="pg7671_77068"/>
      <w:bookmarkStart w:id="1145" w:name="pg7671_77068"/>
      <w:bookmarkEnd w:id="1145"/>
    </w:p>
    <w:p>
      <w:pPr>
        <w:pStyle w:val="BookText"/>
        <w:rPr/>
      </w:pPr>
      <w:bookmarkStart w:id="1146" w:name="pg7671_77068"/>
      <w:bookmarkEnd w:id="1146"/>
      <w:r>
        <w:rPr>
          <w:rFonts w:ascii="Amiri" w:hAnsi="Amiri" w:eastAsia="Amiri" w:cs="Amiri"/>
          <w:color w:val="111111"/>
          <w:sz w:val="28"/>
          <w:sz w:val="28"/>
          <w:szCs w:val="28"/>
          <w:rtl w:val="true"/>
          <w:lang w:bidi="ar-SA"/>
        </w:rPr>
        <w:t>ذكرنا في مواضع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يختص البحث والنقاش عن إرشادية الأوامر والنواهي أو مولويتها، بمباحث المستقلات العقلية، ونظائرها مما ذكرناها في هذا الكتاب وأن الأوامر الواردة فيها هل هي إرشادية أو مولوية</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3959973_1051229030"/>
      <w:bookmarkStart w:id="1148" w:name="_Toc418"/>
      <w:bookmarkEnd w:id="1147"/>
      <w:r>
        <w:rPr>
          <w:rtl w:val="true"/>
        </w:rPr>
        <w:t>الأحكام الفطرية وملاكها</w:t>
      </w:r>
      <w:bookmarkEnd w:id="114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ينبغي أن يعمم البحث والنقاش للأحكام الفطرية ـ مما يتعلق بفعل المكلف ـ وهي ما كان ملاكها ـ على المشهور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أضفنا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إذ لا تحكم الفطرة بوجوب دفع مطلق الضرر ـ وذلك مثل قبح وحرمة قتل النفس أو الغير</w:t>
      </w:r>
      <w:r>
        <w:rPr>
          <w:rStyle w:val="FootnoteAnchor"/>
          <w:rtl w:val="true"/>
        </w:rPr>
        <w:footnoteReference w:id="1144"/>
      </w:r>
      <w:r>
        <w:rPr>
          <w:rFonts w:ascii="IRNazanin" w:hAnsi="IRNazanin" w:eastAsia="IRNazanin"/>
          <w:color w:val="111111"/>
          <w:sz w:val="28"/>
          <w:sz w:val="28"/>
          <w:szCs w:val="28"/>
          <w:rtl w:val="true"/>
          <w:lang w:bidi="fa-IR"/>
        </w:rPr>
        <w:t xml:space="preserve"> وإذهاب </w:t>
      </w:r>
    </w:p>
    <w:p>
      <w:pPr>
        <w:pStyle w:val="BookText"/>
        <w:rPr/>
      </w:pPr>
      <w:r>
        <w:rPr>
          <w:rFonts w:ascii="Amiri" w:hAnsi="Amiri" w:eastAsia="Amiri" w:cs="Amiri"/>
          <w:color w:val="111111"/>
          <w:sz w:val="28"/>
          <w:sz w:val="28"/>
          <w:szCs w:val="28"/>
          <w:rtl w:val="true"/>
          <w:lang w:bidi="ar-SA"/>
        </w:rPr>
        <w:t>القوة، أو قطع العضو، وإتلاف الحرث والنسل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ـ على ما نرى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المنفعة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اشْكُرُواْ نِعْمَتَ اللّهِ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للنعمة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يصلح التمثيل به للمقام وملاكاته؛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النقم، فينطبق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وملاك الحكم الفطري ـ عند المشهور ـ وبه استجلاب المنفعة فينطبقعليه ضابط وملاك الحكم العقلائي ـ عندهم ـ ونرى أنه يجب شكر المنعم لذاته أيضاً</w:t>
      </w:r>
      <w:r>
        <w:rPr>
          <w:rStyle w:val="FootnoteAnchor"/>
          <w:rtl w:val="true"/>
        </w:rPr>
        <w:footnoteReference w:id="1146"/>
      </w:r>
      <w:r>
        <w:rPr>
          <w:rFonts w:ascii="Amiri" w:hAnsi="Amiri" w:eastAsia="Amiri" w:cs="Amiri"/>
          <w:color w:val="111111"/>
          <w:sz w:val="28"/>
          <w:sz w:val="28"/>
          <w:szCs w:val="28"/>
          <w:rtl w:val="true"/>
          <w:lang w:bidi="ar-SA"/>
        </w:rPr>
        <w:t>فإنه مما تحكم به الفطرة حتى مع قطع النظر عن دفعه المضرة أو جلبه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إرشاد إلى حكم فطري للإيجاب أو للندب الإرشاديين، أم إنه أمر مولوي؟ ثم هل إنه مولوي ـ تشريعي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العقاب من حيث أنه كفران، ومع قطع النظر عن المتعلق؟ أم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ـ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عقاب؟</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نِعْمَةَ اللّهِ عَلَيْكُمْ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كليهما دفع مضرة، وجلب منفعة، بل وكلاهما نوعُ شكر </w:t>
      </w:r>
      <w:bookmarkStart w:id="1149" w:name="pg7671_77070"/>
    </w:p>
    <w:p>
      <w:pPr>
        <w:pStyle w:val="BookText"/>
        <w:rPr/>
      </w:pPr>
      <w:bookmarkEnd w:id="1149"/>
      <w:r>
        <w:rPr>
          <w:rFonts w:ascii="Amiri" w:hAnsi="Amiri" w:eastAsia="Amiri" w:cs="Amiri"/>
          <w:color w:val="111111"/>
          <w:sz w:val="28"/>
          <w:sz w:val="28"/>
          <w:szCs w:val="28"/>
          <w:rtl w:val="true"/>
          <w:lang w:bidi="ar-SA"/>
        </w:rPr>
        <w:t>للمنعم حسنٍ، بين مندوب وواجب مع قطع النظر عن أدائه لذينك الأمرين</w:t>
      </w:r>
      <w:r>
        <w:rPr>
          <w:rFonts w:eastAsia="Amiri" w:cs="Amiri" w:ascii="Amiri" w:hAnsi="Amiri"/>
          <w:color w:val="111111"/>
          <w:sz w:val="28"/>
          <w:szCs w:val="28"/>
          <w:rtl w:val="true"/>
          <w:lang w:bidi="ar-SA"/>
        </w:rPr>
        <w:t>.</w:t>
      </w:r>
      <w:r>
        <w:rPr>
          <w:rStyle w:val="FootnoteAnchor"/>
          <w:rtl w:val="true"/>
        </w:rPr>
        <w:footnoteReference w:id="1149"/>
      </w:r>
    </w:p>
    <w:p>
      <w:pPr>
        <w:pStyle w:val="Heading3"/>
        <w:numPr>
          <w:ilvl w:val="2"/>
          <w:numId w:val="1"/>
        </w:numPr>
        <w:rPr/>
      </w:pPr>
      <w:bookmarkStart w:id="1150" w:name="__RefHeading___Toc3959975_1051229030"/>
      <w:bookmarkStart w:id="1151" w:name="_Toc419"/>
      <w:bookmarkEnd w:id="1150"/>
      <w:r>
        <w:rPr>
          <w:rtl w:val="true"/>
        </w:rPr>
        <w:t>الأحكام العقلائية وملاكها</w:t>
      </w:r>
      <w:bookmarkEnd w:id="1151"/>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قيل أن ملاكها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التأديبات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مصاديقها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الضوابط التي توضع لحفظ الأمن أو الاستقرار أو النظم في البلاد، بل وحتى القوانين التي تضمن الرقي والإزدهار للبلاد والعباد، مما عبر عنه أمير المؤمنين عليه السلام في عهده للأشتر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أمر الخراج 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ـ مما تفصيله بحاجة إلى كتاب مستقل</w:t>
      </w:r>
      <w:r>
        <w:rPr>
          <w:rStyle w:val="FootnoteAnchor"/>
          <w:rtl w:val="true"/>
        </w:rPr>
        <w:footnoteReference w:id="1150"/>
      </w:r>
      <w:r>
        <w:rPr>
          <w:rFonts w:ascii="Amiri" w:hAnsi="Amiri" w:eastAsia="Amiri" w:cs="Amiri"/>
          <w:color w:val="111111"/>
          <w:sz w:val="28"/>
          <w:sz w:val="28"/>
          <w:szCs w:val="28"/>
          <w:rtl w:val="true"/>
          <w:lang w:bidi="ar-SA"/>
        </w:rPr>
        <w:t>ـ فإنها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منفعة، أو دفع مضرة نوعية، أو شخصية،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لحكم العقلاء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تحكم به الفطرة والعقل، فلو 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بكلِّيها أو بمصداقٍ من مصاديقها، كبعض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المارة المذكورة في الفقه</w:t>
      </w:r>
      <w:r>
        <w:rPr>
          <w:rStyle w:val="FootnoteAnchor"/>
          <w:rtl w:val="true"/>
        </w:rPr>
        <w:footnoteReference w:id="1151"/>
      </w:r>
      <w:r>
        <w:rPr>
          <w:rFonts w:ascii="Amiri" w:hAnsi="Amiri" w:eastAsia="Amiri" w:cs="Amiri"/>
          <w:color w:val="111111"/>
          <w:sz w:val="28"/>
          <w:sz w:val="28"/>
          <w:szCs w:val="28"/>
          <w:rtl w:val="true"/>
          <w:lang w:bidi="ar-SA"/>
        </w:rPr>
        <w:t xml:space="preserve">، فهل هي مولوية أو إرشادية؟ </w:t>
      </w:r>
      <w:bookmarkStart w:id="1152" w:name="pg7671_77071"/>
    </w:p>
    <w:p>
      <w:pPr>
        <w:pStyle w:val="BookText"/>
        <w:rPr/>
      </w:pPr>
      <w:bookmarkEnd w:id="1152"/>
      <w:r>
        <w:rPr>
          <w:rFonts w:ascii="Amiri" w:hAnsi="Amiri" w:eastAsia="Amiri" w:cs="Amiri"/>
          <w:color w:val="111111"/>
          <w:sz w:val="28"/>
          <w:sz w:val="28"/>
          <w:szCs w:val="28"/>
          <w:rtl w:val="true"/>
          <w:lang w:bidi="ar-SA"/>
        </w:rPr>
        <w:t xml:space="preserve">وقد فصلنا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الجزء الأول ـ الضابط في الوجوبات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وفوارقها، كما فصلنا فيه أيضاً إمكان تطابق حكمين أو أكثر على عنوان واحد وموضوع فارد، فيكون فطرياً وعقلياً أيضاً أو وعقلائياً أو وشرعياً كذلك ـ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بحث ذلك السيد العم دام ظله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الاجتهاد والتقليد فليلاحظ</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959977_1051229030"/>
      <w:bookmarkStart w:id="1154" w:name="_Toc420"/>
      <w:bookmarkEnd w:id="1153"/>
      <w:r>
        <w:rPr>
          <w:rtl w:val="true"/>
        </w:rPr>
        <w:t>مصاديق للأحكام الفطرية والعقلية في الآيات، وهل هي مولوية أم إرشادية؟</w:t>
      </w:r>
      <w:bookmarkEnd w:id="1154"/>
    </w:p>
    <w:p>
      <w:pPr>
        <w:pStyle w:val="BookText"/>
        <w:rPr/>
      </w:pPr>
      <w:r>
        <w:rPr>
          <w:rFonts w:ascii="Amiri" w:hAnsi="Amiri" w:eastAsia="Amiri" w:cs="Amiri"/>
          <w:color w:val="111111"/>
          <w:sz w:val="28"/>
          <w:sz w:val="28"/>
          <w:szCs w:val="28"/>
          <w:rtl w:val="true"/>
          <w:lang w:bidi="ar-SA"/>
        </w:rPr>
        <w:t>فهل الأوامر والنواهي الواردة في مواطن الأحكام الفطرية أو المستقلات العقلية، مولوية أم إرشادية؟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الأوامر والنواهي الواردة فيما حكم به العقلاء بما هم عقلاء، أو مما لا واقع لها وراء تطابق آراء العقلاء عليها</w:t>
      </w:r>
      <w:r>
        <w:rPr>
          <w:rStyle w:val="FootnoteAnchor"/>
          <w:rtl w:val="true"/>
        </w:rPr>
        <w:footnoteReference w:id="1152"/>
      </w:r>
      <w:r>
        <w:rPr>
          <w:rFonts w:ascii="Amiri" w:hAnsi="Amiri" w:eastAsia="Amiri" w:cs="Amiri"/>
          <w:color w:val="111111"/>
          <w:sz w:val="28"/>
          <w:sz w:val="28"/>
          <w:szCs w:val="28"/>
          <w:rtl w:val="true"/>
          <w:lang w:bidi="ar-SA"/>
        </w:rPr>
        <w:t>كالعدل على رأي البعض</w:t>
      </w:r>
      <w:r>
        <w:rPr>
          <w:rStyle w:val="FootnoteAnchor"/>
          <w:rtl w:val="true"/>
        </w:rPr>
        <w:footnoteReference w:id="1153"/>
      </w:r>
      <w:r>
        <w:rPr>
          <w:rFonts w:ascii="Amiri" w:hAnsi="Amiri" w:eastAsia="Amiri" w:cs="Amiri"/>
          <w:color w:val="111111"/>
          <w:sz w:val="28"/>
          <w:sz w:val="28"/>
          <w:szCs w:val="28"/>
          <w:rtl w:val="true"/>
          <w:lang w:bidi="ar-SA"/>
        </w:rPr>
        <w:t xml:space="preserve">، والجود والكرم والشجاعة والتواضع وحسن الخلق وغيرها مما عدوه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ومن التأديبات الصلاحية</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أو عدوها من الخلقيات والآراء المحمودة</w:t>
      </w:r>
      <w:r>
        <w:rPr>
          <w:rStyle w:val="FootnoteAnchor"/>
          <w:rtl w:val="true"/>
        </w:rPr>
        <w:footnoteReference w:id="1155"/>
      </w:r>
      <w:r>
        <w:rPr>
          <w:rFonts w:ascii="Amiri" w:hAnsi="Amiri" w:eastAsia="Amiri" w:cs="Amiri"/>
          <w:color w:val="111111"/>
          <w:sz w:val="28"/>
          <w:sz w:val="28"/>
          <w:szCs w:val="28"/>
          <w:rtl w:val="true"/>
          <w:lang w:bidi="ar-SA"/>
        </w:rPr>
        <w:t xml:space="preserve">، أو حتى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الانفعاليات</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ـ ونرى أنه من الفطريات والمستقلات العقلية</w:t>
      </w:r>
      <w:r>
        <w:rPr>
          <w:rStyle w:val="FootnoteAnchor"/>
          <w:rtl w:val="true"/>
        </w:rPr>
        <w:footnoteReference w:id="115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بل حتى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فهل الأمر بالتبيّن مولوي أم إرشادي؟</w:t>
      </w:r>
    </w:p>
    <w:p>
      <w:pPr>
        <w:pStyle w:val="BookText"/>
        <w:rPr/>
      </w:pPr>
      <w:r>
        <w:rPr>
          <w:rFonts w:ascii="Amiri" w:hAnsi="Amiri" w:eastAsia="Amiri" w:cs="Amiri"/>
          <w:color w:val="111111"/>
          <w:sz w:val="28"/>
          <w:sz w:val="28"/>
          <w:szCs w:val="28"/>
          <w:rtl w:val="true"/>
          <w:lang w:bidi="ar-SA"/>
        </w:rPr>
        <w:t xml:space="preserve">وهل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أم لا لسان له من هذه الجهة؟</w:t>
      </w:r>
    </w:p>
    <w:p>
      <w:pPr>
        <w:pStyle w:val="BookText"/>
        <w:rPr/>
      </w:pPr>
      <w:r>
        <w:rPr>
          <w:rFonts w:ascii="Amiri" w:hAnsi="Amiri" w:eastAsia="Amiri" w:cs="Amiri"/>
          <w:color w:val="111111"/>
          <w:sz w:val="28"/>
          <w:sz w:val="28"/>
          <w:szCs w:val="28"/>
          <w:rtl w:val="true"/>
          <w:lang w:bidi="ar-SA"/>
        </w:rPr>
        <w:t xml:space="preserve">بل وحتى مثل حسن الكتابة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116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وحتى قاعدة القرعة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بناء على استفادةتشريع القرعة منها ولو استصحاباً </w:t>
      </w:r>
    </w:p>
    <w:p>
      <w:pPr>
        <w:pStyle w:val="BookText"/>
        <w:rPr/>
      </w:pPr>
      <w:r>
        <w:rPr>
          <w:rFonts w:ascii="Amiri" w:hAnsi="Amiri" w:eastAsia="Amiri" w:cs="Amiri"/>
          <w:color w:val="111111"/>
          <w:sz w:val="28"/>
          <w:sz w:val="28"/>
          <w:szCs w:val="28"/>
          <w:rtl w:val="true"/>
          <w:lang w:bidi="ar-SA"/>
        </w:rPr>
        <w:t>للشرائع السابقة، وهي مما يحكم بها العقلاء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وكحسن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فعلى المولوية، لو لم يلتزم بالتقية، فعل محرماً واستحق العقاب، دون الإرشادية، فلا استحقاق للعقاب عليها ولا حرمة، أو الأول فقط على مبنى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بحث ذلك بالتفصيل في هذا الكتاب في ضمن تصنيفها مبدئياً إلى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 العقيدة وأصول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ما ذكرناه في ضمن عناوين أخرى في فصل، آخر وما ذكرناه أيضاً من مصاديق لهذه العناوين في مواضع متعددة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بعضها صالح لأن ينطبق عليه عنوانان أو أكثر، نظراً لتعدد المراتب</w:t>
      </w:r>
      <w:r>
        <w:rPr>
          <w:rStyle w:val="FootnoteAnchor"/>
          <w:rtl w:val="true"/>
        </w:rPr>
        <w:footnoteReference w:id="1166"/>
      </w:r>
      <w:r>
        <w:rPr>
          <w:rFonts w:ascii="Amiri" w:hAnsi="Amiri" w:eastAsia="Amiri" w:cs="Amiri"/>
          <w:color w:val="111111"/>
          <w:sz w:val="28"/>
          <w:sz w:val="28"/>
          <w:szCs w:val="28"/>
          <w:rtl w:val="true"/>
          <w:lang w:bidi="ar-SA"/>
        </w:rPr>
        <w:t>، أو تنوع المصاديق أو اختلاف التعاريف</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ولا يخفى أن قسماً من المذكورات، فطري، وقسم منها عقلي يحكم به العقل، وقسم منها عقلائي، وقسم منها مجمع لحكمين لحاكمين أو أكثر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بل وقوع تطابق حكمين أو أكثر، على موضوع واحد، فيكون فطرياً وعقلياً أيضاً، أو وعقلائياً، أو وشرعياً كذلك</w:t>
      </w:r>
      <w:r>
        <w:rPr>
          <w:rFonts w:eastAsia="Amiri" w:cs="Amiri" w:ascii="Amiri" w:hAnsi="Amiri"/>
          <w:color w:val="111111"/>
          <w:sz w:val="28"/>
          <w:szCs w:val="28"/>
          <w:rtl w:val="true"/>
          <w:lang w:bidi="ar-SA"/>
        </w:rPr>
        <w:t xml:space="preserve">. </w:t>
      </w:r>
      <w:bookmarkStart w:id="1155" w:name="pg7671_77074"/>
    </w:p>
    <w:p>
      <w:pPr>
        <w:pStyle w:val="Heading3"/>
        <w:numPr>
          <w:ilvl w:val="2"/>
          <w:numId w:val="1"/>
        </w:numPr>
        <w:rPr/>
      </w:pPr>
      <w:bookmarkStart w:id="1156" w:name="__RefHeading___Toc3959979_1051229030"/>
      <w:bookmarkStart w:id="1157" w:name="_Toc421"/>
      <w:bookmarkEnd w:id="1155"/>
      <w:bookmarkEnd w:id="1156"/>
      <w:r>
        <w:rPr>
          <w:rtl w:val="true"/>
        </w:rPr>
        <w:t>فمما ورد في أصول الدين</w:t>
      </w:r>
      <w:r>
        <w:rPr>
          <w:rtl w:val="true"/>
        </w:rPr>
        <w:t>:</w:t>
      </w:r>
      <w:bookmarkEnd w:id="1157"/>
    </w:p>
    <w:p>
      <w:pPr>
        <w:pStyle w:val="Heading3"/>
        <w:numPr>
          <w:ilvl w:val="2"/>
          <w:numId w:val="1"/>
        </w:numPr>
        <w:rPr/>
      </w:pPr>
      <w:bookmarkStart w:id="1158" w:name="__RefHeading___Toc3959981_1051229030"/>
      <w:bookmarkStart w:id="1159" w:name="_Toc422"/>
      <w:bookmarkEnd w:id="1158"/>
      <w:r>
        <w:rPr>
          <w:rtl w:val="true"/>
        </w:rPr>
        <w:t>عبادة الله تعالى</w:t>
      </w:r>
      <w:bookmarkEnd w:id="115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وكلاهما</w:t>
      </w:r>
      <w:r>
        <w:rPr>
          <w:rStyle w:val="FootnoteAnchor"/>
          <w:rtl w:val="true"/>
        </w:rPr>
        <w:footnoteReference w:id="1169"/>
      </w:r>
      <w:r>
        <w:rPr>
          <w:rFonts w:ascii="Amiri" w:hAnsi="Amiri" w:eastAsia="Amiri" w:cs="Amiri"/>
          <w:color w:val="111111"/>
          <w:sz w:val="28"/>
          <w:sz w:val="28"/>
          <w:szCs w:val="28"/>
          <w:rtl w:val="true"/>
          <w:lang w:bidi="ar-SA"/>
        </w:rPr>
        <w:t>فطري، كما أن كليهما</w:t>
      </w:r>
      <w:r>
        <w:rPr>
          <w:rStyle w:val="FootnoteAnchor"/>
          <w:rtl w:val="true"/>
        </w:rPr>
        <w:footnoteReference w:id="1170"/>
      </w:r>
      <w:r>
        <w:rPr>
          <w:rFonts w:ascii="Amiri" w:hAnsi="Amiri" w:eastAsia="Amiri" w:cs="Amiri"/>
          <w:color w:val="111111"/>
          <w:sz w:val="28"/>
          <w:sz w:val="28"/>
          <w:szCs w:val="28"/>
          <w:rtl w:val="true"/>
          <w:lang w:bidi="ar-SA"/>
        </w:rPr>
        <w:t>يعد من المستقلات العقلية، حسناً وحكماً</w:t>
      </w:r>
      <w:r>
        <w:rPr>
          <w:rStyle w:val="FootnoteAnchor"/>
          <w:rtl w:val="true"/>
        </w:rPr>
        <w:footnoteReference w:id="1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أو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متعلقاً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متعلقه ما تعدى إليه بالباء، وهو مقدر، وقد يكون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إخلاص الدين له، فتفيد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من غير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مطلوبة وغير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البطلان لما لا إخلاص فيه من العبادات، لعدم مطابقة المأتي به للمأمور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الريب في أن الأمر بالعبادة مولوي، لكنه ممتنع على بعض المباني في ضابطه</w:t>
      </w:r>
      <w:r>
        <w:rPr>
          <w:rStyle w:val="FootnoteAnchor"/>
          <w:rtl w:val="true"/>
        </w:rPr>
        <w:footnoteReference w:id="1172"/>
      </w:r>
      <w:r>
        <w:rPr>
          <w:rFonts w:ascii="Amiri" w:hAnsi="Amiri" w:eastAsia="Amiri" w:cs="Amiri"/>
          <w:color w:val="111111"/>
          <w:sz w:val="28"/>
          <w:sz w:val="28"/>
          <w:szCs w:val="28"/>
          <w:rtl w:val="true"/>
          <w:lang w:bidi="ar-SA"/>
        </w:rPr>
        <w:t>وغير تام على بعضها الآخر</w:t>
      </w:r>
      <w:r>
        <w:rPr>
          <w:rStyle w:val="FootnoteAnchor"/>
          <w:rtl w:val="true"/>
        </w:rPr>
        <w:footnoteReference w:id="1173"/>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وسيأتي بيانه</w:t>
      </w:r>
      <w:r>
        <w:rPr>
          <w:rFonts w:eastAsia="Amiri" w:cs="Amiri" w:ascii="Amiri" w:hAnsi="Amiri"/>
          <w:color w:val="111111"/>
          <w:sz w:val="28"/>
          <w:szCs w:val="28"/>
          <w:rtl w:val="true"/>
          <w:lang w:bidi="ar-SA"/>
        </w:rPr>
        <w:t xml:space="preserve">. </w:t>
      </w:r>
      <w:bookmarkStart w:id="1160" w:name="pg7671_77075"/>
    </w:p>
    <w:p>
      <w:pPr>
        <w:pStyle w:val="Heading3"/>
        <w:numPr>
          <w:ilvl w:val="2"/>
          <w:numId w:val="1"/>
        </w:numPr>
        <w:rPr/>
      </w:pPr>
      <w:bookmarkStart w:id="1161" w:name="__RefHeading___Toc3959983_1051229030"/>
      <w:bookmarkStart w:id="1162" w:name="_Toc423"/>
      <w:bookmarkEnd w:id="1160"/>
      <w:bookmarkEnd w:id="1161"/>
      <w:r>
        <w:rPr>
          <w:rtl w:val="true"/>
        </w:rPr>
        <w:t>الإخلاص في العبادة</w:t>
      </w:r>
      <w:bookmarkEnd w:id="116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مُخْلِصِينَ لَهُ الدِّينَ</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وإخلاص الدين له، بعبادته وحده والإيمان به وبرسوله والأئمة ـ كما في تفسير البرهان عن الإمام الباقر عليه السلام ـ وبإطاعتهم، ويؤيد هذا التفسير والتعميم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الشريعة والطريقة وما دان به الإنسان لله تعالى، وهو أعم من العقيدة والشريعة والأصول والفروع والاعتقاد والعمل، كما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 ذلك من المستقلات العقلية، بل من الفطريات، بل قد اجتمع فيها ملاكات الأحكام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المحتمل وجلب المنفعة وشكر النعمة والمصلحتان</w:t>
      </w:r>
      <w:r>
        <w:rPr>
          <w:rStyle w:val="FootnoteAnchor"/>
          <w:rtl w:val="true"/>
        </w:rPr>
        <w:footnoteReference w:id="1176"/>
      </w:r>
      <w:r>
        <w:rPr>
          <w:rFonts w:ascii="Amiri" w:hAnsi="Amiri" w:eastAsia="Amiri" w:cs="Amiri"/>
          <w:color w:val="111111"/>
          <w:sz w:val="28"/>
          <w:sz w:val="28"/>
          <w:szCs w:val="28"/>
          <w:rtl w:val="true"/>
          <w:lang w:bidi="ar-SA"/>
        </w:rPr>
        <w:t xml:space="preserve">، وقد فصلنا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3959985_1051229030"/>
      <w:bookmarkStart w:id="1164" w:name="_Toc424"/>
      <w:bookmarkEnd w:id="1163"/>
      <w:r>
        <w:rPr>
          <w:rtl w:val="true"/>
        </w:rPr>
        <w:t xml:space="preserve">هل تسلب </w:t>
      </w:r>
      <w:r>
        <w:rPr>
          <w:rtl w:val="true"/>
        </w:rPr>
        <w:t>(</w:t>
      </w:r>
      <w:r>
        <w:rPr>
          <w:rtl w:val="true"/>
        </w:rPr>
        <w:t>لا إله إلا الله</w:t>
      </w:r>
      <w:r>
        <w:rPr>
          <w:rtl w:val="true"/>
        </w:rPr>
        <w:t xml:space="preserve">) </w:t>
      </w:r>
      <w:r>
        <w:rPr>
          <w:rtl w:val="true"/>
        </w:rPr>
        <w:t>من غير الموالي؟</w:t>
      </w:r>
      <w:bookmarkEnd w:id="116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يدل عليه ما رواه ثقة الإسلام الكليني في الكافي والشيخ في مجالسه، فقد روى الكليني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أبان إذا قدمت الكوفة فأروِ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من كل صنف أفأروي لهم هذا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الأولين والآخرين، </w:t>
      </w:r>
    </w:p>
    <w:p>
      <w:pPr>
        <w:pStyle w:val="BookText"/>
        <w:rPr/>
      </w:pPr>
      <w:r>
        <w:rPr>
          <w:rFonts w:ascii="Amiri" w:hAnsi="Amiri" w:eastAsia="Amiri" w:cs="Amiri"/>
          <w:color w:val="111111"/>
          <w:sz w:val="28"/>
          <w:sz w:val="28"/>
          <w:szCs w:val="28"/>
          <w:rtl w:val="true"/>
          <w:lang w:bidi="ar-SA"/>
        </w:rPr>
        <w:t xml:space="preserve">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وهذا الحديث على القاعدة، ومطابق مضمونه لسائر الأدلة،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سبق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إخلاص الدين لله تعالى مقوِّم 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xml:space="preserve">وقد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وأتمتت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فبدون ولاية أمير المؤمنين علي عليه السلام لا يرتضي الله تعالى الإسلام ديناً،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غير المرضي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 لم يُفعل وما فُعل لم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المسيحية المحرفة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غير مرضي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 الجنة كذلك دين بلا ولاية لأمير المؤمنين ومولى الموحدين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الحديث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التفسير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إضاءات في التولي والتبري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وعترتي </w:t>
      </w:r>
    </w:p>
    <w:p>
      <w:pPr>
        <w:pStyle w:val="BookText"/>
        <w:rPr/>
      </w:pPr>
      <w:r>
        <w:rPr>
          <w:rFonts w:ascii="Amiri" w:hAnsi="Amiri" w:eastAsia="Amiri" w:cs="Amiri"/>
          <w:color w:val="111111"/>
          <w:sz w:val="28"/>
          <w:sz w:val="28"/>
          <w:szCs w:val="28"/>
          <w:rtl w:val="true"/>
          <w:lang w:bidi="ar-SA"/>
        </w:rPr>
        <w:t>أهل بيتي، ما إن تمسكتم بهما لن تضلوا من بعدي أبداً</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فمن ترك أحدهما، ضل، وكما أن من ترك القرآن لا يدخل الجنة، كذلك من ترك عِدله والثقل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الرواية، وآية إكمال الدين، ونص تلك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بالله والإيمان برسوله والإيمان بالأئمة،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والأكثر الارتباطيين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كارتباطية أجزاء الصلاة حيث تبطل بترك الأركان عمداً وسهواً وبترك الأجزاء عمداً، ولولا الدليل لبطلت بالترك سهواً أيضاً،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المأتي به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حديث سلسلة الذهب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لدخول الحصن ولولاها لم يدخله، وليس شرطاً للجزاء وحده، بل لو كان شرطاً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إذ تكون تلك الرواية شارحة له، وإن عدم أمنه من العذاب ـ بقاء ـ لإخراجه من الحصن، بل لا حاجة لضمها إليها فإن العذاب شامل للنار فلا يأمنه من لا يلتزم بالشرط</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صريح بعض روايات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 دخول الحصن، فقد روى الشيخ في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p>
    <w:p>
      <w:pPr>
        <w:pStyle w:val="BookText"/>
        <w:rPr/>
      </w:pPr>
      <w:r>
        <w:rPr>
          <w:rFonts w:ascii="Amiri" w:hAnsi="Amiri" w:eastAsia="Amiri" w:cs="Amiri"/>
          <w:color w:val="111111"/>
          <w:sz w:val="28"/>
          <w:sz w:val="28"/>
          <w:szCs w:val="28"/>
          <w:rtl w:val="true"/>
          <w:lang w:bidi="ar-SA"/>
        </w:rPr>
        <w:t>الرضا لما دخل نيسابور وهو راكب بغله شهباء وقد خرج علماء نيسابور في استقباله فلما صار إلى المرتعة تعلقوا بلجام بغلته، وقالوا يا ابن رسول الله، حدثنا بحق آبائك الطاهرين، حدثنا عن آبائك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رأسه من الهودج وعليه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سيد شبابأهل الجنة عن أبيه أمير المؤمنين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الروح الأمين عن الله تقدست أسماؤه وجل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وحدي، عبادي فأعبدوني، وليعلم من لقيني منكم بشهادة أن لا إله إلا الله مخلصاً بها، أنه قد دخل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ورسوله وولاية أهل بيته</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 فبدون تحكيمه صلوات الله عليه، ليسوا بمؤمنين بصريح الكتاب، وقد فصلنا بعض الحديث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bookmarkStart w:id="1165" w:name="pg7671_77079"/>
    </w:p>
    <w:p>
      <w:pPr>
        <w:pStyle w:val="Heading3"/>
        <w:numPr>
          <w:ilvl w:val="2"/>
          <w:numId w:val="1"/>
        </w:numPr>
        <w:rPr/>
      </w:pPr>
      <w:bookmarkStart w:id="1166" w:name="__RefHeading___Toc3959987_1051229030"/>
      <w:bookmarkStart w:id="1167" w:name="_Toc425"/>
      <w:bookmarkEnd w:id="1165"/>
      <w:bookmarkEnd w:id="1166"/>
      <w:r>
        <w:rPr>
          <w:rtl w:val="true"/>
        </w:rPr>
        <w:t>ومما ورد في القواعد الفقهية</w:t>
      </w:r>
      <w:bookmarkEnd w:id="1167"/>
    </w:p>
    <w:p>
      <w:pPr>
        <w:pStyle w:val="BookText"/>
        <w:rPr/>
      </w:pPr>
      <w:r>
        <w:rPr>
          <w:rFonts w:ascii="Amiri" w:hAnsi="Amiri" w:eastAsia="Amiri" w:cs="Amiri"/>
          <w:color w:val="111111"/>
          <w:sz w:val="28"/>
          <w:sz w:val="28"/>
          <w:szCs w:val="28"/>
          <w:rtl w:val="true"/>
          <w:lang w:bidi="ar-SA"/>
        </w:rPr>
        <w:t>ومن النواهي الواردة فيما يتعلق بالقواعد الفقهية</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3959989_1051229030"/>
      <w:bookmarkStart w:id="1169" w:name="_Toc426"/>
      <w:bookmarkEnd w:id="1168"/>
      <w:r>
        <w:rPr>
          <w:rtl w:val="true"/>
        </w:rPr>
        <w:t>حرمة الاضرار بالغير مطلقاً</w:t>
      </w:r>
      <w:bookmarkEnd w:id="116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 غير مضار</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بناء على استفادة قاعدة كلية منها، وهي حرمة الإضرار بالغير مطلقاً، تنقيحاً للمناط أو إلغاءً للخصوصية، أو لعدم القول بالفصل بل القول بعدمه</w:t>
      </w:r>
      <w:r>
        <w:rPr>
          <w:rStyle w:val="FootnoteAnchor"/>
          <w:rtl w:val="true"/>
        </w:rPr>
        <w:footnoteReference w:id="1185"/>
      </w:r>
      <w:r>
        <w:rPr>
          <w:rFonts w:ascii="Amiri" w:hAnsi="Amiri" w:eastAsia="Amiri" w:cs="Amiri"/>
          <w:color w:val="111111"/>
          <w:sz w:val="28"/>
          <w:sz w:val="28"/>
          <w:szCs w:val="28"/>
          <w:rtl w:val="true"/>
          <w:lang w:bidi="ar-SA"/>
        </w:rPr>
        <w:t xml:space="preserve">، أو بضميمة آيات أخرى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مما يفهم منه أن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المستقلات العقلية بل الفطرية، وإذا تم ذلك كانت قاعدة فقهية، وإن عدها البعض من أصول الفقه، وفيه ما لا يخفى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معرفة القاعدة الكلية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وقد فصلناه في موضع آخر من الكتاب فليلاحظ</w:t>
      </w:r>
      <w:r>
        <w:rPr>
          <w:rFonts w:eastAsia="Amiri" w:cs="Amiri" w:ascii="Amiri" w:hAnsi="Amiri"/>
          <w:color w:val="111111"/>
          <w:sz w:val="28"/>
          <w:szCs w:val="28"/>
          <w:rtl w:val="true"/>
          <w:lang w:bidi="ar-SA"/>
        </w:rPr>
        <w:t xml:space="preserve">. </w:t>
      </w:r>
      <w:bookmarkStart w:id="1170" w:name="pg7671_77080"/>
    </w:p>
    <w:p>
      <w:pPr>
        <w:pStyle w:val="Heading3"/>
        <w:numPr>
          <w:ilvl w:val="2"/>
          <w:numId w:val="1"/>
        </w:numPr>
        <w:rPr/>
      </w:pPr>
      <w:bookmarkStart w:id="1171" w:name="__RefHeading___Toc3959991_1051229030"/>
      <w:bookmarkStart w:id="1172" w:name="_Toc427"/>
      <w:bookmarkEnd w:id="1170"/>
      <w:bookmarkEnd w:id="1171"/>
      <w:r>
        <w:rPr>
          <w:rtl w:val="true"/>
        </w:rPr>
        <w:t>ومما ورد فيما يتعلق بأصول الفقه</w:t>
      </w:r>
      <w:bookmarkEnd w:id="1172"/>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خبر الفاسق، خاص بما إذا أراد أن يعمل بمفاده أو توقف واجب عليه</w:t>
      </w:r>
      <w:r>
        <w:rPr>
          <w:rStyle w:val="FootnoteAnchor"/>
          <w:rtl w:val="true"/>
        </w:rPr>
        <w:footnoteReference w:id="1190"/>
      </w:r>
      <w:r>
        <w:rPr>
          <w:rFonts w:ascii="Amiri" w:hAnsi="Amiri" w:eastAsia="Amiri" w:cs="Amiri"/>
          <w:color w:val="111111"/>
          <w:sz w:val="28"/>
          <w:sz w:val="28"/>
          <w:szCs w:val="28"/>
          <w:rtl w:val="true"/>
          <w:lang w:bidi="ar-SA"/>
        </w:rPr>
        <w:t>لا مطلقاً لأنه واجب غيري كما ذكر السيد الوالد في الفقه</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تكليفي يدل عليه منطوق الآية، وسيأتي أنه يدل أيضاً على الحكم الوضعي أي 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مولوي لا إرشادي؛ لظهور صدوره من المولى بما هو مولى، خاصة مع توجيه الخطاب للمؤمنين وتصدير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الأنسب لمقام المولوية إن لم يكن المناسب</w:t>
      </w:r>
      <w:r>
        <w:rPr>
          <w:rFonts w:eastAsia="Amiri" w:cs="Amiri" w:ascii="Amiri" w:hAnsi="Amiri"/>
          <w:color w:val="111111"/>
          <w:sz w:val="28"/>
          <w:szCs w:val="28"/>
          <w:rtl w:val="true"/>
          <w:lang w:bidi="ar-SA"/>
        </w:rPr>
        <w:t>.</w:t>
      </w:r>
      <w:r>
        <w:rPr>
          <w:rStyle w:val="FootnoteAnchor"/>
          <w:rtl w:val="true"/>
        </w:rPr>
        <w:footnoteReference w:id="119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يمنع المولوية كما أشرنا إليه مراراً وأوضحناه في فقه التعاون، فإن المولى لو أعمل مقام مولويته ثم استدل بعلةِ حكمهِ وسببهِ كان ادعى لاستجابة العبد وانقياده، نعم قد يستظهر من التعليل ـ أحياناً ـ كون الأمر المعلل إرشادياً، وذلك موقوف على مناسبات الحكم والموضوع والسياق، والمرجع الفهم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عقوبة وراء الاقتحام في ما أدى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المحرمات، فذلك برهان إني على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يلتزم بها، استناداً لظاهر الآية ونظائرها ولبناء العقلاء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العقوبة ـ أو عدمها ـ أعم من كونه إرشادياً؛ إذ قد فصلنا في موضع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 ونصحي، والعقوبة إنما هي على الأول، كما أوضحنا أن النصح قد يكون مولوياً وقد يكون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وعدمه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خبر الفاسق وحجية خبر العادل، لأنهما الملزوم لهما</w:t>
      </w:r>
      <w:r>
        <w:rPr>
          <w:rStyle w:val="FootnoteAnchor"/>
          <w:rtl w:val="true"/>
        </w:rPr>
        <w:footnoteReference w:id="1193"/>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إثباتاً فقد يتساءل هل الآية إرشاد إليهما كما استظهره البعض</w:t>
      </w:r>
      <w:r>
        <w:rPr>
          <w:rStyle w:val="FootnoteAnchor"/>
          <w:rtl w:val="true"/>
        </w:rPr>
        <w:footnoteReference w:id="1194"/>
      </w:r>
      <w:r>
        <w:rPr>
          <w:rFonts w:ascii="Amiri" w:hAnsi="Amiri" w:eastAsia="Amiri" w:cs="Amiri"/>
          <w:color w:val="111111"/>
          <w:sz w:val="28"/>
          <w:sz w:val="28"/>
          <w:szCs w:val="28"/>
          <w:rtl w:val="true"/>
          <w:lang w:bidi="ar-SA"/>
        </w:rPr>
        <w:t>أم لسانها لسان نفي الحجية في المنطوق ـ ولو بالتبع ـ وجعلها ـ في المفهوم ـ؟</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ابتناء ذلك على التحقيق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يحتج به المولى على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المعنى اللغوي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الكاشفية التامة والناقصة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الأصفهاني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المنجزية والمعذرية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الآخوند،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الشيخ،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w:t>
      </w:r>
    </w:p>
    <w:p>
      <w:pPr>
        <w:pStyle w:val="BookText"/>
        <w:rPr/>
      </w:pPr>
      <w:r>
        <w:rPr>
          <w:rFonts w:ascii="Amiri" w:hAnsi="Amiri" w:eastAsia="Amiri" w:cs="Amiri"/>
          <w:color w:val="111111"/>
          <w:sz w:val="28"/>
          <w:sz w:val="28"/>
          <w:szCs w:val="28"/>
          <w:rtl w:val="true"/>
          <w:lang w:bidi="ar-SA"/>
        </w:rPr>
        <w:t>صغرى وكبرى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الحجة المنطقية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 إتباعه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الحكة على طبقه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ذلك، فإنه قد يستظهر من الآية ـ على بعضها ـ الإرشادية، بليستبعد جداً على بعضها</w:t>
      </w:r>
      <w:r>
        <w:rPr>
          <w:rStyle w:val="FootnoteAnchor"/>
          <w:rtl w:val="true"/>
        </w:rPr>
        <w:footnoteReference w:id="1195"/>
      </w:r>
      <w:r>
        <w:rPr>
          <w:rFonts w:ascii="IRNazanin" w:hAnsi="IRNazanin" w:eastAsia="IRNazanin"/>
          <w:color w:val="111111"/>
          <w:sz w:val="28"/>
          <w:sz w:val="28"/>
          <w:szCs w:val="28"/>
          <w:rtl w:val="true"/>
          <w:lang w:bidi="fa-IR"/>
        </w:rPr>
        <w:t>الجعل</w:t>
      </w:r>
      <w:r>
        <w:rPr>
          <w:rStyle w:val="FootnoteAnchor"/>
          <w:rtl w:val="true"/>
        </w:rPr>
        <w:footnoteReference w:id="1196"/>
      </w:r>
      <w:r>
        <w:rPr>
          <w:rFonts w:ascii="Amiri" w:hAnsi="Amiri" w:eastAsia="Amiri" w:cs="Amiri"/>
          <w:color w:val="111111"/>
          <w:sz w:val="28"/>
          <w:sz w:val="28"/>
          <w:szCs w:val="28"/>
          <w:rtl w:val="true"/>
          <w:lang w:bidi="ar-SA"/>
        </w:rPr>
        <w:t>ولا محيص ظاهراً من الإرشادية، وقد يستظهر على بعضها</w:t>
      </w:r>
      <w:r>
        <w:rPr>
          <w:rStyle w:val="FootnoteAnchor"/>
          <w:rtl w:val="true"/>
        </w:rPr>
        <w:footnoteReference w:id="1197"/>
      </w:r>
      <w:r>
        <w:rPr>
          <w:rFonts w:ascii="Amiri" w:hAnsi="Amiri" w:eastAsia="Amiri" w:cs="Amiri"/>
          <w:color w:val="111111"/>
          <w:sz w:val="28"/>
          <w:sz w:val="28"/>
          <w:szCs w:val="28"/>
          <w:rtl w:val="true"/>
          <w:lang w:bidi="ar-SA"/>
        </w:rPr>
        <w:t>الجعل والإنشاء والمولوية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فصلنا ذلك في الأصول ـ مباحث القطع ـ فقد أغنانا ذلك عن البحث ههنا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 من المستقلات العقلية، فيقع الكلام في أن ما دل من كلمات الشارع على جعلها ـ سواء استندنا إلى هذه الآية أم غيرها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المعروفة، هل هو مولوي؟ كما هو ظاهر بعضها، أو إرشادي؟ كما يُلجئ إليه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فبناء على الضابط الخامس لا محيص من صرفه عن ظاهره؟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الاستناد لهذه الآية أو غيرها من الآيات والروايات والاحتجاج بها لعدم وجوب التبين في العادل ولحجية خبر الواحد، يصلح دليلاً لكون ارتكازهم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من المستقلات العقلية، لا يمنع من كون الأمر في مواطنها مولوياً، وكونه منشِأ للحجية وموجداً، لا مخبراً ومرشداً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عن الحجية، لا الجواز</w:t>
      </w:r>
      <w:r>
        <w:rPr>
          <w:rStyle w:val="FootnoteAnchor"/>
          <w:rtl w:val="true"/>
        </w:rPr>
        <w:footnoteReference w:id="1198"/>
      </w:r>
      <w:r>
        <w:rPr>
          <w:rFonts w:ascii="Amiri" w:hAnsi="Amiri" w:eastAsia="Amiri" w:cs="Amiri"/>
          <w:color w:val="111111"/>
          <w:sz w:val="28"/>
          <w:sz w:val="28"/>
          <w:szCs w:val="28"/>
          <w:rtl w:val="true"/>
          <w:lang w:bidi="ar-SA"/>
        </w:rPr>
        <w:t>أي الحكم الوضعي، لا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مدار بحثهم، كلا الأمرين، كما أن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التبين في خبر الفاسق وحرمة الأخذ به دون تبين، ويستفاد من التعليل أو من مفهوم الشرط أو غيره جواز الأخذ ـ بالمعنى الأعم ـ بخبر العادل، كما يستفاد منها بالملازمة العرفية جعل الحجية للعادل وسلبها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خاص بالأحكام التكليفية بل شامل للأحكام الوضعية أيضاً، كما فصلناه في موضع آخر من الكتاب، فلو كان الحكم التكليفي في مواطن المستقل العقلي، لغواً أو تحصيلاً للحاصل أو ما أشبه مما ذكروا من المحاذير، كان الحكم الوضعي كذلك إذ يقال جعل الحجية لما استقل العقل بحجيته، لغو وتحصيل للحاصل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الجواب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المولوية في الحكمين</w:t>
      </w:r>
      <w:r>
        <w:rPr>
          <w:rStyle w:val="FootnoteAnchor"/>
          <w:rtl w:val="true"/>
        </w:rPr>
        <w:footnoteReference w:id="1199"/>
      </w:r>
      <w:r>
        <w:rPr>
          <w:rFonts w:ascii="Amiri" w:hAnsi="Amiri" w:eastAsia="Amiri" w:cs="Amiri"/>
          <w:color w:val="111111"/>
          <w:sz w:val="28"/>
          <w:sz w:val="28"/>
          <w:szCs w:val="28"/>
          <w:rtl w:val="true"/>
          <w:lang w:bidi="ar-SA"/>
        </w:rPr>
        <w:t>ـ حسب الفهم العرفي وحسب بناء العقلاء</w:t>
      </w:r>
      <w:r>
        <w:rPr>
          <w:rStyle w:val="FootnoteAnchor"/>
          <w:rtl w:val="true"/>
        </w:rPr>
        <w:footnoteReference w:id="1200"/>
      </w:r>
      <w:r>
        <w:rPr>
          <w:rFonts w:ascii="Amiri" w:hAnsi="Amiri" w:eastAsia="Amiri" w:cs="Amiri"/>
          <w:color w:val="111111"/>
          <w:sz w:val="28"/>
          <w:sz w:val="28"/>
          <w:szCs w:val="28"/>
          <w:rtl w:val="true"/>
          <w:lang w:bidi="ar-SA"/>
        </w:rPr>
        <w:t>ـ دليل على أن كون الحكم ـ تكليفياً كان أو وضعياً ـ مما يستقل به العقل، غير مانع عن كون الأمر به مولوياً، أو عن القدرة على جعله وضعياً</w:t>
      </w:r>
      <w:r>
        <w:rPr>
          <w:rFonts w:eastAsia="Amiri" w:cs="Amiri" w:ascii="Amiri" w:hAnsi="Amiri"/>
          <w:color w:val="111111"/>
          <w:sz w:val="28"/>
          <w:szCs w:val="28"/>
          <w:rtl w:val="true"/>
          <w:lang w:bidi="ar-SA"/>
        </w:rPr>
        <w:t xml:space="preserve">. </w:t>
      </w:r>
      <w:bookmarkStart w:id="1173" w:name="pg7671_77084"/>
    </w:p>
    <w:p>
      <w:pPr>
        <w:pStyle w:val="Heading3"/>
        <w:numPr>
          <w:ilvl w:val="2"/>
          <w:numId w:val="1"/>
        </w:numPr>
        <w:rPr/>
      </w:pPr>
      <w:bookmarkStart w:id="1174" w:name="__RefHeading___Toc3959993_1051229030"/>
      <w:bookmarkStart w:id="1175" w:name="_Toc428"/>
      <w:bookmarkEnd w:id="1173"/>
      <w:bookmarkEnd w:id="1174"/>
      <w:r>
        <w:rPr>
          <w:rtl w:val="true"/>
        </w:rPr>
        <w:t>ومما ورد في مسائل الفقه</w:t>
      </w:r>
      <w:bookmarkEnd w:id="1175"/>
    </w:p>
    <w:p>
      <w:pPr>
        <w:pStyle w:val="BookText"/>
        <w:rPr/>
      </w:pPr>
      <w:r>
        <w:rPr>
          <w:rFonts w:ascii="Amiri" w:hAnsi="Amiri" w:eastAsia="Amiri" w:cs="Amiri"/>
          <w:color w:val="111111"/>
          <w:sz w:val="28"/>
          <w:sz w:val="28"/>
          <w:szCs w:val="28"/>
          <w:rtl w:val="true"/>
          <w:lang w:bidi="ar-SA"/>
        </w:rPr>
        <w:t>ومن الأوامر والنواهي الواردة في الآيات فيما يتعلق بمسائل الفقه</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3959995_1051229030"/>
      <w:bookmarkStart w:id="1177" w:name="_Toc429"/>
      <w:bookmarkEnd w:id="1176"/>
      <w:r>
        <w:rPr>
          <w:rtl w:val="true"/>
        </w:rPr>
        <w:t xml:space="preserve">حرمة ظاهر </w:t>
      </w:r>
      <w:r>
        <w:rPr>
          <w:rtl w:val="true"/>
        </w:rPr>
        <w:t>(</w:t>
      </w:r>
      <w:r>
        <w:rPr>
          <w:rtl w:val="true"/>
        </w:rPr>
        <w:t>الفواحش</w:t>
      </w:r>
      <w:r>
        <w:rPr>
          <w:rtl w:val="true"/>
        </w:rPr>
        <w:t xml:space="preserve">) </w:t>
      </w:r>
      <w:r>
        <w:rPr>
          <w:rtl w:val="true"/>
        </w:rPr>
        <w:t>وباطنها</w:t>
      </w:r>
      <w:bookmarkEnd w:id="117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الفواحش ما ظهر منها وما بطن</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ربي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الأحكام لمصالح ومفاسد في المتعلقات، بدليل تعليقه تعالى وترتيبه التحريم على الوصف وهو مشعر بالعلية بل دليل عليها عرفاً في الجملة، وبدليل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التحريم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به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تزايد قبحه، كما في الصافي،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القبائح وهي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المجمع، إذ الحصر إضافي</w:t>
      </w:r>
      <w:r>
        <w:rPr>
          <w:rStyle w:val="FootnoteAnchor"/>
          <w:rtl w:val="true"/>
        </w:rPr>
        <w:footnoteReference w:id="1203"/>
      </w:r>
      <w:r>
        <w:rPr>
          <w:rFonts w:ascii="Amiri" w:hAnsi="Amiri" w:eastAsia="Amiri" w:cs="Amiri"/>
          <w:color w:val="111111"/>
          <w:sz w:val="28"/>
          <w:sz w:val="28"/>
          <w:szCs w:val="28"/>
          <w:rtl w:val="true"/>
          <w:lang w:bidi="ar-SA"/>
        </w:rPr>
        <w:t>وعلة التحريم كونها فاحشة</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آخر غير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السؤال عن وجه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بأنه إضافي، ولا ينفي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حصر التحريم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تحريمه كونه فاحشة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الصغيرة أيضاً؛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تجاوز الحد،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فهو فاحشة حتى </w:t>
      </w:r>
    </w:p>
    <w:p>
      <w:pPr>
        <w:pStyle w:val="BookText"/>
        <w:rPr/>
      </w:pPr>
      <w:r>
        <w:rPr>
          <w:rFonts w:ascii="IRNazanin" w:hAnsi="IRNazanin" w:eastAsia="IRNazanin"/>
          <w:color w:val="111111"/>
          <w:sz w:val="28"/>
          <w:sz w:val="28"/>
          <w:szCs w:val="28"/>
          <w:rtl w:val="true"/>
          <w:lang w:bidi="fa-IR"/>
        </w:rPr>
        <w:t>بالمعنى الأخص</w:t>
      </w:r>
      <w:r>
        <w:rPr>
          <w:rStyle w:val="FootnoteAnchor"/>
          <w:rtl w:val="true"/>
        </w:rPr>
        <w:footnoteReference w:id="1205"/>
      </w:r>
      <w:r>
        <w:rPr>
          <w:rFonts w:ascii="Amiri" w:hAnsi="Amiri" w:eastAsia="Amiri" w:cs="Amiri"/>
          <w:color w:val="111111"/>
          <w:sz w:val="28"/>
          <w:sz w:val="28"/>
          <w:szCs w:val="28"/>
          <w:rtl w:val="true"/>
          <w:lang w:bidi="ar-SA"/>
        </w:rPr>
        <w:t>لكونه بالنسبة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فيه كما فصلناه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فيتضمن أو يشعر بدفع دخل مقدر؛ إذ قد لا يظهر للعيان كون ما حرمه الشارع، فاحشة، فأوضح تعالى إن منها ما بطن فلا يكشف الناس فحشه، إلا إنه باطن فهو موجود حقاً، لذا حرمه الله العليم القدير، فلا ينبغي الإنكار نظراً لعدم فهم كونه فحشاً، ومنه نكاح زوجة الأب كما كانت عادة الجاهليين في غير أمة الأب، فكشف الرب عن كونه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حسب الأهواء والشهوات، بل والمعتقدات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كثير من الفلاسفة والعرفاء والصوفية</w:t>
      </w:r>
      <w:r>
        <w:rPr>
          <w:rStyle w:val="FootnoteAnchor"/>
          <w:rtl w:val="true"/>
        </w:rPr>
        <w:footnoteReference w:id="1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 الحريات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كثيراً من مصاديقها تعد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من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شبههما مما لا يتضمن محرماً أبداً قد يكون مكروهاً فحسب ـ فتأمل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عد الآية الشريفة ـ وهي ظاهرة في التحريم المولوي ـ من الأدلة على بطلان ما ذهب إليه القائلون بالضابط السادس</w:t>
      </w:r>
      <w:r>
        <w:rPr>
          <w:rStyle w:val="FootnoteAnchor"/>
          <w:rtl w:val="true"/>
        </w:rPr>
        <w:footnoteReference w:id="1207"/>
      </w:r>
      <w:r>
        <w:rPr>
          <w:rFonts w:ascii="IRNazanin" w:hAnsi="IRNazanin" w:eastAsia="IRNazanin"/>
          <w:color w:val="111111"/>
          <w:sz w:val="28"/>
          <w:sz w:val="28"/>
          <w:szCs w:val="28"/>
          <w:rtl w:val="true"/>
          <w:lang w:bidi="fa-IR"/>
        </w:rPr>
        <w:t xml:space="preserve">بل حتى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208"/>
      </w:r>
      <w:r>
        <w:rPr>
          <w:rFonts w:ascii="Amiri" w:hAnsi="Amiri" w:eastAsia="Amiri" w:cs="Amiri"/>
          <w:color w:val="111111"/>
          <w:sz w:val="28"/>
          <w:sz w:val="28"/>
          <w:szCs w:val="28"/>
          <w:rtl w:val="true"/>
          <w:lang w:bidi="ar-SA"/>
        </w:rPr>
        <w:t>بل وحتى الرابع، والخامس وهو كون الأمر والنهي في موارد المستقلات العقلية، إرشادياً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ظاهر الآية بل نصها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استقلال العقل بقبح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والنقاش إن كان أحياناً فصغروي، فيلزم ما توهموه من محذور تحصيل الحاصل؛ إذ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الارتداع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 الشارع، لا ليوجد الداعي، فلغو وعبث، وإن حرمه ليوجده فتحصيل الحاصل، وإن كان مؤكداً فقط، كان مرشداً لا مولوياً ـ كما استدلوا به في نظير المقام ـ وقد أجبنا عنه في فقه التعاون بالتفصيل وفي الأصول بتفصيل أكثر بأجوبة عديدة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بطن من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أوّل في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تفسير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أئمة الجور</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xml:space="preserve">، وفي الكافي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له ظهر وبطن فجميع ما حرم الله في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الجور، وجميع ما أحل الله تعالى في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ويؤيده الاعتبار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فصلنا الحديث عن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وأوضحنا الدليل على تمامية الروايات المأولة للباطن بأمثال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التفسير والتدبر</w:t>
      </w:r>
      <w:r>
        <w:rPr>
          <w:rFonts w:eastAsia="Amiri" w:cs="Amiri" w:ascii="Amiri" w:hAnsi="Amiri"/>
          <w:color w:val="111111"/>
          <w:sz w:val="28"/>
          <w:szCs w:val="28"/>
          <w:rtl w:val="true"/>
          <w:lang w:bidi="ar-SA"/>
        </w:rPr>
        <w:t xml:space="preserve">) </w:t>
      </w:r>
      <w:bookmarkStart w:id="1178" w:name="pg7671_77087"/>
    </w:p>
    <w:p>
      <w:pPr>
        <w:pStyle w:val="BookText"/>
        <w:rPr/>
      </w:pPr>
      <w:bookmarkEnd w:id="1178"/>
      <w:r>
        <w:rPr>
          <w:rFonts w:ascii="Amiri" w:hAnsi="Amiri" w:eastAsia="Amiri" w:cs="Amiri"/>
          <w:color w:val="111111"/>
          <w:sz w:val="28"/>
          <w:sz w:val="28"/>
          <w:szCs w:val="28"/>
          <w:rtl w:val="true"/>
          <w:lang w:bidi="ar-SA"/>
        </w:rPr>
        <w:t>وذكرنا هنالك وجوهاً عديدة</w:t>
      </w:r>
      <w:r>
        <w:rPr>
          <w:rStyle w:val="FootnoteAnchor"/>
          <w:rtl w:val="true"/>
        </w:rPr>
        <w:footnoteReference w:id="1211"/>
      </w:r>
      <w:r>
        <w:rPr>
          <w:rFonts w:ascii="Amiri" w:hAnsi="Amiri" w:eastAsia="Amiri" w:cs="Amiri"/>
          <w:color w:val="111111"/>
          <w:sz w:val="28"/>
          <w:sz w:val="28"/>
          <w:szCs w:val="28"/>
          <w:rtl w:val="true"/>
          <w:lang w:bidi="ar-SA"/>
        </w:rPr>
        <w:t xml:space="preserve">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يفهم منها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قبح الفواحش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وتحريمها</w:t>
      </w:r>
      <w:r>
        <w:rPr>
          <w:rStyle w:val="FootnoteAnchor"/>
          <w:rtl w:val="true"/>
        </w:rPr>
        <w:footnoteReference w:id="1212"/>
      </w:r>
      <w:r>
        <w:rPr>
          <w:rFonts w:ascii="Amiri" w:hAnsi="Amiri" w:eastAsia="Amiri" w:cs="Amiri"/>
          <w:color w:val="111111"/>
          <w:sz w:val="28"/>
          <w:sz w:val="28"/>
          <w:szCs w:val="28"/>
          <w:rtl w:val="true"/>
          <w:lang w:bidi="ar-SA"/>
        </w:rPr>
        <w:t>أيضاً من المستقلات العقلية، فيقع الكلام في أن النهي فيها إرشادي أو مولوي، ومسلكنا هو الضابط الأول كما أشرنا إليه مراراً، بل تتم المولوية على عدد من الضوابط الأخرى أيضاً</w:t>
      </w:r>
      <w:r>
        <w:rPr>
          <w:rFonts w:eastAsia="Amiri" w:cs="Amiri" w:ascii="Amiri" w:hAnsi="Amiri"/>
          <w:color w:val="111111"/>
          <w:sz w:val="28"/>
          <w:szCs w:val="28"/>
          <w:rtl w:val="true"/>
          <w:lang w:bidi="ar-SA"/>
        </w:rPr>
        <w:t>.</w:t>
      </w:r>
      <w:r>
        <w:rPr>
          <w:rStyle w:val="FootnoteAnchor"/>
          <w:rtl w:val="true"/>
        </w:rPr>
        <w:footnoteReference w:id="1213"/>
      </w:r>
    </w:p>
    <w:p>
      <w:pPr>
        <w:pStyle w:val="Heading3"/>
        <w:numPr>
          <w:ilvl w:val="2"/>
          <w:numId w:val="1"/>
        </w:numPr>
        <w:rPr/>
      </w:pPr>
      <w:bookmarkStart w:id="1179" w:name="__RefHeading___Toc3959997_1051229030"/>
      <w:bookmarkStart w:id="1180" w:name="_Toc430"/>
      <w:bookmarkEnd w:id="1179"/>
      <w:r>
        <w:rPr>
          <w:rtl w:val="true"/>
        </w:rPr>
        <w:t>قتل النفس والغير</w:t>
      </w:r>
      <w:bookmarkEnd w:id="118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ومن الواضح أن كلاً من قبحه وحرمته مما يستقل به العقل به ومما تحكم به الفطرة والعقلاء، سواء كان المراد به قتل الغير أو قتل النفس على الاحتمالين في الآية الشريفة</w:t>
      </w:r>
      <w:r>
        <w:rPr>
          <w:rStyle w:val="FootnoteAnchor"/>
          <w:rtl w:val="true"/>
        </w:rPr>
        <w:footnoteReference w:id="1215"/>
      </w:r>
      <w:r>
        <w:rPr>
          <w:rFonts w:ascii="Amiri" w:hAnsi="Amiri" w:eastAsia="Amiri" w:cs="Amiri"/>
          <w:color w:val="111111"/>
          <w:sz w:val="28"/>
          <w:sz w:val="28"/>
          <w:szCs w:val="28"/>
          <w:rtl w:val="true"/>
          <w:lang w:bidi="ar-SA"/>
        </w:rPr>
        <w:t xml:space="preserve">فيلزم على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فيه إرشادياً، ولا عقوبة، والتالي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أن التعليل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قرينة الإرشادية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ما ذكر في عدد من الروايات من تفسيره بالنهي عن أن يحمل المجاهد على العدو وحده بدون أمر رسول الله صلى الله عليه وآله فيُقتل، </w:t>
      </w:r>
      <w:bookmarkStart w:id="1181" w:name="pg7671_77088"/>
    </w:p>
    <w:p>
      <w:pPr>
        <w:pStyle w:val="BookText"/>
        <w:rPr/>
      </w:pPr>
      <w:bookmarkEnd w:id="1181"/>
      <w:r>
        <w:rPr>
          <w:rFonts w:ascii="Amiri" w:hAnsi="Amiri" w:eastAsia="Amiri" w:cs="Amiri"/>
          <w:color w:val="111111"/>
          <w:sz w:val="28"/>
          <w:sz w:val="28"/>
          <w:szCs w:val="28"/>
          <w:rtl w:val="true"/>
          <w:lang w:bidi="ar-SA"/>
        </w:rPr>
        <w:t>تفسير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معارضه، هذا الحكم العقلي بقبح وحرمة قتل النفس، بعموم حق الإنسان في التصرف؛ بنفسه إذ لا دليل على ذلك بل الدليل على خلافه لأن الإنسان مملوك لله فلا يحق له التصرف في نفسه إلا بإذنه تعالى</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3959999_1051229030"/>
      <w:bookmarkStart w:id="1183" w:name="_Toc431"/>
      <w:bookmarkEnd w:id="1182"/>
      <w:r>
        <w:rPr>
          <w:rtl w:val="true"/>
        </w:rPr>
        <w:t>إضرار الزوج بزوجته وبالعكس</w:t>
      </w:r>
      <w:bookmarkEnd w:id="118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تُضَآرَّ وَالِدَةٌ بِوَلَدِهَا وَلاَ مَوْلُودٌ لَّهُ بِوَلَدِهِ</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والمحتمل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البناء للفاعل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ولدها، بأن تترك إرضاعه تعنتاً وإغاظة لأبيه، خاصة إذا ألفها الولد، ولم يكن للأب بديل مناسب، أو أن تطلب منه ما ليس بمعروف، كأن تطلب منه فوق وسعه من النفقة أو أجرة الرضاعة أو أن تمنعه من الاستماع بها والجماع، أو أن تمنعه من معاشرة ولده،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مولود له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يضرها بسبب ولده، بأن يمنعها من إرضاعه مع قدرتها ورغبتها، أو يحرمها من رؤيته أو يحرمها من الحضانة أو يضيق عليها لترضعه دون مقابل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لا تضار أي لا تُضِر ـ بكسر الضاد ـ ومفعوله محذوف وهو زوجها كما يحتمل أن يكون على البناء للمفعول أي لا تُضَر بفتح الضاد من قِبَل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يختلف المعنى إلا أنه يتعاكس المقطعان على الوجهين</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والحاصل أن في كلا الوجهين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الإضرار قال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 تضار، والفعل من واحد، لأنه لما كان معناه المبالغة، كان بمنزلة أن يكون الفعل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يصار لوجه ثالث هو إرادة معنى باب المفاعلة ـ كما هو القاعدة والأصل فيه ـ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الإضرار والضرر، فإنها مفاعلة قائمة بالطرفين</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والنكتة في استخدام باب المفاعلة هنا هي أن إضراره بزوجته ـ بسبب الولد، أو متذرعاً به ـ هو إضرار به أيضاً في الحقيقة، بل هو إضرار بالولد كذلك، كما أن العكس كذلك، إذ إضرارها بزوجها ـ بسبب الولد ـ إضرار بنفسها أيضاً؛ لانعكاس كل ضرر يورده أحدهما على الآخر، على نفسه أيضاً، نفسياً وعصبياً وصحياً وأخلاقياً وفكرياً وروحياً واجتماعياً أيضاً بل وأخروياً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مما يحكم العقل بقبحه وحرمته كالإضرار، فكلاهما من المستقلات العقلية، وكذلك يعد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واسطة ولو خفية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والإضرار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الإضرار المالي والبدني والنفسي والعرضي والفكري، وهو داخل في </w:t>
      </w:r>
      <w:bookmarkStart w:id="1184" w:name="pg7671_77090"/>
    </w:p>
    <w:p>
      <w:pPr>
        <w:pStyle w:val="BookText"/>
        <w:rPr/>
      </w:pPr>
      <w:bookmarkEnd w:id="1184"/>
      <w:r>
        <w:rPr>
          <w:rFonts w:ascii="Amiri" w:hAnsi="Amiri" w:eastAsia="Amiri" w:cs="Amiri"/>
          <w:color w:val="111111"/>
          <w:sz w:val="28"/>
          <w:sz w:val="28"/>
          <w:szCs w:val="28"/>
          <w:rtl w:val="true"/>
          <w:lang w:bidi="ar-SA"/>
        </w:rPr>
        <w:t>الإضرار النفسي</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والإضرار الروحي والعقلي، بناء على وجود أربع حقائق في الإنسان،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والنفس والروح والعقل، وقد فصلنا ذلك والأدلة على التربيع وأنها جواهر أربعة وليس بعضها قوى للبعض،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الكلية لضمان الإصابة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مما يورد به على القائل بضابط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الآية الشريفة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كونها مولوية، مع أن لازم 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إرشادية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إطلاقها وشمولها للأضرار القليل كالبالغ، فمع الالتزام بقبح وحرمة البالغ منه عقلاً دون القليل، يلزم كون الآية مولوية في القليل إرشادية في البالغ، لكن فيه تأمل من وجوه مبنى وبناء</w:t>
      </w:r>
      <w:r>
        <w:rPr>
          <w:rStyle w:val="FootnoteAnchor"/>
          <w:rtl w:val="true"/>
        </w:rPr>
        <w:footnoteReference w:id="1220"/>
      </w:r>
      <w:r>
        <w:rPr>
          <w:rFonts w:ascii="Amiri" w:hAnsi="Amiri" w:eastAsia="Amiri" w:cs="Amiri"/>
          <w:color w:val="111111"/>
          <w:sz w:val="28"/>
          <w:sz w:val="28"/>
          <w:szCs w:val="28"/>
          <w:rtl w:val="true"/>
          <w:lang w:bidi="ar-SA"/>
        </w:rPr>
        <w:t>كما لا يخفى وقد أشرنا لنظيره في موضع آخر</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3960001_1051229030"/>
      <w:bookmarkStart w:id="1186" w:name="_Toc432"/>
      <w:bookmarkEnd w:id="1185"/>
      <w:r>
        <w:rPr>
          <w:rtl w:val="true"/>
        </w:rPr>
        <w:t>الوفاء بالعهد</w:t>
      </w:r>
      <w:bookmarkEnd w:id="118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 وقد أدخلنا هذه الآية تحت عنوانين، لكون كليهما متعلقاً لها؛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أو الاستغراق ـ على القولين ـ وليس للعهد الذكري أو الذهني أو </w:t>
      </w:r>
    </w:p>
    <w:p>
      <w:pPr>
        <w:pStyle w:val="BookText"/>
        <w:rPr/>
      </w:pPr>
      <w:r>
        <w:rPr>
          <w:rFonts w:ascii="Amiri" w:hAnsi="Amiri" w:eastAsia="Amiri" w:cs="Amiri"/>
          <w:color w:val="111111"/>
          <w:sz w:val="28"/>
          <w:sz w:val="28"/>
          <w:szCs w:val="28"/>
          <w:rtl w:val="true"/>
          <w:lang w:bidi="ar-SA"/>
        </w:rPr>
        <w:t xml:space="preserve">الحضوري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للعهد الكائن بين الإنسان وربه، وللعهد بينه وبين غيره الأعلى أو الأدنى أو المساوي، 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الحكومة للشعب أو لقطاع منه كالاتحادات والنقابات والشركات، وعهد شركة لشركة، أو عائلة لعائلة، أو حسينية لحسينية مثلاً، ويكون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عاهدت إنساناً فأوفِ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بالمصداق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في الوصية بمال اليتيم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الأصح هو ما ذكره لاحقاً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كل ما أمر الله به ونهى عنه فهو من العهد</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بعهد الله ثمناً قليلاً</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وعلى أي فإن الوفاء بالعهد بأقسامه يعد من المستقلات العقلية، ومما تحكم به الفطرة والعقلاء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الأمر بالوفاء بالعهد بأقسامه مولوي، ولذا قال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بالعهد الذي هو قسيم للنذر، واجب نصاً وإجماعاً، كما أن الوفاء بالعهد في المعاهدات بين الطرفين أيضاًواجب نصاً وإجماعاً</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 والإجماع هذا يعد دليلاً على بطلان مسلك مَن رأى أن الضابط للمولوي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الأمر في غير 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يلتزم القائل </w:t>
      </w:r>
      <w:bookmarkStart w:id="1187" w:name="pg7671_77092"/>
    </w:p>
    <w:p>
      <w:pPr>
        <w:pStyle w:val="BookText"/>
        <w:rPr/>
      </w:pPr>
      <w:bookmarkEnd w:id="1187"/>
      <w:r>
        <w:rPr>
          <w:rFonts w:ascii="Amiri" w:hAnsi="Amiri" w:eastAsia="Amiri" w:cs="Amiri"/>
          <w:color w:val="111111"/>
          <w:sz w:val="28"/>
          <w:sz w:val="28"/>
          <w:szCs w:val="28"/>
          <w:rtl w:val="true"/>
          <w:lang w:bidi="ar-SA"/>
        </w:rPr>
        <w:t>بوجوب الوفاء بالعهد عقلاً لا شرعاً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وجوب الوفاء بالعهد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العهد مسؤولاً، ولا يسئل عن غير الواجب فيكون الوفاء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 هنا أعم من أن يكون بنذر أو عهد أو يمين</w:t>
      </w:r>
      <w:r>
        <w:rPr>
          <w:rFonts w:eastAsia="Amiri" w:cs="Amiri" w:ascii="Amiri" w:hAnsi="Amiri"/>
          <w:color w:val="111111"/>
          <w:sz w:val="28"/>
          <w:szCs w:val="28"/>
          <w:rtl w:val="true"/>
          <w:lang w:bidi="ar-SA"/>
        </w:rPr>
        <w:t>).</w:t>
      </w:r>
      <w:r>
        <w:rPr>
          <w:rStyle w:val="FootnoteAnchor"/>
          <w:rtl w:val="true"/>
        </w:rPr>
        <w:footnoteReference w:id="1227"/>
      </w:r>
    </w:p>
    <w:p>
      <w:pPr>
        <w:pStyle w:val="Heading3"/>
        <w:numPr>
          <w:ilvl w:val="2"/>
          <w:numId w:val="1"/>
        </w:numPr>
        <w:rPr/>
      </w:pPr>
      <w:bookmarkStart w:id="1188" w:name="__RefHeading___Toc3960003_1051229030"/>
      <w:bookmarkStart w:id="1189" w:name="_Toc433"/>
      <w:bookmarkEnd w:id="1188"/>
      <w:r>
        <w:rPr>
          <w:rtl w:val="true"/>
        </w:rPr>
        <w:t>أخذ الفائض والأخذ بالعفو</w:t>
      </w:r>
      <w:bookmarkEnd w:id="118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والفائض، وقد يراد به ما يفهم منه عرفاً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المؤاخذة على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قدس سره في تبيين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 عن الناس، أو خذ عفو أموال الناس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ـ في الرواية التالية ـ على المعنى الأول</w:t>
      </w:r>
      <w:r>
        <w:rPr>
          <w:rStyle w:val="FootnoteAnchor"/>
          <w:rtl w:val="true"/>
        </w:rPr>
        <w:footnoteReference w:id="1229"/>
      </w:r>
      <w:r>
        <w:rPr>
          <w:rFonts w:ascii="Amiri" w:hAnsi="Amiri" w:eastAsia="Amiri" w:cs="Amiri"/>
          <w:color w:val="111111"/>
          <w:sz w:val="28"/>
          <w:sz w:val="28"/>
          <w:szCs w:val="28"/>
          <w:rtl w:val="true"/>
          <w:lang w:bidi="ar-SA"/>
        </w:rPr>
        <w:t xml:space="preserve">للعفو، فقد ورد عن أمير المؤمنين عليه السلام كما في الفقيه أنه قال لرجل من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w:t>
      </w:r>
    </w:p>
    <w:p>
      <w:pPr>
        <w:pStyle w:val="BookText"/>
        <w:rPr/>
      </w:pPr>
      <w:r>
        <w:rPr>
          <w:rFonts w:ascii="Amiri" w:hAnsi="Amiri" w:eastAsia="Amiri" w:cs="Amiri"/>
          <w:color w:val="111111"/>
          <w:sz w:val="28"/>
          <w:sz w:val="28"/>
          <w:szCs w:val="28"/>
          <w:rtl w:val="true"/>
          <w:lang w:bidi="ar-SA"/>
        </w:rPr>
        <w:t>تضرب يهودياً أو نصرانياً في درهم خراج أو تبيع دابة عمل في درهم، فإنا أمرنا أن نأخذ منه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احتمل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 أن نأخذ منهم ما لا يجهدهم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الثاني</w:t>
      </w:r>
      <w:r>
        <w:rPr>
          <w:rStyle w:val="FootnoteAnchor"/>
          <w:rtl w:val="true"/>
        </w:rPr>
        <w:footnoteReference w:id="1230"/>
      </w:r>
      <w:r>
        <w:rPr>
          <w:rFonts w:ascii="Amiri" w:hAnsi="Amiri" w:eastAsia="Amiri" w:cs="Amiri"/>
          <w:color w:val="111111"/>
          <w:sz w:val="28"/>
          <w:sz w:val="28"/>
          <w:szCs w:val="28"/>
          <w:rtl w:val="true"/>
          <w:lang w:bidi="ar-SA"/>
        </w:rPr>
        <w:t>في رواية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الله يأمرك أن تعفو عمن ظلمك وتعطي من حرمك وتصل من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مصاديقه ما فسر به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التساهل، وعدم الاستقصاء في القضاء والاقتضاء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مقيدة أو منصرفة إلى الأدلة الدالة على أخذ الخمس والزكاة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وآخرين أنها منسوخة بآية الزكاة، إذ كان رسول الله صلى الله عليه وآله، يأخذ الفضل من أموال الناس ليس فيها شيء مؤقت ـ كما في المجمع، لكن فيه أنها مقيدة أو مخصصة بها ولا يسمى هذا نسخاً ـ فتأمل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بمعانيه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فإنه لا شك أنه يرى حسن أخذ الحاكم بعض الفائض من أموال الأثرياء لإنفاقه على الفقراء، وقد شخص الشارع المصداق </w:t>
      </w:r>
      <w:bookmarkStart w:id="1190" w:name="pg7671_77094"/>
    </w:p>
    <w:p>
      <w:pPr>
        <w:pStyle w:val="BookText"/>
        <w:rPr/>
      </w:pPr>
      <w:bookmarkEnd w:id="1190"/>
      <w:r>
        <w:rPr>
          <w:rFonts w:ascii="Amiri" w:hAnsi="Amiri" w:eastAsia="Amiri" w:cs="Amiri"/>
          <w:color w:val="111111"/>
          <w:sz w:val="28"/>
          <w:sz w:val="28"/>
          <w:szCs w:val="28"/>
          <w:rtl w:val="true"/>
          <w:lang w:bidi="ar-SA"/>
        </w:rPr>
        <w:t>في 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يرى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يرى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 في الأمور والاعتدال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يستبعد الوالد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العفو عن المجرمين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نفوذ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إنه وقع في سياق الأمر بالمعروف</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والظاهر أنه يريد العفو في الجملة لا مطلقاً</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3960005_1051229030"/>
      <w:bookmarkStart w:id="1192" w:name="_Toc434"/>
      <w:bookmarkEnd w:id="1191"/>
      <w:r>
        <w:rPr>
          <w:rtl w:val="true"/>
        </w:rPr>
        <w:t>الأمر بالعرف</w:t>
      </w:r>
      <w:bookmarkEnd w:id="1192"/>
    </w:p>
    <w:p>
      <w:pPr>
        <w:pStyle w:val="BookText"/>
        <w:rPr/>
      </w:pPr>
      <w:r>
        <w:rPr>
          <w:rFonts w:ascii="Amiri" w:hAnsi="Amiri" w:eastAsia="Amiri" w:cs="Amiri"/>
          <w:color w:val="111111"/>
          <w:sz w:val="28"/>
          <w:sz w:val="28"/>
          <w:szCs w:val="28"/>
          <w:rtl w:val="true"/>
          <w:lang w:bidi="ar-SA"/>
        </w:rPr>
        <w:t>ويراد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لدى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المعروف اللغوي أو الشرعي إذ لا اصطلاح للشرع فيه، نعم وسّع أو ضيق فما لم يقم دليل عليه، فالأصل محكم، ولقرينة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الأعم من المعروف عقلاً أو شرعاً أو عرفاً، أي كل ما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مدخلية لوجه الصِّدق، في الإطلاق والتسمية، نعم يخرج ما أخرجه الشارع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العياشي عن الإمام الصادق عليه السلام، تفسير بأجلى المصاديق كما لا يخفى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عن مجادلتهم، أو عقوبتهم، والرد عليهم بالمثل، وهو من كرم الأخلاق وحسن الطباع، قال في تبيين </w:t>
      </w:r>
      <w:bookmarkStart w:id="1193" w:name="pg7671_77095"/>
    </w:p>
    <w:p>
      <w:pPr>
        <w:pStyle w:val="BookText"/>
        <w:rPr/>
      </w:pPr>
      <w:bookmarkEnd w:id="1193"/>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سفههم بالحلم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تعد كلها من المستقلات العقلية فيجري فيها من هذا الحيث مبحث أنها إرشادية على الضابط الخامس أو لا؟</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 وسيأتي بيانه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xml:space="preserve">، وقد سبق بيانه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وقد سبق بحثه في أول الكتاب</w:t>
      </w:r>
      <w:r>
        <w:rPr>
          <w:rFonts w:eastAsia="Amiri" w:cs="Amiri" w:ascii="Amiri" w:hAnsi="Amiri"/>
          <w:color w:val="111111"/>
          <w:sz w:val="28"/>
          <w:szCs w:val="28"/>
          <w:rtl w:val="true"/>
          <w:lang w:bidi="ar-SA"/>
        </w:rPr>
        <w:t>.</w:t>
      </w:r>
      <w:r>
        <w:rPr>
          <w:rStyle w:val="FootnoteAnchor"/>
          <w:rtl w:val="true"/>
        </w:rPr>
        <w:footnoteReference w:id="1235"/>
      </w:r>
    </w:p>
    <w:p>
      <w:pPr>
        <w:pStyle w:val="Heading3"/>
        <w:numPr>
          <w:ilvl w:val="2"/>
          <w:numId w:val="1"/>
        </w:numPr>
        <w:rPr/>
      </w:pPr>
      <w:bookmarkStart w:id="1194" w:name="__RefHeading___Toc3960007_1051229030"/>
      <w:bookmarkStart w:id="1195" w:name="_Toc435"/>
      <w:bookmarkEnd w:id="1194"/>
      <w:r>
        <w:rPr>
          <w:rtl w:val="true"/>
        </w:rPr>
        <w:t>التقية</w:t>
      </w:r>
      <w:bookmarkEnd w:id="119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23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واجبة</w:t>
      </w:r>
      <w:r>
        <w:rPr>
          <w:rStyle w:val="FootnoteAnchor"/>
          <w:rtl w:val="true"/>
        </w:rPr>
        <w:footnoteReference w:id="1237"/>
      </w:r>
      <w:r>
        <w:rPr>
          <w:rFonts w:ascii="Amiri" w:hAnsi="Amiri" w:eastAsia="Amiri" w:cs="Amiri"/>
          <w:color w:val="111111"/>
          <w:sz w:val="28"/>
          <w:sz w:val="28"/>
          <w:szCs w:val="28"/>
          <w:rtl w:val="true"/>
          <w:lang w:bidi="ar-SA"/>
        </w:rPr>
        <w:t>، وقد تكون جائزة، وقد تكون محرمة، والظاهر أن منها المستحب والمكروه أيضاً إذا كان الرجحان أو المرجوحية لا إلى حد المنع من النقيض</w:t>
      </w:r>
      <w:r>
        <w:rPr>
          <w:rFonts w:eastAsia="Amiri" w:cs="Amiri" w:ascii="Amiri" w:hAnsi="Amiri"/>
          <w:color w:val="111111"/>
          <w:sz w:val="28"/>
          <w:szCs w:val="28"/>
          <w:rtl w:val="true"/>
          <w:lang w:bidi="ar-SA"/>
        </w:rPr>
        <w:t xml:space="preserve">. </w:t>
      </w:r>
      <w:bookmarkStart w:id="1196" w:name="pg7671_77096"/>
    </w:p>
    <w:p>
      <w:pPr>
        <w:pStyle w:val="BookText"/>
        <w:rPr/>
      </w:pPr>
      <w:bookmarkEnd w:id="1196"/>
      <w:r>
        <w:rPr>
          <w:rFonts w:ascii="Amiri" w:hAnsi="Amiri" w:eastAsia="Amiri" w:cs="Amiri"/>
          <w:color w:val="111111"/>
          <w:sz w:val="28"/>
          <w:sz w:val="28"/>
          <w:szCs w:val="28"/>
          <w:rtl w:val="true"/>
          <w:lang w:bidi="ar-SA"/>
        </w:rPr>
        <w:t xml:space="preserve">والتزام الفقهاء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أو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من الأدلة على  بطلان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إرشادياً لا محالة كما ذهب إليه القائلون بالضابط الخامس، وهم كثير من متأخري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اقتضاؤها للحكم الوضعي</w:t>
      </w:r>
      <w:r>
        <w:rPr>
          <w:rStyle w:val="FootnoteAnchor"/>
          <w:rtl w:val="true"/>
        </w:rPr>
        <w:footnoteReference w:id="1238"/>
      </w:r>
      <w:r>
        <w:rPr>
          <w:rFonts w:ascii="Amiri" w:hAnsi="Amiri" w:eastAsia="Amiri" w:cs="Amiri"/>
          <w:color w:val="111111"/>
          <w:sz w:val="28"/>
          <w:sz w:val="28"/>
          <w:szCs w:val="28"/>
          <w:rtl w:val="true"/>
          <w:lang w:bidi="ar-SA"/>
        </w:rPr>
        <w:t>ـ ليس من المستقلات العقلية فينبغي لحاظ لسان الأدلة من الآيتين</w:t>
      </w:r>
      <w:r>
        <w:rPr>
          <w:rStyle w:val="FootnoteAnchor"/>
          <w:rtl w:val="true"/>
        </w:rPr>
        <w:footnoteReference w:id="1239"/>
      </w: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3960009_1051229030"/>
      <w:bookmarkStart w:id="1198" w:name="_Toc436"/>
      <w:bookmarkEnd w:id="1197"/>
      <w:r>
        <w:rPr>
          <w:rtl w:val="true"/>
        </w:rPr>
        <w:t>التجسس والتحسس</w:t>
      </w:r>
      <w:bookmarkEnd w:id="119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بالأدلة الأربعة سواء كان من الدولة على الناس أم من الناس على الناس، كتجسس الشريك على شريكه أو الزوج على زوجته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الإمام الصادق عليه السلام كما في موثقة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يخلص الإيمان إلى قلبه، لا تذموا المسلمين، ولا تتبعوا عوراتهم، فإنه من تتبع عوراتهم، تتبع الله عورته، ومن تتبع الله عورته يفضحه ولو في بيته</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وقد ذكرنا مراراً أن التعليل ولو بمصلحة أو مفسدة دنيوية لا يصرف الأمر ـ بما هو ـ للإرشادية، فالنهي مولوي</w:t>
      </w:r>
      <w:r>
        <w:rPr>
          <w:rFonts w:eastAsia="Amiri" w:cs="Amiri" w:ascii="Amiri" w:hAnsi="Amiri"/>
          <w:color w:val="111111"/>
          <w:sz w:val="28"/>
          <w:szCs w:val="28"/>
          <w:rtl w:val="true"/>
          <w:lang w:bidi="ar-SA"/>
        </w:rPr>
        <w:t xml:space="preserve">. </w:t>
      </w:r>
      <w:bookmarkStart w:id="1199" w:name="pg7671_77097"/>
    </w:p>
    <w:p>
      <w:pPr>
        <w:pStyle w:val="BookText"/>
        <w:rPr/>
      </w:pPr>
      <w:bookmarkEnd w:id="1199"/>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وأخيه</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الشر وما يكرهه،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والمحبوب كما ذكره الوالد</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والظاهر أن قبح التجسس وحرمته من المستقلات العقلية، كما يحكم به العقلاء، ولعله فطري أيضاً، وقد استثني منه أمران فقط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 الدولة على الموظفين في حدود عملهم الحكومي، كي لا يظلموا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والتجسس على الكفار الحربيين أو مَن يخاف منه من المعاهدين أو مقابلة بالمثل حتى لو كانوا أهل ذمة دون مطلق المعاهد وأهل الذمة لو لم يكونوا كذلك؛ وذلك نظراً لتزاحم التكليفين في باب الامتثال فيقدم الأهم</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3960011_1051229030"/>
      <w:bookmarkStart w:id="1201" w:name="_Toc437"/>
      <w:bookmarkEnd w:id="1200"/>
      <w:r>
        <w:rPr>
          <w:rtl w:val="true"/>
        </w:rPr>
        <w:t>الإقتراب للزنا</w:t>
      </w:r>
      <w:bookmarkEnd w:id="120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الزِّنَى إِنَّهُ كَانَ فَاحِشَةً وَسَاء سَبِيلاً</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وقد أشرنا له في الأصول، ونضيف هنا  إن قبح وحرمة الزنا مما تطابقت على حرمته الفطرة والعقل والعقلاء، كلواحقه ـ فتأمل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الزِّنَى إِنَّهُ كَانَ فَاحِشَةً وَسَاء سَبِيلاً</w:t>
      </w:r>
      <w:r>
        <w:rPr>
          <w:rFonts w:eastAsia="Amiri" w:cs="Amiri" w:ascii="Amiri" w:hAnsi="Amiri"/>
          <w:color w:val="111111"/>
          <w:sz w:val="28"/>
          <w:szCs w:val="28"/>
          <w:rtl w:val="true"/>
          <w:lang w:bidi="ar-SA"/>
        </w:rPr>
        <w:t>»</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وبئس الطريق الزنا، وفيه إشارة إلى أن العقل يقبح الزنا من حيث أنه لا يكون للولد نسب، إذ ليس بعض الزناة أولى به من بعض، </w:t>
      </w:r>
    </w:p>
    <w:p>
      <w:pPr>
        <w:pStyle w:val="BookText"/>
        <w:rPr/>
      </w:pPr>
      <w:r>
        <w:rPr>
          <w:rFonts w:ascii="Amiri" w:hAnsi="Amiri" w:eastAsia="Amiri" w:cs="Amiri"/>
          <w:color w:val="111111"/>
          <w:sz w:val="28"/>
          <w:sz w:val="28"/>
          <w:szCs w:val="28"/>
          <w:rtl w:val="true"/>
          <w:lang w:bidi="ar-SA"/>
        </w:rPr>
        <w:t>فيؤدي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الأنساب وأبطال المواريث وإبطال صلة الرحم وحقوق الآباء على الأولاد، وذلك مستنكر في العقول</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كلامه أن قبح الزنا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الواسطة وإن كانت خفية ـ فتأمل</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كما أن الظاهر أن هذه القضية</w:t>
      </w:r>
      <w:r>
        <w:rPr>
          <w:rStyle w:val="FootnoteAnchor"/>
          <w:rtl w:val="true"/>
        </w:rPr>
        <w:footnoteReference w:id="1248"/>
      </w:r>
      <w:r>
        <w:rPr>
          <w:rFonts w:ascii="Amiri" w:hAnsi="Amiri" w:eastAsia="Amiri" w:cs="Amiri"/>
          <w:color w:val="111111"/>
          <w:sz w:val="28"/>
          <w:sz w:val="28"/>
          <w:szCs w:val="28"/>
          <w:rtl w:val="true"/>
          <w:lang w:bidi="ar-SA"/>
        </w:rPr>
        <w:t xml:space="preserve">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ما لا واقع لها وراء تطابق الآراء عليها بل واقعها ذلك، وليس قبح الزنى كذلك، بل هو ثابت مع قطع النظر عن حكم سائر العقلاء أي أن له واقعاً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بحكم العقل بقبح الزنى في مرتبة سابقة على التوالي الفاسدة التي ذكرها قدس سره،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 ملك الغير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 عقلاً، ولا نقصد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ليناقش بعدم قبحه إذن في صورة رضاها، بل أعني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الجليل سبحانه؛ فإنه لا يجوز عقلاً التصرف في مملكته بدون رضاه، ولعل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هذه الجهة وقوله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ذكره قدس سره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يشير إلى طريقيته للفساد، وما ذكرناه يشير إلى الموضوعية وإنه في حد ذاته فاحشة وفساد وتعدٍ لقوله تعالى </w:t>
      </w:r>
      <w:bookmarkStart w:id="1202" w:name="pg7671_77099"/>
    </w:p>
    <w:p>
      <w:pPr>
        <w:pStyle w:val="BookText"/>
        <w:rPr/>
      </w:pPr>
      <w:bookmarkEnd w:id="1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xml:space="preserve">وقد سبق بيانه، ومن مصاديقه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الْفَاحِشَةَ وَأَنتُمْ تُبْصِرُونَ</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 ومن مصاديقه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دِيَارِهِم بَطَراً وَرِئَاء النَّاسِ</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وسيأتي بيانه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3960013_1051229030"/>
      <w:bookmarkStart w:id="1204" w:name="_Toc438"/>
      <w:bookmarkEnd w:id="1203"/>
      <w:r>
        <w:rPr>
          <w:rtl w:val="true"/>
        </w:rPr>
        <w:t>النزاع والصراع</w:t>
      </w:r>
      <w:bookmarkEnd w:id="120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وحرمة وراء ما يتضمنه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كالضرب والجرح وهتك الأعراض بالسباب وغيره، والغيبة والتهمة والنميمة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ذلك، وأنه مما يستقل به العقل؛ ولذلك علل في الآية بلوازمه لا بما تضمنه فلو فرض عدم تضمنه أي محرم فإنه يبقى قبيحاً ومحرماً لاستلزامه الفشل وذهاب الريح، فيدخل على هذا في كلي ما أشرنا إليه في بحث الاستلزامات من ترشح القبح والحرمة من ذي المقدمة، للمقدمة ـ وهو رأي ـ أو شمول وإنبساط الدليل الدال على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المقدمة 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Style w:val="FootnoteAnchor"/>
          <w:rtl w:val="true"/>
        </w:rPr>
        <w:footnoteReference w:id="1253"/>
      </w:r>
      <w:r>
        <w:rPr>
          <w:rFonts w:ascii="IRNazanin" w:hAnsi="IRNazanin" w:eastAsia="IRNazanin"/>
          <w:color w:val="111111"/>
          <w:sz w:val="28"/>
          <w:sz w:val="28"/>
          <w:szCs w:val="28"/>
          <w:rtl w:val="true"/>
          <w:lang w:bidi="fa-IR"/>
        </w:rPr>
        <w:t>ـ وهو المنصور ـ</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حرمة النزاع نفسياً لا </w:t>
      </w:r>
      <w:bookmarkStart w:id="1205" w:name="pg7671_77100"/>
    </w:p>
    <w:p>
      <w:pPr>
        <w:pStyle w:val="BookText"/>
        <w:rPr/>
      </w:pPr>
      <w:bookmarkEnd w:id="1205"/>
      <w:r>
        <w:rPr>
          <w:rFonts w:ascii="Amiri" w:hAnsi="Amiri" w:eastAsia="Amiri" w:cs="Amiri"/>
          <w:color w:val="111111"/>
          <w:sz w:val="28"/>
          <w:sz w:val="28"/>
          <w:szCs w:val="28"/>
          <w:rtl w:val="true"/>
          <w:lang w:bidi="ar-SA"/>
        </w:rPr>
        <w:t>مقدمياً، مستظهراً من الأدلة الدالة على النهي عن النزاع، ذلك</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وحيث أن قبحه مما يستقل به العقل، فلا مجال لحديث الترشح أو الإطلاق والشمول، لاستقلال العقل به ابتداءً وإن كان منشؤه ذو المقدمة والسراية، فتأمل</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ولا فرق في قبح النزاع بين كونه في الشؤون الدنيوية ـ كالنزاع على رياسة أو إمارة أو منصب ـ والشؤون الأخروية ـ كالنزاع على إمامة جماعة أو انتخاب مرجع تقليد أو تأسيس حسينية أو ما أشبه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النزاع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قبيح بعد ملاحظة أهم الأمرين من نوع الباطل ونوع النزاع ولوازمهما وآثارهما، ويتضح بهذا إن كثيراً من النزاعات بذريعة الدفاع عن الحق، مرجوحة</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3960015_1051229030"/>
      <w:bookmarkStart w:id="1207" w:name="_Toc439"/>
      <w:bookmarkEnd w:id="1206"/>
      <w:r>
        <w:rPr>
          <w:rtl w:val="true"/>
        </w:rPr>
        <w:t>الإصلاح بين الناس</w:t>
      </w:r>
      <w:bookmarkEnd w:id="120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وقوله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تعدد المطلوب؛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في حد ذاته حسن وبين الأخوين ـ وهم عامة </w:t>
      </w:r>
    </w:p>
    <w:p>
      <w:pPr>
        <w:pStyle w:val="BookText"/>
        <w:rPr/>
      </w:pPr>
      <w:r>
        <w:rPr>
          <w:rFonts w:ascii="Amiri" w:hAnsi="Amiri" w:eastAsia="Amiri" w:cs="Amiri"/>
          <w:color w:val="111111"/>
          <w:sz w:val="28"/>
          <w:sz w:val="28"/>
          <w:szCs w:val="28"/>
          <w:rtl w:val="true"/>
          <w:lang w:bidi="ar-SA"/>
        </w:rPr>
        <w:t>المؤمنين ـ أحسن، وعلى هذا فلو أصلح بينذميين مثلاً كان حسناً 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والخاص والمطلق والمقيد المثبتين، لا يقيد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w:t>
      </w:r>
    </w:p>
    <w:p>
      <w:pPr>
        <w:pStyle w:val="BookText"/>
        <w:rPr/>
      </w:pPr>
      <w:r>
        <w:rPr>
          <w:rFonts w:ascii="Amiri" w:hAnsi="Amiri" w:eastAsia="Amiri" w:cs="Amiri"/>
          <w:color w:val="111111"/>
          <w:sz w:val="28"/>
          <w:sz w:val="28"/>
          <w:szCs w:val="28"/>
          <w:rtl w:val="true"/>
          <w:lang w:bidi="ar-SA"/>
        </w:rPr>
        <w:t xml:space="preserve">الظاهر ذلك، ولعله مما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الكذب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 ومنها ما ورد في الخصال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يحسن فيهن الكذب، المكيدة، وعدتك زوجتك، والإصلاح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عدتك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لإصلاح أمر دينها أو آخرتها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لوعدها بما لا يقدر على الوفاء به مثلاً، أو وعدها كاذباً مضطراً بأن يلبي رغبة لها، فيها فساد دنياها أو آخرتها أو أبناءها، فله أن يكذب في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الثواب العظيم المذكور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دلالة على أن الأمر به مولوي، لا نصح، فليس إرشادياً إذن،رغم كونه مستقلاً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حكم للعقل بوجوب الإصلاح في حد ذاته وبما هو هو ـ وإن قلنا بكونه حاكماً كما هو الحق ـ بل يحكم برجحانه وحسنه، في حد ذاته ـ مع قطع النظر عن طريقيته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الإصلاح من المستحبات</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ولعلنا لو خلينا وظاهر الآيات وبعض الروايات استظهرنا الوجوب ـ فتأمل</w:t>
      </w:r>
      <w:r>
        <w:rPr>
          <w:rFonts w:eastAsia="Amiri" w:cs="Amiri" w:ascii="Amiri" w:hAnsi="Amiri"/>
          <w:color w:val="111111"/>
          <w:sz w:val="28"/>
          <w:szCs w:val="28"/>
          <w:rtl w:val="true"/>
          <w:lang w:bidi="ar-SA"/>
        </w:rPr>
        <w:t xml:space="preserve">. </w:t>
      </w:r>
      <w:bookmarkStart w:id="1208" w:name="pg7671_77102"/>
    </w:p>
    <w:p>
      <w:pPr>
        <w:pStyle w:val="BookText"/>
        <w:rPr/>
      </w:pPr>
      <w:bookmarkEnd w:id="120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فالأمر محمول على الوجوب أو الاستحباب أو الإرشاد أو الأعم فلكل مورده</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ومنه يظهر أنه قدس سره يذهب إلى إمكان إجتماع الإرشادية والمولوية في أمر واحد، وهو الحق كما فصلنا في موضع آخر</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3960017_1051229030"/>
      <w:bookmarkStart w:id="1210" w:name="_Toc440"/>
      <w:bookmarkEnd w:id="1209"/>
      <w:r>
        <w:rPr>
          <w:rtl w:val="true"/>
        </w:rPr>
        <w:t>الصبر والمصابرة والمرابطة</w:t>
      </w:r>
      <w:bookmarkEnd w:id="121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126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وهي مفاعلة، بأن يبعث بعضهم بعضاً على الصبر ويسنده ويعضده ويشد أزره ليصبر ـ كلاهما من المستقلات العقلية على القول بأن ملاكها دفع الضرر المحتمل</w:t>
      </w:r>
      <w:r>
        <w:rPr>
          <w:rStyle w:val="FootnoteAnchor"/>
          <w:rtl w:val="true"/>
        </w:rPr>
        <w:footnoteReference w:id="1262"/>
      </w:r>
      <w:r>
        <w:rPr>
          <w:rFonts w:ascii="Amiri" w:hAnsi="Amiri" w:eastAsia="Amiri" w:cs="Amiri"/>
          <w:color w:val="111111"/>
          <w:sz w:val="28"/>
          <w:sz w:val="28"/>
          <w:szCs w:val="28"/>
          <w:rtl w:val="true"/>
          <w:lang w:bidi="ar-SA"/>
        </w:rPr>
        <w:t>ومن الفطريات لو كان هذا</w:t>
      </w:r>
      <w:r>
        <w:rPr>
          <w:rStyle w:val="FootnoteAnchor"/>
          <w:rtl w:val="true"/>
        </w:rPr>
        <w:footnoteReference w:id="1263"/>
      </w:r>
      <w:r>
        <w:rPr>
          <w:rFonts w:ascii="Amiri" w:hAnsi="Amiri" w:eastAsia="Amiri" w:cs="Amiri"/>
          <w:color w:val="111111"/>
          <w:sz w:val="28"/>
          <w:sz w:val="28"/>
          <w:szCs w:val="28"/>
          <w:rtl w:val="true"/>
          <w:lang w:bidi="ar-SA"/>
        </w:rPr>
        <w:t>ملاكه</w:t>
      </w:r>
      <w:r>
        <w:rPr>
          <w:rStyle w:val="FootnoteAnchor"/>
          <w:rtl w:val="true"/>
        </w:rPr>
        <w:footnoteReference w:id="1264"/>
      </w:r>
      <w:r>
        <w:rPr>
          <w:rFonts w:ascii="Amiri" w:hAnsi="Amiri" w:eastAsia="Amiri" w:cs="Amiri"/>
          <w:color w:val="111111"/>
          <w:sz w:val="28"/>
          <w:sz w:val="28"/>
          <w:szCs w:val="28"/>
          <w:rtl w:val="true"/>
          <w:lang w:bidi="ar-SA"/>
        </w:rPr>
        <w:t>ـ كما هو المشهور، ومنهما معاً حسب ما ارتأيناه لنفس العلة</w:t>
      </w:r>
      <w:r>
        <w:rPr>
          <w:rStyle w:val="FootnoteAnchor"/>
          <w:rtl w:val="true"/>
        </w:rPr>
        <w:footnoteReference w:id="1265"/>
      </w:r>
      <w:r>
        <w:rPr>
          <w:rFonts w:ascii="Amiri" w:hAnsi="Amiri" w:eastAsia="Amiri" w:cs="Amiri"/>
          <w:color w:val="111111"/>
          <w:sz w:val="28"/>
          <w:sz w:val="28"/>
          <w:szCs w:val="28"/>
          <w:rtl w:val="true"/>
          <w:lang w:bidi="ar-SA"/>
        </w:rPr>
        <w:t xml:space="preserve">ولجلب المنفعة أيضاً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أضرار عظيمة دنيوية</w:t>
      </w:r>
      <w:r>
        <w:rPr>
          <w:rStyle w:val="FootnoteAnchor"/>
          <w:rtl w:val="true"/>
        </w:rPr>
        <w:footnoteReference w:id="1267"/>
      </w:r>
      <w:r>
        <w:rPr>
          <w:rFonts w:ascii="Amiri" w:hAnsi="Amiri" w:eastAsia="Amiri" w:cs="Amiri"/>
          <w:color w:val="111111"/>
          <w:sz w:val="28"/>
          <w:sz w:val="28"/>
          <w:szCs w:val="28"/>
          <w:rtl w:val="true"/>
          <w:lang w:bidi="ar-SA"/>
        </w:rPr>
        <w:t>وأخروية</w:t>
      </w:r>
      <w:r>
        <w:rPr>
          <w:rStyle w:val="FootnoteAnchor"/>
          <w:rtl w:val="true"/>
        </w:rPr>
        <w:footnoteReference w:id="1268"/>
      </w:r>
      <w:r>
        <w:rPr>
          <w:rFonts w:ascii="Amiri" w:hAnsi="Amiri" w:eastAsia="Amiri" w:cs="Amiri"/>
          <w:color w:val="111111"/>
          <w:sz w:val="28"/>
          <w:sz w:val="28"/>
          <w:szCs w:val="28"/>
          <w:rtl w:val="true"/>
          <w:lang w:bidi="ar-SA"/>
        </w:rPr>
        <w:t>على الفرد نفسه وعلى المجتمع كما أن به جلب المنافع الدنيوية والأخروية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علي بن إبراهيم عن أبي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وبمضمونها روايات عديدة ذكرها الصافي والبرهان وغيرهما، ومنها ما ورد في الكافي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ولا اختلاف بينها وكذلك سائر المتعلَّقات التي ذكرت في الروايات أو التفاسير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دينكم، على الجهاد، على طاعة الله، عن معاصيه، وغيرها، إذ هي تفسير بالمصداق؛ فإن كلاً من المصائب والفرائض بحاجة لصبر ومصابرة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الصبر على المصائب والفرائض والمصابرة عليها، كلها من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الوالد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 الصبر من الفضائل الأخلاقية لا من الواجبات الشرعية</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لكن ظاهر الأمر في الآية بل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مولوياً فيستحق العقاب على تركه، وإما إرشادياً فلا</w:t>
      </w:r>
      <w:r>
        <w:rPr>
          <w:rFonts w:eastAsia="Amiri" w:cs="Amiri" w:ascii="Amiri" w:hAnsi="Amiri"/>
          <w:color w:val="111111"/>
          <w:sz w:val="28"/>
          <w:szCs w:val="28"/>
          <w:rtl w:val="true"/>
          <w:lang w:bidi="ar-SA"/>
        </w:rPr>
        <w:t>.</w:t>
      </w:r>
      <w:r>
        <w:rPr>
          <w:rStyle w:val="FootnoteAnchor"/>
          <w:rtl w:val="true"/>
        </w:rPr>
        <w:footnoteReference w:id="127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فهم المشهور أو الارتكاز صارف له إلى ما ذكره قدس سره، ونعني بالارتكاز ارتكاز مطلوبيته لا لنفسه بل طريقياً فيكون قرينة على </w:t>
      </w:r>
      <w:bookmarkStart w:id="1211" w:name="pg7671_77104"/>
    </w:p>
    <w:p>
      <w:pPr>
        <w:pStyle w:val="BookText"/>
        <w:rPr/>
      </w:pPr>
      <w:bookmarkEnd w:id="1211"/>
      <w:r>
        <w:rPr>
          <w:rFonts w:ascii="Amiri" w:hAnsi="Amiri" w:eastAsia="Amiri" w:cs="Amiri"/>
          <w:color w:val="111111"/>
          <w:sz w:val="28"/>
          <w:sz w:val="28"/>
          <w:szCs w:val="28"/>
          <w:rtl w:val="true"/>
          <w:lang w:bidi="ar-SA"/>
        </w:rPr>
        <w:t>عدم وجوبه ـ فتأمل، وعلى أي فإن اصبروا مولوي للندب وليس إرشادياً للنصح</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3960019_1051229030"/>
      <w:bookmarkStart w:id="1213" w:name="_Toc441"/>
      <w:bookmarkEnd w:id="1212"/>
      <w:r>
        <w:rPr>
          <w:rtl w:val="true"/>
        </w:rPr>
        <w:t>الهجرة</w:t>
      </w:r>
      <w:bookmarkEnd w:id="121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الآية واجبة؛ إذ إقامة الدين واجبة، فهي من المستقلات العقلية بناء على كلي بحث الاستلزامات واستقلال العقل بوجوب المقدمة ترشحاً من وجوب ذيها، أو تضمناً كما أوضحناه من قبل وأن وجوباً واحداً يمتد على المقدمات وذيها بوقت واحد، لا ترشحاً، نعم بناء على مسلك اللابدية العقلية في وجوب المقدمة، لا وجوب بالمعنى الأخص</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وشأن نزولها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مكة أسلموا ولم يهاجروا، حين كانت الهجرة واجبة</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 وتأويلها ما ذكره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فيمن اعتزل أمير المؤمنين ولم يقاتلوا معه فقالت الملائكة لهم عند الموت فيم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كنا مستضعفين في الأرض</w:t>
      </w:r>
      <w:r>
        <w:rPr>
          <w:rFonts w:eastAsia="Amiri" w:cs="Amiri" w:ascii="Amiri" w:hAnsi="Amiri"/>
          <w:color w:val="111111"/>
          <w:sz w:val="28"/>
          <w:szCs w:val="28"/>
          <w:rtl w:val="true"/>
          <w:lang w:bidi="ar-SA"/>
        </w:rPr>
        <w:t>...»).</w:t>
      </w:r>
      <w:r>
        <w:rPr>
          <w:rStyle w:val="FootnoteAnchor"/>
          <w:rtl w:val="true"/>
        </w:rPr>
        <w:footnoteReference w:id="127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وينسجم هذا التأويل مع الذهاب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بصيغة ا لمضارع بحذف التاء الثانية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لو كانت بصيغة الماضي، إذ هو من المضارع المحقق الوقوع فيعبر عنه </w:t>
      </w:r>
      <w:bookmarkStart w:id="1214" w:name="pg7671_77105"/>
    </w:p>
    <w:p>
      <w:pPr>
        <w:pStyle w:val="BookText"/>
        <w:rPr/>
      </w:pPr>
      <w:bookmarkEnd w:id="1214"/>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 لإقامة الدين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دين نفسه أو عائلته أو مَن الشارع فوّضه إليه مما يكون البقاء في تلك البلاد سبباً لانحرافهم عقيدة أو عملاً</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ولا يخفى أن كون إقامة دينه أي دين نفسه، هو مورد نزول الآية، غير مخصص للوارد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إضافة قسم رابع هو إقامة دين عامة الناس إذ كلكم راع، ولعله يمكن إدراجه في الثالث إلا أن ينصرف إلى من فوضه إليه، الشارع، بالخصوص ـ كالأَمَة ومن هو قيِّم عليه ـ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الهجرة العكسية، كما فيمن لا يستطيع إقامة دينه في بلاد الإسلام لغلبة جائر فيهاجر لبلاد كفرٍ بمقدوره إقامة دينه فيها، كذلك، تنقيحاً للمناط المسلّم، ولذا قال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بلاد المسلمين إذا سيطر عليها الكفار أو الفاسقون المانعون من إقامة الشعائر</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xml:space="preserve">، وغير خفي أن عكس الهجرة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فسرت مكانيةً أو فسرت بالأعم منها ومن الكفر بعد الإيمان</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3960021_1051229030"/>
      <w:bookmarkStart w:id="1216" w:name="_Toc442"/>
      <w:bookmarkEnd w:id="1215"/>
      <w:r>
        <w:rPr>
          <w:rtl w:val="true"/>
        </w:rPr>
        <w:t>الشورى والاستشارة</w:t>
      </w:r>
      <w:bookmarkEnd w:id="121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والظاهر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آراء الغير وطلب المشورة، سواء عمل بما أدت إليه المشورة أم لا،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العمل لئلا يلزم نقض الغرض منها</w:t>
      </w:r>
      <w:r>
        <w:rPr>
          <w:rStyle w:val="FootnoteAnchor"/>
          <w:rtl w:val="true"/>
        </w:rPr>
        <w:footnoteReference w:id="1281"/>
      </w:r>
      <w:r>
        <w:rPr>
          <w:rFonts w:ascii="Amiri" w:hAnsi="Amiri" w:eastAsia="Amiri" w:cs="Amiri"/>
          <w:color w:val="111111"/>
          <w:sz w:val="28"/>
          <w:sz w:val="28"/>
          <w:szCs w:val="28"/>
          <w:rtl w:val="true"/>
          <w:lang w:bidi="ar-SA"/>
        </w:rPr>
        <w:t xml:space="preserve">إلا أنه لا يستفاد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تدل على العمل بما أدت إليه، بالتضمن، وإلا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استبداداً وإثرة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مقتضاها العمل برأي الأكثرية؛ إذ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برأي الأقلية، ثم إنه ترجيح للمرجوح، فراجع تفصيل النقض والإبرام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ـ دراسة فقهية أصولية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لسانها لسان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لآراء الأكثرية، بل يكفي في الدلالة على ذلك أن لسانها لسان جواز بالمعنى الأعم، العمل بآراء الأكثرية، فإذا جاز كان منجزاً ومعذراً ـ كما ارتأى الآخوند في معنى الحجية ـ ولزمت الحركة على طبقه ـ حسب الرأي الآخر ـ وصح وقوعه أوسط في القياس ـ كما ارتأى الشيخ في معنى الحجة ـ، وكان مما يحتج به المولى على العبد وبالعكس والثالث عليها، كما هو معناها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لا يستظهر منها جعل الطريقية والكاشفية ـ فتأمل</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دلالة على الحجية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وحيث قد أسهبنا في الحديث عن الآيتين الشريفتين وسائر الروايات والأدلة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بل وجوب الاستشارة والشورى وحجية رأي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الإشكالات والردود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ـ دراسة فقهية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فلنكتف هنا بهذا القدر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حسن الاستشارة وحسن الشورى من المستقلات العقلية؟</w:t>
      </w:r>
    </w:p>
    <w:p>
      <w:pPr>
        <w:pStyle w:val="BookText"/>
        <w:rPr/>
      </w:pPr>
      <w:r>
        <w:rPr>
          <w:rFonts w:ascii="Amiri" w:hAnsi="Amiri" w:eastAsia="Amiri" w:cs="Amiri"/>
          <w:color w:val="111111"/>
          <w:sz w:val="28"/>
          <w:sz w:val="28"/>
          <w:szCs w:val="28"/>
          <w:rtl w:val="true"/>
          <w:lang w:bidi="ar-SA"/>
        </w:rPr>
        <w:t xml:space="preserve">الظاهر إنها مما يحكم به العقلاء، ومن المستقلات العقلية، وحسب ما ارتأيناه من الضابط في المولوي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الآيات والروايات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حسب المستفاد عرفاً من لحنها وسياقها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يستظهر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من المولى معملاً مقام مولويته، في مقام التشريع، فهو مولوي ـ للوجوب أو مولوي ـ للندب،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في مقام الإنشاء أو إخبار بقوة الإنشاء أو إخبار كاشف عن إنشاء أو إخبار يستلزم الإنشاء عرفاً بقرينة وقوعها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الصلاة 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ـ فتأمل</w:t>
      </w:r>
      <w:r>
        <w:rPr>
          <w:rFonts w:eastAsia="Amiri" w:cs="Amiri" w:ascii="Amiri" w:hAnsi="Amiri"/>
          <w:color w:val="111111"/>
          <w:sz w:val="28"/>
          <w:szCs w:val="28"/>
          <w:rtl w:val="true"/>
          <w:lang w:bidi="ar-SA"/>
        </w:rPr>
        <w:t xml:space="preserve">. </w:t>
      </w:r>
      <w:bookmarkStart w:id="1217" w:name="pg7671_77108"/>
    </w:p>
    <w:p>
      <w:pPr>
        <w:pStyle w:val="BookText"/>
        <w:rPr/>
      </w:pPr>
      <w:bookmarkEnd w:id="1217"/>
      <w:r>
        <w:rPr>
          <w:rFonts w:ascii="Amiri" w:hAnsi="Amiri" w:eastAsia="Amiri" w:cs="Amiri"/>
          <w:color w:val="111111"/>
          <w:sz w:val="28"/>
          <w:sz w:val="28"/>
          <w:szCs w:val="28"/>
          <w:rtl w:val="true"/>
          <w:lang w:bidi="ar-SA"/>
        </w:rPr>
        <w:t xml:space="preserve">وقد فصلنا الفرق بين هذه الأربعة أو إمكان عود بعضها لبعض دون بعض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فصلنا الحديث عن أصل البحث وأطرافه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على عدد من الضوابط الأخرى،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إرشادية على عدد من الضوابط التي ذكرناها في فصله فليلاحظ، وإذا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ردعُ المانع، والظاهر أنها بأجمعها من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الاستشارة يجب أن تكون من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خبرة وإطلاع، ومن يرتبط به الأمر، ولا يصح حصرها في الأول</w:t>
      </w:r>
      <w:r>
        <w:rPr>
          <w:rStyle w:val="FootnoteAnchor"/>
          <w:rtl w:val="true"/>
        </w:rPr>
        <w:footnoteReference w:id="1283"/>
      </w:r>
      <w:r>
        <w:rPr>
          <w:rFonts w:ascii="Amiri" w:hAnsi="Amiri" w:eastAsia="Amiri" w:cs="Amiri"/>
          <w:color w:val="111111"/>
          <w:sz w:val="28"/>
          <w:sz w:val="28"/>
          <w:szCs w:val="28"/>
          <w:rtl w:val="true"/>
          <w:lang w:bidi="ar-SA"/>
        </w:rPr>
        <w:t xml:space="preserve">لمكان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يُستشرالمعني بالأمر واستشير الأجنبي وإن كان خبيراً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لا يكون سفيهاً فيما يستشار فيه؛ للانصراف، وحينئذ يستشار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الحديث عن الاثنين في موضع آخر من الكتاب</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3960023_1051229030"/>
      <w:bookmarkStart w:id="1219" w:name="_Toc443"/>
      <w:bookmarkEnd w:id="1218"/>
      <w:r>
        <w:rPr>
          <w:rtl w:val="true"/>
        </w:rPr>
        <w:t>الركون إلى الظلمة</w:t>
      </w:r>
      <w:bookmarkEnd w:id="1219"/>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28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قبح وحرمة الركون للظالم من المستقلات العقلية، </w:t>
      </w:r>
    </w:p>
    <w:p>
      <w:pPr>
        <w:pStyle w:val="BookText"/>
        <w:rPr/>
      </w:pPr>
      <w:r>
        <w:rPr>
          <w:rFonts w:ascii="Amiri" w:hAnsi="Amiri" w:eastAsia="Amiri" w:cs="Amiri"/>
          <w:color w:val="111111"/>
          <w:sz w:val="28"/>
          <w:sz w:val="28"/>
          <w:szCs w:val="28"/>
          <w:rtl w:val="true"/>
          <w:lang w:bidi="ar-SA"/>
        </w:rPr>
        <w:t xml:space="preserve">ويشهد له ما سبق من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بأئمة الجور، فإنهم من الفواحش، والعقل مستقل بقبح ارتكابها والاقتراب منها، كما أشرنا له عند الحديث عن تلك الآية الشريفة، لكن لا حاجة بنا إلى إرجاع المقام لها، لأنه أوضح، وإن صلحت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تميلوا أدنى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البحرين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 القمي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ركون مودة ونصيحة وطاعة</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وأضاف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تداهنوا الظلمة</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وتفسيره بالمشركين، تفسير بالمصداق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مجمع البحرين مادة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تطمئنوا إليهم، وتسكنوا إلى قولهم، وتظهروا الرضا بفعلهم، ومصاحبتهم ومصادقتهم ومداهنتهم</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مجالسهم، ومعاشرتهم، بل حتى البيع والشراء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رواية صفوان بن مهران الجمال</w:t>
      </w:r>
      <w:r>
        <w:rPr>
          <w:rFonts w:eastAsia="Amiri" w:cs="Amiri" w:ascii="Amiri" w:hAnsi="Amiri"/>
          <w:color w:val="111111"/>
          <w:sz w:val="28"/>
          <w:szCs w:val="28"/>
          <w:rtl w:val="true"/>
          <w:lang w:bidi="ar-SA"/>
        </w:rPr>
        <w:t>.</w:t>
      </w:r>
      <w:r>
        <w:rPr>
          <w:rStyle w:val="FootnoteAnchor"/>
          <w:rtl w:val="true"/>
        </w:rPr>
        <w:footnoteReference w:id="128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محمد بن عذافر عن أبيه،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عذافر نبئت أنك تعامل أبا أيوب الربيع، فما حالك إذا نودي بك في </w:t>
      </w:r>
    </w:p>
    <w:p>
      <w:pPr>
        <w:pStyle w:val="BookText"/>
        <w:rPr/>
      </w:pPr>
      <w:r>
        <w:rPr>
          <w:rFonts w:ascii="Amiri" w:hAnsi="Amiri" w:eastAsia="Amiri" w:cs="Amiri"/>
          <w:color w:val="111111"/>
          <w:sz w:val="28"/>
          <w:sz w:val="28"/>
          <w:szCs w:val="28"/>
          <w:rtl w:val="true"/>
          <w:lang w:bidi="ar-SA"/>
        </w:rPr>
        <w:t>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فوجم أبي ـ أي اشتد حزنه ـ فقال له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خوفتك بما خوفني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ورواية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 جعلت فداك ربما أصاب الرجل منا الضيق والشدة، فيدعى إلى البناء يبنيه أو النهر يكريه أو المسناة يصلحها، فما تقول في ذلك؟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وأن لي ما بين لأبتيها، لا، ولا مدة بقلم، إن أعوان الظلمة يوم القيامة في سرادق من نار حتى يفرغ الله من الحساب</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الركون للظلمة من المستقلات العقلية، كقبح الظلم، ومما يحكم به العقلاء بل هو مقتضى الفطرة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لا شك في كونه مولوياً، خاصة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عدّ هذه الآية من الأدلة على سقم الضابط الخامس الذي ارتآه عدد من متأخري الأصوليين، للأمر المولوي والإرشادي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مورد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التهديد، المولوية، لا النصح، وظاهرها التهديد بل نصها، لا الإخبار، كما يؤيده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يستظهر منه أن المقام مقام الولي والولاية وما أشبه ـ فتأمل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 فيه ملاك النهي </w:t>
      </w:r>
      <w:bookmarkStart w:id="1220" w:name="pg7671_77111"/>
    </w:p>
    <w:p>
      <w:pPr>
        <w:pStyle w:val="BookText"/>
        <w:rPr/>
      </w:pPr>
      <w:bookmarkEnd w:id="1220"/>
      <w:r>
        <w:rPr>
          <w:rFonts w:ascii="Amiri" w:hAnsi="Amiri" w:eastAsia="Amiri" w:cs="Amiri"/>
          <w:color w:val="111111"/>
          <w:sz w:val="28"/>
          <w:sz w:val="28"/>
          <w:szCs w:val="28"/>
          <w:rtl w:val="true"/>
          <w:lang w:bidi="ar-SA"/>
        </w:rPr>
        <w:t>بأقسامه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والفطري والعقلائي والشرعي؛ إذ فيه ضرر محتمل ـ بل مقطوع ـ كما أنه كفران للنعمة ـ وهو دافع للمنفعة، وطارد للمصلحة ـ وهي الملاكات للأربعة لتلك الأحكام الأربعة، على تفصيله المذكور في محله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وهل هو خاص بالحاكم والسلطان والملك ومن دار في فلكهم، كالوزير والشرطي والأمني؟ أم عام لكل ظالم حتى لو كان رئيس شركة أو رب عائلة؟ الظاهر والملاك والأصل هو الثاني، إلا أن يقال بالانصراف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الأوامر والنواهي الواردة في الآيات فيما يتعلق بالأخلاق</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3960025_1051229030"/>
      <w:bookmarkStart w:id="1222" w:name="_Toc444"/>
      <w:bookmarkEnd w:id="1221"/>
      <w:r>
        <w:rPr>
          <w:rtl w:val="true"/>
        </w:rPr>
        <w:t>التكبر والتبختر</w:t>
      </w:r>
      <w:bookmarkEnd w:id="122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أي مختالاً فخوراً وعلى وجه الأشر والبطر والخيلاء والتبختر في المشي،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مادي ظاهري، والثاني نفسي باطني، ولعله أعم منها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استقلال العقل بقبحه إلا أن النهي عنه مولوي؛ لما ذكرنا من أن ملاك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 معملاً مقام مولويته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ذلك ولذا 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مشي الإنسان مرحاً</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وقد 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وصيته لمحمد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تنقلهما في طاعته، وأن لا تمشي بهما مشية عاص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الصافي</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الناس من يمشي في الأرض بطراً، يدق قدميه عليها، ليري بذلك قدرته وقوته، ويرفع رأسه وعنقه</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وفي الكافي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على الرِجلَين أن لا يمشي بهما إلى شيء من معاصي الله، وفرض عليهما المشي إلى ما يرضي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تمشفي الأرض مرحاً إنك لن تخرق الأرض ولن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وأقصد في مشيك وأغضض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وظاهر الرواية الأولى الموضوعية وإن هذه الكيفية من المشي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وإن المشي للمعصية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كلا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مشياً ومشية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إلا أن الأول قبيح لذاته، والثاني بالترشح أو غيره، حسب ما فصل في بحث الاستلزامات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خَرَجُواْ مِن دِيَارِهِم بَطَراً </w:t>
      </w:r>
      <w:bookmarkStart w:id="1223" w:name="pg7671_77113"/>
    </w:p>
    <w:p>
      <w:pPr>
        <w:pStyle w:val="BookText"/>
        <w:rPr/>
      </w:pPr>
      <w:bookmarkEnd w:id="1223"/>
      <w:r>
        <w:rPr>
          <w:rFonts w:ascii="Amiri" w:hAnsi="Amiri" w:eastAsia="Amiri" w:cs="Amiri"/>
          <w:color w:val="111111"/>
          <w:sz w:val="28"/>
          <w:sz w:val="28"/>
          <w:szCs w:val="28"/>
          <w:rtl w:val="true"/>
          <w:lang w:bidi="ar-SA"/>
        </w:rPr>
        <w:t>وَرِئَاء النَّاسِ</w:t>
      </w:r>
      <w:r>
        <w:rPr>
          <w:rFonts w:eastAsia="Amiri" w:cs="Amiri" w:ascii="Amiri" w:hAnsi="Amiri"/>
          <w:color w:val="111111"/>
          <w:sz w:val="28"/>
          <w:szCs w:val="28"/>
          <w:rtl w:val="true"/>
          <w:lang w:bidi="ar-SA"/>
        </w:rPr>
        <w:t>».</w:t>
      </w:r>
      <w:r>
        <w:rPr>
          <w:rStyle w:val="FootnoteAnchor"/>
          <w:rtl w:val="true"/>
        </w:rPr>
        <w:footnoteReference w:id="1297"/>
      </w:r>
    </w:p>
    <w:p>
      <w:pPr>
        <w:pStyle w:val="Heading3"/>
        <w:numPr>
          <w:ilvl w:val="2"/>
          <w:numId w:val="1"/>
        </w:numPr>
        <w:rPr/>
      </w:pPr>
      <w:bookmarkStart w:id="1224" w:name="__RefHeading___Toc3960027_1051229030"/>
      <w:bookmarkStart w:id="1225" w:name="_Toc445"/>
      <w:bookmarkEnd w:id="1224"/>
      <w:r>
        <w:rPr>
          <w:rtl w:val="true"/>
        </w:rPr>
        <w:t>الحسد</w:t>
      </w:r>
      <w:bookmarkEnd w:id="122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لذا يقع مورداً للنهي،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ـ واختياريته تكون ولو بلحاظ اختيارية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يرد وروداً دون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يستقل العقل بقبحه ولكن هل يحكم بحرمته ما لم يظهر؟ الظاهر حكمه بكراهته وأما ما يظهر من بعض الروايات كرواية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للرجل أن يتمنى امرأة رجل مسلم أو ماله ولكن يسأل الله من فضله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فلعله محمول على ما لو أظهر، ولولا الشهرة على الكراهة لو لم يُظهِر وحديث الرفع ـ وهو حاكم ـ لكان اللازم الصيرورة للحرمة لنص الرواية، وظهور روايات أخرى عديدة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ليأتي بأدنى بادرة فيكفر، وإن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130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محمول إما على ما سبق كما ذكر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w:t>
      </w:r>
    </w:p>
    <w:p>
      <w:pPr>
        <w:pStyle w:val="BookText"/>
        <w:rPr/>
      </w:pPr>
      <w:r>
        <w:rPr>
          <w:rFonts w:ascii="Amiri" w:hAnsi="Amiri" w:eastAsia="Amiri" w:cs="Amiri"/>
          <w:color w:val="111111"/>
          <w:sz w:val="28"/>
          <w:sz w:val="28"/>
          <w:szCs w:val="28"/>
          <w:rtl w:val="true"/>
          <w:lang w:bidi="ar-SA"/>
        </w:rPr>
        <w:t>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الذي يظهر، لا الحسد الذي لا يظهر وإنما هو صفة نفسية</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أو محمول على درجات الإيمان والفضيلة</w:t>
      </w:r>
      <w:r>
        <w:rPr>
          <w:rStyle w:val="FootnoteAnchor"/>
          <w:rtl w:val="true"/>
        </w:rPr>
        <w:footnoteReference w:id="1303"/>
      </w:r>
      <w:r>
        <w:rPr>
          <w:rFonts w:ascii="Amiri" w:hAnsi="Amiri" w:eastAsia="Amiri" w:cs="Amiri"/>
          <w:color w:val="111111"/>
          <w:sz w:val="28"/>
          <w:sz w:val="28"/>
          <w:szCs w:val="28"/>
          <w:rtl w:val="true"/>
          <w:lang w:bidi="ar-SA"/>
        </w:rPr>
        <w:t>، ويراد بالكفر الأعم من كفر العقيدة ومن مثل عدم 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نقصاً إلا أنه ليس قبيحاً؛ إذ ظاهر هذا العنوان وشبهه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أي فإنه لا يحرم إلا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مستقل بقبح الإظهار وحرمته في الاختياري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فيه ـ على ما نرى ـ مولوي؛ لانطباق الضابط الأول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تفسير الكثير من الروايات كما في الكافي وغيره للآية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المحسودون الذين قال الله، على ما آتانا الله، من الإمامة</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تفسير بأجلى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القائل لما لم يكن، ليته كان كذا، وليته لم يكن كذا، لما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شأن النزول أن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يغزو الرجال ولا تغزو النساء، وإنما لنا نصف الميراث، فليتنا رجال فنغزوا ونبلغ ما يبلغ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r>
        <w:rPr>
          <w:rStyle w:val="FootnoteAnchor"/>
          <w:rtl w:val="true"/>
        </w:rPr>
        <w:footnoteReference w:id="130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المواريث قال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w:t>
      </w:r>
    </w:p>
    <w:p>
      <w:pPr>
        <w:pStyle w:val="BookText"/>
        <w:rPr/>
      </w:pPr>
      <w:r>
        <w:rPr>
          <w:rFonts w:ascii="Amiri" w:hAnsi="Amiri" w:eastAsia="Amiri" w:cs="Amiri"/>
          <w:color w:val="111111"/>
          <w:sz w:val="28"/>
          <w:sz w:val="28"/>
          <w:szCs w:val="28"/>
          <w:rtl w:val="true"/>
          <w:lang w:bidi="ar-SA"/>
        </w:rPr>
        <w:t>نفضل على النساء بحسناتنا في الآخرة، كما فضلنا عليهن في الميراث، فيكون أجرنا على الضعف من أجر النساء، وقالت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نرجوا أن يكون الوزر علينا، نصف ما على الرجال في الآخرة، كما لنا الميراث على النصف من نصيبهم في الدنيا،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وَسْئَلُوا اللهَ مِنْ فَضْلِهِ إِنَّ اللهَ كانَ بِكُلِّ شَيْ‏ءٍ عَلِيماً</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ولا تهافت بين شأني النزول؛ إذ 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التفسير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الواحدة أو جملة من الآيات كانت تنزل مراراً عديدة على رسول الله صلى الله عليه وآله، بمناسبات عديدة، كما أن القرآن كله أنزل أكثر من مرة، إحداها نزوله جملة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التفسير بالمصداق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 أعطي فلان من المال والنعمة والمرأة الحسناء، كان لي؛ فإن ذلك يكون حسداً، ولكن يجوز أن يقول اللهم أعطني مثله</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المستقلات العقلية أيضاً، بل هو أمر فطري كذلك؛ فإنه جلب منفعة، وطلب من العالي بل المولى الحقيقي جل اسمه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وقد سبق بيانه</w:t>
      </w:r>
      <w:r>
        <w:rPr>
          <w:rFonts w:eastAsia="Amiri" w:cs="Amiri" w:ascii="Amiri" w:hAnsi="Amiri"/>
          <w:color w:val="111111"/>
          <w:sz w:val="28"/>
          <w:szCs w:val="28"/>
          <w:rtl w:val="true"/>
          <w:lang w:bidi="ar-SA"/>
        </w:rPr>
        <w:t xml:space="preserve">. </w:t>
      </w:r>
      <w:bookmarkStart w:id="1226" w:name="pg7671_77116"/>
    </w:p>
    <w:p>
      <w:pPr>
        <w:pStyle w:val="BookText"/>
        <w:rPr/>
      </w:pPr>
      <w:bookmarkEnd w:id="122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والإصلاح بين الأخوين مسألة فقهية كما هو مسألة أخلاقية لذا أدرجناه في العنوانين وقد سبق بعض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وقد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وقد سبق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وقد سبق بيانه</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3960029_1051229030"/>
      <w:bookmarkStart w:id="1228" w:name="_Toc446"/>
      <w:bookmarkEnd w:id="1227"/>
      <w:r>
        <w:rPr>
          <w:rtl w:val="true"/>
        </w:rPr>
        <w:t>خفض الجناح للمؤمنين</w:t>
      </w:r>
      <w:bookmarkEnd w:id="122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 جَنَاحَكَ لِلْمُؤْمِنِينَ</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وحيث أن العام والخاص المثبتين، لا يقيد أحدهما الآخر، كان التقييد محمولاً على مراتب الفضل والتأكيد</w:t>
      </w:r>
      <w:r>
        <w:rPr>
          <w:rFonts w:eastAsia="Amiri" w:cs="Amiri" w:ascii="Amiri" w:hAnsi="Amiri"/>
          <w:color w:val="111111"/>
          <w:sz w:val="28"/>
          <w:szCs w:val="28"/>
          <w:rtl w:val="true"/>
          <w:lang w:bidi="ar-SA"/>
        </w:rPr>
        <w:t>.</w:t>
      </w:r>
      <w:r>
        <w:rPr>
          <w:rStyle w:val="FootnoteAnchor"/>
          <w:rtl w:val="true"/>
        </w:rPr>
        <w:footnoteReference w:id="131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خاص بالنبي صلى الله عليه وآله؟ الظاهر لا، لما قد فصلناه في </w:t>
      </w:r>
      <w:bookmarkStart w:id="1229" w:name="pg7671_77117"/>
    </w:p>
    <w:p>
      <w:pPr>
        <w:pStyle w:val="BookText"/>
        <w:rPr/>
      </w:pPr>
      <w:bookmarkEnd w:id="1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الأصل في خطابات القرآن للنبي صلى الله عليه وآله إنها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ـ أي التواضع لهم والرفق بهم ـ يعد من المستقلات العقلية، حسناً، وأما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توقف عليه واجب الهداية والإرشاد والأمر بالمعروف والنهي عن المنكر وجب</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فيكون استقلال العقل بحسنه عندئذٍ مبنياً على كلي الالتزام في بحث الاستلزامات، بالترشح أو بصرف القول باللابدية العقلية</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3960031_1051229030"/>
      <w:bookmarkStart w:id="1231" w:name="_Toc447"/>
      <w:bookmarkEnd w:id="1230"/>
      <w:r>
        <w:rPr>
          <w:rtl w:val="true"/>
        </w:rPr>
        <w:t>الصفح الجميل</w:t>
      </w:r>
      <w:bookmarkEnd w:id="123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وروي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الصفح الجميل هو العفو من غير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ذلك عن الإمام الرضا عليه السلام</w:t>
      </w:r>
      <w:r>
        <w:rPr>
          <w:rFonts w:eastAsia="Amiri" w:cs="Amiri" w:ascii="Amiri" w:hAnsi="Amiri"/>
          <w:color w:val="111111"/>
          <w:sz w:val="28"/>
          <w:szCs w:val="28"/>
          <w:rtl w:val="true"/>
          <w:lang w:bidi="ar-SA"/>
        </w:rPr>
        <w:t>.</w:t>
      </w:r>
      <w:r>
        <w:rPr>
          <w:rStyle w:val="FootnoteAnchor"/>
          <w:rtl w:val="true"/>
        </w:rPr>
        <w:footnoteReference w:id="131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العفو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أنه لم 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أظهر الرؤية، يعفو عن الذنب</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والظاهر أن العقل مستقل بحسنهما بذاتهما حتى مع قطع النظر عن كونهما شكراً للنعمة كما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 xml:space="preserve">وهذا مع قطع النظر عن </w:t>
      </w:r>
    </w:p>
    <w:p>
      <w:pPr>
        <w:pStyle w:val="BookText"/>
        <w:rPr/>
      </w:pPr>
      <w:r>
        <w:rPr>
          <w:rFonts w:ascii="Amiri" w:hAnsi="Amiri" w:eastAsia="Amiri" w:cs="Amiri"/>
          <w:color w:val="111111"/>
          <w:sz w:val="28"/>
          <w:sz w:val="28"/>
          <w:szCs w:val="28"/>
          <w:rtl w:val="true"/>
          <w:lang w:bidi="ar-SA"/>
        </w:rPr>
        <w:t>أنها مما يدفع به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مولوي ـ للندب، لا إرشادي، ولا للوجوب إلا لو توقف عليه الواجب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وآخرين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منسوخة بآية القتال</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لكن لا تعارض ليلتزم بالنسخ، إذ لكل مورده إذ يحسن قتالهم والشدة عليهم في موضعه، كما يحسن العفو الجميل عنهم في موضعه، ويدل عليه أن النبي صلى الله عليه وآله، حتى آخر أيام جهاده، كان يصفح عنهم صفحاً جميلاً متى أمكنه الله منهم، كما في فتح مكة</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2" w:name="pg7671_77120"/>
      <w:bookmarkStart w:id="1233" w:name="pg7671_77120"/>
      <w:bookmarkEnd w:id="1233"/>
    </w:p>
    <w:p>
      <w:pPr>
        <w:pStyle w:val="Heading2"/>
        <w:numPr>
          <w:ilvl w:val="1"/>
          <w:numId w:val="1"/>
        </w:numPr>
        <w:rPr/>
      </w:pPr>
      <w:bookmarkStart w:id="1234" w:name="pg7671_77120"/>
      <w:bookmarkStart w:id="1235" w:name="__RefHeading___Toc3960033_1051229030"/>
      <w:bookmarkStart w:id="1236" w:name="_Toc448"/>
      <w:bookmarkEnd w:id="1234"/>
      <w:bookmarkEnd w:id="1235"/>
      <w:r>
        <w:rPr>
          <w:rtl w:val="true"/>
        </w:rPr>
        <w:t xml:space="preserve">المبحث التاسع </w:t>
      </w:r>
      <w:r>
        <w:rPr>
          <w:rtl w:val="true"/>
        </w:rPr>
        <w:t xml:space="preserve">: </w:t>
      </w:r>
      <w:r>
        <w:rPr>
          <w:rtl w:val="true"/>
        </w:rPr>
        <w:t>هل الأمر الإرشادي خبر أم طلب أم قسيم له؟</w:t>
      </w:r>
      <w:bookmarkEnd w:id="123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7" w:name="__RefHeading___Toc3960035_1051229030"/>
      <w:bookmarkStart w:id="1238" w:name="_Toc449"/>
      <w:bookmarkEnd w:id="1237"/>
      <w:r>
        <w:rPr>
          <w:rtl w:val="true"/>
        </w:rPr>
        <w:t>اشارة</w:t>
      </w:r>
      <w:bookmarkEnd w:id="123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الظاهر أن الأمر الإرشادي كالمولوي،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قسيماً له بدعوى أنه مما ينشأ كسائر الإنشاءات المغايرة للطلب كالترجي والتهديد والتمني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طلب بداعي الإنشاء، وقد استعمل الأمر فيه، في الموضوع له، حقيقة، وإن اختلف الداعي، فيكون كمسلك الآخوند في استعمال الأوامر في التهديد أو الترجي أو ما أشبه، مما هو مستعمل في الموضوع له حقيقة وإن اختلفت الدواعي، ولئن نوقش في هذه الكبرى ولم يُرتضَ مسلك الآخوند على إطلاقه، فإنه لا نقاش في الأمر الإرشادي في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النقاش في التهديد والتمني والإرشاد وغيرها مما كان بصيغة الأمر أو النهي، يتصور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تلك الأوامر المستعملة في مقام التهديد والإرشاد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 أم لا؟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هل الطلب تمام أو جزء الموضوع له أو المستعمل فيه، أم لا؟ </w:t>
      </w:r>
      <w:bookmarkStart w:id="1239" w:name="pg7671_77123"/>
    </w:p>
    <w:p>
      <w:pPr>
        <w:pStyle w:val="BookText"/>
        <w:rPr/>
      </w:pPr>
      <w:bookmarkEnd w:id="123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على التهديد والتمني والإرشاد ـ سواء دلت على الطلب أم لا؟ ـ باعتباره جزء الموضوع له أو جزء المستعمل فيه، أو هي مجرد دواعي كما ذهب إليه الآخوند، ولا تلازم بين البحثين والدلالتين، كما لا تلازم بين دلالة الأمر التهديدي على الطلب وعدمه، وبين دلالة الأمر الإرشادي عليه وعدمه</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3960037_1051229030"/>
      <w:bookmarkStart w:id="1241" w:name="_Toc450"/>
      <w:bookmarkEnd w:id="1240"/>
      <w:r>
        <w:rPr>
          <w:rtl w:val="true"/>
        </w:rPr>
        <w:t>من أدلة كون الأمر الإرشادي طلباً</w:t>
      </w:r>
      <w:bookmarkEnd w:id="1241"/>
    </w:p>
    <w:p>
      <w:pPr>
        <w:pStyle w:val="BookText"/>
        <w:rPr/>
      </w:pPr>
      <w:r>
        <w:rPr>
          <w:rFonts w:ascii="Amiri" w:hAnsi="Amiri" w:eastAsia="Amiri" w:cs="Amiri"/>
          <w:color w:val="111111"/>
          <w:sz w:val="28"/>
          <w:sz w:val="28"/>
          <w:szCs w:val="28"/>
          <w:rtl w:val="true"/>
          <w:lang w:bidi="ar-SA"/>
        </w:rPr>
        <w:t xml:space="preserve">وعلى أي فإن الأمر 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أيضاً بملاحظة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بإرشاديته؛ للزوم التسلسل أو تحصيل الحاصل أو غيرهما من المحاذير، من مولويته، فهل تجد أنه لا طلب فيه؟</w:t>
      </w:r>
    </w:p>
    <w:p>
      <w:pPr>
        <w:pStyle w:val="BookText"/>
        <w:rPr/>
      </w:pPr>
      <w:r>
        <w:rPr>
          <w:rFonts w:ascii="Amiri" w:hAnsi="Amiri" w:eastAsia="Amiri" w:cs="Amiri"/>
          <w:color w:val="111111"/>
          <w:sz w:val="28"/>
          <w:sz w:val="28"/>
          <w:szCs w:val="28"/>
          <w:rtl w:val="true"/>
          <w:lang w:bidi="ar-SA"/>
        </w:rPr>
        <w:t xml:space="preserve">وكذلك الأمر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القول الذي لعله المشهور من كونها إرشادية كما فصلنا بحثه في الضابط الخامس ـ فهل لمدعٍ أن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طلب ولا زجر فيه؟ لأنه إرشادي، وكذلك أوامر الواعظ والناصح، فهل ترى أن أمر الواعظ الناس بالصلاة والصوم، مجرد عن الطلب؟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يظهر ذلك بملاحظة حال الطبيب أو حالنا لو أمرنا ولدنا المريض، بشرب الدواء الكذائي، فإننا نجد من أنفسنا أننا طلبنا منه شرب الدواء، سواء طلبناه منه مولوياً ومع إعمال مقام المولى والأب، أم طلبناه منه صِرفاً بداعي الإرشاد لمصلحته وشفائه</w:t>
      </w:r>
      <w:r>
        <w:rPr>
          <w:rFonts w:eastAsia="Amiri" w:cs="Amiri" w:ascii="Amiri" w:hAnsi="Amiri"/>
          <w:color w:val="111111"/>
          <w:sz w:val="28"/>
          <w:szCs w:val="28"/>
          <w:rtl w:val="true"/>
          <w:lang w:bidi="ar-SA"/>
        </w:rPr>
        <w:t xml:space="preserve">. </w:t>
      </w:r>
      <w:bookmarkStart w:id="1242" w:name="pg7671_77124"/>
    </w:p>
    <w:p>
      <w:pPr>
        <w:pStyle w:val="BookText"/>
        <w:rPr/>
      </w:pPr>
      <w:bookmarkEnd w:id="1242"/>
      <w:r>
        <w:rPr>
          <w:rFonts w:ascii="Amiri" w:hAnsi="Amiri" w:eastAsia="Amiri" w:cs="Amiri"/>
          <w:color w:val="111111"/>
          <w:sz w:val="28"/>
          <w:sz w:val="28"/>
          <w:szCs w:val="28"/>
          <w:rtl w:val="true"/>
          <w:lang w:bidi="ar-SA"/>
        </w:rPr>
        <w:t xml:space="preserve">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بلحاظ مقام المولوية دائماً، بل على ما ذهبنا إليه من وجود النوعين للأمر المولوي، فإنه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 نصحياً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 يستحق عليه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في مقام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أن الأقسام الثالثة متصورة في المقام</w:t>
      </w:r>
      <w:r>
        <w:rPr>
          <w:rStyle w:val="FootnoteAnchor"/>
          <w:rtl w:val="true"/>
        </w:rPr>
        <w:footnoteReference w:id="1323"/>
      </w:r>
      <w:r>
        <w:rPr>
          <w:rFonts w:ascii="Amiri" w:hAnsi="Amiri" w:eastAsia="Amiri" w:cs="Amiri"/>
          <w:color w:val="111111"/>
          <w:sz w:val="28"/>
          <w:sz w:val="28"/>
          <w:szCs w:val="28"/>
          <w:rtl w:val="true"/>
          <w:lang w:bidi="ar-SA"/>
        </w:rPr>
        <w:t>وفي كلها الطلب</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3960039_1051229030"/>
      <w:bookmarkStart w:id="1244" w:name="_Toc451"/>
      <w:bookmarkEnd w:id="1243"/>
      <w:r>
        <w:rPr>
          <w:rtl w:val="true"/>
        </w:rPr>
        <w:t>هل الأمر الإرشادي خبر؟</w:t>
      </w:r>
      <w:bookmarkEnd w:id="1244"/>
    </w:p>
    <w:p>
      <w:pPr>
        <w:pStyle w:val="BookText"/>
        <w:rPr/>
      </w:pPr>
      <w:r>
        <w:rPr>
          <w:rFonts w:ascii="Amiri" w:hAnsi="Amiri" w:eastAsia="Amiri" w:cs="Amiri"/>
          <w:color w:val="111111"/>
          <w:sz w:val="28"/>
          <w:sz w:val="28"/>
          <w:szCs w:val="28"/>
          <w:rtl w:val="true"/>
          <w:lang w:bidi="ar-SA"/>
        </w:rPr>
        <w:t xml:space="preserve">أما القول بأن الأمر الإرشادي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إخبار صرف عن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خلاف الوجدان، وقد اختلط على قائله ما بالذات وما بالعرض؛ فإن الأمر الإرشادي طلب كاشف عن المصلحة، بل لدى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اعتقاد الآمر بوجود المصلحة، سواء 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أيضاً ـ كما في أوامر مولى الموالي ورسله والأصياء عليهم السلام ـ أم كشف عن صرف اعتقاده بها، طابق الواقع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بالدلالة الالتزامية على المصلحة، أي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 إنه يدل على ما ابتنى عليه الطلب وهو وجهه، أي هو الخبر عن المصلحة، فالخبر</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متقدم طبعاً على الإرشاد وإنشاء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 عنه في عالم الإثبات والدلالة</w:t>
      </w:r>
      <w:r>
        <w:rPr>
          <w:rFonts w:eastAsia="Amiri" w:cs="Amiri" w:ascii="Amiri" w:hAnsi="Amiri"/>
          <w:color w:val="111111"/>
          <w:sz w:val="28"/>
          <w:szCs w:val="28"/>
          <w:rtl w:val="true"/>
          <w:lang w:bidi="ar-SA"/>
        </w:rPr>
        <w:t xml:space="preserve">). </w:t>
      </w:r>
      <w:bookmarkStart w:id="1245" w:name="pg7671_77125"/>
    </w:p>
    <w:p>
      <w:pPr>
        <w:pStyle w:val="BookText"/>
        <w:rPr/>
      </w:pPr>
      <w:bookmarkEnd w:id="1245"/>
      <w:r>
        <w:rPr>
          <w:rFonts w:ascii="Amiri" w:hAnsi="Amiri" w:eastAsia="Amiri" w:cs="Amiri"/>
          <w:color w:val="111111"/>
          <w:sz w:val="28"/>
          <w:sz w:val="28"/>
          <w:szCs w:val="28"/>
          <w:rtl w:val="true"/>
          <w:lang w:bidi="ar-SA"/>
        </w:rPr>
        <w:t xml:space="preserve">ولا يمكن الاستدلال باستعمال الإخبار في الإنشاء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فإنه مما ورد في اللغة وجرى عليه العرف، وهو ـ بعدُ ـ بحاجة للقرينة، أما عكسه فلا، نعم هو ممكن ذاتاً، بأن يأمر أمراً إرشادياً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إياه من الطلب، قاصداً صرف الإخبار ـ بصيغة الأمر هذه ـ بالفائدة فبدل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الدواء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المعنى الخبري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اتضح أن كلاً من الموضوع له</w:t>
      </w:r>
      <w:r>
        <w:rPr>
          <w:rStyle w:val="FootnoteAnchor"/>
          <w:rtl w:val="true"/>
        </w:rPr>
        <w:footnoteReference w:id="1325"/>
      </w:r>
      <w:r>
        <w:rPr>
          <w:rFonts w:ascii="Amiri" w:hAnsi="Amiri" w:eastAsia="Amiri" w:cs="Amiri"/>
          <w:color w:val="111111"/>
          <w:sz w:val="28"/>
          <w:sz w:val="28"/>
          <w:szCs w:val="28"/>
          <w:rtl w:val="true"/>
          <w:lang w:bidi="ar-SA"/>
        </w:rPr>
        <w:t xml:space="preserve">والمستعمل فيه، في الأمر الإرشادي،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3960041_1051229030"/>
      <w:bookmarkStart w:id="1247" w:name="_Toc452"/>
      <w:bookmarkEnd w:id="1246"/>
      <w:r>
        <w:rPr>
          <w:rtl w:val="true"/>
        </w:rPr>
        <w:t>وإذا كان طلباً فهل هو قسيم للوجوب والندب أم قسم منهما؟</w:t>
      </w:r>
      <w:bookmarkEnd w:id="1247"/>
    </w:p>
    <w:p>
      <w:pPr>
        <w:pStyle w:val="BookText"/>
        <w:rPr/>
      </w:pPr>
      <w:r>
        <w:rPr>
          <w:rFonts w:ascii="Amiri" w:hAnsi="Amiri" w:eastAsia="Amiri" w:cs="Amiri"/>
          <w:color w:val="111111"/>
          <w:sz w:val="28"/>
          <w:sz w:val="28"/>
          <w:szCs w:val="28"/>
          <w:rtl w:val="true"/>
          <w:lang w:bidi="ar-SA"/>
        </w:rPr>
        <w:t>يبقى أن الأمر الإرشادي ـ بعد الفراغ عن كونه طلباً ـ هل</w:t>
      </w:r>
    </w:p>
    <w:p>
      <w:pPr>
        <w:pStyle w:val="BookText"/>
        <w:rPr/>
      </w:pPr>
      <w:r>
        <w:rPr>
          <w:rFonts w:ascii="Amiri" w:hAnsi="Amiri" w:eastAsia="Amiri" w:cs="Amiri"/>
          <w:color w:val="111111"/>
          <w:sz w:val="28"/>
          <w:sz w:val="28"/>
          <w:szCs w:val="28"/>
          <w:rtl w:val="true"/>
          <w:lang w:bidi="ar-SA"/>
        </w:rPr>
        <w:t>أ ـ هو قسيم للوجوب والندب</w:t>
      </w:r>
      <w:r>
        <w:rPr>
          <w:rStyle w:val="FootnoteAnchor"/>
          <w:rtl w:val="true"/>
        </w:rPr>
        <w:footnoteReference w:id="1326"/>
      </w:r>
      <w:r>
        <w:rPr>
          <w:rFonts w:ascii="Amiri" w:hAnsi="Amiri" w:eastAsia="Amiri" w:cs="Amiri"/>
          <w:color w:val="111111"/>
          <w:sz w:val="28"/>
          <w:sz w:val="28"/>
          <w:szCs w:val="28"/>
          <w:rtl w:val="true"/>
          <w:lang w:bidi="ar-SA"/>
        </w:rPr>
        <w:t>فيكون الأمر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بالوضع أو القرينة المعينة</w:t>
      </w:r>
      <w:r>
        <w:rPr>
          <w:rStyle w:val="FootnoteAnchor"/>
          <w:rtl w:val="true"/>
        </w:rPr>
        <w:footnoteReference w:id="1327"/>
      </w:r>
      <w:r>
        <w:rPr>
          <w:rFonts w:ascii="IRNazanin" w:hAnsi="IRNazanin" w:eastAsia="IRNazanin"/>
          <w:color w:val="111111"/>
          <w:sz w:val="28"/>
          <w:sz w:val="28"/>
          <w:szCs w:val="28"/>
          <w:rtl w:val="true"/>
          <w:lang w:bidi="fa-IR"/>
        </w:rPr>
        <w:t>على الوجوب، وما دل على الندب، وما دل على الإرشاد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أو هو قسم منهما</w:t>
      </w:r>
      <w:r>
        <w:rPr>
          <w:rStyle w:val="FootnoteAnchor"/>
          <w:rtl w:val="true"/>
        </w:rPr>
        <w:footnoteReference w:id="1328"/>
      </w:r>
      <w:r>
        <w:rPr>
          <w:rFonts w:ascii="Amiri" w:hAnsi="Amiri" w:eastAsia="Amiri" w:cs="Amiri"/>
          <w:color w:val="111111"/>
          <w:sz w:val="28"/>
          <w:sz w:val="28"/>
          <w:szCs w:val="28"/>
          <w:rtl w:val="true"/>
          <w:lang w:bidi="ar-SA"/>
        </w:rPr>
        <w:t xml:space="preserve">أي الأمر إما للوجوب أو الندب، وكل منهما إما مولوي أو إرشادي؟ </w:t>
      </w:r>
      <w:bookmarkStart w:id="1248" w:name="pg7671_77126"/>
    </w:p>
    <w:p>
      <w:pPr>
        <w:pStyle w:val="Heading3"/>
        <w:numPr>
          <w:ilvl w:val="2"/>
          <w:numId w:val="1"/>
        </w:numPr>
        <w:rPr/>
      </w:pPr>
      <w:bookmarkStart w:id="1249" w:name="__RefHeading___Toc3960043_1051229030"/>
      <w:bookmarkStart w:id="1250" w:name="_Toc453"/>
      <w:bookmarkEnd w:id="1248"/>
      <w:bookmarkEnd w:id="1249"/>
      <w:r>
        <w:rPr>
          <w:rtl w:val="true"/>
        </w:rPr>
        <w:t xml:space="preserve">كلام الشيخ والميرزا </w:t>
      </w:r>
      <w:r>
        <w:rPr>
          <w:rtl w:val="true"/>
        </w:rPr>
        <w:t>(</w:t>
      </w:r>
      <w:r>
        <w:rPr>
          <w:rtl w:val="true"/>
        </w:rPr>
        <w:t>قدس سرهما</w:t>
      </w:r>
      <w:r>
        <w:rPr>
          <w:rtl w:val="true"/>
        </w:rPr>
        <w:t xml:space="preserve">) </w:t>
      </w:r>
      <w:r>
        <w:rPr>
          <w:rtl w:val="true"/>
        </w:rPr>
        <w:t>بأن الإرشادي على قسمين</w:t>
      </w:r>
      <w:bookmarkEnd w:id="1250"/>
    </w:p>
    <w:p>
      <w:pPr>
        <w:pStyle w:val="BookText"/>
        <w:rPr/>
      </w:pPr>
      <w:r>
        <w:rPr>
          <w:rFonts w:ascii="Amiri" w:hAnsi="Amiri" w:eastAsia="Amiri" w:cs="Amiri"/>
          <w:color w:val="111111"/>
          <w:sz w:val="28"/>
          <w:sz w:val="28"/>
          <w:szCs w:val="28"/>
          <w:rtl w:val="true"/>
          <w:lang w:bidi="ar-SA"/>
        </w:rPr>
        <w:t xml:space="preserve">وهو ظاهر ما نقله المحقق الرشتي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ينقسم كل من الأمر الإلزامي وغير الإلزامي، إلى الإرشادي وغيره كما عليه شيخنا العلامة</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العكس</w:t>
      </w:r>
      <w:r>
        <w:rPr>
          <w:rStyle w:val="FootnoteAnchor"/>
          <w:rtl w:val="true"/>
        </w:rPr>
        <w:footnoteReference w:id="1330"/>
      </w:r>
      <w:r>
        <w:rPr>
          <w:rFonts w:ascii="Amiri" w:hAnsi="Amiri" w:eastAsia="Amiri" w:cs="Amiri"/>
          <w:color w:val="111111"/>
          <w:sz w:val="28"/>
          <w:sz w:val="28"/>
          <w:szCs w:val="28"/>
          <w:rtl w:val="true"/>
          <w:lang w:bidi="ar-SA"/>
        </w:rPr>
        <w:t>أي الأمر إما إرشادي أو مولوي، وكل منهما إما يفيد الوجوب أو الندب، وهذا هو الظاهر من المحقق الرشتي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بلغ النصح مرتبة لا يرضى بتركهالآمر الناصح، كأوامر الإطاعة أو لم يبلغ تلك المرتبة، فهو أيضاً كغيره ينقسم إلى الوجوبي والندبي</w:t>
      </w:r>
      <w:r>
        <w:rPr>
          <w:rFonts w:eastAsia="Amiri" w:cs="Amiri" w:ascii="Amiri" w:hAnsi="Amiri"/>
          <w:color w:val="111111"/>
          <w:sz w:val="28"/>
          <w:szCs w:val="28"/>
          <w:rtl w:val="true"/>
          <w:lang w:bidi="ar-SA"/>
        </w:rPr>
        <w:t>).</w:t>
      </w:r>
      <w:r>
        <w:rPr>
          <w:rStyle w:val="FootnoteAnchor"/>
          <w:rtl w:val="true"/>
        </w:rPr>
        <w:footnoteReference w:id="133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الميرزا الشيرازي الكبير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من معاني صيغة الأمر، الإرشاد، ومن المعلوم أنه قد يقع بطريق الحتم وقد يقع على غير وجه الحتم</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والظاهر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لا اللابدية العقلية</w:t>
      </w:r>
      <w:r>
        <w:rPr>
          <w:rStyle w:val="FootnoteAnchor"/>
          <w:rtl w:val="true"/>
        </w:rPr>
        <w:footnoteReference w:id="1333"/>
      </w:r>
      <w:r>
        <w:rPr>
          <w:rFonts w:ascii="Amiri" w:hAnsi="Amiri" w:eastAsia="Amiri" w:cs="Amiri"/>
          <w:color w:val="111111"/>
          <w:sz w:val="28"/>
          <w:sz w:val="28"/>
          <w:szCs w:val="28"/>
          <w:rtl w:val="true"/>
          <w:lang w:bidi="ar-SA"/>
        </w:rPr>
        <w:t>، بل ذلك صريح عبارته اللاحقة، حيث صرح بوحدة حقيقة الوجوب في الأمر الإرشادي معه في المولوي</w:t>
      </w:r>
      <w:r>
        <w:rPr>
          <w:rFonts w:eastAsia="Amiri" w:cs="Amiri" w:ascii="Amiri" w:hAnsi="Amiri"/>
          <w:color w:val="111111"/>
          <w:sz w:val="28"/>
          <w:szCs w:val="28"/>
          <w:rtl w:val="true"/>
          <w:lang w:bidi="ar-SA"/>
        </w:rPr>
        <w:t>.</w:t>
      </w:r>
      <w:r>
        <w:rPr>
          <w:rStyle w:val="FootnoteAnchor"/>
          <w:rtl w:val="true"/>
        </w:rPr>
        <w:footnoteReference w:id="1334"/>
      </w:r>
      <w:bookmarkStart w:id="1251" w:name="pg7671_77127"/>
    </w:p>
    <w:p>
      <w:pPr>
        <w:pStyle w:val="Heading3"/>
        <w:numPr>
          <w:ilvl w:val="2"/>
          <w:numId w:val="1"/>
        </w:numPr>
        <w:rPr/>
      </w:pPr>
      <w:bookmarkStart w:id="1252" w:name="__RefHeading___Toc3960045_1051229030"/>
      <w:bookmarkStart w:id="1253" w:name="_Toc454"/>
      <w:bookmarkEnd w:id="1251"/>
      <w:bookmarkEnd w:id="1252"/>
      <w:r>
        <w:rPr>
          <w:rtl w:val="true"/>
        </w:rPr>
        <w:t>إشكال التضاد بين الإرشادية والإيجاب، وجوابه</w:t>
      </w:r>
      <w:bookmarkEnd w:id="1253"/>
    </w:p>
    <w:p>
      <w:pPr>
        <w:pStyle w:val="BookText"/>
        <w:rPr/>
      </w:pPr>
      <w:r>
        <w:rPr>
          <w:rFonts w:ascii="Amiri" w:hAnsi="Amiri" w:eastAsia="Amiri" w:cs="Amiri"/>
          <w:color w:val="111111"/>
          <w:sz w:val="28"/>
          <w:sz w:val="28"/>
          <w:szCs w:val="28"/>
          <w:rtl w:val="true"/>
          <w:lang w:bidi="ar-SA"/>
        </w:rPr>
        <w:t xml:space="preserve">لكن قد يورد عليه بالتهافت؛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يناقض الإيجاب المستتبع لاستحقاق العقاب والثواب، وهو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إذا كان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الإلزام</w:t>
      </w:r>
      <w:r>
        <w:rPr>
          <w:rStyle w:val="FootnoteAnchor"/>
          <w:rtl w:val="true"/>
        </w:rPr>
        <w:footnoteReference w:id="1335"/>
      </w:r>
      <w:r>
        <w:rPr>
          <w:rFonts w:ascii="Amiri" w:hAnsi="Amiri" w:eastAsia="Amiri" w:cs="Amiri"/>
          <w:color w:val="111111"/>
          <w:sz w:val="28"/>
          <w:sz w:val="28"/>
          <w:szCs w:val="28"/>
          <w:rtl w:val="true"/>
          <w:lang w:bidi="ar-SA"/>
        </w:rPr>
        <w:t>فكيف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يناقض ذاك</w:t>
      </w:r>
      <w:r>
        <w:rPr>
          <w:rStyle w:val="FootnoteAnchor"/>
          <w:rtl w:val="true"/>
        </w:rPr>
        <w:footnoteReference w:id="1336"/>
      </w:r>
      <w:r>
        <w:rPr>
          <w:rFonts w:ascii="Amiri" w:hAnsi="Amiri" w:eastAsia="Amiri" w:cs="Amiri"/>
          <w:color w:val="111111"/>
          <w:sz w:val="28"/>
          <w:sz w:val="28"/>
          <w:szCs w:val="28"/>
          <w:rtl w:val="true"/>
          <w:lang w:bidi="ar-SA"/>
        </w:rPr>
        <w:t xml:space="preserve">أيضاً لما فصلناه في مبحث إجتماع الجهتين، فإنه لا يناقض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w:t>
      </w:r>
      <w:r>
        <w:rPr>
          <w:rStyle w:val="FootnoteAnchor"/>
          <w:rtl w:val="true"/>
        </w:rPr>
        <w:footnoteReference w:id="1337"/>
      </w:r>
      <w:r>
        <w:rPr>
          <w:rFonts w:ascii="Amiri" w:hAnsi="Amiri" w:eastAsia="Amiri" w:cs="Amiri"/>
          <w:color w:val="111111"/>
          <w:sz w:val="28"/>
          <w:sz w:val="28"/>
          <w:szCs w:val="28"/>
          <w:rtl w:val="true"/>
          <w:lang w:bidi="ar-SA"/>
        </w:rPr>
        <w:t>على حسب بعض الضوابط، فكيف يتنافى الإرشادي والإلزام؟ فليلاحظ</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يوهمه؛ لشدة أنس بعض الأذهان بكونه عارياً عن الإلزام، غفلة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ما توهموه، بل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لا بما هو مولى</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سواء تضمن إلزاماً أم 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لمصلحة الدنيا</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كذلك</w:t>
      </w:r>
      <w:r>
        <w:rPr>
          <w:rStyle w:val="FootnoteAnchor"/>
          <w:rtl w:val="true"/>
        </w:rPr>
        <w:footnoteReference w:id="1340"/>
      </w:r>
      <w:r>
        <w:rPr>
          <w:rFonts w:ascii="Amiri" w:hAnsi="Amiri" w:eastAsia="Amiri" w:cs="Amiri"/>
          <w:color w:val="111111"/>
          <w:sz w:val="28"/>
          <w:sz w:val="28"/>
          <w:szCs w:val="28"/>
          <w:rtl w:val="true"/>
          <w:lang w:bidi="ar-SA"/>
        </w:rPr>
        <w:t xml:space="preserve">، أو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لمحبوبيته</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xml:space="preserve">كذلك،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المستقلات العقلية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كذلكأو </w:t>
      </w:r>
      <w:bookmarkStart w:id="1254" w:name="pg7671_77128"/>
    </w:p>
    <w:p>
      <w:pPr>
        <w:pStyle w:val="BookText"/>
        <w:rPr/>
      </w:pPr>
      <w:bookmarkEnd w:id="1254"/>
      <w:r>
        <w:rPr>
          <w:rFonts w:ascii="Amiri" w:hAnsi="Amiri" w:eastAsia="Amiri" w:cs="Amiri"/>
          <w:color w:val="111111"/>
          <w:sz w:val="28"/>
          <w:sz w:val="28"/>
          <w:szCs w:val="28"/>
          <w:rtl w:val="true"/>
          <w:lang w:bidi="ar-SA"/>
        </w:rPr>
        <w:t xml:space="preserve">ما أشبه، وكلها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الآيات والروايات أيضاً أعم، فراجع الفصل المتعلق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بملاحظة حال الطبيب حيث قد يرشد إلزاماً لدواء ـ لدى خطورة المرض ـ وكذلك الواعظ والخطيب حيث يرشدان إلزاماً، للواجبات كالصلاة والصيام، ويردعان زاجرين إلزاماً عن الزنا والسرقة، ويرشدان ندباً إلى صلاة الليل والصدقة وهكذا، بل قد نرى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فإنه قد يطلب ـ بإلحاح أو بدونه ـ أمراً مما يعود لمصلحة المأمور أو الآمر، نادباً له تارة وموجباً أخرى، بل قد يصعب تصور المجرد عنهما وإن صح ووقع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أَلزَمَ خرج عن مقام الإرشاد إلى مقام المولوية، ولو 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إندفاع هذا الإشكال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المولوي والإرشادي، وتعريفهما، كما سبقت الإشارة إليه، ونضيف</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3960047_1051229030"/>
      <w:bookmarkStart w:id="1256" w:name="_Toc455"/>
      <w:bookmarkEnd w:id="1255"/>
      <w:r>
        <w:rPr>
          <w:rtl w:val="true"/>
        </w:rPr>
        <w:t>(</w:t>
      </w:r>
      <w:r>
        <w:rPr>
          <w:rtl w:val="true"/>
        </w:rPr>
        <w:t>الإيجاب</w:t>
      </w:r>
      <w:r>
        <w:rPr>
          <w:rtl w:val="true"/>
        </w:rPr>
        <w:t xml:space="preserve">) </w:t>
      </w:r>
      <w:r>
        <w:rPr>
          <w:rtl w:val="true"/>
        </w:rPr>
        <w:t>اعتبار وهو خفيف المؤونة</w:t>
      </w:r>
      <w:bookmarkEnd w:id="125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خفيف المؤونة، فإنه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الآخر بالعمل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الإلزام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ذاك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المباني، فلغير المولى أن 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موجداً لهذا الاعتبار أو مبرزاً له، وللمولى حال كونه غير معمِل مقامه، أن يرشد كذلك، وأدل دليل على إمكان الشيء </w:t>
      </w:r>
      <w:bookmarkStart w:id="1257" w:name="pg7671_77129"/>
    </w:p>
    <w:p>
      <w:pPr>
        <w:pStyle w:val="BookText"/>
        <w:rPr/>
      </w:pPr>
      <w:bookmarkEnd w:id="1257"/>
      <w:r>
        <w:rPr>
          <w:rFonts w:ascii="Amiri" w:hAnsi="Amiri" w:eastAsia="Amiri" w:cs="Amiri"/>
          <w:color w:val="111111"/>
          <w:sz w:val="28"/>
          <w:sz w:val="28"/>
          <w:szCs w:val="28"/>
          <w:rtl w:val="true"/>
          <w:lang w:bidi="ar-SA"/>
        </w:rPr>
        <w:t>وقوعه، بل إننا نجد من أنفسنا ذلك فيهما</w:t>
      </w:r>
      <w:r>
        <w:rPr>
          <w:rStyle w:val="FootnoteAnchor"/>
          <w:rtl w:val="true"/>
        </w:rPr>
        <w:footnoteReference w:id="1343"/>
      </w:r>
      <w:r>
        <w:rPr>
          <w:rFonts w:ascii="IRNazanin" w:hAnsi="IRNazanin" w:eastAsia="IRNazanin"/>
          <w:color w:val="111111"/>
          <w:sz w:val="28"/>
          <w:sz w:val="28"/>
          <w:szCs w:val="28"/>
          <w:rtl w:val="true"/>
          <w:lang w:bidi="fa-IR"/>
        </w:rPr>
        <w:t>بل</w:t>
      </w:r>
      <w:r>
        <w:rPr>
          <w:rStyle w:val="FootnoteAnchor"/>
          <w:rtl w:val="true"/>
        </w:rPr>
        <w:footnoteReference w:id="1344"/>
      </w:r>
      <w:r>
        <w:rPr>
          <w:rFonts w:ascii="Amiri" w:hAnsi="Amiri" w:eastAsia="Amiri" w:cs="Amiri"/>
          <w:color w:val="111111"/>
          <w:sz w:val="28"/>
          <w:sz w:val="28"/>
          <w:szCs w:val="28"/>
          <w:rtl w:val="true"/>
          <w:lang w:bidi="ar-SA"/>
        </w:rPr>
        <w:t>نجد من أنفسنا، أن الداني قد يأمر مرشِداً ملزماً مع علمه بكونه دانياً، بل حتى مع عدم استعلائه فتأمل</w:t>
      </w:r>
      <w:r>
        <w:rPr>
          <w:rFonts w:eastAsia="Amiri" w:cs="Amiri" w:ascii="Amiri" w:hAnsi="Amiri"/>
          <w:color w:val="111111"/>
          <w:sz w:val="28"/>
          <w:szCs w:val="28"/>
          <w:rtl w:val="true"/>
          <w:lang w:bidi="ar-SA"/>
        </w:rPr>
        <w:t>.</w:t>
      </w:r>
      <w:r>
        <w:rPr>
          <w:rStyle w:val="FootnoteAnchor"/>
          <w:rtl w:val="true"/>
        </w:rPr>
        <w:footnoteReference w:id="1345"/>
      </w:r>
    </w:p>
    <w:p>
      <w:pPr>
        <w:pStyle w:val="Heading3"/>
        <w:numPr>
          <w:ilvl w:val="2"/>
          <w:numId w:val="1"/>
        </w:numPr>
        <w:rPr/>
      </w:pPr>
      <w:bookmarkStart w:id="1258" w:name="__RefHeading___Toc3960049_1051229030"/>
      <w:bookmarkStart w:id="1259" w:name="_Toc456"/>
      <w:bookmarkEnd w:id="1258"/>
      <w:r>
        <w:rPr>
          <w:rtl w:val="true"/>
        </w:rPr>
        <w:t>(</w:t>
      </w:r>
      <w:r>
        <w:rPr>
          <w:rtl w:val="true"/>
        </w:rPr>
        <w:t>الإلزام</w:t>
      </w:r>
      <w:r>
        <w:rPr>
          <w:rtl w:val="true"/>
        </w:rPr>
        <w:t xml:space="preserve">) </w:t>
      </w:r>
      <w:r>
        <w:rPr>
          <w:rtl w:val="true"/>
        </w:rPr>
        <w:t xml:space="preserve">في </w:t>
      </w:r>
      <w:r>
        <w:rPr>
          <w:rtl w:val="true"/>
        </w:rPr>
        <w:t>(</w:t>
      </w:r>
      <w:r>
        <w:rPr>
          <w:rtl w:val="true"/>
        </w:rPr>
        <w:t>الأمر الإرشادي</w:t>
      </w:r>
      <w:r>
        <w:rPr>
          <w:rtl w:val="true"/>
        </w:rPr>
        <w:t>)</w:t>
      </w:r>
      <w:bookmarkEnd w:id="1259"/>
    </w:p>
    <w:p>
      <w:pPr>
        <w:pStyle w:val="BookText"/>
        <w:rPr/>
      </w:pPr>
      <w:r>
        <w:rPr>
          <w:rFonts w:ascii="Amiri" w:hAnsi="Amiri" w:eastAsia="Amiri" w:cs="Amiri"/>
          <w:color w:val="111111"/>
          <w:sz w:val="28"/>
          <w:sz w:val="28"/>
          <w:szCs w:val="28"/>
          <w:rtl w:val="true"/>
          <w:lang w:bidi="ar-SA"/>
        </w:rPr>
        <w:t>لكن الكلام هو في كونه ملزماً للآخر أو لا؟ فهل لو أوجب وجب؟ أي بإنشائه الإيجاب ـ بعد الفراغ عن إمكانه ووقوعه ـ هل على المخاطب أن ينبعث؟ ولو لم يكن الآمر مستعملاً مقام مولويته؟ أو ولو لم يكن مولى بل كان عالياً فحسب؟ أو بدونه ـ مساوياً كان أم أدنى ـ أيضاً مع الاستعلاء، أو حتى بدونه؟</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العقل بلزوم الانبعاث عن مطلق الإلزام، وليس في وجوده وعدمه، إذ إيجاده في عالم الاعتبار بلا مؤونة</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3960051_1051229030"/>
      <w:bookmarkStart w:id="1261" w:name="_Toc457"/>
      <w:bookmarkEnd w:id="1260"/>
      <w:r>
        <w:rPr>
          <w:rtl w:val="true"/>
        </w:rPr>
        <w:t xml:space="preserve">من وجوه </w:t>
      </w:r>
      <w:r>
        <w:rPr>
          <w:rtl w:val="true"/>
        </w:rPr>
        <w:t>(</w:t>
      </w:r>
      <w:r>
        <w:rPr>
          <w:rtl w:val="true"/>
        </w:rPr>
        <w:t>الإلزام</w:t>
      </w:r>
      <w:r>
        <w:rPr>
          <w:rtl w:val="true"/>
        </w:rPr>
        <w:t xml:space="preserve">) </w:t>
      </w:r>
      <w:r>
        <w:rPr>
          <w:rtl w:val="true"/>
        </w:rPr>
        <w:t xml:space="preserve">في الأمر الإرشادي كونه </w:t>
      </w:r>
      <w:r>
        <w:rPr>
          <w:rtl w:val="true"/>
        </w:rPr>
        <w:t>(</w:t>
      </w:r>
      <w:r>
        <w:rPr>
          <w:rtl w:val="true"/>
        </w:rPr>
        <w:t>مولى ومالكاً</w:t>
      </w:r>
      <w:r>
        <w:rPr>
          <w:rtl w:val="true"/>
        </w:rPr>
        <w:t>)</w:t>
      </w:r>
      <w:bookmarkEnd w:id="126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وجه الإلزام ومنشئه، وهل هو مما يُلزِم ـ عقلاً أو شرعاً أو عرفاً ـ أم لا؟أ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الأمر المولوي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مولى ومالكاً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bookmarkStart w:id="1262" w:name="pg7671_77130"/>
    </w:p>
    <w:p>
      <w:pPr>
        <w:pStyle w:val="BookText"/>
        <w:rPr/>
      </w:pPr>
      <w:bookmarkEnd w:id="1262"/>
      <w:r>
        <w:rPr>
          <w:rFonts w:ascii="Amiri" w:hAnsi="Amiri" w:eastAsia="Amiri" w:cs="Amiri"/>
          <w:color w:val="111111"/>
          <w:sz w:val="28"/>
          <w:sz w:val="28"/>
          <w:szCs w:val="28"/>
          <w:rtl w:val="true"/>
          <w:lang w:bidi="ar-SA"/>
        </w:rPr>
        <w:t>مولويته، سواء مقام مولويته التشريعية أم مولويته ـ النصحية</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 الإرشادي ـ الإلزامي من المولى،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وإن لم يعمل مقام مولويته التشريعية ولا مقام مولويته النصحية</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3960053_1051229030"/>
      <w:bookmarkStart w:id="1264" w:name="_Toc458"/>
      <w:bookmarkEnd w:id="1263"/>
      <w:r>
        <w:rPr>
          <w:rtl w:val="true"/>
        </w:rPr>
        <w:t>ويظهر الفرق في</w:t>
      </w:r>
      <w:r>
        <w:rPr>
          <w:rtl w:val="true"/>
        </w:rPr>
        <w:t>:</w:t>
      </w:r>
      <w:bookmarkEnd w:id="1264"/>
    </w:p>
    <w:p>
      <w:pPr>
        <w:pStyle w:val="BookText"/>
        <w:rPr/>
      </w:pPr>
      <w:r>
        <w:rPr>
          <w:rFonts w:ascii="Amiri" w:hAnsi="Amiri" w:eastAsia="Amiri" w:cs="Amiri"/>
          <w:color w:val="111111"/>
          <w:sz w:val="28"/>
          <w:sz w:val="28"/>
          <w:szCs w:val="28"/>
          <w:rtl w:val="true"/>
          <w:lang w:bidi="ar-SA"/>
        </w:rPr>
        <w:t xml:space="preserve">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أعمل مقام مولويته بما هو 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أعمل مقام مولويته النصحية، فلم يمتثل، ويراد بالعتاب ما كان بلحاظ مخالفة المولى، كالعقاب، لا بلحاظ صرف ملاحظة التفريط بمصلحة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استحقاقهما لو أمر مرشِداً ملزماً دون إعمال مقامه بأي النحوين، فلم يمتثل، نعم يستحق العتاب، لكنه لا بلحاظ تفريطه بمقام المولى الناصح بل بلحاظ تفريطه بمقام المرشِد الناصح</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3960055_1051229030"/>
      <w:bookmarkStart w:id="1266" w:name="_Toc459"/>
      <w:bookmarkEnd w:id="1265"/>
      <w:r>
        <w:rPr>
          <w:rtl w:val="true"/>
        </w:rPr>
        <w:t xml:space="preserve">هل </w:t>
      </w:r>
      <w:r>
        <w:rPr>
          <w:rtl w:val="true"/>
        </w:rPr>
        <w:t>(</w:t>
      </w:r>
      <w:r>
        <w:rPr>
          <w:rtl w:val="true"/>
        </w:rPr>
        <w:t>العلو</w:t>
      </w:r>
      <w:r>
        <w:rPr>
          <w:rtl w:val="true"/>
        </w:rPr>
        <w:t xml:space="preserve">) </w:t>
      </w:r>
      <w:r>
        <w:rPr>
          <w:rtl w:val="true"/>
        </w:rPr>
        <w:t>من وجوه الإلزام؟</w:t>
      </w:r>
      <w:bookmarkEnd w:id="126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الإرشادي ـ الإلزامي من غير المولى، فمع كونه عالياً، فقد يقال إن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العقل يرى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رؤيته وجوب الالتزام، لكن الأصح إن ذلك ليس لكونه عالياً بل لما سيأتي في المساوي والأدنى ولعله بالأولوية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الملاك الوحيد لحكم العقل بلزوم الإطاعة هو</w:t>
      </w:r>
      <w:r>
        <w:rPr>
          <w:rFonts w:eastAsia="Amiri" w:cs="Amiri" w:ascii="Amiri" w:hAnsi="Amiri"/>
          <w:color w:val="111111"/>
          <w:sz w:val="28"/>
          <w:szCs w:val="28"/>
          <w:rtl w:val="true"/>
          <w:lang w:bidi="ar-SA"/>
        </w:rPr>
        <w:t xml:space="preserve">: </w:t>
      </w:r>
      <w:bookmarkStart w:id="1267" w:name="pg7671_77131"/>
    </w:p>
    <w:p>
      <w:pPr>
        <w:pStyle w:val="BookText"/>
        <w:rPr/>
      </w:pPr>
      <w:bookmarkEnd w:id="1267"/>
      <w:r>
        <w:rPr>
          <w:rFonts w:ascii="Amiri" w:hAnsi="Amiri" w:eastAsia="Amiri" w:cs="Amiri"/>
          <w:color w:val="111111"/>
          <w:sz w:val="28"/>
          <w:sz w:val="28"/>
          <w:szCs w:val="28"/>
          <w:rtl w:val="true"/>
          <w:lang w:bidi="ar-SA"/>
        </w:rPr>
        <w:t>صدور الأمر عن المولى، بل يكفي ـ في الجملة ـ صدوره عن العالي</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وقد يصار إلى التفكيك بين الإلزام والإلتزام، بأن يقال بأن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الإلزام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الإلتزام؛ إذ لا تلازم بين الأمرين، ولخصوص هذا مجال آخر من البحث، وأنه هل يجري ما ذكر من إمكان التفكيك في الأحكام الظاهرية، في الأحكام العقلية أيضاً؟</w:t>
      </w:r>
    </w:p>
    <w:p>
      <w:pPr>
        <w:pStyle w:val="BookText"/>
        <w:rPr/>
      </w:pPr>
      <w:r>
        <w:rPr>
          <w:rFonts w:ascii="Amiri" w:hAnsi="Amiri" w:eastAsia="Amiri" w:cs="Amiri"/>
          <w:color w:val="111111"/>
          <w:sz w:val="28"/>
          <w:sz w:val="28"/>
          <w:szCs w:val="28"/>
          <w:rtl w:val="true"/>
          <w:lang w:bidi="ar-SA"/>
        </w:rPr>
        <w:t xml:space="preserve">وقد ذكرنا طرفاً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3960057_1051229030"/>
      <w:bookmarkStart w:id="1269" w:name="_Toc460"/>
      <w:bookmarkEnd w:id="1268"/>
      <w:r>
        <w:rPr>
          <w:rtl w:val="true"/>
        </w:rPr>
        <w:t>وجوه أخرى للإلزام</w:t>
      </w:r>
      <w:bookmarkEnd w:id="1269"/>
    </w:p>
    <w:p>
      <w:pPr>
        <w:pStyle w:val="Heading4"/>
        <w:numPr>
          <w:ilvl w:val="3"/>
          <w:numId w:val="1"/>
        </w:numPr>
        <w:rPr/>
      </w:pPr>
      <w:bookmarkStart w:id="1270" w:name="__RefHeading___Toc3960059_1051229030"/>
      <w:bookmarkStart w:id="1271" w:name="_Toc461"/>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الإرشادي الإلزامي، من غير المولى، ممن لم يكن عالياً، بل مساوياً ـ كالصديق ـ أو أدنى ـ كالولد ـ فإن انبعث عن مصلحة بالغة، أو حق عقلي أو شرعي أو عرفي، فما يمكن أن يذكر من الوجوه للإلزام هو</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3960061_1051229030"/>
      <w:bookmarkStart w:id="1273" w:name="_Toc462"/>
      <w:bookmarkEnd w:id="1272"/>
      <w:r>
        <w:rPr>
          <w:rtl w:val="true"/>
        </w:rPr>
        <w:t>أ</w:t>
      </w:r>
      <w:r>
        <w:rPr>
          <w:rtl w:val="true"/>
        </w:rPr>
        <w:t xml:space="preserve">- </w:t>
      </w:r>
      <w:r>
        <w:rPr>
          <w:rtl w:val="true"/>
        </w:rPr>
        <w:t>لأنه أمر بذي المصلحة البالغة</w:t>
      </w:r>
      <w:bookmarkEnd w:id="127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بإلزام العقل له، لا بلحاظ، لحاظ المصلحة البالغة فحسب، كي لا يكون للأمر أثر، بل بلحاظ إلزام الآمر أيضاً،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أمر بذي المصلحة البالغة، فأتبعه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له سلطة من هذا الحيث،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قاضية أيضاً، وعلى ذلك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واستحقاقه العتاب</w:t>
      </w:r>
      <w:r>
        <w:rPr>
          <w:rStyle w:val="FootnoteAnchor"/>
          <w:rtl w:val="true"/>
        </w:rPr>
        <w:footnoteReference w:id="1349"/>
      </w:r>
      <w:r>
        <w:rPr>
          <w:rFonts w:ascii="IRNazanin" w:hAnsi="IRNazanin" w:eastAsia="IRNazanin"/>
          <w:color w:val="111111"/>
          <w:sz w:val="28"/>
          <w:sz w:val="28"/>
          <w:szCs w:val="28"/>
          <w:rtl w:val="true"/>
          <w:lang w:bidi="fa-IR"/>
        </w:rPr>
        <w:t xml:space="preserve">ـ وهو من مراتب العقاب ـ هو </w:t>
      </w:r>
      <w:bookmarkStart w:id="1274" w:name="pg7671_77132"/>
    </w:p>
    <w:p>
      <w:pPr>
        <w:pStyle w:val="BookText"/>
        <w:rPr/>
      </w:pPr>
      <w:bookmarkEnd w:id="1274"/>
      <w:r>
        <w:rPr>
          <w:rFonts w:ascii="Amiri" w:hAnsi="Amiri" w:eastAsia="Amiri" w:cs="Amiri"/>
          <w:color w:val="111111"/>
          <w:sz w:val="28"/>
          <w:sz w:val="28"/>
          <w:szCs w:val="28"/>
          <w:rtl w:val="true"/>
          <w:lang w:bidi="ar-SA"/>
        </w:rPr>
        <w:t>البرهان الإني على ذلك ـ فتأمل</w:t>
      </w:r>
      <w:r>
        <w:rPr>
          <w:rStyle w:val="FootnoteAnchor"/>
          <w:rtl w:val="true"/>
        </w:rPr>
        <w:footnoteReference w:id="1350"/>
      </w:r>
    </w:p>
    <w:p>
      <w:pPr>
        <w:pStyle w:val="Heading4"/>
        <w:numPr>
          <w:ilvl w:val="3"/>
          <w:numId w:val="1"/>
        </w:numPr>
        <w:rPr/>
      </w:pPr>
      <w:bookmarkStart w:id="1275" w:name="__RefHeading___Toc3960063_1051229030"/>
      <w:bookmarkStart w:id="1276" w:name="_Toc463"/>
      <w:bookmarkEnd w:id="1275"/>
      <w:r>
        <w:rPr>
          <w:rtl w:val="true"/>
        </w:rPr>
        <w:t>ب</w:t>
      </w:r>
      <w:r>
        <w:rPr>
          <w:rtl w:val="true"/>
        </w:rPr>
        <w:t xml:space="preserve">- </w:t>
      </w:r>
      <w:r>
        <w:rPr>
          <w:rtl w:val="true"/>
        </w:rPr>
        <w:t xml:space="preserve">منشأ السلطة </w:t>
      </w:r>
      <w:r>
        <w:rPr>
          <w:rtl w:val="true"/>
        </w:rPr>
        <w:t>(</w:t>
      </w:r>
      <w:r>
        <w:rPr>
          <w:rtl w:val="true"/>
        </w:rPr>
        <w:t>مالك الملوك</w:t>
      </w:r>
      <w:r>
        <w:rPr>
          <w:rtl w:val="true"/>
        </w:rPr>
        <w:t xml:space="preserve">) </w:t>
      </w:r>
      <w:r>
        <w:rPr>
          <w:rtl w:val="true"/>
        </w:rPr>
        <w:t>ورجوع الإلزام له مآلاً</w:t>
      </w:r>
      <w:bookmarkEnd w:id="1276"/>
    </w:p>
    <w:p>
      <w:pPr>
        <w:pStyle w:val="Heading5"/>
        <w:numPr>
          <w:ilvl w:val="4"/>
          <w:numId w:val="1"/>
        </w:numPr>
        <w:rPr/>
      </w:pPr>
      <w:bookmarkStart w:id="1277" w:name="__RefHeading___Toc3960065_1051229030"/>
      <w:bookmarkStart w:id="1278" w:name="_Toc464"/>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استناد تلك السلطة إلى المالك الحقيقي تعالى شأنه وإن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ومالكاً، وأن الإلزام يعود إليه بالمآل؛ استناداً إلى أحد الأدلة التالية</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3960067_1051229030"/>
      <w:bookmarkStart w:id="1280" w:name="_Toc465"/>
      <w:bookmarkEnd w:id="1279"/>
      <w:r>
        <w:rPr/>
        <w:t>1</w:t>
      </w:r>
      <w:r>
        <w:rPr>
          <w:rtl w:val="true"/>
        </w:rPr>
        <w:t xml:space="preserve">- </w:t>
      </w:r>
      <w:r>
        <w:rPr>
          <w:rtl w:val="true"/>
        </w:rPr>
        <w:t>لظواهر أدلة الأمر بالمعروف</w:t>
      </w:r>
      <w:bookmarkEnd w:id="1280"/>
    </w:p>
    <w:p>
      <w:pPr>
        <w:pStyle w:val="Heading6"/>
        <w:numPr>
          <w:ilvl w:val="5"/>
          <w:numId w:val="1"/>
        </w:numPr>
        <w:rPr/>
      </w:pPr>
      <w:bookmarkStart w:id="1281" w:name="__RefHeading___Toc3960069_1051229030"/>
      <w:bookmarkStart w:id="1282" w:name="_Toc466"/>
      <w:bookmarkEnd w:id="1281"/>
      <w:r>
        <w:rPr>
          <w:rtl w:val="true"/>
        </w:rPr>
        <w:t>اشارة</w:t>
      </w:r>
      <w:bookmarkEnd w:id="1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أدلة الأمر بالمعروف والنهي عن المنكر، بعد قبول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أخرى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شرعاً وعرفاً</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وتسليم أنه باق على معناه اللغوي والعرفي، وإن تصرف فيه الشارع زيادة ونقصاً، وبعد قبول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الإرشادي والمولوي، لكن قد يصار إلى عدم تمامية الشرط الأول ومسلّمية الشرط الثاني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فلكفاية الحديث عن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غير المولى ممن لم يكن عالياً أيضاً، لو أمر بالمعروف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خصوص المأمور به في الشرع، كالصلاة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نهى عن خصوص المنهي عنه في الشرع مرشداً ناصحاً</w:t>
      </w:r>
      <w:r>
        <w:rPr>
          <w:rFonts w:eastAsia="Amiri" w:cs="Amiri" w:ascii="Amiri" w:hAnsi="Amiri"/>
          <w:color w:val="111111"/>
          <w:sz w:val="28"/>
          <w:szCs w:val="28"/>
          <w:rtl w:val="true"/>
          <w:lang w:bidi="ar-SA"/>
        </w:rPr>
        <w:t xml:space="preserve">. </w:t>
      </w:r>
      <w:bookmarkStart w:id="1283" w:name="pg7671_77133"/>
    </w:p>
    <w:p>
      <w:pPr>
        <w:pStyle w:val="BookText"/>
        <w:rPr/>
      </w:pPr>
      <w:bookmarkEnd w:id="1283"/>
      <w:r>
        <w:rPr>
          <w:rFonts w:ascii="Amiri" w:hAnsi="Amiri" w:eastAsia="Amiri" w:cs="Amiri"/>
          <w:color w:val="111111"/>
          <w:sz w:val="28"/>
          <w:sz w:val="28"/>
          <w:szCs w:val="28"/>
          <w:rtl w:val="true"/>
          <w:lang w:bidi="ar-SA"/>
        </w:rPr>
        <w:t>ودعوى أن الوجه شمول أدلة الأمر بالمعروف له، فلا يرد عدم كونه ملزماً بما هو أمر صادر منه إرشاداً 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سبق من مخالفته بناء العقلاء والعرف والاعتبار، بشمول أدلة الأمر بالمعروف والنهي عن المنكر له، هذا مع قطع النظر عن النقاش المبنائي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الشرعي والعقلي والعرفي، كما أشرنا له في فصل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أءمر بالمعروف وأنه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بمسلميّة كونه أعم من المولوي والإرشادي ـ ولو فيما إذا صدر من المولى في الاول ومن غيره في الثاني ـ</w:t>
      </w:r>
      <w:r>
        <w:rPr>
          <w:rStyle w:val="FootnoteAnchor"/>
          <w:rtl w:val="true"/>
        </w:rPr>
        <w:footnoteReference w:id="1352"/>
      </w:r>
      <w:r>
        <w:rPr>
          <w:rFonts w:ascii="Amiri" w:hAnsi="Amiri" w:eastAsia="Amiri" w:cs="Amiri"/>
          <w:color w:val="111111"/>
          <w:sz w:val="28"/>
          <w:sz w:val="28"/>
          <w:szCs w:val="28"/>
          <w:rtl w:val="true"/>
          <w:lang w:bidi="ar-SA"/>
        </w:rPr>
        <w:t>والانصراف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بدوي، فتأمل</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3960071_1051229030"/>
      <w:bookmarkStart w:id="1285" w:name="_Toc467"/>
      <w:bookmarkEnd w:id="1284"/>
      <w:r>
        <w:rPr>
          <w:rtl w:val="true"/>
        </w:rPr>
        <w:t>هل للآمر بالمعروف مولوية طولية؟</w:t>
      </w:r>
      <w:bookmarkEnd w:id="1285"/>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الآمر بالمعروف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مولوية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شأنه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 العاكسة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أو العلامات والنُصُب المشيرة، وذلك مما نراه من أنفسنا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الاعتبار، وذلك سواء أمر مولوياً أو إرشادياً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صح، إلا أنه لا ينفع في المقام من دعوى السلطة للآمر إرشاداً، وهو مساوٍ أو أدنى، إلا أنه يقربه، إذ مآل هذا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إرشاداً، له المولوية فهو خروج موضوعي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إرشادياً، لكن وجه الإلزام فيه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يأمر بما هو ذو الولاية، وقد يأمر بما هو ناصح </w:t>
      </w:r>
      <w:bookmarkStart w:id="1286" w:name="pg7671_77134"/>
    </w:p>
    <w:p>
      <w:pPr>
        <w:pStyle w:val="BookText"/>
        <w:rPr/>
      </w:pPr>
      <w:bookmarkEnd w:id="1286"/>
      <w:r>
        <w:rPr>
          <w:rFonts w:ascii="Amiri" w:hAnsi="Amiri" w:eastAsia="Amiri" w:cs="Amiri"/>
          <w:color w:val="111111"/>
          <w:sz w:val="28"/>
          <w:sz w:val="28"/>
          <w:szCs w:val="28"/>
          <w:rtl w:val="true"/>
          <w:lang w:bidi="ar-SA"/>
        </w:rPr>
        <w:t xml:space="preserve">لكن مولى الموالي يعتبر نصحه لازم الاتباع، وبملاحظة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المولوية والإرشادية المذكور في فصله وملاحظة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يظهر إندفاع الإشكال بجلاء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نسبته للآمر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نسبته لمولى الآمر، وسيأتي بيان آخر لذلك بعد قليل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3960073_1051229030"/>
      <w:bookmarkStart w:id="1288" w:name="_Toc468"/>
      <w:bookmarkEnd w:id="1287"/>
      <w:r>
        <w:rPr/>
        <w:t>2</w:t>
      </w:r>
      <w:r>
        <w:rPr>
          <w:rtl w:val="true"/>
        </w:rPr>
        <w:t xml:space="preserve">- </w:t>
      </w:r>
      <w:r>
        <w:rPr>
          <w:rtl w:val="true"/>
        </w:rPr>
        <w:t>ولأدلة الهداية والإضلال</w:t>
      </w:r>
      <w:bookmarkEnd w:id="12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فالملاك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العلة التامة لمذمومية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وحرمتها، فيكون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كذلك ـ أي علة لممدوحية الإطاعة ووجوبها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يتشكل قياس استثنائي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تطع أكثر من في الأرض يضلوك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الإضلال ـ فاعلاً وقابلاً ـ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فالإطاعة حرام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بعلاقة التقابل حكم ضده ـ سواء كانا ضدين لا ثالث لهما أم لا ـ فإن المتفاهم عرفاً من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الأقل منهم يهدونك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الهداية ـ فعلاً وقبولاً ـ واجبة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فالإطاعة واجبة</w:t>
      </w:r>
      <w:r>
        <w:rPr>
          <w:rFonts w:eastAsia="Amiri" w:cs="Amiri" w:ascii="Amiri" w:hAnsi="Amiri"/>
          <w:color w:val="111111"/>
          <w:sz w:val="28"/>
          <w:szCs w:val="28"/>
          <w:rtl w:val="true"/>
          <w:lang w:bidi="ar-SA"/>
        </w:rPr>
        <w:t xml:space="preserve">). </w:t>
      </w:r>
      <w:bookmarkStart w:id="1289" w:name="pg7671_77135"/>
    </w:p>
    <w:p>
      <w:pPr>
        <w:pStyle w:val="BookText"/>
        <w:rPr/>
      </w:pPr>
      <w:bookmarkEnd w:id="1289"/>
      <w:r>
        <w:rPr>
          <w:rFonts w:ascii="Amiri" w:hAnsi="Amiri" w:eastAsia="Amiri" w:cs="Amiri"/>
          <w:color w:val="111111"/>
          <w:sz w:val="28"/>
          <w:sz w:val="28"/>
          <w:szCs w:val="28"/>
          <w:rtl w:val="true"/>
          <w:lang w:bidi="ar-SA"/>
        </w:rPr>
        <w:t xml:space="preserve">بل إننا لسنا مضطرين للتمسك بهذه الآية الشريفة في الاستدلال؛ إذ يكفينا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إلى الهدى لا يتبعوكم</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وغيرهما، والحاصل أن من أطاعته هداية، فإنها محمودة لازمة، وإن كان أدنى، بل ولازمة،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إطاعته سواء كان آمراً بما هو مولى معمِلاً مقامه، أو بما هو ناصح، فإن إطاعته لازمة بما هو مأمور بالأمر بالهدى والمعروف ـ فيكون مولوياً طولياً ـ كما سبق ـ بهذا الاعتبار ـ أي بأوْله إلى المولوي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لا يقتضي انقلاب ذاته من الإرشادية للمولوية كعكسه أي لو أمر إرشاداً بإطاعة أوامره المولوية كأمر الواعظ وكأمر الإطاعة حسب رأيهم</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3960075_1051229030"/>
      <w:bookmarkStart w:id="1291" w:name="_Toc469"/>
      <w:bookmarkEnd w:id="1290"/>
      <w:r>
        <w:rPr/>
        <w:t>3</w:t>
      </w:r>
      <w:r>
        <w:rPr>
          <w:rtl w:val="true"/>
        </w:rPr>
        <w:t xml:space="preserve">- </w:t>
      </w:r>
      <w:r>
        <w:rPr>
          <w:rtl w:val="true"/>
        </w:rPr>
        <w:t>ولتقريره تعالى لأمر مؤمن آل فرعون</w:t>
      </w:r>
      <w:bookmarkEnd w:id="12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تقريره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سواء كان النصح بمعنى الخلوص أو الإحكام، أم ما نعهده من الموعظة، وتحري صلاح الغير بقول أو فعل ـ وقد فصلنا ذلك في موضع آخر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إرشادي إلزامي بقرينة تناسب الحكم والموضوع، من الأدنى، ولا يصلح ما بعده</w:t>
      </w:r>
      <w:r>
        <w:rPr>
          <w:rStyle w:val="FootnoteAnchor"/>
          <w:rtl w:val="true"/>
        </w:rPr>
        <w:footnoteReference w:id="1357"/>
      </w:r>
      <w:r>
        <w:rPr>
          <w:rFonts w:ascii="Amiri" w:hAnsi="Amiri" w:eastAsia="Amiri" w:cs="Amiri"/>
          <w:color w:val="111111"/>
          <w:sz w:val="28"/>
          <w:sz w:val="28"/>
          <w:szCs w:val="28"/>
          <w:rtl w:val="true"/>
          <w:lang w:bidi="ar-SA"/>
        </w:rPr>
        <w:t>صارفاً كما سبق فتأمل</w:t>
      </w:r>
      <w:r>
        <w:rPr>
          <w:rFonts w:eastAsia="Amiri" w:cs="Amiri" w:ascii="Amiri" w:hAnsi="Amiri"/>
          <w:color w:val="111111"/>
          <w:sz w:val="28"/>
          <w:szCs w:val="28"/>
          <w:rtl w:val="true"/>
          <w:lang w:bidi="ar-SA"/>
        </w:rPr>
        <w:t xml:space="preserve">. </w:t>
      </w:r>
      <w:bookmarkStart w:id="1292" w:name="pg7671_77136"/>
    </w:p>
    <w:p>
      <w:pPr>
        <w:pStyle w:val="Heading5"/>
        <w:numPr>
          <w:ilvl w:val="4"/>
          <w:numId w:val="1"/>
        </w:numPr>
        <w:rPr/>
      </w:pPr>
      <w:bookmarkStart w:id="1293" w:name="__RefHeading___Toc3960077_1051229030"/>
      <w:bookmarkStart w:id="1294" w:name="_Toc470"/>
      <w:bookmarkEnd w:id="1292"/>
      <w:bookmarkEnd w:id="1293"/>
      <w:r>
        <w:rPr/>
        <w:t>4</w:t>
      </w:r>
      <w:r>
        <w:rPr>
          <w:rtl w:val="true"/>
        </w:rPr>
        <w:t xml:space="preserve">- </w:t>
      </w:r>
      <w:r>
        <w:rPr>
          <w:rtl w:val="true"/>
        </w:rPr>
        <w:t>ولآية الدعوة لسبيل الله تعالى</w:t>
      </w:r>
      <w:bookmarkEnd w:id="12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بعد وضوح شمول الأمر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مسلم وأعلى أو مساو أو أدنى، من المدعو والمتعظ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وآله، طرف الخطاب وليس المقتصر عليه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للدعوة بأمر مولوي أو إرشادي وغيرهما،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القبول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للزوم اللغوية لولاه؛ كي يستشكل بعدم لزومها دائماً ـ فتأمل، بل لأنه المتفاهم عرفاً من هذا الكلام الملقى للعرف فهو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ولا يخفى أن بعض هذه الأربعة يمكن عده وجهاً مستقلاً دون حاجة لإرجاعه للوجه الثاني ـ فتدبر</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3960079_1051229030"/>
      <w:bookmarkStart w:id="1296" w:name="_Toc471"/>
      <w:bookmarkEnd w:id="1295"/>
      <w:r>
        <w:rPr>
          <w:rtl w:val="true"/>
        </w:rPr>
        <w:t>ج</w:t>
      </w:r>
      <w:r>
        <w:rPr>
          <w:rtl w:val="true"/>
        </w:rPr>
        <w:t xml:space="preserve">- </w:t>
      </w:r>
      <w:r>
        <w:rPr>
          <w:rtl w:val="true"/>
        </w:rPr>
        <w:t xml:space="preserve">منشأ الإلزام والسلطة، كونه </w:t>
      </w:r>
      <w:r>
        <w:rPr>
          <w:rtl w:val="true"/>
        </w:rPr>
        <w:t>(</w:t>
      </w:r>
      <w:r>
        <w:rPr>
          <w:rtl w:val="true"/>
        </w:rPr>
        <w:t>حقاً</w:t>
      </w:r>
      <w:r>
        <w:rPr>
          <w:rtl w:val="true"/>
        </w:rPr>
        <w:t>)</w:t>
      </w:r>
      <w:bookmarkEnd w:id="129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بأن السلطة ناشئة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وهو اعتبار آخر غير المصلحة، فإنه مع قطع النظر عن وجود مالك حقيقي وإعطائه سلطة، أو قوة كالعقل وإعطائها السلطة، يجد المرء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p>
    <w:p>
      <w:pPr>
        <w:pStyle w:val="BookText"/>
        <w:rPr/>
      </w:pPr>
      <w:r>
        <w:rPr>
          <w:rFonts w:ascii="Amiri" w:hAnsi="Amiri" w:eastAsia="Amiri" w:cs="Amiri"/>
          <w:color w:val="111111"/>
          <w:sz w:val="28"/>
          <w:sz w:val="28"/>
          <w:szCs w:val="28"/>
          <w:rtl w:val="true"/>
          <w:lang w:bidi="ar-SA"/>
        </w:rPr>
        <w:t>الأمر ومتن الواقع هو منشأ السلطة لذي الحق ـ سواء كان حقاً شخصياً أم حقاً نوعياً</w:t>
      </w:r>
      <w:r>
        <w:rPr>
          <w:rStyle w:val="FootnoteAnchor"/>
          <w:rtl w:val="true"/>
        </w:rPr>
        <w:footnoteReference w:id="1361"/>
      </w:r>
      <w:r>
        <w:rPr>
          <w:rFonts w:ascii="IRNazanin" w:hAnsi="IRNazanin" w:eastAsia="IRNazanin"/>
          <w:color w:val="111111"/>
          <w:sz w:val="28"/>
          <w:sz w:val="28"/>
          <w:szCs w:val="28"/>
          <w:rtl w:val="true"/>
          <w:lang w:bidi="fa-IR"/>
        </w:rPr>
        <w:t>ـ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المقام فإن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ومتن الواقع، لكل شخص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بني نوعه ملزماً إياه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مصلحة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أن يلتزم ويطيع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ينبغي التمييز بين 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عليه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صغرى الثالث</w:t>
      </w:r>
      <w:r>
        <w:rPr>
          <w:rStyle w:val="FootnoteAnchor"/>
          <w:rtl w:val="true"/>
        </w:rPr>
        <w:footnoteReference w:id="1362"/>
      </w:r>
      <w:r>
        <w:rPr>
          <w:rFonts w:ascii="Amiri" w:hAnsi="Amiri" w:eastAsia="Amiri" w:cs="Amiri"/>
          <w:color w:val="111111"/>
          <w:sz w:val="28"/>
          <w:sz w:val="28"/>
          <w:szCs w:val="28"/>
          <w:rtl w:val="true"/>
          <w:lang w:bidi="ar-SA"/>
        </w:rPr>
        <w:t>ولعل الأول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أو العقل أو الفطرة، وقد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تجتمع كلها في أمر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استندنا إليه في الوجه الثاني من الآيات الكريمة وكذا الروايات، وفي الوجه الأول والثالث من بناء العقلاء، وكذا إرشاد الوجدان إلى صريح حكم العقل وشهادة الفطرةبذلك،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اللطفي أو الحدسي أو غيرهما، على بعض المصاديق</w:t>
      </w:r>
      <w:r>
        <w:rPr>
          <w:rStyle w:val="FootnoteAnchor"/>
          <w:rtl w:val="true"/>
        </w:rPr>
        <w:footnoteReference w:id="1363"/>
      </w:r>
      <w:r>
        <w:rPr>
          <w:rFonts w:ascii="Amiri" w:hAnsi="Amiri" w:eastAsia="Amiri" w:cs="Amiri"/>
          <w:color w:val="111111"/>
          <w:sz w:val="28"/>
          <w:sz w:val="28"/>
          <w:szCs w:val="28"/>
          <w:rtl w:val="true"/>
          <w:lang w:bidi="ar-SA"/>
        </w:rPr>
        <w:t>وغيره، ولم نفصل في البحث بين هذه الثلاثة لملاحظة اعتبار آخر، فليدقق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المولى وغير العالي</w:t>
      </w:r>
      <w:r>
        <w:rPr>
          <w:rFonts w:eastAsia="Amiri" w:cs="Amiri" w:ascii="Amiri" w:hAnsi="Amiri"/>
          <w:color w:val="111111"/>
          <w:sz w:val="28"/>
          <w:szCs w:val="28"/>
          <w:rtl w:val="true"/>
          <w:lang w:bidi="ar-SA"/>
        </w:rPr>
        <w:t xml:space="preserve">. </w:t>
      </w:r>
      <w:bookmarkStart w:id="1297" w:name="pg7671_77138"/>
    </w:p>
    <w:p>
      <w:pPr>
        <w:pStyle w:val="Heading3"/>
        <w:numPr>
          <w:ilvl w:val="2"/>
          <w:numId w:val="1"/>
        </w:numPr>
        <w:rPr/>
      </w:pPr>
      <w:bookmarkStart w:id="1298" w:name="__RefHeading___Toc3960081_1051229030"/>
      <w:bookmarkStart w:id="1299" w:name="_Toc472"/>
      <w:bookmarkEnd w:id="1297"/>
      <w:bookmarkEnd w:id="1298"/>
      <w:r>
        <w:rPr>
          <w:rtl w:val="true"/>
        </w:rPr>
        <w:t>للمولى مقامان</w:t>
      </w:r>
      <w:r>
        <w:rPr>
          <w:rtl w:val="true"/>
        </w:rPr>
        <w:t xml:space="preserve">: </w:t>
      </w:r>
      <w:r>
        <w:rPr>
          <w:rtl w:val="true"/>
        </w:rPr>
        <w:t>مقام المولوية ومقام النصح، ولهما شُعَب</w:t>
      </w:r>
      <w:bookmarkEnd w:id="1299"/>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أنه لا ريب في أنه وبما هو مولى له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المولى والمولوية، وبلحاظ مقامه هذا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كلياً،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بمصداق خارجي،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 الناصح والهداية، وبلحاظ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أمر،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نجد اختلاف نصح المولى عن غيره فإن استناده له هو السبب لذلك ـ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 إنه قد يظهر في مقام الآمر وقد يظهر في مقام الناصح، وقد يأمر ناصحاً أو ينصح آمراً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قد يأمر بما هو مولى ـ أي مولوياً ـ وهو على هذا إما أن يأمر مشرّعاً أو مطبّقاً</w:t>
      </w:r>
      <w:r>
        <w:rPr>
          <w:rStyle w:val="FootnoteAnchor"/>
          <w:rtl w:val="true"/>
        </w:rPr>
        <w:footnoteReference w:id="1364"/>
      </w:r>
      <w:r>
        <w:rPr>
          <w:rFonts w:ascii="Amiri" w:hAnsi="Amiri" w:eastAsia="Amiri" w:cs="Amiri"/>
          <w:color w:val="111111"/>
          <w:sz w:val="28"/>
          <w:sz w:val="28"/>
          <w:szCs w:val="28"/>
          <w:rtl w:val="true"/>
          <w:lang w:bidi="ar-SA"/>
        </w:rPr>
        <w:t>أو ناصحاً ملزماً، وقد يأمر لا بما هو مولى، بل بما هو عال ـ إرشادياً بل حتى مولوياً</w:t>
      </w:r>
      <w:r>
        <w:rPr>
          <w:rStyle w:val="FootnoteAnchor"/>
          <w:rtl w:val="true"/>
        </w:rPr>
        <w:footnoteReference w:id="136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بما هو محيط بالجهات لكن مولويته في هذا لا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إحدى الوجوه الثلاثة المذكورة آنفاً ـ فتأمل، أو بما هو محب مثلاً أو صديق أو ما أشبه، كذلك</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3960083_1051229030"/>
      <w:bookmarkStart w:id="1301" w:name="_Toc473"/>
      <w:bookmarkEnd w:id="1300"/>
      <w:r>
        <w:rPr>
          <w:rtl w:val="true"/>
        </w:rPr>
        <w:t>وحدة حقيقة الوجوب في الأمرين المولوي والإرشادي</w:t>
      </w:r>
      <w:bookmarkEnd w:id="130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يوضح ذلك ويسهل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أن حقيقة الوجوب والإيجاب في الأمر المولوي والإرشادي، وكذا الندب والاستحباب </w:t>
      </w:r>
      <w:bookmarkStart w:id="1302" w:name="pg7671_77139"/>
    </w:p>
    <w:p>
      <w:pPr>
        <w:pStyle w:val="BookText"/>
        <w:rPr/>
      </w:pPr>
      <w:bookmarkEnd w:id="1302"/>
      <w:r>
        <w:rPr>
          <w:rFonts w:ascii="Amiri" w:hAnsi="Amiri" w:eastAsia="Amiri" w:cs="Amiri"/>
          <w:color w:val="111111"/>
          <w:sz w:val="28"/>
          <w:sz w:val="28"/>
          <w:szCs w:val="28"/>
          <w:rtl w:val="true"/>
          <w:lang w:bidi="ar-SA"/>
        </w:rPr>
        <w:t>فيهما،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الشيرازي، بعد أن ذهب إلى أن الإرشاد ليس من مقولة الإخبار بل الإنشاء، وأنه من الطلب لا 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ـ أي الأمر الإرشادي ـ مغاير للوجوب ومباين له بحسب الحقيقة فيما إذا كان بطريق الحتم، وللندب كذلك، إذا لم يكن بطريق الحتم والإلزام، أو أنه متحد في الصورة الأولى للأول، بحسب الحقيقة، وفي الثانية، للثاني كذلك، وإنما يغايرهما بالأمور الخارجية، ويكون هو والوجوب والندب من الأفراد المتماثلة   المتحدة بحسب الحقيقة، المختلفة بالخصوصيات الخارجية كأفراد إنسان وفرس وغير ذلك، وأصنافها؟ الظاهر الأخير أعني كونه طلباً ومتحداً مع الوجوب والندب في الحقيقة</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والظاهر أن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الأمر الإرشادي مغاير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للوجوب أو لا؟ لا الأمر بنفسه؛ إذ الأمر سبب للوجوب، وليس عِدلاً له حتى يبحث عنالتغاير أو الاتحاد؛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ولفظ وعلة أو مبرِز والوجوب مفعول واعتبار ومعلول أو مبرَز</w:t>
      </w:r>
      <w:r>
        <w:rPr>
          <w:rFonts w:eastAsia="Amiri" w:cs="Amiri" w:ascii="Amiri" w:hAnsi="Amiri"/>
          <w:color w:val="111111"/>
          <w:sz w:val="28"/>
          <w:szCs w:val="28"/>
          <w:rtl w:val="true"/>
          <w:lang w:bidi="ar-SA"/>
        </w:rPr>
        <w:t>.</w:t>
      </w:r>
      <w:r>
        <w:rPr>
          <w:rStyle w:val="FootnoteAnchor"/>
          <w:rtl w:val="true"/>
        </w:rPr>
        <w:footnoteReference w:id="1367"/>
      </w:r>
    </w:p>
    <w:p>
      <w:pPr>
        <w:pStyle w:val="Heading3"/>
        <w:numPr>
          <w:ilvl w:val="2"/>
          <w:numId w:val="1"/>
        </w:numPr>
        <w:rPr/>
      </w:pPr>
      <w:bookmarkStart w:id="1303" w:name="__RefHeading___Toc3960085_1051229030"/>
      <w:bookmarkStart w:id="1304" w:name="_Toc474"/>
      <w:bookmarkEnd w:id="1303"/>
      <w:r>
        <w:rPr>
          <w:rtl w:val="true"/>
        </w:rPr>
        <w:t xml:space="preserve">لا فرق بين </w:t>
      </w:r>
      <w:r>
        <w:rPr>
          <w:rtl w:val="true"/>
        </w:rPr>
        <w:t>(</w:t>
      </w:r>
      <w:r>
        <w:rPr>
          <w:rtl w:val="true"/>
        </w:rPr>
        <w:t>الأمرين</w:t>
      </w:r>
      <w:r>
        <w:rPr>
          <w:rtl w:val="true"/>
        </w:rPr>
        <w:t xml:space="preserve">) </w:t>
      </w:r>
      <w:r>
        <w:rPr>
          <w:rtl w:val="true"/>
        </w:rPr>
        <w:t>حتى في منشأ الطلب</w:t>
      </w:r>
      <w:bookmarkEnd w:id="130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أنه لا يصح حتى تفريقه بينهما بالمنشأ،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منشأ الطلب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في نفس الآمر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لخصوصية الآمر مدخلية في الأمر فيكون حينئذ وجوباً أو ندباً، وقد يكون مجرد </w:t>
      </w:r>
      <w:bookmarkStart w:id="1305" w:name="pg7671_77140"/>
    </w:p>
    <w:p>
      <w:pPr>
        <w:pStyle w:val="BookText"/>
        <w:rPr/>
      </w:pPr>
      <w:bookmarkEnd w:id="1305"/>
      <w:r>
        <w:rPr>
          <w:rFonts w:ascii="Amiri" w:hAnsi="Amiri" w:eastAsia="Amiri" w:cs="Amiri"/>
          <w:color w:val="111111"/>
          <w:sz w:val="28"/>
          <w:sz w:val="28"/>
          <w:szCs w:val="28"/>
          <w:rtl w:val="true"/>
          <w:lang w:bidi="ar-SA"/>
        </w:rPr>
        <w:t>مصلحة الشيء المأمور به من دون اقتضاء له بحيث يمكن اجتماعه مع بغضه وقوعَ الفعل في الخارج، فيكون طلبه حينئذ من لسان المصلحة بحيث لا يدخل خصوصية نفسه في هذا الأمر فيكون إرشاداً</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فإن في الإرشاد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الاقتضاء في نفس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رجح أمره بذي المصلحة، لكنه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مولى،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ناصح، أي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في نفس الأمر، وكذا الطلب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لكونه مالكاً، وقد يكون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محباً مشفقاً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لخصوصيته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لكن تارة خصوصية مالكيته وأخرى خصوصية شفقته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أوامر الشارع هي للجهة الثانية؛ فإنه جل اسمه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بعباده، رحيم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وأمر ونصح وأرشد، لا لأنه مالك لهم وإن صح ذلك أيضاً؛ فإنه لا يزيده أمره ونصحه بما هو مالك شيئاً، ولا ينقصه، أي ليس من 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لكنه من لوازم ومقتضيات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ألزم بها نفسه والتي وسعت كل شيء والله العالم</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3960087_1051229030"/>
      <w:bookmarkStart w:id="1307" w:name="_Toc475"/>
      <w:bookmarkEnd w:id="1306"/>
      <w:r>
        <w:rPr>
          <w:rtl w:val="true"/>
        </w:rPr>
        <w:t>الفرق في منشأ المنشأ</w:t>
      </w:r>
      <w:bookmarkEnd w:id="1307"/>
    </w:p>
    <w:p>
      <w:pPr>
        <w:pStyle w:val="BookText"/>
        <w:rPr/>
      </w:pPr>
      <w:r>
        <w:rPr>
          <w:rFonts w:ascii="Amiri" w:hAnsi="Amiri" w:eastAsia="Amiri" w:cs="Amiri"/>
          <w:color w:val="111111"/>
          <w:sz w:val="28"/>
          <w:sz w:val="28"/>
          <w:szCs w:val="28"/>
          <w:rtl w:val="true"/>
          <w:lang w:bidi="ar-SA"/>
        </w:rPr>
        <w:t xml:space="preserve">نعم الفرق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المنشأ</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أمره في الموردين</w:t>
      </w:r>
      <w:r>
        <w:rPr>
          <w:rStyle w:val="FootnoteAnchor"/>
          <w:rtl w:val="true"/>
        </w:rPr>
        <w:footnoteReference w:id="1369"/>
      </w:r>
      <w:r>
        <w:rPr>
          <w:rFonts w:ascii="Amiri" w:hAnsi="Amiri" w:eastAsia="Amiri" w:cs="Amiri"/>
          <w:color w:val="111111"/>
          <w:sz w:val="28"/>
          <w:sz w:val="28"/>
          <w:szCs w:val="28"/>
          <w:rtl w:val="true"/>
          <w:lang w:bidi="ar-SA"/>
        </w:rPr>
        <w:t>هو لرغبة وشوق وإرادة في نفس الآمر، لتحقق المأمور به في الخارج، بعثته للأمر، وإلا لما أمر، بل لما أمكن أن يأمر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الاقتضاء الذي في نفسه حسب تعبيره ـ أو الرغبة والشوق والإرادة فإنها مرجعه</w:t>
      </w:r>
      <w:r>
        <w:rPr>
          <w:rStyle w:val="FootnoteAnchor"/>
          <w:rtl w:val="true"/>
        </w:rPr>
        <w:footnoteReference w:id="1370"/>
      </w:r>
      <w:r>
        <w:rPr>
          <w:rFonts w:ascii="Amiri" w:hAnsi="Amiri" w:eastAsia="Amiri" w:cs="Amiri"/>
          <w:color w:val="111111"/>
          <w:sz w:val="28"/>
          <w:sz w:val="28"/>
          <w:szCs w:val="28"/>
          <w:rtl w:val="true"/>
          <w:lang w:bidi="ar-SA"/>
        </w:rPr>
        <w:t xml:space="preserve">ـ ومنشأ دخالة خصوصية ذاته، قد يكون لحاظه مولويته وخصوصية ذاته بما هو مالك وقد يكون لحاظ خصوصية ذاته بما هو مشفق، وإن كان هذا مستلزماً لحاظ الخارج ومصلحته، وذلك لوضوح أنه قد يعمل خصوصية ذاته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فبما هو مولى ينصح ويرشد، وقد سبق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يغايرهما بالأمور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بما ذهب إليه الآخوند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للاستعمال، وليسا من الموضوع له ولا المستعمل فيه، وعليه لا ريب في اتحاد حقيقة الوجوب فيهما</w:t>
      </w:r>
      <w:r>
        <w:rPr>
          <w:rStyle w:val="FootnoteAnchor"/>
          <w:rtl w:val="true"/>
        </w:rPr>
        <w:footnoteReference w:id="1371"/>
      </w:r>
      <w:r>
        <w:rPr>
          <w:rFonts w:ascii="Amiri" w:hAnsi="Amiri" w:eastAsia="Amiri" w:cs="Amiri"/>
          <w:color w:val="111111"/>
          <w:sz w:val="28"/>
          <w:sz w:val="28"/>
          <w:szCs w:val="28"/>
          <w:rtl w:val="true"/>
          <w:lang w:bidi="ar-SA"/>
        </w:rPr>
        <w:t>وكذا الندب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باستحقاق العقاب في مخالفة المولوي دون الإرشادي، برهان إني على تغاير الوجوبين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372"/>
      </w:r>
      <w:r>
        <w:rPr>
          <w:rFonts w:ascii="Amiri" w:hAnsi="Amiri" w:eastAsia="Amiri" w:cs="Amiri"/>
          <w:color w:val="111111"/>
          <w:sz w:val="28"/>
          <w:sz w:val="28"/>
          <w:szCs w:val="28"/>
          <w:rtl w:val="true"/>
          <w:lang w:bidi="ar-SA"/>
        </w:rPr>
        <w:t>أعم من كونه ذاتي باب البرهان ـ اللازم منه اختلاف الذات لاختلاف ذاتيّهما ـ ومن كونه عرضاً لازماً، بل حكماً عقلياً وإن كان دائماً، بل الجواب على مسلك الآخوند أوضح، فإن استحقاق العقاب ليس لازم الوجوب بل لازم المولوية وهي أجنبية عنه</w:t>
      </w:r>
      <w:r>
        <w:rPr>
          <w:rFonts w:eastAsia="Amiri" w:cs="Amiri" w:ascii="Amiri" w:hAnsi="Amiri"/>
          <w:color w:val="111111"/>
          <w:sz w:val="28"/>
          <w:szCs w:val="28"/>
          <w:rtl w:val="true"/>
          <w:lang w:bidi="ar-SA"/>
        </w:rPr>
        <w:t>.</w:t>
      </w:r>
      <w:r>
        <w:rPr>
          <w:rStyle w:val="FootnoteAnchor"/>
          <w:rtl w:val="true"/>
        </w:rPr>
        <w:footnoteReference w:id="1373"/>
      </w:r>
      <w:bookmarkStart w:id="1308" w:name="pg7671_77142"/>
    </w:p>
    <w:p>
      <w:pPr>
        <w:pStyle w:val="Heading3"/>
        <w:numPr>
          <w:ilvl w:val="2"/>
          <w:numId w:val="1"/>
        </w:numPr>
        <w:rPr/>
      </w:pPr>
      <w:bookmarkStart w:id="1309" w:name="__RefHeading___Toc3960089_1051229030"/>
      <w:bookmarkStart w:id="1310" w:name="_Toc476"/>
      <w:bookmarkEnd w:id="1308"/>
      <w:bookmarkEnd w:id="1309"/>
      <w:r>
        <w:rPr>
          <w:rtl w:val="true"/>
        </w:rPr>
        <w:t>اجتماع كلا النوعين مع البغض وعدمه</w:t>
      </w:r>
      <w:bookmarkEnd w:id="1310"/>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مع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ممكن في الموردين، فكما يمكن أن يأمر إرشادياً بما يبغضه، يمكن أن يأمر مولوياً بما يبغضه، إذ كما أن البغض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يأمر إرشادياً، كذلك أمكن أن يأمر مولوياً،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المصلحة والمفسدة الخارجية، لابد أن تسري إلى نفس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 لكن بنظره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وتؤثر حبّاً وبغضاً، بعد 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قدس سره رأى أن لحاظ المصلحة والمفسدة الخارجية لا يسري لداخل نفسه فلا يتولد منهما حب وبغض، فيمكن أن يأمر إرشادياً بما فيه مصلحة، وإن كان يكرهه نفسياً، فلم يلزم اجتماع المتضادين</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3960091_1051229030"/>
      <w:bookmarkStart w:id="1312" w:name="_Toc477"/>
      <w:bookmarkEnd w:id="1311"/>
      <w:r>
        <w:rPr>
          <w:rtl w:val="true"/>
        </w:rPr>
        <w:t xml:space="preserve">في </w:t>
      </w:r>
      <w:r>
        <w:rPr>
          <w:rtl w:val="true"/>
        </w:rPr>
        <w:t>(</w:t>
      </w:r>
      <w:r>
        <w:rPr>
          <w:rtl w:val="true"/>
        </w:rPr>
        <w:t>التباني</w:t>
      </w:r>
      <w:r>
        <w:rPr>
          <w:rtl w:val="true"/>
        </w:rPr>
        <w:t xml:space="preserve">) </w:t>
      </w:r>
      <w:r>
        <w:rPr>
          <w:rtl w:val="true"/>
        </w:rPr>
        <w:t>يمكن الأمر بالمبغوض في كلا الأمرين</w:t>
      </w:r>
      <w:bookmarkEnd w:id="1312"/>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قدس سره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الإرشاد لمبغوضه</w:t>
      </w:r>
      <w:r>
        <w:rPr>
          <w:rStyle w:val="FootnoteAnchor"/>
          <w:rtl w:val="true"/>
        </w:rPr>
        <w:footnoteReference w:id="1374"/>
      </w:r>
      <w:r>
        <w:rPr>
          <w:rFonts w:ascii="Amiri" w:hAnsi="Amiri" w:eastAsia="Amiri" w:cs="Amiri"/>
          <w:color w:val="111111"/>
          <w:sz w:val="28"/>
          <w:sz w:val="28"/>
          <w:szCs w:val="28"/>
          <w:rtl w:val="true"/>
          <w:lang w:bidi="ar-SA"/>
        </w:rPr>
        <w:t xml:space="preserve">كذلك يمكن 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ـ في صورة التباني ـ بمبغوضه، بنفس الوزان، بأن يتبانيا على أن يأمره مولوياً ـ معملاً مقام مولويته ـ على مبغوضه، متى ما فعل كذا ـ لكمال رجوليته مثلاً ـ فإن لم يمكن هذا لم يمكن ذاك، والحل ما سبق من محكومية البغض وعدمه</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3960093_1051229030"/>
      <w:bookmarkStart w:id="1314" w:name="_Toc478"/>
      <w:bookmarkEnd w:id="1313"/>
      <w:r>
        <w:rPr>
          <w:rtl w:val="true"/>
        </w:rPr>
        <w:t xml:space="preserve">وفي غير صورة </w:t>
      </w:r>
      <w:r>
        <w:rPr>
          <w:rtl w:val="true"/>
        </w:rPr>
        <w:t>(</w:t>
      </w:r>
      <w:r>
        <w:rPr>
          <w:rtl w:val="true"/>
        </w:rPr>
        <w:t>التباني</w:t>
      </w:r>
      <w:r>
        <w:rPr>
          <w:rtl w:val="true"/>
        </w:rPr>
        <w:t>)</w:t>
      </w:r>
      <w:bookmarkEnd w:id="131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تصويره أيضاً بغير صورة التباني، وذلك كما لو أمره مولاه الحقيقي بأن يأمر عبده ـ أي عبد المأمور ـ مولوياً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يعمل مقامه </w:t>
      </w:r>
      <w:bookmarkStart w:id="1315" w:name="pg7671_77143"/>
    </w:p>
    <w:p>
      <w:pPr>
        <w:pStyle w:val="BookText"/>
        <w:rPr/>
      </w:pPr>
      <w:bookmarkEnd w:id="1315"/>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يكرهه، فإن المولوية تجتمع هنا مع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فذلك كما لو تبانى موليان على أمرِ كلٍ منهما الآخرَ بأمر يكرهه، أو بأمرِ كل منهما الآخر ليأمر عبده أو رعيته بأمر يكرهه، بالتقابل</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3960095_1051229030"/>
      <w:bookmarkStart w:id="1317" w:name="_Toc479"/>
      <w:bookmarkEnd w:id="1316"/>
      <w:r>
        <w:rPr>
          <w:rtl w:val="true"/>
        </w:rPr>
        <w:t>أمثلة فقهية للتباني على المبغوض</w:t>
      </w:r>
      <w:bookmarkEnd w:id="1317"/>
    </w:p>
    <w:p>
      <w:pPr>
        <w:pStyle w:val="BookText"/>
        <w:rPr/>
      </w:pPr>
      <w:r>
        <w:rPr>
          <w:rFonts w:ascii="Amiri" w:hAnsi="Amiri" w:eastAsia="Amiri" w:cs="Amiri"/>
          <w:color w:val="111111"/>
          <w:sz w:val="28"/>
          <w:sz w:val="28"/>
          <w:szCs w:val="28"/>
          <w:rtl w:val="true"/>
          <w:lang w:bidi="ar-SA"/>
        </w:rPr>
        <w:t xml:space="preserve">ويمكن التمثيل له فقهياً ليعلم أنه واقع وليس صرف فرض، ببناء كنيسة للكفار في بلادنا، فإنه محرم شرعاً ابتداءاً، لكن الكفار لو اشترطوا لسماحهم بناء مسجد في بلادهم، السماح لهم ببناء الكنيسة في بلادنا، فلو فرض أن بناء المسجد كان بتشخيص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المستجمع للشرائط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أهم كيفاً أو كماً ـ بأن سمحوا ببناء مائة مسجد لنا مقابل كنيسة واحدة لهم ـ وفرض أنه أهم، أو كان بناءهم الكنيسة قليل الفائدة جداً لهم وبناء المسجد عميم الفائدة لنا، بل حتى مع تعارض الضرر القليل من عملهم مع النفع الأكثر من عملنا؛ إذ لا إطلاق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الجملة، إذ العقل يحكم على حسب درجاتهما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وكذا لو اشترطوا لدفع كامل الدية لقتيلنا المسلم في بلدهم، دفع كامل الدية لقتيلهم رجلاً أم إمرأة أم طفلاً على يد مسلم في بلدنا، فقد احتمل الوالد ـ أو ذهب ـ إلى الجواز في صورة إحراز الأهم والمهم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ـ وأمثالهما كثيرة ـ أمثلة للتباني على المبغوض بالعنوان الأولي، لكنه يؤمر به أو يعمل به بالعنوان الثانوي ـ فليتدبر</w:t>
      </w:r>
      <w:r>
        <w:rPr>
          <w:rFonts w:eastAsia="Amiri" w:cs="Amiri" w:ascii="Amiri" w:hAnsi="Amiri"/>
          <w:color w:val="111111"/>
          <w:sz w:val="28"/>
          <w:szCs w:val="28"/>
          <w:rtl w:val="true"/>
          <w:lang w:bidi="ar-SA"/>
        </w:rPr>
        <w:t xml:space="preserve">. </w:t>
      </w:r>
      <w:bookmarkStart w:id="1318" w:name="pg7671_77144"/>
    </w:p>
    <w:p>
      <w:pPr>
        <w:pStyle w:val="BookText"/>
        <w:rPr/>
      </w:pPr>
      <w:bookmarkEnd w:id="1318"/>
      <w:r>
        <w:rPr>
          <w:rFonts w:ascii="Amiri" w:hAnsi="Amiri" w:eastAsia="Amiri" w:cs="Amiri"/>
          <w:color w:val="111111"/>
          <w:sz w:val="28"/>
          <w:sz w:val="28"/>
          <w:szCs w:val="28"/>
          <w:rtl w:val="true"/>
          <w:lang w:bidi="ar-SA"/>
        </w:rPr>
        <w:t xml:space="preserve">والحل كما سبق فإنه بعد الكسر والانكسار لو بقيت مبغوضيته، له، لما أمكن أن يأمر به إرشادياً ولا مولوياً، ولو قيل بالإمكان فإنه مما لا يقع من الحكيم لكونه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محبوباً له لمزاحم أهم بعد الكسر والإنكسار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طرو عنوانِ أمرِ مولاه له بالأمر بمبغوضه بالعنوان الأولي، أو كالتباني ـ فإنه</w:t>
      </w:r>
      <w:r>
        <w:rPr>
          <w:rStyle w:val="FootnoteAnchor"/>
          <w:rtl w:val="true"/>
        </w:rPr>
        <w:footnoteReference w:id="1375"/>
      </w:r>
      <w:r>
        <w:rPr>
          <w:rFonts w:ascii="Amiri" w:hAnsi="Amiri" w:eastAsia="Amiri" w:cs="Amiri"/>
          <w:color w:val="111111"/>
          <w:sz w:val="28"/>
          <w:sz w:val="28"/>
          <w:szCs w:val="28"/>
          <w:rtl w:val="true"/>
          <w:lang w:bidi="ar-SA"/>
        </w:rPr>
        <w:t>لم يأمر حينئذٍ بالمبغوض، بل أمر بالمحبوب سواء أمر مولوياً ام إرشادياً</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3960097_1051229030"/>
      <w:bookmarkStart w:id="1320" w:name="_Toc480"/>
      <w:bookmarkEnd w:id="1319"/>
      <w:r>
        <w:rPr>
          <w:rtl w:val="true"/>
        </w:rPr>
        <w:t>هل الأمر الإرشادي قسم للطلب غير الإلزامي؟</w:t>
      </w:r>
      <w:bookmarkEnd w:id="1320"/>
    </w:p>
    <w:p>
      <w:pPr>
        <w:pStyle w:val="BookText"/>
        <w:rPr/>
      </w:pPr>
      <w:r>
        <w:rPr>
          <w:rFonts w:ascii="Amiri" w:hAnsi="Amiri" w:eastAsia="Amiri" w:cs="Amiri"/>
          <w:color w:val="111111"/>
          <w:sz w:val="28"/>
          <w:sz w:val="28"/>
          <w:szCs w:val="28"/>
          <w:rtl w:val="true"/>
          <w:lang w:bidi="ar-SA"/>
        </w:rPr>
        <w:t>ج ـ أو أنه قسيم للندب بالمعنى الأخص، وقسم للطلب غير الإلزامي، فهو قسيم للوجوب لكن بلحاظ جنسه</w:t>
      </w:r>
      <w:r>
        <w:rPr>
          <w:rStyle w:val="FootnoteAnchor"/>
          <w:rtl w:val="true"/>
        </w:rPr>
        <w:footnoteReference w:id="1376"/>
      </w:r>
      <w:r>
        <w:rPr>
          <w:rFonts w:ascii="Amiri" w:hAnsi="Amiri" w:eastAsia="Amiri" w:cs="Amiri"/>
          <w:color w:val="111111"/>
          <w:sz w:val="28"/>
          <w:sz w:val="28"/>
          <w:szCs w:val="28"/>
          <w:rtl w:val="true"/>
          <w:lang w:bidi="ar-SA"/>
        </w:rPr>
        <w:t>فيكون التقسيم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إما للطلب الإلزامي أو لغيره، والثاني إما إرشاداً أو مولوية؛ إذ في كليهما ندب غير بالغ حد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إعمال مقام المولوية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ظهر لك عدم تمامية هذا بعد أن أوضحنا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المولوية و الإرشادية دواعي فقط، وليست جزء الموضوع له ولا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أوضحنا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حقيقة الوجوب والندب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الداعي، وجِهَةِ الإيجاب والاستحباب، لا فيهما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مولى مشرع، أو بما هو مولى </w:t>
      </w:r>
      <w:bookmarkStart w:id="1321" w:name="pg7671_77145"/>
    </w:p>
    <w:p>
      <w:pPr>
        <w:pStyle w:val="BookText"/>
        <w:rPr/>
      </w:pPr>
      <w:bookmarkEnd w:id="1321"/>
      <w:r>
        <w:rPr>
          <w:rFonts w:ascii="Amiri" w:hAnsi="Amiri" w:eastAsia="Amiri" w:cs="Amiri"/>
          <w:color w:val="111111"/>
          <w:sz w:val="28"/>
          <w:sz w:val="28"/>
          <w:szCs w:val="28"/>
          <w:rtl w:val="true"/>
          <w:lang w:bidi="ar-SA"/>
        </w:rPr>
        <w:t>ناصح، أو بما هو مرشد بقسميه</w:t>
      </w:r>
      <w:r>
        <w:rPr>
          <w:rStyle w:val="FootnoteAnchor"/>
          <w:rtl w:val="true"/>
        </w:rPr>
        <w:footnoteReference w:id="1377"/>
      </w:r>
      <w:r>
        <w:rPr>
          <w:rFonts w:ascii="Amiri" w:hAnsi="Amiri" w:eastAsia="Amiri" w:cs="Amiri"/>
          <w:color w:val="111111"/>
          <w:sz w:val="28"/>
          <w:sz w:val="28"/>
          <w:szCs w:val="28"/>
          <w:rtl w:val="true"/>
          <w:lang w:bidi="ar-SA"/>
        </w:rPr>
        <w:t xml:space="preserve">أي بما أن الفعل ذا مصلحة، فإن كان الباعث لحاظ حال الآمر وكونه مولى مشرعاً بل مولى ناصحاً، كان الندب والاستحباب بالمعنى المعهود، لكن قد يتأمل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وإن كان الباعث والداعي للأمر، لحاظ حال المأمور به وما فيه من مصلحة، كان أمراً إرشادياً مندوباً إليه، إلا القسم الرابع</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3960099_1051229030"/>
      <w:bookmarkStart w:id="1323" w:name="_Toc481"/>
      <w:bookmarkEnd w:id="1322"/>
      <w:r>
        <w:rPr>
          <w:rtl w:val="true"/>
        </w:rPr>
        <w:t>من ثمرات هذا المبحث</w:t>
      </w:r>
      <w:r>
        <w:rPr>
          <w:rtl w:val="true"/>
        </w:rPr>
        <w:t xml:space="preserve">: </w:t>
      </w:r>
      <w:r>
        <w:rPr>
          <w:rtl w:val="true"/>
        </w:rPr>
        <w:t>دخول الأوامر الإرشادية في الفقه</w:t>
      </w:r>
      <w:bookmarkEnd w:id="1323"/>
    </w:p>
    <w:p>
      <w:pPr>
        <w:pStyle w:val="BookText"/>
        <w:rPr/>
      </w:pPr>
      <w:r>
        <w:rPr>
          <w:rFonts w:ascii="Amiri" w:hAnsi="Amiri" w:eastAsia="Amiri" w:cs="Amiri"/>
          <w:color w:val="111111"/>
          <w:sz w:val="28"/>
          <w:sz w:val="28"/>
          <w:szCs w:val="28"/>
          <w:rtl w:val="true"/>
          <w:lang w:bidi="ar-SA"/>
        </w:rPr>
        <w:t xml:space="preserve">وتظهر الثمرة في هذه الأقوال في أنه 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الأوسط، يلزم إدخال قسم كبير جداً من الأوامر الإرشادية ـ وهو ما كان منها للوجوب أو للندب على رأيه ـ بل جلها في الفقه لكونها إما للوجوب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منها لمحض النصح، دون إعمال مقام المولوية بقسميه</w:t>
      </w:r>
      <w:r>
        <w:rPr>
          <w:rStyle w:val="FootnoteAnchor"/>
          <w:rtl w:val="true"/>
        </w:rPr>
        <w:footnoteReference w:id="1378"/>
      </w:r>
      <w:r>
        <w:rPr>
          <w:rFonts w:ascii="Amiri" w:hAnsi="Amiri" w:eastAsia="Amiri" w:cs="Amiri"/>
          <w:color w:val="111111"/>
          <w:sz w:val="28"/>
          <w:sz w:val="28"/>
          <w:szCs w:val="28"/>
          <w:rtl w:val="true"/>
          <w:lang w:bidi="ar-SA"/>
        </w:rPr>
        <w:t>، فإنه خارج عن  الفقه وداخل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تدخل كثير من الأوامر الطبية في الفقه، وكثير من الأوامر المتعلقة بالأمور الاقتصادية والمالية والتجارية، وكذلك المواعظ والنصائح الواردة من الشارع الأطهر، فيمايتعلق بشؤون الدنيا والآخرة مما تعلق منها بأفعال المكلفين، فإنها على هذا إما للوجوب أو للندب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فصل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ما صدر من المولى بما هو مولى تشريعاً، وما صدر منه بما هو مولى نصحاً، أي مطلق ماكان للوجوب أو الندب، هذا</w:t>
      </w:r>
      <w:r>
        <w:rPr>
          <w:rFonts w:eastAsia="Amiri" w:cs="Amiri" w:ascii="Amiri" w:hAnsi="Amiri"/>
          <w:color w:val="111111"/>
          <w:sz w:val="28"/>
          <w:szCs w:val="28"/>
          <w:rtl w:val="true"/>
          <w:lang w:bidi="ar-SA"/>
        </w:rPr>
        <w:t xml:space="preserve">. </w:t>
      </w:r>
      <w:bookmarkStart w:id="1324" w:name="pg7671_77146"/>
    </w:p>
    <w:p>
      <w:pPr>
        <w:pStyle w:val="BookText"/>
        <w:rPr/>
      </w:pPr>
      <w:bookmarkEnd w:id="1324"/>
      <w:r>
        <w:rPr>
          <w:rFonts w:ascii="Amiri" w:hAnsi="Amiri" w:eastAsia="Amiri" w:cs="Amiri"/>
          <w:color w:val="111111"/>
          <w:sz w:val="28"/>
          <w:sz w:val="28"/>
          <w:szCs w:val="28"/>
          <w:rtl w:val="true"/>
          <w:lang w:bidi="ar-SA"/>
        </w:rPr>
        <w:t>أما على الرأي الأول فلا، وكذا الثالث،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وجه التأمل مما فصلناه في مبحث دخول مباحث الأوامر والنواهي الإرشادية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الأمر الإرشادي لا طلب فيه أصلاً، فإنه خارج</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3960101_1051229030"/>
      <w:bookmarkStart w:id="1326" w:name="_Toc482"/>
      <w:bookmarkEnd w:id="1325"/>
      <w:r>
        <w:rPr>
          <w:rtl w:val="true"/>
        </w:rPr>
        <w:t>للمعصومين عليهم السلام</w:t>
      </w:r>
      <w:r>
        <w:rPr>
          <w:rtl w:val="true"/>
        </w:rPr>
        <w:t xml:space="preserve">: </w:t>
      </w:r>
      <w:r>
        <w:rPr>
          <w:rtl w:val="true"/>
        </w:rPr>
        <w:t>الولاية التكوينية والاعتبارية والتشريعية</w:t>
      </w:r>
      <w:bookmarkEnd w:id="1326"/>
    </w:p>
    <w:p>
      <w:pPr>
        <w:pStyle w:val="BookText"/>
        <w:rPr/>
      </w:pPr>
      <w:r>
        <w:rPr>
          <w:rFonts w:ascii="Amiri" w:hAnsi="Amiri" w:eastAsia="Amiri" w:cs="Amiri"/>
          <w:color w:val="111111"/>
          <w:sz w:val="28"/>
          <w:sz w:val="28"/>
          <w:szCs w:val="28"/>
          <w:rtl w:val="true"/>
          <w:lang w:bidi="ar-SA"/>
        </w:rPr>
        <w:t xml:space="preserve">ولعل مما يدل على كلام الشيخ قدس سره، أو يدل على ضرورة إدخال كل 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تأسيساً أو تأكيداً لما ذكرناه في ذلك الفصل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وآله والإمام عليه السلام، له الولاية التكوينية والاعتبارية</w:t>
      </w:r>
      <w:r>
        <w:rPr>
          <w:rStyle w:val="FootnoteAnchor"/>
          <w:rtl w:val="true"/>
        </w:rPr>
        <w:footnoteReference w:id="1379"/>
      </w:r>
      <w:r>
        <w:rPr>
          <w:rFonts w:ascii="Amiri" w:hAnsi="Amiri" w:eastAsia="Amiri" w:cs="Amiri"/>
          <w:color w:val="111111"/>
          <w:sz w:val="28"/>
          <w:sz w:val="28"/>
          <w:szCs w:val="28"/>
          <w:rtl w:val="true"/>
          <w:lang w:bidi="ar-SA"/>
        </w:rPr>
        <w:t>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138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نقموا إلا أن أغناهم الله ورسوله من فضله</w:t>
      </w:r>
      <w:r>
        <w:rPr>
          <w:rFonts w:eastAsia="IRNazanin" w:cs="IRNazanin"/>
          <w:color w:val="111111"/>
          <w:sz w:val="28"/>
          <w:szCs w:val="28"/>
          <w:rtl w:val="true"/>
          <w:lang w:bidi="fa-IR"/>
        </w:rPr>
        <w:t>»</w:t>
      </w:r>
      <w:r>
        <w:rPr>
          <w:rStyle w:val="FootnoteAnchor"/>
          <w:rtl w:val="true"/>
        </w:rPr>
        <w:footnoteReference w:id="138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لهم، تكويني، بعضه بأسباب طبيعية وبعضه بأسباب غيبية، والظاهر إرادته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يعمّه، وللمئات من الأدلة الأخرى،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بالولاية من الأب والجد وحاكم الشرع وعدول المؤمنين في الجملة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من ولايتهم، وقال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وعلي أبوا </w:t>
      </w:r>
      <w:bookmarkStart w:id="1327" w:name="pg7671_77147"/>
    </w:p>
    <w:p>
      <w:pPr>
        <w:pStyle w:val="BookText"/>
        <w:rPr/>
      </w:pPr>
      <w:bookmarkEnd w:id="1327"/>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ففوض إليه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بروايات أخرى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النبي صلى الله عليه وآله لبعض الأحكام، وإمضاء الله تعالى لها</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3960103_1051229030"/>
      <w:bookmarkStart w:id="1329" w:name="_Toc483"/>
      <w:bookmarkEnd w:id="1328"/>
      <w:r>
        <w:rPr>
          <w:rtl w:val="true"/>
        </w:rPr>
        <w:t>(</w:t>
      </w:r>
      <w:r>
        <w:rPr>
          <w:rtl w:val="true"/>
        </w:rPr>
        <w:t>النصح</w:t>
      </w:r>
      <w:r>
        <w:rPr>
          <w:rtl w:val="true"/>
        </w:rPr>
        <w:t xml:space="preserve">) </w:t>
      </w:r>
      <w:r>
        <w:rPr>
          <w:rtl w:val="true"/>
        </w:rPr>
        <w:t>من شؤون الولاية</w:t>
      </w:r>
      <w:bookmarkEnd w:id="1329"/>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وملزِماً، من شؤون الولاية الاعتبارية بل والتكوينية أيضاً فإن من له الولاية الاعتبارية، من شأنه أن ينصح المولَّى عليه، نصحاً إلزامياً وغير إلزامي؛ فإنه بحاجة لكليهما، وكذا من له الولاية التكوينية،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الإلزامي محقق لغرضه، فإنه وإن أمكنه الإيجاد التكويني لما يراد بالنصيحة إلا أن مقتضى عالم الامتحان والابتلاء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يمزج الأمرين ويتوصل إلى غرضه بالنحوين</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فإنه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دلت عليه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امتلأ به الكتاب والسنة، وكما بعث الرسل لأجله في الجملة،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من له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يناسبه أن ينصح من يشرع لهم الأحكام، ويعظهم بالالتزام والإطاعة والإتباع، ويحذرهم مغبة الخلاف، هذا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بشعبها له بحث طويل جداً ولعل الله تعالى يوفقنا </w:t>
      </w:r>
      <w:bookmarkStart w:id="1330" w:name="pg7671_77148"/>
    </w:p>
    <w:p>
      <w:pPr>
        <w:pStyle w:val="BookText"/>
        <w:rPr/>
      </w:pPr>
      <w:bookmarkEnd w:id="1330"/>
      <w:r>
        <w:rPr>
          <w:rFonts w:ascii="Amiri" w:hAnsi="Amiri" w:eastAsia="Amiri" w:cs="Amiri"/>
          <w:color w:val="111111"/>
          <w:sz w:val="28"/>
          <w:sz w:val="28"/>
          <w:szCs w:val="28"/>
          <w:rtl w:val="true"/>
          <w:lang w:bidi="ar-SA"/>
        </w:rPr>
        <w:t>لكتابة بحث مستقل عنه، إنه الموفق المستعان</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3960105_1051229030"/>
      <w:bookmarkStart w:id="1332" w:name="_Toc484"/>
      <w:bookmarkEnd w:id="1331"/>
      <w:r>
        <w:rPr>
          <w:rtl w:val="true"/>
        </w:rPr>
        <w:t xml:space="preserve">كما هو من شؤون </w:t>
      </w:r>
      <w:r>
        <w:rPr>
          <w:rtl w:val="true"/>
        </w:rPr>
        <w:t>(</w:t>
      </w:r>
      <w:r>
        <w:rPr>
          <w:rtl w:val="true"/>
        </w:rPr>
        <w:t>الرحمة</w:t>
      </w:r>
      <w:r>
        <w:rPr>
          <w:rtl w:val="true"/>
        </w:rPr>
        <w:t>)</w:t>
      </w:r>
      <w:bookmarkEnd w:id="1332"/>
    </w:p>
    <w:p>
      <w:pPr>
        <w:pStyle w:val="BookText"/>
        <w:rPr/>
      </w:pPr>
      <w:r>
        <w:rPr>
          <w:rFonts w:ascii="Amiri" w:hAnsi="Amiri" w:eastAsia="Amiri" w:cs="Amiri"/>
          <w:color w:val="111111"/>
          <w:sz w:val="28"/>
          <w:sz w:val="28"/>
          <w:szCs w:val="28"/>
          <w:rtl w:val="true"/>
          <w:lang w:bidi="ar-SA"/>
        </w:rPr>
        <w:t xml:space="preserve">بل مع قطع النظر عن ثبوت هذه المقامات لهم صلوات الله عليهم، فإنه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ينصح موجباً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ينصح غير موجب أو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أخرى؛ فإن ذلك مقتضى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 عليه، فيريد رفعه ـ فيما يرفعه ـ بالنصح بقسميه</w:t>
      </w:r>
      <w:r>
        <w:rPr>
          <w:rStyle w:val="FootnoteAnchor"/>
          <w:rtl w:val="true"/>
        </w:rPr>
        <w:footnoteReference w:id="1385"/>
      </w:r>
      <w:r>
        <w:rPr>
          <w:rFonts w:ascii="Amiri" w:hAnsi="Amiri" w:eastAsia="Amiri" w:cs="Amiri"/>
          <w:color w:val="111111"/>
          <w:sz w:val="28"/>
          <w:sz w:val="28"/>
          <w:szCs w:val="28"/>
          <w:rtl w:val="true"/>
          <w:lang w:bidi="ar-SA"/>
        </w:rPr>
        <w:t>بالعمل بما يسبب دفعه أو رفعه، ويمكن التعبير عن هذا المقام ـ إضافة للمقامات الثلاثة المتقدمة ـ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النصح الإلزامي أيضاً</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3960107_1051229030"/>
      <w:bookmarkStart w:id="1334" w:name="_Toc485"/>
      <w:bookmarkEnd w:id="1333"/>
      <w:r>
        <w:rPr>
          <w:rtl w:val="true"/>
        </w:rPr>
        <w:t xml:space="preserve">كما هو من شؤون </w:t>
      </w:r>
      <w:r>
        <w:rPr>
          <w:rtl w:val="true"/>
        </w:rPr>
        <w:t>(</w:t>
      </w:r>
      <w:r>
        <w:rPr>
          <w:rtl w:val="true"/>
        </w:rPr>
        <w:t>المسؤولية</w:t>
      </w:r>
      <w:r>
        <w:rPr>
          <w:rtl w:val="true"/>
        </w:rPr>
        <w:t>)</w:t>
      </w:r>
      <w:bookmarkEnd w:id="133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تحقيق أغراض البعثة وغاياتها، يقتضي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الغاية وهذا المقام هو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وقد ذكرنا بعضاً من التفصيل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المشار إليه بقوله صلى الله عليه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ـ وهذا مما يوضح مقام المسؤولية ـ ومن البين أن من طرق إتمام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ينصح موجباً، ويحكم </w:t>
      </w:r>
      <w:bookmarkStart w:id="1335" w:name="pg7671_77149"/>
    </w:p>
    <w:p>
      <w:pPr>
        <w:pStyle w:val="BookText"/>
        <w:rPr/>
      </w:pPr>
      <w:bookmarkEnd w:id="1335"/>
      <w:r>
        <w:rPr>
          <w:rFonts w:ascii="Amiri" w:hAnsi="Amiri" w:eastAsia="Amiri" w:cs="Amiri"/>
          <w:color w:val="111111"/>
          <w:sz w:val="28"/>
          <w:sz w:val="28"/>
          <w:szCs w:val="28"/>
          <w:rtl w:val="true"/>
          <w:lang w:bidi="ar-SA"/>
        </w:rPr>
        <w:t>مرشداً بإيجاب أو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كون الغرض من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قسماً كبيراً منها داخل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باصطلاحهم، دليل آخر على كونها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إدراجها في الفقه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لهما صلوات الله عليهما وآلهما، كل العناية بشؤون الدنيا كشؤون الآخرة، وبالأمر المولوي كالإرشادي، ولذا عد سبحانه وتعالى من أهداف بعثته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 وَيُحَرِّمُ عَلَيْهِمُ الْخَبَآئِثَ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وقد فصلنا ذلك في موضع آخر فليلاحظ</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3960109_1051229030"/>
      <w:bookmarkStart w:id="1337" w:name="_Toc486"/>
      <w:bookmarkEnd w:id="1336"/>
      <w:r>
        <w:rPr>
          <w:rtl w:val="true"/>
        </w:rPr>
        <w:t>هل التشريع والنصح، واجبان على النبي صلى الله عليه وآله؟</w:t>
      </w:r>
      <w:bookmarkEnd w:id="1337"/>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إصداره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واجب عليه صلى الله عليه وآله، ومسؤولية له، فكذلك إصداره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النصحية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إصداره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الإرشادية الايجابية والندبية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واجب،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 منه بما هو مولى أو لا، ملزِماً وغير ملزم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فرع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صنف من أصنافه، كما أن منه ما هو قسيم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ووجوب أو استحباب الإطاعة والإتباع لدى كل من الأوامر المولوية والإرشادية، وكذلك الإنزجار والارتداع لدى صدور </w:t>
      </w:r>
      <w:bookmarkStart w:id="1338" w:name="pg7671_77150"/>
    </w:p>
    <w:p>
      <w:pPr>
        <w:pStyle w:val="BookText"/>
        <w:rPr/>
      </w:pPr>
      <w:bookmarkEnd w:id="1338"/>
      <w:r>
        <w:rPr>
          <w:rFonts w:ascii="Amiri" w:hAnsi="Amiri" w:eastAsia="Amiri" w:cs="Amiri"/>
          <w:color w:val="111111"/>
          <w:sz w:val="28"/>
          <w:sz w:val="28"/>
          <w:szCs w:val="28"/>
          <w:rtl w:val="true"/>
          <w:lang w:bidi="ar-SA"/>
        </w:rPr>
        <w:t>أي نهي مولوي تشريعي أو مولوي إرشادي، أو إرشادي ـ إيجابي أو 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الاتباع والإنزجار عند مطلق الإرشاد وإن لم يكن للإيجاب أو الندب، وذلك كالنصائح الطبية المحضة</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3960111_1051229030"/>
      <w:bookmarkStart w:id="1340" w:name="_Toc487"/>
      <w:bookmarkEnd w:id="1339"/>
      <w:r>
        <w:rPr>
          <w:rtl w:val="true"/>
        </w:rPr>
        <w:t>فرق كلامنا عن كلام سلطان العلماء</w:t>
      </w:r>
      <w:bookmarkEnd w:id="1340"/>
    </w:p>
    <w:p>
      <w:pPr>
        <w:pStyle w:val="BookText"/>
        <w:rPr/>
      </w:pPr>
      <w:r>
        <w:rPr>
          <w:rFonts w:ascii="Amiri" w:hAnsi="Amiri" w:eastAsia="Amiri" w:cs="Amiri"/>
          <w:color w:val="111111"/>
          <w:sz w:val="28"/>
          <w:sz w:val="28"/>
          <w:szCs w:val="28"/>
          <w:rtl w:val="true"/>
          <w:lang w:bidi="ar-SA"/>
        </w:rPr>
        <w:t xml:space="preserve">وغير خفي أن ما صرنا إليه مغاير لما نقله المحقق الرشتي عن السلطان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كل أوامر الشرع، 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يرى وجود جهتي المولوية والنصح النابع من لحاظ المصلحة، في كل أوامر الشارع، حتى المولوي ـ التشريعي؛ لأنه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فهو كتعريف صاحب الجواهر للإرشاد ـ بالمعنى الأعم ـ بالهداية، ولا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مولوي، أما ما ذكرناه فإنه يعتبر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مصاديق مقام المولوية وإن كان منه ما هو قسيم له، بل أوضحنا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 وغيره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مآل ما ذكرناه إلى التغاير الذاتي والوجودي بين المولوي النصحي والمولوي التشريعي والإرشادي الإلزامي، أما مآل كلامه فهو التغاير بالمفهوم لا الوجود أي بحمل هو هو لا ذو هو ـ فتأمل</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1" w:name="pg7671_77152"/>
      <w:bookmarkStart w:id="1342" w:name="pg7671_77152"/>
      <w:bookmarkEnd w:id="1342"/>
    </w:p>
    <w:p>
      <w:pPr>
        <w:pStyle w:val="Heading2"/>
        <w:numPr>
          <w:ilvl w:val="1"/>
          <w:numId w:val="1"/>
        </w:numPr>
        <w:rPr/>
      </w:pPr>
      <w:bookmarkStart w:id="1343" w:name="pg7671_77152"/>
      <w:bookmarkStart w:id="1344" w:name="__RefHeading___Toc3960113_1051229030"/>
      <w:bookmarkStart w:id="1345" w:name="_Toc488"/>
      <w:bookmarkEnd w:id="1343"/>
      <w:bookmarkEnd w:id="1344"/>
      <w:r>
        <w:rPr>
          <w:rtl w:val="true"/>
        </w:rPr>
        <w:t>المبحث العاشر</w:t>
      </w:r>
      <w:r>
        <w:rPr>
          <w:rtl w:val="true"/>
        </w:rPr>
        <w:t xml:space="preserve">: </w:t>
      </w:r>
      <w:r>
        <w:rPr>
          <w:rtl w:val="true"/>
        </w:rPr>
        <w:t>هل الأوامر والنواهي في المعاملات إرشادية؟</w:t>
      </w:r>
      <w:bookmarkEnd w:id="134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6" w:name="__RefHeading___Toc3960115_1051229030"/>
      <w:bookmarkStart w:id="1347" w:name="_Toc489"/>
      <w:bookmarkEnd w:id="1346"/>
      <w:r>
        <w:rPr>
          <w:rtl w:val="true"/>
        </w:rPr>
        <w:t>اشارة</w:t>
      </w:r>
      <w:bookmarkEnd w:id="134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8" w:name="pg7671_77154"/>
      <w:bookmarkStart w:id="1349" w:name="pg7671_77154"/>
      <w:bookmarkEnd w:id="1349"/>
    </w:p>
    <w:p>
      <w:pPr>
        <w:pStyle w:val="BookText"/>
        <w:rPr/>
      </w:pPr>
      <w:bookmarkStart w:id="1350" w:name="pg7671_77154"/>
      <w:bookmarkEnd w:id="1350"/>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حول الأوامر والنواهي في المعاملات حيث أنهم ذهبوا عادة إلى كونها إرشادية ـ أي إلى كون الشيء سبباً أو شرطاً أو شطراً أو مانعاً ـ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ذَوَيْ عَدْلٍ مِّنكُمْ</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 xml:space="preserve">للطلاق، أو اشتراط العربية ـ على فرضها ـ في البيع دون الصلح، أو ذكر اسم الله على الذبيحة، في الحلية،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 وَاذْكُرُواْ اسْمَ اللّهِ عَلَيْهِ</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أو التنجيز في الصحة، أو عدم العيب والغبن، في اللزوم</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3960117_1051229030"/>
      <w:bookmarkStart w:id="1352" w:name="_Toc490"/>
      <w:bookmarkEnd w:id="1351"/>
      <w:r>
        <w:rPr>
          <w:rtl w:val="true"/>
        </w:rPr>
        <w:t xml:space="preserve">معاني وإطلاقات </w:t>
      </w:r>
      <w:r>
        <w:rPr>
          <w:rtl w:val="true"/>
        </w:rPr>
        <w:t>(</w:t>
      </w:r>
      <w:r>
        <w:rPr>
          <w:rtl w:val="true"/>
        </w:rPr>
        <w:t>الأمر الإرشادي</w:t>
      </w:r>
      <w:r>
        <w:rPr>
          <w:rtl w:val="true"/>
        </w:rPr>
        <w:t>)</w:t>
      </w:r>
      <w:bookmarkEnd w:id="135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فإنه في عرف الفقهاء والأصوليين قد أطلق على معاني عديدة، ولربما أراد به فقيه معنى، وفقيه آخر معنى آخر، بل قد تختلف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لدى الفقيه الواحد في الأبواب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نعني بالأمر الإرشادي إلا ما لا يترتب على مخالفته سوى ما يقتضيه نفس ترك المأمور به مع قطع النظر عن تعلق الأمر به، ولا على موافقته إلا ما يقتضيه فعله كذلك</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إرشادياً بمعناه المصطلح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الأمر بالإطاعة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والرسول</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الذي يرجع الإنشاء فيه إلى الإخبار بوجود المصلحة ونحوه</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وقد فصلنا في موضع آخر من الكتاب عدم تمامية إرجاع الإنشاء في الأمر الإرشادي إلى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عن آية الإطاعة، فبأنها مسوقة للإرشاد إلى ما يستقل به العقل، وليس الطلب فيها مولوياً</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مما قد يستظهر منه ذهابه للضابط الخامس الذي فصلناه في هذا الكتاب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المعنى أخص من المعنى الأول الذي ذكره الشيخ؛ إذ هذا خاص بالإرشاد إلى ما استقل به العقل، وذاك أعم منه ومن كل </w:t>
      </w:r>
    </w:p>
    <w:p>
      <w:pPr>
        <w:pStyle w:val="BookText"/>
        <w:rPr/>
      </w:pPr>
      <w:r>
        <w:rPr>
          <w:rFonts w:ascii="Amiri" w:hAnsi="Amiri" w:eastAsia="Amiri" w:cs="Amiri"/>
          <w:color w:val="111111"/>
          <w:sz w:val="28"/>
          <w:sz w:val="28"/>
          <w:szCs w:val="28"/>
          <w:rtl w:val="true"/>
          <w:lang w:bidi="ar-SA"/>
        </w:rPr>
        <w:t>ما لا يترتب على مخالفته سوى ما يقتضيه نفس ترك المأمور به، سواء استقل به العقل أم لا؟</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بالإرشاد معناه الأعم أي الهداية إلى ما فيه المصلحة، فهو غير مناف للتحريم ضرورة كون الأحكام الشرعية جميعها إرشادية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بالإرشاد معناه المصطلح أي الدلالة على ما هو الأليق والأصلح بحال العبد في الأمور الدنيوية خاصة، كما يستفاد من كلامهم في الأمر الإرشادي وغيره</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والمعنى الثاني هو الضابط الثاني الذي فصلناه في مبحث ضوابط المولوية والإرشادية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المحقق الأصفهاني أن الإرشاد أعم مما كان إرشاداً للحكم التكليفي أو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بالوفاء ـ بالعقد ـ هل هو إرشاد إلى الصحة أو اللزوم أو هما معاً</w:t>
      </w:r>
      <w:r>
        <w:rPr>
          <w:rFonts w:eastAsia="Amiri" w:cs="Amiri" w:ascii="Amiri" w:hAnsi="Amiri"/>
          <w:color w:val="111111"/>
          <w:sz w:val="28"/>
          <w:szCs w:val="28"/>
          <w:rtl w:val="true"/>
          <w:lang w:bidi="ar-SA"/>
        </w:rPr>
        <w:t>).</w:t>
      </w:r>
      <w:r>
        <w:rPr>
          <w:rStyle w:val="FootnoteAnchor"/>
          <w:rtl w:val="true"/>
        </w:rPr>
        <w:footnoteReference w:id="139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منه أخذ المحقق الخوئي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بالإرشاد في المقام إنما هو في مقابل التكليف لا في مقابل المولوية، بمعنى أن حمل الأمر على الصحة واللزوم المعبر عنه بالإرشاد، وحمله على الوجوب والتكليف، كلاهما حمل للأمر على المولوية في المقام، وليس أحدها </w:t>
      </w:r>
      <w:bookmarkStart w:id="1353" w:name="pg7671_77157"/>
    </w:p>
    <w:p>
      <w:pPr>
        <w:pStyle w:val="BookText"/>
        <w:rPr/>
      </w:pPr>
      <w:bookmarkEnd w:id="1353"/>
      <w:r>
        <w:rPr>
          <w:rFonts w:ascii="Amiri" w:hAnsi="Amiri" w:eastAsia="Amiri" w:cs="Amiri"/>
          <w:color w:val="111111"/>
          <w:sz w:val="28"/>
          <w:sz w:val="28"/>
          <w:szCs w:val="28"/>
          <w:rtl w:val="true"/>
          <w:lang w:bidi="ar-SA"/>
        </w:rPr>
        <w:t>مولوياً والآخر إرشادياً بمعناه المصطلح وهو عدم ترتب شيء عليه</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ولعل المستفاد من كلام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الإرشاد إن قصد به لحاظ أن الأحكام الشرعية ألطاف في الأحكام العقلية، فهو أعم من المولوية وليس في قبالها، وإن قصد به ما كان لكشف الجهل كأمر الطبيب حيث لا ثواب ولا عقاب، أو للتأكيد مثل أطيعوا الله، كان مقابلاً للمولوية</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ثم إن مما ذكرناه في بحث ضوابط الأمر المولوي والإرشادي، يظهر وجود اطلاقات أخرى عديدة، للإرشادي، فقد ذكرنا هنالك تسعة إطلاقات للإرشادي مع تحقيق القول فيها فليراجع</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3960119_1051229030"/>
      <w:bookmarkStart w:id="1355" w:name="_Toc491"/>
      <w:bookmarkEnd w:id="1354"/>
      <w:r>
        <w:rPr>
          <w:rtl w:val="true"/>
        </w:rPr>
        <w:t>الإمكان ثبوتاً والتفصيل إثباتاً</w:t>
      </w:r>
      <w:bookmarkEnd w:id="1355"/>
    </w:p>
    <w:p>
      <w:p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البحث في الأوامر والنواهي في المعاملات وأنها إرشادية أم لا، هو الإرشادي ـ الوضعي، أي الإرشاد للحكم الوضعي، وهو  المولوي بالمعنى الآخر</w:t>
      </w:r>
      <w:r>
        <w:rPr>
          <w:rStyle w:val="FootnoteAnchor"/>
          <w:rtl w:val="true"/>
        </w:rPr>
        <w:footnoteReference w:id="1398"/>
      </w:r>
      <w:r>
        <w:rPr>
          <w:rFonts w:ascii="Amiri" w:hAnsi="Amiri" w:eastAsia="Amiri" w:cs="Amiri"/>
          <w:color w:val="111111"/>
          <w:sz w:val="28"/>
          <w:sz w:val="28"/>
          <w:szCs w:val="28"/>
          <w:rtl w:val="true"/>
          <w:lang w:bidi="ar-SA"/>
        </w:rPr>
        <w:t>ويراد بالمولوي، المولوي ـ التكليفي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إمكان ذلك ثبوتاً، بأن يعتبر المشرِّع، كل تلك الأوامر والنواهي مولوية ـ تكليفية</w:t>
      </w:r>
      <w:r>
        <w:rPr>
          <w:rStyle w:val="FootnoteAnchor"/>
          <w:rtl w:val="true"/>
        </w:rPr>
        <w:footnoteReference w:id="1399"/>
      </w:r>
      <w:r>
        <w:rPr>
          <w:rFonts w:ascii="Amiri" w:hAnsi="Amiri" w:eastAsia="Amiri" w:cs="Amiri"/>
          <w:color w:val="111111"/>
          <w:sz w:val="28"/>
          <w:sz w:val="28"/>
          <w:szCs w:val="28"/>
          <w:rtl w:val="true"/>
          <w:lang w:bidi="ar-SA"/>
        </w:rPr>
        <w:t xml:space="preserve">، فيكون البيع الغرري والبيع الربوي وبيع آلات القمار وشبهها، محرماً تكليفاً، وليس فقط باطلاً وضعاً، ويكون عدم ذكر اسم الله على الذبيحة أو إجراء العقد بغير تنجيز </w:t>
      </w:r>
    </w:p>
    <w:p>
      <w:pPr>
        <w:pStyle w:val="BookText"/>
        <w:rPr/>
      </w:pPr>
      <w:r>
        <w:rPr>
          <w:rFonts w:ascii="Amiri" w:hAnsi="Amiri" w:eastAsia="Amiri" w:cs="Amiri"/>
          <w:color w:val="111111"/>
          <w:sz w:val="28"/>
          <w:sz w:val="28"/>
          <w:szCs w:val="28"/>
          <w:rtl w:val="true"/>
          <w:lang w:bidi="ar-SA"/>
        </w:rPr>
        <w:t>أو بغير العربية مثلاً، محرماً، وكذا يكون إيقاع الطلاق في طهر المواقعة أو بغير شاهدين محرماً كذلك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الإثبات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موارد النهي بين كون مصبِّه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كون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وبين كونه ذا مفسدة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النهي عن البيع الربوي وبيع آلات القمار وبيع الخمر وبيع المصحف للكافر لا للهداية</w:t>
      </w:r>
      <w:r>
        <w:rPr>
          <w:rStyle w:val="FootnoteAnchor"/>
          <w:rtl w:val="true"/>
        </w:rPr>
        <w:footnoteReference w:id="1400"/>
      </w:r>
      <w:r>
        <w:rPr>
          <w:rFonts w:ascii="Amiri" w:hAnsi="Amiri" w:eastAsia="Amiri" w:cs="Amiri"/>
          <w:color w:val="111111"/>
          <w:sz w:val="28"/>
          <w:sz w:val="28"/>
          <w:szCs w:val="28"/>
          <w:rtl w:val="true"/>
          <w:lang w:bidi="ar-SA"/>
        </w:rPr>
        <w:t>وشبهها، نهي مولوي ـ تكليفي ووضعي، فيستدعي الحرمة، كما هو الأصل في النهي، كما يستدعي البطلان ـ وهو الحكم الوضعي ـ إما لانتزاعه منه كما ذهب إليه الشيخ، وإما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النهي عن مثل ترك ذكر اسم الله على الذبيحة، أو إجراء عقد النكاح بغير تنجيز أو بغير العربية ـ على القول بلزومها ـ أو إيقاع الطلاق في غير طهر المواقعة أو بغير شاهدين، أو بيع المجهول أو بيع النقدين بدون تقابض في المجلس وما أشبه، فهل هو مولوي ـ تكليفي، إن قصد الجد أي قصد بذلك ترتيب الآثار؟ أو قصد التشريع؟ أو مطلقاً، للحرمة أو للكراهة؟ أم هو إرشاد للفساد فقط كما عليه المشهور؟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مولوي ـ تشريعي </w:t>
      </w:r>
      <w:bookmarkStart w:id="1356" w:name="pg7671_77159"/>
    </w:p>
    <w:p>
      <w:pPr>
        <w:pStyle w:val="BookText"/>
        <w:rPr/>
      </w:pPr>
      <w:bookmarkEnd w:id="1356"/>
      <w:r>
        <w:rPr>
          <w:rFonts w:ascii="Amiri" w:hAnsi="Amiri" w:eastAsia="Amiri" w:cs="Amiri"/>
          <w:color w:val="111111"/>
          <w:sz w:val="28"/>
          <w:sz w:val="28"/>
          <w:szCs w:val="28"/>
          <w:rtl w:val="true"/>
          <w:lang w:bidi="ar-SA"/>
        </w:rPr>
        <w:t>للوجوب بمعنى حرمة الفسخ، أم إن الفسخ باطل فقط؟</w:t>
      </w:r>
    </w:p>
    <w:p>
      <w:pPr>
        <w:pStyle w:val="Heading3"/>
        <w:numPr>
          <w:ilvl w:val="2"/>
          <w:numId w:val="1"/>
        </w:numPr>
        <w:rPr/>
      </w:pPr>
      <w:bookmarkStart w:id="1357" w:name="__RefHeading___Toc3960121_1051229030"/>
      <w:bookmarkStart w:id="1358" w:name="_Toc492"/>
      <w:bookmarkEnd w:id="1357"/>
      <w:r>
        <w:rPr>
          <w:rtl w:val="true"/>
        </w:rPr>
        <w:t>(</w:t>
      </w:r>
      <w:r>
        <w:rPr>
          <w:rtl w:val="true"/>
        </w:rPr>
        <w:t>الإرشادي</w:t>
      </w:r>
      <w:r>
        <w:rPr>
          <w:rtl w:val="true"/>
        </w:rPr>
        <w:t xml:space="preserve">) </w:t>
      </w:r>
      <w:r>
        <w:rPr>
          <w:rtl w:val="true"/>
        </w:rPr>
        <w:t>فيما لو تعلقت الأوامر والنواهي بالأجزاء والشرائط</w:t>
      </w:r>
      <w:bookmarkEnd w:id="1358"/>
    </w:p>
    <w:p>
      <w:pPr>
        <w:pStyle w:val="BookText"/>
        <w:rPr/>
      </w:pPr>
      <w:r>
        <w:rPr>
          <w:rFonts w:ascii="Amiri" w:hAnsi="Amiri" w:eastAsia="Amiri" w:cs="Amiri"/>
          <w:color w:val="111111"/>
          <w:sz w:val="28"/>
          <w:sz w:val="28"/>
          <w:szCs w:val="28"/>
          <w:rtl w:val="true"/>
          <w:lang w:bidi="ar-SA"/>
        </w:rPr>
        <w:t>وإجمال بعض القول في ذلك في ضمن البحث الآتي، فنقول وبالله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من المحقق الرشتي رحمه الله في بدائع الأفكار هو اختصاص دعوى إرشادية أوامر ونواهي المعاملات بما تعلق بأجزائها وشرائطها،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ـ أي من معاني الصيغة ـ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تعلق بأبواب المعاملات من أجزائها وشرائطها</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فيظهر منه عدم الالتزام بالإرشادية إن توجه النهي إلى أصل المعاملة كالنهي عن المعاملة الربوية</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3960123_1051229030"/>
      <w:bookmarkStart w:id="1360" w:name="_Toc493"/>
      <w:bookmarkEnd w:id="1359"/>
      <w:r>
        <w:rPr>
          <w:rtl w:val="true"/>
        </w:rPr>
        <w:t>تفصيلات أخرى</w:t>
      </w:r>
      <w:bookmarkEnd w:id="136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يستفاد من السيد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آخر بين ما لو تعلق النهي بالمسبب</w:t>
      </w:r>
      <w:r>
        <w:rPr>
          <w:rStyle w:val="FootnoteAnchor"/>
          <w:rtl w:val="true"/>
        </w:rPr>
        <w:footnoteReference w:id="1402"/>
      </w:r>
      <w:r>
        <w:rPr>
          <w:rFonts w:ascii="Amiri" w:hAnsi="Amiri" w:eastAsia="Amiri" w:cs="Amiri"/>
          <w:color w:val="111111"/>
          <w:sz w:val="28"/>
          <w:sz w:val="28"/>
          <w:szCs w:val="28"/>
          <w:rtl w:val="true"/>
          <w:lang w:bidi="ar-SA"/>
        </w:rPr>
        <w:t>ـ كبيع المصحف للكافر ـ أو تعلق بالأثر الذي لا ينفك عن المعاملة ـ كالنهي عن أكل ثمن العذرة ـ وبين ما لو تعلق بالسبب ـ كالبيع وقت النداء ـ</w:t>
      </w:r>
      <w:r>
        <w:rPr>
          <w:rFonts w:eastAsia="Amiri" w:cs="Amiri" w:ascii="Amiri" w:hAnsi="Amiri"/>
          <w:color w:val="111111"/>
          <w:sz w:val="28"/>
          <w:szCs w:val="28"/>
          <w:rtl w:val="true"/>
          <w:lang w:bidi="ar-SA"/>
        </w:rPr>
        <w:t>.</w:t>
      </w:r>
      <w:r>
        <w:rPr>
          <w:rStyle w:val="FootnoteAnchor"/>
          <w:rtl w:val="true"/>
        </w:rPr>
        <w:footnoteReference w:id="1403"/>
      </w:r>
      <w:bookmarkStart w:id="1361" w:name="pg7671_77160"/>
    </w:p>
    <w:p>
      <w:pPr>
        <w:pStyle w:val="BookText"/>
        <w:rPr/>
      </w:pPr>
      <w:bookmarkEnd w:id="1361"/>
      <w:r>
        <w:rPr>
          <w:rFonts w:ascii="Amiri" w:hAnsi="Amiri" w:eastAsia="Amiri" w:cs="Amiri"/>
          <w:color w:val="111111"/>
          <w:sz w:val="28"/>
          <w:sz w:val="28"/>
          <w:szCs w:val="28"/>
          <w:rtl w:val="true"/>
          <w:lang w:bidi="ar-SA"/>
        </w:rPr>
        <w:t xml:space="preserve">والحديث عن سائر التفاصيل، وعن مدى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الثانوي في باب المعاملات ـ أي في الإرشاد ـ</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xml:space="preserve">وحدوده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ـ أي الحكم الوضعي ـ هو الأصل في الأوامروالنواهي المتعلقة بالمعاملات بالمعنى الأعم الشامل للإيقاعات ولو بقرينة فهم المشهور منها ذلك</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يستدعي كتاباً مستقلاً وسنبحثه في المجلد الثاني لهذا الكتاب لو وفقنا له</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3960125_1051229030"/>
      <w:bookmarkStart w:id="1363" w:name="_Toc494"/>
      <w:bookmarkEnd w:id="1362"/>
      <w:r>
        <w:rPr>
          <w:rtl w:val="true"/>
        </w:rPr>
        <w:t>دعوى أن النهي المتعلق بأصل المعاملة إرشادي ودليلها</w:t>
      </w:r>
      <w:bookmarkEnd w:id="1363"/>
    </w:p>
    <w:p>
      <w:pPr>
        <w:pStyle w:val="BookText"/>
        <w:rPr/>
      </w:pPr>
      <w:r>
        <w:rPr>
          <w:rFonts w:ascii="Amiri" w:hAnsi="Amiri" w:eastAsia="Amiri" w:cs="Amiri"/>
          <w:color w:val="111111"/>
          <w:sz w:val="28"/>
          <w:sz w:val="28"/>
          <w:szCs w:val="28"/>
          <w:rtl w:val="true"/>
          <w:lang w:bidi="ar-SA"/>
        </w:rPr>
        <w:t>و سنقصر البحث في هذه العجالة على النهي المتعلق بأصل المعاملة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الخوئي إلى أن كافة النواهي الواردة في المعاملات إنما هي إرشادية، حتى مثل النهي عن بيع الخمر والبيع الربوي وبيع آلات القمار فإنها إرشاد إلى تقيد المعاملة بعدم كونها متعلقة بآلات القمار مثلاً، أي هي إرشاد لمانعيته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الروايات الواردة في أبواب المعاملات فأيضاً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المنع عن بيع الخمر، والبيع الربوي، والبيع الغرري، وبيع النقدين بدون التقابض في المجلس، وبيع المجهول، وبيع آلات القمار والغناء وبيع غير البالغ، وما شاكل ذلك، مما يعتبر عدمه في صحة المعاملة، سواء أكان من أوصاف العوضين، أم </w:t>
      </w:r>
      <w:bookmarkStart w:id="1364" w:name="pg7671_77161"/>
    </w:p>
    <w:p>
      <w:pPr>
        <w:pStyle w:val="BookText"/>
        <w:rPr/>
      </w:pPr>
      <w:bookmarkEnd w:id="1364"/>
      <w:r>
        <w:rPr>
          <w:rFonts w:ascii="Amiri" w:hAnsi="Amiri" w:eastAsia="Amiri" w:cs="Amiri"/>
          <w:color w:val="111111"/>
          <w:sz w:val="28"/>
          <w:sz w:val="28"/>
          <w:szCs w:val="28"/>
          <w:rtl w:val="true"/>
          <w:lang w:bidi="ar-SA"/>
        </w:rPr>
        <w:t>كان من أوصاف المتعاملين، أم كان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 بنا أن نقول في هذا المقام هو أن هذه النواهي جميعاً نواهي إرشادية، فتكون إرشاداً إلى مانعية هذه الأمور عن صحة العبادات والمعاملات ومُبرِزة لاعتبار عدمها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مرد ذلك إلى أن المطلوب هو حصة خاصة من العبادة أو إن الممضاة من المعاملة هي الحصة المقيدة بعدم ما تعلق به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هذه النواهي بالنواهي الإرشادية، إنما هي من جهة أنها ليست بنواهي حقيقة، وهي اعتبار حرمان المكلف عن متعلقاتها باعتبار اشتمالها على مفسدة ملزمة لينتزع منها الزجر عنها، ولتكون تلك النواهي ـ عندئذٍ ـ مصداقاً له، لفرض أنه لا مفسدة فيها، فلا شأن لها، عدا كونها مبرزة لتقييد العبادة أو المعاملة بشيء وإرشاداً إلى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الأوامر الواردة في هذه الأبواب سميت بأوامر إرشادية من ناحية أنها ليست بأوامر حقيقية وأنها إرشاد إلى الجزئية أو الشرطية ولا يترتب عليها ما عدا ذلك</w:t>
      </w:r>
      <w:r>
        <w:rPr>
          <w:rFonts w:eastAsia="Amiri" w:cs="Amiri" w:ascii="Amiri" w:hAnsi="Amiri"/>
          <w:color w:val="111111"/>
          <w:sz w:val="28"/>
          <w:szCs w:val="28"/>
          <w:rtl w:val="true"/>
          <w:lang w:bidi="ar-SA"/>
        </w:rPr>
        <w:t>).</w:t>
      </w:r>
      <w:r>
        <w:rPr>
          <w:rStyle w:val="FootnoteAnchor"/>
          <w:rtl w:val="true"/>
        </w:rPr>
        <w:footnoteReference w:id="1406"/>
      </w:r>
    </w:p>
    <w:p>
      <w:pPr>
        <w:pStyle w:val="Heading3"/>
        <w:numPr>
          <w:ilvl w:val="2"/>
          <w:numId w:val="1"/>
        </w:numPr>
        <w:rPr/>
      </w:pPr>
      <w:bookmarkStart w:id="1365" w:name="__RefHeading___Toc3960127_1051229030"/>
      <w:bookmarkStart w:id="1366" w:name="_Toc495"/>
      <w:bookmarkEnd w:id="1365"/>
      <w:r>
        <w:rPr>
          <w:rtl w:val="true"/>
        </w:rPr>
        <w:t>الجواب عن الدعوى</w:t>
      </w:r>
      <w:bookmarkEnd w:id="1366"/>
    </w:p>
    <w:p>
      <w:pPr>
        <w:pStyle w:val="Heading4"/>
        <w:numPr>
          <w:ilvl w:val="3"/>
          <w:numId w:val="1"/>
        </w:numPr>
        <w:rPr/>
      </w:pPr>
      <w:bookmarkStart w:id="1367" w:name="__RefHeading___Toc3960129_1051229030"/>
      <w:bookmarkStart w:id="1368" w:name="_Toc496"/>
      <w:bookmarkEnd w:id="1367"/>
      <w:r>
        <w:rPr>
          <w:rtl w:val="true"/>
        </w:rPr>
        <w:t>اشارة</w:t>
      </w:r>
      <w:bookmarkEnd w:id="136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تمامية ما ذكره قدس سره 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فيما يرتبط بالمعاملات ـ</w:t>
      </w:r>
      <w:r>
        <w:rPr>
          <w:rFonts w:eastAsia="Amiri" w:cs="Amiri" w:ascii="Amiri" w:hAnsi="Amiri"/>
          <w:color w:val="111111"/>
          <w:sz w:val="28"/>
          <w:szCs w:val="28"/>
          <w:rtl w:val="true"/>
          <w:lang w:bidi="ar-SA"/>
        </w:rPr>
        <w:t>.</w:t>
      </w:r>
      <w:r>
        <w:rPr>
          <w:rStyle w:val="FootnoteAnchor"/>
          <w:rtl w:val="true"/>
        </w:rPr>
        <w:footnoteReference w:id="1407"/>
      </w:r>
      <w:bookmarkStart w:id="1369" w:name="pg7671_77162"/>
    </w:p>
    <w:p>
      <w:pPr>
        <w:pStyle w:val="Heading4"/>
        <w:numPr>
          <w:ilvl w:val="3"/>
          <w:numId w:val="1"/>
        </w:numPr>
        <w:rPr/>
      </w:pPr>
      <w:bookmarkStart w:id="1370" w:name="__RefHeading___Toc3960131_1051229030"/>
      <w:bookmarkStart w:id="1371" w:name="_Toc497"/>
      <w:bookmarkEnd w:id="1369"/>
      <w:bookmarkEnd w:id="1370"/>
      <w:r>
        <w:rPr/>
        <w:t>1</w:t>
      </w:r>
      <w:r>
        <w:rPr>
          <w:rtl w:val="true"/>
        </w:rPr>
        <w:t xml:space="preserve">- </w:t>
      </w:r>
      <w:r>
        <w:rPr>
          <w:rtl w:val="true"/>
        </w:rPr>
        <w:t>هي نواهي مولوية</w:t>
      </w:r>
      <w:bookmarkEnd w:id="137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بنواهي حقيقة، وهي اعتبار حرمان المكلف عن متعلقاتها باعتبار اشتمالها على مفسدة ملزمة لينتزع منها الزجر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كبرى؛ إذ الأمر والنهي المولوي هو ما صدر من المولى بما هو مولى، أي معملاً مقام مولويته سواء كان نابعاً عن مصلحة أو مفسدة حقيقية في المتعلق أم لا، ألا ترى إن المولى لو نهى عبده معملاً مقامه عن صعود السطح لا لمفسدة فيه، بل تمريناً على الطاعة له أو حتى امتحاناً أو ليري غيره مدى إطاعة عبيده له أو ليريهم عصيانهم له وخذلانهم له، بل حتى تشهياً أو شبه ذلك مما لا مفسدة في نفس المتعلق، فإنه نهي مولوي يستحق على مخالفته العقاب وإن لم تكن فيه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الحديث عن ذلك في الضابط الأول للمولوي والإرشادي، بل اشتراط المفسدة فيالمتعلق في مولوية النهي، غير تام على عدد من الضوابط الأخرى للمولوي والإرشادي أيضاً</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960133_1051229030"/>
      <w:bookmarkStart w:id="1373" w:name="_Toc498"/>
      <w:bookmarkEnd w:id="1372"/>
      <w:r>
        <w:rPr/>
        <w:t>2</w:t>
      </w:r>
      <w:r>
        <w:rPr>
          <w:rtl w:val="true"/>
        </w:rPr>
        <w:t xml:space="preserve">- </w:t>
      </w:r>
      <w:r>
        <w:rPr>
          <w:rtl w:val="true"/>
        </w:rPr>
        <w:t>وجود المفسدة في نفس تلك المعاملات</w:t>
      </w:r>
      <w:bookmarkEnd w:id="1373"/>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إنه لا مفسدة فيها، فلا شأن لها ما عدا كونها مبرزة لتقييد العبادة أو المعاملة بشيء أو إرشاداً إلى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صغرى؛ إذ هي دعوى بلا دليل، بل الدليل قائم على وجود المفسدة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الغرري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على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السلاح 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المفسدة لا تنحصر في مجرد ترتيب الآثار والتصرف في الثمن </w:t>
      </w:r>
      <w:bookmarkStart w:id="1374" w:name="pg7671_77163"/>
    </w:p>
    <w:p>
      <w:pPr>
        <w:pStyle w:val="BookText"/>
        <w:rPr/>
      </w:pPr>
      <w:bookmarkEnd w:id="1374"/>
      <w:r>
        <w:rPr>
          <w:rFonts w:ascii="Amiri" w:hAnsi="Amiri" w:eastAsia="Amiri" w:cs="Amiri"/>
          <w:color w:val="111111"/>
          <w:sz w:val="28"/>
          <w:sz w:val="28"/>
          <w:szCs w:val="28"/>
          <w:rtl w:val="true"/>
          <w:lang w:bidi="ar-SA"/>
        </w:rPr>
        <w:t>والمثمن في تلك المعاملات، بل هي كائنة في نفس إجراء العقد والمعاوضة والبيع</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3960135_1051229030"/>
      <w:bookmarkStart w:id="1376" w:name="_Toc499"/>
      <w:bookmarkEnd w:id="1375"/>
      <w:r>
        <w:rPr>
          <w:rtl w:val="true"/>
        </w:rPr>
        <w:t xml:space="preserve">اتصاف </w:t>
      </w:r>
      <w:r>
        <w:rPr>
          <w:rtl w:val="true"/>
        </w:rPr>
        <w:t>(</w:t>
      </w:r>
      <w:r>
        <w:rPr>
          <w:rtl w:val="true"/>
        </w:rPr>
        <w:t>الكلام</w:t>
      </w:r>
      <w:r>
        <w:rPr>
          <w:rtl w:val="true"/>
        </w:rPr>
        <w:t xml:space="preserve">) </w:t>
      </w:r>
      <w:r>
        <w:rPr>
          <w:rtl w:val="true"/>
        </w:rPr>
        <w:t>بالحسن والقبح، والمصلحة والمفسدة</w:t>
      </w:r>
      <w:bookmarkEnd w:id="1376"/>
    </w:p>
    <w:p>
      <w:pPr>
        <w:pStyle w:val="Heading4"/>
        <w:numPr>
          <w:ilvl w:val="3"/>
          <w:numId w:val="1"/>
        </w:numPr>
        <w:rPr/>
      </w:pPr>
      <w:bookmarkStart w:id="1377" w:name="__RefHeading___Toc3960137_1051229030"/>
      <w:bookmarkStart w:id="1378" w:name="_Toc500"/>
      <w:bookmarkEnd w:id="1377"/>
      <w:r>
        <w:rPr>
          <w:rtl w:val="true"/>
        </w:rPr>
        <w:t>اشارة</w:t>
      </w:r>
      <w:bookmarkEnd w:id="1378"/>
    </w:p>
    <w:p>
      <w:pPr>
        <w:pStyle w:val="BookText"/>
        <w:rPr/>
      </w:pPr>
      <w:r>
        <w:rPr>
          <w:rFonts w:ascii="Amiri" w:hAnsi="Amiri" w:eastAsia="Amiri" w:cs="Amiri"/>
          <w:color w:val="111111"/>
          <w:sz w:val="28"/>
          <w:sz w:val="28"/>
          <w:szCs w:val="28"/>
          <w:rtl w:val="true"/>
          <w:lang w:bidi="ar-SA"/>
        </w:rPr>
        <w:t xml:space="preserve">ويدل عليه إضافة إلى الاعتبار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بالحسن والقبح، وهو يحمل المصلحة والمفسدة؛ أرأيت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النطق بكلمة الشهادتين وعكسه التلفظ بألفاظ الكفر،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لتأثيره الواقعي مدخلية في جعله المحلِّل والمحرم، وإن 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تأثير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الكلام قد يكون حسناً ذا مصلحة في حد ذاته، كذكر الله تعالى والشهادتين، وقد يكون حسنه مكتسباً من الغير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أو الفاجر أو أئمة الهدى وأئمة الضلال والردى، واتصافه بالحسن والمصلحة حينئذٍ وإن كان اكتسابياً إلا أنه حقيقي فإن الواسطة واسطة في الثبوت لا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w:t>
      </w:r>
      <w:r>
        <w:rPr>
          <w:rStyle w:val="FootnoteAnchor"/>
          <w:rtl w:val="true"/>
        </w:rPr>
        <w:footnoteReference w:id="1408"/>
      </w:r>
      <w:r>
        <w:rPr>
          <w:rFonts w:ascii="Amiri" w:hAnsi="Amiri" w:eastAsia="Amiri" w:cs="Amiri"/>
          <w:color w:val="111111"/>
          <w:sz w:val="28"/>
          <w:sz w:val="28"/>
          <w:szCs w:val="28"/>
          <w:rtl w:val="true"/>
          <w:lang w:bidi="ar-SA"/>
        </w:rPr>
        <w:t>جملة مما ذكره للشهرة العظيمة، بل الإجماع كما سيأتي، الآيات والروايات</w:t>
      </w:r>
      <w:r>
        <w:rPr>
          <w:rStyle w:val="FootnoteAnchor"/>
          <w:rtl w:val="true"/>
        </w:rPr>
        <w:footnoteReference w:id="1409"/>
      </w:r>
      <w:r>
        <w:rPr>
          <w:rFonts w:ascii="Amiri" w:hAnsi="Amiri" w:eastAsia="Amiri" w:cs="Amiri"/>
          <w:color w:val="111111"/>
          <w:sz w:val="28"/>
          <w:sz w:val="28"/>
          <w:szCs w:val="28"/>
          <w:rtl w:val="true"/>
          <w:lang w:bidi="ar-SA"/>
        </w:rPr>
        <w:t>الناهية؛ فإن ظاهرها بل نص بعضها النهي المولوي التحريمي عن نفس المعاملة وليس عن ترتيب الآثار فحسب، كما أن ظاهرها أن النهي عنها لوجود المفسدة فيها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ذلك موكول إلى محله من الفقه، إلا أننا نكتفي ههنا بإشارة </w:t>
      </w:r>
      <w:bookmarkStart w:id="1379" w:name="pg7671_77164"/>
    </w:p>
    <w:p>
      <w:pPr>
        <w:pStyle w:val="BookText"/>
        <w:rPr/>
      </w:pPr>
      <w:bookmarkEnd w:id="1379"/>
      <w:r>
        <w:rPr>
          <w:rFonts w:ascii="Amiri" w:hAnsi="Amiri" w:eastAsia="Amiri" w:cs="Amiri"/>
          <w:color w:val="111111"/>
          <w:sz w:val="28"/>
          <w:sz w:val="28"/>
          <w:szCs w:val="28"/>
          <w:rtl w:val="true"/>
          <w:lang w:bidi="ar-SA"/>
        </w:rPr>
        <w:t>إجمالية إلى عناوين ثلاثة من ما ذكره فقط</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3960139_1051229030"/>
      <w:bookmarkStart w:id="1381" w:name="_Toc501"/>
      <w:bookmarkEnd w:id="1380"/>
      <w:r>
        <w:rPr/>
        <w:t>1</w:t>
      </w:r>
      <w:r>
        <w:rPr>
          <w:rtl w:val="true"/>
        </w:rPr>
        <w:t xml:space="preserve">- </w:t>
      </w:r>
      <w:r>
        <w:rPr>
          <w:rtl w:val="true"/>
        </w:rPr>
        <w:t>الربا والأدلة على حرمة نفس المعاملة الربوية</w:t>
      </w:r>
      <w:bookmarkEnd w:id="1381"/>
    </w:p>
    <w:p>
      <w:pPr>
        <w:pStyle w:val="Heading5"/>
        <w:numPr>
          <w:ilvl w:val="4"/>
          <w:numId w:val="1"/>
        </w:numPr>
        <w:rPr/>
      </w:pPr>
      <w:bookmarkStart w:id="1382" w:name="__RefHeading___Toc3960141_1051229030"/>
      <w:bookmarkStart w:id="1383" w:name="_Toc502"/>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1410"/>
      </w:r>
    </w:p>
    <w:p>
      <w:pPr>
        <w:pStyle w:val="Heading5"/>
        <w:numPr>
          <w:ilvl w:val="4"/>
          <w:numId w:val="1"/>
        </w:numPr>
        <w:rPr/>
      </w:pPr>
      <w:bookmarkStart w:id="1384" w:name="__RefHeading___Toc3960143_1051229030"/>
      <w:bookmarkStart w:id="1385" w:name="_Toc503"/>
      <w:bookmarkEnd w:id="1384"/>
      <w:r>
        <w:rPr/>
        <w:t>1</w:t>
      </w:r>
      <w:r>
        <w:rPr>
          <w:rtl w:val="true"/>
        </w:rPr>
        <w:t xml:space="preserve">- </w:t>
      </w:r>
      <w:r>
        <w:rPr>
          <w:rtl w:val="true"/>
        </w:rPr>
        <w:t>الآيات الكريمة</w:t>
      </w:r>
      <w:bookmarkEnd w:id="1385"/>
    </w:p>
    <w:p>
      <w:pPr>
        <w:pStyle w:val="BookText"/>
        <w:rPr/>
      </w:pPr>
      <w:r>
        <w:rPr>
          <w:rFonts w:ascii="Amiri" w:hAnsi="Amiri" w:eastAsia="Amiri" w:cs="Amiri"/>
          <w:color w:val="111111"/>
          <w:sz w:val="28"/>
          <w:sz w:val="28"/>
          <w:szCs w:val="28"/>
          <w:rtl w:val="true"/>
          <w:lang w:bidi="ar-SA"/>
        </w:rPr>
        <w:t>وظاهره تحريم نفس المعاملة الربوية أيضاً، لا مجرد ترتيب الآثار؛ فإنه مجاز لا يصار إليه إلا عند تعذر الحقيقة، إضافة إلى قرينية مقابلته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حلية نفس معاملة البيع إضافة إلى حلية ما يترتب عليه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العقاب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قالوا 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قولهم إنما البيع الذي لا ربا فيه مثل البيع الذي فيه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أحل الله البيع الذي لا ربا فيه وحرم البيع الذي فيه الربا</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ويشهد له أيضاً وضوح الفرق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الربا</w:t>
      </w:r>
      <w:r>
        <w:rPr>
          <w:rFonts w:eastAsia="Amiri" w:cs="Amiri" w:ascii="Amiri" w:hAnsi="Amiri"/>
          <w:color w:val="111111"/>
          <w:sz w:val="28"/>
          <w:szCs w:val="28"/>
          <w:rtl w:val="true"/>
          <w:lang w:bidi="ar-SA"/>
        </w:rPr>
        <w:t>».</w:t>
      </w:r>
      <w:r>
        <w:rPr>
          <w:rStyle w:val="FootnoteAnchor"/>
          <w:rtl w:val="true"/>
        </w:rPr>
        <w:footnoteReference w:id="141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الظاهر أن النهي مولوي ـ تشريعي تكليفي للتحريم مطلقاً، وليس مولوياً وضعياً فقط ولا هو إرشادي فحسب</w:t>
      </w:r>
      <w:r>
        <w:rPr>
          <w:rFonts w:eastAsia="Amiri" w:cs="Amiri" w:ascii="Amiri" w:hAnsi="Amiri"/>
          <w:color w:val="111111"/>
          <w:sz w:val="28"/>
          <w:szCs w:val="28"/>
          <w:rtl w:val="true"/>
          <w:lang w:bidi="ar-SA"/>
        </w:rPr>
        <w:t xml:space="preserve">. </w:t>
      </w:r>
      <w:bookmarkStart w:id="1386" w:name="pg7671_77165"/>
    </w:p>
    <w:p>
      <w:pPr>
        <w:pStyle w:val="BookText"/>
        <w:rPr/>
      </w:pPr>
      <w:bookmarkEnd w:id="1386"/>
      <w:r>
        <w:rPr>
          <w:rFonts w:ascii="Amiri" w:hAnsi="Amiri" w:eastAsia="Amiri" w:cs="Amiri"/>
          <w:color w:val="111111"/>
          <w:sz w:val="28"/>
          <w:sz w:val="28"/>
          <w:szCs w:val="28"/>
          <w:rtl w:val="true"/>
          <w:lang w:bidi="ar-SA"/>
        </w:rPr>
        <w:t xml:space="preserve">وسيأتي 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بيع آلات القمار فليلاحظ</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3960145_1051229030"/>
      <w:bookmarkStart w:id="1388" w:name="_Toc504"/>
      <w:bookmarkEnd w:id="1387"/>
      <w:r>
        <w:rPr/>
        <w:t>2</w:t>
      </w:r>
      <w:r>
        <w:rPr>
          <w:rtl w:val="true"/>
        </w:rPr>
        <w:t xml:space="preserve">- </w:t>
      </w:r>
      <w:r>
        <w:rPr>
          <w:rtl w:val="true"/>
        </w:rPr>
        <w:t>الروايات الشريفة</w:t>
      </w:r>
      <w:bookmarkEnd w:id="1388"/>
    </w:p>
    <w:p>
      <w:pPr>
        <w:pStyle w:val="BookText"/>
        <w:rPr/>
      </w:pPr>
      <w:r>
        <w:rPr>
          <w:rFonts w:ascii="Amiri" w:hAnsi="Amiri" w:eastAsia="Amiri" w:cs="Amiri"/>
          <w:color w:val="111111"/>
          <w:sz w:val="28"/>
          <w:sz w:val="28"/>
          <w:szCs w:val="28"/>
          <w:rtl w:val="true"/>
          <w:lang w:bidi="ar-SA"/>
        </w:rPr>
        <w:t>كما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ثواب الأعمال، والمستدرك، ولب اللباب للراوندي، عن عبد الله بن عباس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اكتسب منه ـ أي من الربا ـ مالاً، لا يقبل الله تعالى منه شيئاً من عمله، ولم يزل في لعنة الله والملائكة ما كان عنده منه قيراط</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منه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اكتسب من المعاملة الربوية، وإن احتمل إرادة الاكتساب من ما أخذه من الربا، لكنه خلاف الظاهر خاصة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عنده منه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بقرية هلاكاً ظهر فيهم الربا</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وواضح أن ما يظهر من الربا هو معاملاته في الأسواق</w:t>
      </w:r>
      <w:r>
        <w:rPr>
          <w:rStyle w:val="FootnoteAnchor"/>
          <w:rtl w:val="true"/>
        </w:rPr>
        <w:footnoteReference w:id="1415"/>
      </w:r>
      <w:r>
        <w:rPr>
          <w:rFonts w:ascii="Amiri" w:hAnsi="Amiri" w:eastAsia="Amiri" w:cs="Amiri"/>
          <w:color w:val="111111"/>
          <w:sz w:val="28"/>
          <w:sz w:val="28"/>
          <w:szCs w:val="28"/>
          <w:rtl w:val="true"/>
          <w:lang w:bidi="ar-SA"/>
        </w:rPr>
        <w:t>أو هو الأظهر من معنييه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الكافي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ونظيره ما رواه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بناء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الآلة لا المصدر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واكتساب، أما المتعاقَد 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نهج البلاغة والمستدرك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فيستحلون الخمر بالنبيذ، والسحت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فإن ظاهر مقابلة الخمر بالنبيذ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مقابلة الربا بالبيع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إذ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وخلاف المتفاهم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ظاهر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روبي عليه لا العقد فإنه المستحَّل بالبيع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صراحة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المصرحة بلعن بائع الربا ومشتريه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والفقيه عن زيد بن علي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الربا وآكله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وموكله ـ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وبائعه ومشتريه وكاتبه وشاهديه</w:t>
      </w:r>
      <w:r>
        <w:rPr>
          <w:rFonts w:eastAsia="Amiri" w:cs="Amiri" w:ascii="Amiri" w:hAnsi="Amiri"/>
          <w:color w:val="111111"/>
          <w:sz w:val="28"/>
          <w:szCs w:val="28"/>
          <w:rtl w:val="true"/>
          <w:lang w:bidi="ar-SA"/>
        </w:rPr>
        <w:t>).</w:t>
      </w:r>
      <w:r>
        <w:rPr>
          <w:rStyle w:val="FootnoteAnchor"/>
          <w:rtl w:val="true"/>
        </w:rPr>
        <w:footnoteReference w:id="1419"/>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اللعن للبائع والمشتري،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لبيعه وشرائه ـ وإن لم يرتب </w:t>
      </w:r>
    </w:p>
    <w:p>
      <w:pPr>
        <w:pStyle w:val="BookText"/>
        <w:rPr/>
      </w:pPr>
      <w:r>
        <w:rPr>
          <w:rFonts w:ascii="Amiri" w:hAnsi="Amiri" w:eastAsia="Amiri" w:cs="Amiri"/>
          <w:color w:val="111111"/>
          <w:sz w:val="28"/>
          <w:sz w:val="28"/>
          <w:szCs w:val="28"/>
          <w:rtl w:val="true"/>
          <w:lang w:bidi="ar-SA"/>
        </w:rPr>
        <w:t xml:space="preserve">عليه الآثار ـ بل لعله صريحه 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 وشاهديه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اللعن عليه لوجود الفساد فيه لا في غيره، وإلا لإقتصر اللعن على ما فيه الفساد، ولو تنزلنا فإن اللعن على مجموع البيع والشراء وترتيب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روايات أخرى عديدة دالة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وعندها يظهر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ويتعاملون بالرشوة والربا</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الربا وشراؤه وكسبه على كل حال، على المشتري والبائع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 نظير البيع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حرام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أيضاً من روايات الأبواب الأخرى مثل ما رواه الفقيه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بمعاوضة المتاع ما لم يكن كيلاً ولا وزناً</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نفس المعاملة كما لا يخفى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وغيره قال في الجواهر ممزوجاً بالشرائع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كتاباً وسنة وإجماعاً من المؤمنين بل المسلمين، بل لا يبعد كونه من ضروريات الدين</w:t>
      </w:r>
      <w:r>
        <w:rPr>
          <w:rFonts w:eastAsia="Amiri" w:cs="Amiri" w:ascii="Amiri" w:hAnsi="Amiri"/>
          <w:color w:val="111111"/>
          <w:sz w:val="28"/>
          <w:szCs w:val="28"/>
          <w:rtl w:val="true"/>
          <w:lang w:bidi="ar-SA"/>
        </w:rPr>
        <w:t>).</w:t>
      </w:r>
      <w:r>
        <w:rPr>
          <w:rStyle w:val="FootnoteAnchor"/>
          <w:rtl w:val="true"/>
        </w:rPr>
        <w:footnoteReference w:id="1422"/>
      </w:r>
      <w:bookmarkStart w:id="1389" w:name="pg7671_77168"/>
    </w:p>
    <w:p>
      <w:pPr>
        <w:pStyle w:val="BookText"/>
        <w:rPr/>
      </w:pPr>
      <w:bookmarkEnd w:id="138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أن ظاهر الأصحاب بل وجملة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نفس المعاملة وما يحصل بها</w:t>
      </w:r>
      <w:r>
        <w:rPr>
          <w:rFonts w:eastAsia="Amiri" w:cs="Amiri" w:ascii="Amiri" w:hAnsi="Amiri"/>
          <w:color w:val="111111"/>
          <w:sz w:val="28"/>
          <w:szCs w:val="28"/>
          <w:rtl w:val="true"/>
          <w:lang w:bidi="ar-SA"/>
        </w:rPr>
        <w:t>).</w:t>
      </w:r>
      <w:r>
        <w:rPr>
          <w:rStyle w:val="FootnoteAnchor"/>
          <w:rtl w:val="true"/>
        </w:rPr>
        <w:footnoteReference w:id="1423"/>
      </w:r>
    </w:p>
    <w:p>
      <w:pPr>
        <w:pStyle w:val="Heading4"/>
        <w:numPr>
          <w:ilvl w:val="3"/>
          <w:numId w:val="1"/>
        </w:numPr>
        <w:rPr/>
      </w:pPr>
      <w:bookmarkStart w:id="1390" w:name="__RefHeading___Toc3960147_1051229030"/>
      <w:bookmarkStart w:id="1391" w:name="_Toc505"/>
      <w:bookmarkEnd w:id="1390"/>
      <w:r>
        <w:rPr/>
        <w:t>2</w:t>
      </w:r>
      <w:r>
        <w:rPr>
          <w:rtl w:val="true"/>
        </w:rPr>
        <w:t xml:space="preserve">- </w:t>
      </w:r>
      <w:r>
        <w:rPr>
          <w:rtl w:val="true"/>
        </w:rPr>
        <w:t>بيع الخمر وأدلة حرمته بذاته</w:t>
      </w:r>
      <w:bookmarkEnd w:id="1391"/>
    </w:p>
    <w:p>
      <w:pPr>
        <w:pStyle w:val="Heading5"/>
        <w:numPr>
          <w:ilvl w:val="4"/>
          <w:numId w:val="1"/>
        </w:numPr>
        <w:rPr/>
      </w:pPr>
      <w:bookmarkStart w:id="1392" w:name="__RefHeading___Toc3960149_1051229030"/>
      <w:bookmarkStart w:id="1393" w:name="_Toc506"/>
      <w:bookmarkEnd w:id="1392"/>
      <w:r>
        <w:rPr/>
        <w:t>1</w:t>
      </w:r>
      <w:r>
        <w:rPr>
          <w:rtl w:val="true"/>
        </w:rPr>
        <w:t xml:space="preserve">- </w:t>
      </w:r>
      <w:r>
        <w:rPr>
          <w:rtl w:val="true"/>
        </w:rPr>
        <w:t>الآيات الكريمة</w:t>
      </w:r>
      <w:bookmarkEnd w:id="13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فأجتنبوه لعلكم تفلحون</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وظاهر الإطلاق الأحوالي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اجتناب بيعه وشرائه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عدم تحقق الاجتناب عنها مع التصرف فيها بالتجارة</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والبيع والشراء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الغاية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أيضاً عامة لبيع الخمر؛ فإنه العلة المعدة لوقوع العداوة والبغضاء أو المقتضي؛ فإن بيع الخمر كشربه ليس أي منهما علة تامة لإيقاع العداوة والبغضاء بل مقتضٍ أو علة معدة ـ فتأمل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1427"/>
      </w:r>
      <w:r>
        <w:rPr>
          <w:rFonts w:ascii="IRNazanin" w:hAnsi="IRNazanin" w:eastAsia="IRNazanin"/>
          <w:color w:val="111111"/>
          <w:sz w:val="28"/>
          <w:sz w:val="28"/>
          <w:szCs w:val="28"/>
          <w:rtl w:val="true"/>
          <w:lang w:bidi="fa-IR"/>
        </w:rPr>
        <w:t xml:space="preserve">بناء على أنه القذر </w:t>
      </w:r>
      <w:bookmarkStart w:id="1394" w:name="pg7671_77169"/>
    </w:p>
    <w:p>
      <w:pPr>
        <w:pStyle w:val="BookText"/>
        <w:rPr/>
      </w:pPr>
      <w:bookmarkEnd w:id="1394"/>
      <w:r>
        <w:rPr>
          <w:rFonts w:ascii="Amiri" w:hAnsi="Amiri" w:eastAsia="Amiri" w:cs="Amiri"/>
          <w:color w:val="111111"/>
          <w:sz w:val="28"/>
          <w:sz w:val="28"/>
          <w:szCs w:val="28"/>
          <w:rtl w:val="true"/>
          <w:lang w:bidi="ar-SA"/>
        </w:rPr>
        <w:t xml:space="preserve">كما عن الجوهري والقاموس، بل هو المناسب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وعن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والمحكوم بنجاسته شرعاً خبيث قذر، فيجب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بالتجارة والبيع والشراء، خلاف الهجر المأمور به فيكون محرماً</w:t>
      </w:r>
      <w:r>
        <w:rPr>
          <w:rFonts w:eastAsia="Amiri" w:cs="Amiri" w:ascii="Amiri" w:hAnsi="Amiri"/>
          <w:color w:val="111111"/>
          <w:sz w:val="28"/>
          <w:szCs w:val="28"/>
          <w:rtl w:val="true"/>
          <w:lang w:bidi="ar-SA"/>
        </w:rPr>
        <w:t>).</w:t>
      </w:r>
      <w:r>
        <w:rPr>
          <w:rStyle w:val="FootnoteAnchor"/>
          <w:rtl w:val="true"/>
        </w:rPr>
        <w:footnoteReference w:id="1429"/>
      </w:r>
    </w:p>
    <w:p>
      <w:pPr>
        <w:pStyle w:val="Heading5"/>
        <w:numPr>
          <w:ilvl w:val="4"/>
          <w:numId w:val="1"/>
        </w:numPr>
        <w:rPr/>
      </w:pPr>
      <w:bookmarkStart w:id="1395" w:name="__RefHeading___Toc3960151_1051229030"/>
      <w:bookmarkStart w:id="1396" w:name="_Toc507"/>
      <w:bookmarkEnd w:id="1395"/>
      <w:r>
        <w:rPr/>
        <w:t>2</w:t>
      </w:r>
      <w:r>
        <w:rPr>
          <w:rtl w:val="true"/>
        </w:rPr>
        <w:t xml:space="preserve">- </w:t>
      </w:r>
      <w:r>
        <w:rPr>
          <w:rtl w:val="true"/>
        </w:rPr>
        <w:t>الروايات الشريفة</w:t>
      </w:r>
      <w:bookmarkEnd w:id="1396"/>
    </w:p>
    <w:p>
      <w:pPr>
        <w:pStyle w:val="BookText"/>
        <w:rPr/>
      </w:pPr>
      <w:r>
        <w:rPr>
          <w:rFonts w:ascii="Amiri" w:hAnsi="Amiri" w:eastAsia="Amiri" w:cs="Amiri"/>
          <w:color w:val="111111"/>
          <w:sz w:val="28"/>
          <w:sz w:val="28"/>
          <w:szCs w:val="28"/>
          <w:rtl w:val="true"/>
          <w:lang w:bidi="ar-SA"/>
        </w:rPr>
        <w:t>وتدل عليه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في الكافي عن علي بن إبراهيم عن أبيه عن حماد بن عيسى عن حريز عن محمد بن مسلم عن أبي عبد الله عليه السلام عن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بضميمة أن المتفاهم عرفاً من تحريم الثمن تحريم المعاملة نفسها، لا جوازها ثم حرمة التصرف في الثمن والمثمن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الفقيه وأمالي الصدوق عن أمير المؤمنين عليه السلام في حديث مناهي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النبي عن بيع النرد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بيع الخمر ـ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يشترى الخمر وأن يسقى الخمر وقال لعن الله الخمر وغارسها وعاصرها وشاربها وساقيها وبايعها ومشتريها وآكل ثمنها وحاملها والمحمولة إليه</w:t>
      </w:r>
      <w:r>
        <w:rPr>
          <w:rFonts w:eastAsia="Amiri" w:cs="Amiri" w:ascii="Amiri" w:hAnsi="Amiri"/>
          <w:color w:val="111111"/>
          <w:sz w:val="28"/>
          <w:szCs w:val="28"/>
          <w:rtl w:val="true"/>
          <w:lang w:bidi="ar-SA"/>
        </w:rPr>
        <w:t>).</w:t>
      </w:r>
      <w:r>
        <w:rPr>
          <w:rStyle w:val="FootnoteAnchor"/>
          <w:rtl w:val="true"/>
        </w:rPr>
        <w:footnoteReference w:id="143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صير إلى كراهة بعضها للدليل الخارجي، لم يضر بالأصل، من </w:t>
      </w:r>
      <w:bookmarkStart w:id="1397" w:name="pg7671_77170"/>
    </w:p>
    <w:p>
      <w:pPr>
        <w:pStyle w:val="BookText"/>
        <w:rPr/>
      </w:pPr>
      <w:bookmarkEnd w:id="1397"/>
      <w:r>
        <w:rPr>
          <w:rFonts w:ascii="Amiri" w:hAnsi="Amiri" w:eastAsia="Amiri" w:cs="Amiri"/>
          <w:color w:val="111111"/>
          <w:sz w:val="28"/>
          <w:sz w:val="28"/>
          <w:szCs w:val="28"/>
          <w:rtl w:val="true"/>
          <w:lang w:bidi="ar-SA"/>
        </w:rPr>
        <w:t>كون النهي مولوياً تشريعياً تكليفياً لا وضعياً، بل كان صرف انتقال من تكليفي إلى آخر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والخصال وعقاب الأعمال عن الإمام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وبايعها ومشتريها</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ونظائرها كثير كما فيما نقله الجواهر عن الايضاح والغوالي،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وأكلوا أثمانها</w:t>
      </w:r>
      <w:r>
        <w:rPr>
          <w:rFonts w:eastAsia="Amiri" w:cs="Amiri" w:ascii="Amiri" w:hAnsi="Amiri"/>
          <w:color w:val="111111"/>
          <w:sz w:val="28"/>
          <w:szCs w:val="28"/>
          <w:rtl w:val="true"/>
          <w:lang w:bidi="ar-SA"/>
        </w:rPr>
        <w:t>).</w:t>
      </w:r>
      <w:r>
        <w:rPr>
          <w:rStyle w:val="FootnoteAnchor"/>
          <w:rtl w:val="true"/>
        </w:rPr>
        <w:footnoteReference w:id="1433"/>
      </w:r>
    </w:p>
    <w:p>
      <w:pPr>
        <w:pStyle w:val="Heading5"/>
        <w:numPr>
          <w:ilvl w:val="4"/>
          <w:numId w:val="1"/>
        </w:numPr>
        <w:rPr/>
      </w:pPr>
      <w:bookmarkStart w:id="1398" w:name="__RefHeading___Toc3960153_1051229030"/>
      <w:bookmarkStart w:id="1399" w:name="_Toc508"/>
      <w:bookmarkEnd w:id="1398"/>
      <w:r>
        <w:rPr/>
        <w:t>3</w:t>
      </w:r>
      <w:r>
        <w:rPr>
          <w:rtl w:val="true"/>
        </w:rPr>
        <w:t xml:space="preserve">- </w:t>
      </w:r>
      <w:r>
        <w:rPr>
          <w:rtl w:val="true"/>
        </w:rPr>
        <w:t>الشهرة بل الإجماع</w:t>
      </w:r>
      <w:bookmarkEnd w:id="1399"/>
    </w:p>
    <w:p>
      <w:pPr>
        <w:pStyle w:val="Heading6"/>
        <w:numPr>
          <w:ilvl w:val="5"/>
          <w:numId w:val="1"/>
        </w:numPr>
        <w:rPr/>
      </w:pPr>
      <w:bookmarkStart w:id="1400" w:name="__RefHeading___Toc3960155_1051229030"/>
      <w:bookmarkStart w:id="1401" w:name="_Toc509"/>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وعلى ذلك انعقدت الشهرة العظيمة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النجسة ذاتاً كالخمر والأنبذة المسكرة والفقاع وغيرها، من النجاسات التي عرفتها في كتاب الطهارة ـ عدا الكلب الذي ستعرف البحث فيه، والرق الكافر فإنه لا خلاف ولا إشكال في جواز التكسب به ـ</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وظاهر جواز التكسب به وعدمه، هو بالبيع والشراء ومطلق المعاوضات فإنها هي التكسب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فلا خلاف يعتد به في حرمة التكسب في الأعيان النجسة التي لا تقبل الطهارة بغير الاستحالة؛ لقول الصادق عليه السلام في خبر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من وجوه النجس فهذا كله حرام ومحرم</w:t>
      </w:r>
      <w:r>
        <w:rPr>
          <w:rFonts w:eastAsia="Amiri" w:cs="Amiri" w:ascii="Amiri" w:hAnsi="Amiri"/>
          <w:color w:val="111111"/>
          <w:sz w:val="28"/>
          <w:szCs w:val="28"/>
          <w:rtl w:val="true"/>
          <w:lang w:bidi="ar-SA"/>
        </w:rPr>
        <w:t>...)).</w:t>
      </w:r>
      <w:r>
        <w:rPr>
          <w:rStyle w:val="FootnoteAnchor"/>
          <w:rtl w:val="true"/>
        </w:rPr>
        <w:footnoteReference w:id="1435"/>
      </w:r>
      <w:bookmarkStart w:id="1402" w:name="pg7671_77171"/>
    </w:p>
    <w:p>
      <w:pPr>
        <w:pStyle w:val="BookText"/>
        <w:rPr/>
      </w:pPr>
      <w:bookmarkEnd w:id="1402"/>
      <w:r>
        <w:rPr>
          <w:rFonts w:ascii="Amiri" w:hAnsi="Amiri" w:eastAsia="Amiri" w:cs="Amiri"/>
          <w:color w:val="111111"/>
          <w:sz w:val="28"/>
          <w:sz w:val="28"/>
          <w:szCs w:val="28"/>
          <w:rtl w:val="true"/>
          <w:lang w:bidi="ar-SA"/>
        </w:rPr>
        <w:t>ثم حكى عن شرح الإرشاد للفخر وتنقيح المقداد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بيعها لأنها محرمة الإنتفاع</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إن كان عقوراً حرم بيعه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كافة على تحريم بيع الخمر والميتة والخنزير، وإجماع علمائنا على تحريم بيع الكلام عدا الأربعة، وعن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تحريم بيع الخمر والعذرة والدم، وعن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تحريم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تحريم بيع الخنزير وإجارته واقتنائه والانتفاع به، وعن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الخمر للمسلم حرام وثمنه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حظر شربه ـ أي الفقاع ـ وكل ما حظر شربه، حظر ابتياعه، والتفرقة بين الأمرين خروج عن إجماع الأمة</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كما عنون السيد البروجردي رحمه الله في جامع أحاديث الشيعة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بيع الخمر وثمنه وشراءه وغرسه</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3960157_1051229030"/>
      <w:bookmarkStart w:id="1404" w:name="_Toc510"/>
      <w:bookmarkEnd w:id="1403"/>
      <w:r>
        <w:rPr>
          <w:rtl w:val="true"/>
        </w:rPr>
        <w:t>هل الهيروئين والكوكائين كالخمر؟</w:t>
      </w:r>
      <w:bookmarkEnd w:id="140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الخمر 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يقال مثل ذلك فيما يتعارف هذه الأيام من الهيروئين والكوكائين وما أشبه؛ لوحدة الملاك في الجميع، بل لدليل الضرر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علي بن يقطين عن أبي الحسن الماضي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لم يحرم الخمر لإسمها، ولكن حرمها لعاقبتها، فما كان عاقبته عاقبة الخمر </w:t>
      </w:r>
      <w:bookmarkStart w:id="1405" w:name="pg7671_77172"/>
    </w:p>
    <w:p>
      <w:pPr>
        <w:pStyle w:val="BookText"/>
        <w:rPr/>
      </w:pPr>
      <w:bookmarkEnd w:id="1405"/>
      <w:r>
        <w:rPr>
          <w:rFonts w:ascii="IRNazanin" w:hAnsi="IRNazanin" w:eastAsia="IRNazanin"/>
          <w:color w:val="111111"/>
          <w:sz w:val="28"/>
          <w:sz w:val="28"/>
          <w:szCs w:val="28"/>
          <w:rtl w:val="true"/>
          <w:lang w:bidi="fa-IR"/>
        </w:rPr>
        <w:t>فهو خمر</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بل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في الفقه عدم استبعاد حرمة بيع الخمر والخنزير حتى للكفار الذين يجوزون استعمالهما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الوارة فيها تمنع عن قاعدة الإلزام</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وقال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يزيل العقل كالخمر وكل مسكر مائع والفقاع بلا خلاف في شيء من هذه الثلاثة بل عن غير واحد دعوى إجماع العلماء على ذلك كله بل عليها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فيشهد لعدم جواز بيعها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لحرمة بيعها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المشهور من أن رسول الله صلى الله عليه وآله لعن الخمر وعاصرها ومعتصرها وبائعها ومشتريها</w:t>
      </w:r>
      <w:r>
        <w:rPr>
          <w:rFonts w:eastAsia="Amiri" w:cs="Amiri" w:ascii="Amiri" w:hAnsi="Amiri"/>
          <w:color w:val="111111"/>
          <w:sz w:val="28"/>
          <w:szCs w:val="28"/>
          <w:rtl w:val="true"/>
          <w:lang w:bidi="ar-SA"/>
        </w:rPr>
        <w:t>..).</w:t>
      </w:r>
      <w:r>
        <w:rPr>
          <w:rStyle w:val="FootnoteAnchor"/>
          <w:rtl w:val="true"/>
        </w:rPr>
        <w:footnoteReference w:id="1440"/>
      </w:r>
    </w:p>
    <w:p>
      <w:pPr>
        <w:pStyle w:val="Heading4"/>
        <w:numPr>
          <w:ilvl w:val="3"/>
          <w:numId w:val="1"/>
        </w:numPr>
        <w:rPr/>
      </w:pPr>
      <w:bookmarkStart w:id="1406" w:name="__RefHeading___Toc3960159_1051229030"/>
      <w:bookmarkStart w:id="1407" w:name="_Toc511"/>
      <w:bookmarkEnd w:id="1406"/>
      <w:r>
        <w:rPr/>
        <w:t>3</w:t>
      </w:r>
      <w:r>
        <w:rPr>
          <w:rtl w:val="true"/>
        </w:rPr>
        <w:t xml:space="preserve">- </w:t>
      </w:r>
      <w:r>
        <w:rPr>
          <w:rtl w:val="true"/>
        </w:rPr>
        <w:t>بيع آلات القمار</w:t>
      </w:r>
      <w:bookmarkEnd w:id="1407"/>
    </w:p>
    <w:p>
      <w:pPr>
        <w:pStyle w:val="Heading5"/>
        <w:numPr>
          <w:ilvl w:val="4"/>
          <w:numId w:val="1"/>
        </w:numPr>
        <w:rPr/>
      </w:pPr>
      <w:bookmarkStart w:id="1408" w:name="__RefHeading___Toc3960161_1051229030"/>
      <w:bookmarkStart w:id="1409" w:name="_Toc512"/>
      <w:bookmarkEnd w:id="1408"/>
      <w:r>
        <w:rPr/>
        <w:t>1</w:t>
      </w:r>
      <w:r>
        <w:rPr>
          <w:rtl w:val="true"/>
        </w:rPr>
        <w:t xml:space="preserve">- </w:t>
      </w:r>
      <w:r>
        <w:rPr>
          <w:rtl w:val="true"/>
        </w:rPr>
        <w:t>الاستدلال بالآيات على حرمة نفس البيع</w:t>
      </w:r>
      <w:bookmarkEnd w:id="14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441"/>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أو آلات القمار أو ما أشبه، يصدق عليه عرفاً أنه أكل الأموال بالباطل</w:t>
      </w:r>
      <w:r>
        <w:rPr>
          <w:rStyle w:val="FootnoteAnchor"/>
          <w:rtl w:val="true"/>
        </w:rPr>
        <w:footnoteReference w:id="1442"/>
      </w:r>
      <w:r>
        <w:rPr>
          <w:rFonts w:ascii="Amiri" w:hAnsi="Amiri" w:eastAsia="Amiri" w:cs="Amiri"/>
          <w:color w:val="111111"/>
          <w:sz w:val="28"/>
          <w:sz w:val="28"/>
          <w:szCs w:val="28"/>
          <w:rtl w:val="true"/>
          <w:lang w:bidi="ar-SA"/>
        </w:rPr>
        <w:t>فإن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التصرف، ووجه إطلاقه عليه أنه أقرب التصرفات للإنسان من بدء نشئته، وأهم الغايات المتوخاة </w:t>
      </w:r>
    </w:p>
    <w:p>
      <w:pPr>
        <w:pStyle w:val="BookText"/>
        <w:rPr/>
      </w:pPr>
      <w:r>
        <w:rPr>
          <w:rFonts w:ascii="IRNazanin" w:hAnsi="IRNazanin" w:eastAsia="IRNazanin"/>
          <w:color w:val="111111"/>
          <w:sz w:val="28"/>
          <w:sz w:val="28"/>
          <w:szCs w:val="28"/>
          <w:rtl w:val="true"/>
          <w:lang w:bidi="fa-IR"/>
        </w:rPr>
        <w:t>من سائر التصرفات</w:t>
      </w:r>
      <w:r>
        <w:rPr>
          <w:rStyle w:val="FootnoteAnchor"/>
          <w:rtl w:val="true"/>
        </w:rPr>
        <w:footnoteReference w:id="1443"/>
      </w:r>
      <w:r>
        <w:rPr>
          <w:rFonts w:ascii="Amiri" w:hAnsi="Amiri" w:eastAsia="Amiri" w:cs="Amiri"/>
          <w:color w:val="111111"/>
          <w:sz w:val="28"/>
          <w:sz w:val="28"/>
          <w:szCs w:val="28"/>
          <w:rtl w:val="true"/>
          <w:lang w:bidi="ar-SA"/>
        </w:rPr>
        <w:t>، فهو نهي مولوي ـ تشريعي للتحريم مطلقاً، بل القول بأن المراد به الحكم الوضعي أي عدم صحة المعاملة أو عدم صحة أكل المال بالباطل،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شك في أن أكل ما حصل عليه بالقمار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للمال بالباطل</w:t>
      </w:r>
      <w:r>
        <w:rPr>
          <w:rStyle w:val="FootnoteAnchor"/>
          <w:rtl w:val="true"/>
        </w:rPr>
        <w:footnoteReference w:id="1444"/>
      </w:r>
      <w:r>
        <w:rPr>
          <w:rFonts w:ascii="Amiri" w:hAnsi="Amiri" w:eastAsia="Amiri" w:cs="Amiri"/>
          <w:color w:val="111111"/>
          <w:sz w:val="28"/>
          <w:sz w:val="28"/>
          <w:szCs w:val="28"/>
          <w:rtl w:val="true"/>
          <w:lang w:bidi="ar-SA"/>
        </w:rPr>
        <w:t>إلا أن صدقه عليه لا يخصصه به؛ لصدقه على نفس البيع عرفاً، ألا ترى أن من أقرض ربوياً أو باع الخمر أو أجرى معاملة ربط زان بفاحشة، يصدق عليه أنه مشغول بأكل أموال الناس بالباطل؟</w:t>
      </w:r>
    </w:p>
    <w:p>
      <w:pPr>
        <w:pStyle w:val="BookText"/>
        <w:rPr/>
      </w:pPr>
      <w:r>
        <w:rPr>
          <w:rFonts w:ascii="Amiri" w:hAnsi="Amiri" w:eastAsia="Amiri" w:cs="Amiri"/>
          <w:color w:val="111111"/>
          <w:sz w:val="28"/>
          <w:sz w:val="28"/>
          <w:szCs w:val="28"/>
          <w:rtl w:val="true"/>
          <w:lang w:bidi="ar-SA"/>
        </w:rPr>
        <w:t>ويمكن الاستدلال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فإنه شامل لبيعهم أموال اليتامى وممتلكاتهم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فلا يحل أكل الأموال بسبب الباطل وهو بيع القمار والربا وما أشبه، فهو باطل وليس محرماً غالباً فالباء للسببية، ويؤيده تفسير الباطل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 والظلم والوجوه التي 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واللعب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يؤخذ في القمار والملاهي لأن كل ذلك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قريش،يقامر الرجل في أهله وماله فنهاهم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حمله على الجميع لأنه الآية تحتمل الكل</w:t>
      </w:r>
      <w:r>
        <w:rPr>
          <w:rFonts w:eastAsia="Amiri" w:cs="Amiri" w:ascii="Amiri" w:hAnsi="Amiri"/>
          <w:color w:val="111111"/>
          <w:sz w:val="28"/>
          <w:szCs w:val="28"/>
          <w:rtl w:val="true"/>
          <w:lang w:bidi="ar-SA"/>
        </w:rPr>
        <w:t>).</w:t>
      </w:r>
      <w:r>
        <w:rPr>
          <w:rStyle w:val="FootnoteAnchor"/>
          <w:rtl w:val="true"/>
        </w:rPr>
        <w:footnoteReference w:id="144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صحته، لا ينفي عرفية استفادة حرمته لأنه باطل، ولأن النهي عن الأكل يفهم منه الأعم من النهي عن سببه، ولعل </w:t>
      </w:r>
      <w:bookmarkStart w:id="1410" w:name="pg7671_77174"/>
    </w:p>
    <w:p>
      <w:pPr>
        <w:pStyle w:val="BookText"/>
        <w:rPr/>
      </w:pPr>
      <w:bookmarkEnd w:id="1410"/>
      <w:r>
        <w:rPr>
          <w:rFonts w:ascii="Amiri" w:hAnsi="Amiri" w:eastAsia="Amiri" w:cs="Amiri"/>
          <w:color w:val="111111"/>
          <w:sz w:val="28"/>
          <w:sz w:val="28"/>
          <w:szCs w:val="28"/>
          <w:rtl w:val="true"/>
          <w:lang w:bidi="ar-SA"/>
        </w:rPr>
        <w:t>لذلك 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عبر عز وجل بالباطل ليشمل الحكم التكليفي والوضعي</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الملابسة</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دخلوا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فهي أجنبية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والبيع والسبب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تأكلوا أموالكم ملابساً ذلك الأكل بالباطل ـ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بحثنا حول الآية الشريفة بتفصيل أكثر في موضع آخر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بيانه</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3960163_1051229030"/>
      <w:bookmarkStart w:id="1412" w:name="_Toc513"/>
      <w:bookmarkEnd w:id="1411"/>
      <w:r>
        <w:rPr/>
        <w:t>2</w:t>
      </w:r>
      <w:r>
        <w:rPr>
          <w:rtl w:val="true"/>
        </w:rPr>
        <w:t xml:space="preserve">- </w:t>
      </w:r>
      <w:r>
        <w:rPr>
          <w:rtl w:val="true"/>
        </w:rPr>
        <w:t>الاستدلال بالروايات</w:t>
      </w:r>
      <w:bookmarkEnd w:id="1412"/>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آخر السرائر عن جامع البزنطي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وأكل ثمنه سحت</w:t>
      </w:r>
      <w:r>
        <w:rPr>
          <w:rFonts w:eastAsia="Amiri" w:cs="Amiri" w:ascii="Amiri" w:hAnsi="Amiri"/>
          <w:color w:val="111111"/>
          <w:sz w:val="28"/>
          <w:szCs w:val="28"/>
          <w:rtl w:val="true"/>
          <w:lang w:bidi="ar-SA"/>
        </w:rPr>
        <w:t>..).</w:t>
      </w:r>
      <w:r>
        <w:rPr>
          <w:rStyle w:val="FootnoteAnchor"/>
          <w:rtl w:val="true"/>
        </w:rPr>
        <w:footnoteReference w:id="144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تحف العقول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 نظير البرابط والمزامير والشطرنج وكل ملهو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تعليمه والعمل به وأخذ الأجرة عليه وجميع التقلب فيه من جميع وجوه الحركات</w:t>
      </w:r>
      <w:r>
        <w:rPr>
          <w:rFonts w:eastAsia="Amiri" w:cs="Amiri" w:ascii="Amiri" w:hAnsi="Amiri"/>
          <w:color w:val="111111"/>
          <w:sz w:val="28"/>
          <w:szCs w:val="28"/>
          <w:rtl w:val="true"/>
          <w:lang w:bidi="ar-SA"/>
        </w:rPr>
        <w:t xml:space="preserve">). </w:t>
      </w:r>
      <w:bookmarkStart w:id="1413" w:name="pg7671_77175"/>
    </w:p>
    <w:p>
      <w:pPr>
        <w:pStyle w:val="BookText"/>
        <w:rPr/>
      </w:pPr>
      <w:bookmarkEnd w:id="1413"/>
      <w:r>
        <w:rPr>
          <w:rFonts w:ascii="Amiri" w:hAnsi="Amiri" w:eastAsia="Amiri" w:cs="Amiri"/>
          <w:color w:val="111111"/>
          <w:sz w:val="28"/>
          <w:sz w:val="28"/>
          <w:szCs w:val="28"/>
          <w:rtl w:val="true"/>
          <w:lang w:bidi="ar-SA"/>
        </w:rPr>
        <w:t>ووجه الاستدلال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بيعه نوع تقلب فيه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المعاني عن أبي عبد الله إنه سئل عن النرد والشطرنج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تقربهما</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فإن بيع آلاتهما يعد عرفاً من القرب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المستدرك والمقنع وغيرهما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وواضح أن بائع الشطرنج غير مجتنب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عليه وعلى ما سبقه، ما رواه في الكافي عن محمد بن يحيى عن أحمد بن محمد عن ابن فضال عن علي بن عقبة عن ابن بكير عن زرارة عن أبي عبد الله عليه السلام أنه سئل عن الشطرنج وعن لعبة شبيب التي يقال لها لعبة الأمير وعن لعبة الثلاث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إذا ميز الله الحق من الباطل مع أيهما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خيرفيه</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وهذا الضابط الذي ذكره الإمام عليه السلام ينطبق على بيع آلات القمار والخمر والخنزير والربا وما أشبه كما لا يخفى</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960165_1051229030"/>
      <w:bookmarkStart w:id="1415" w:name="_Toc514"/>
      <w:bookmarkEnd w:id="1414"/>
      <w:r>
        <w:rPr/>
        <w:t>3</w:t>
      </w:r>
      <w:r>
        <w:rPr>
          <w:rtl w:val="true"/>
        </w:rPr>
        <w:t xml:space="preserve">- </w:t>
      </w:r>
      <w:r>
        <w:rPr>
          <w:rtl w:val="true"/>
        </w:rPr>
        <w:t>الإجماع</w:t>
      </w:r>
      <w:bookmarkEnd w:id="141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الإجماع والأخبار عدم جواز العمل والاستعمال والانتفاع والإبقاء والاكتساب بجميع </w:t>
      </w:r>
      <w:bookmarkStart w:id="1416" w:name="pg7671_77176"/>
    </w:p>
    <w:p>
      <w:pPr>
        <w:pStyle w:val="BookText"/>
        <w:rPr/>
      </w:pPr>
      <w:bookmarkEnd w:id="1416"/>
      <w:r>
        <w:rPr>
          <w:rFonts w:ascii="Amiri" w:hAnsi="Amiri" w:eastAsia="Amiri" w:cs="Amiri"/>
          <w:color w:val="111111"/>
          <w:sz w:val="28"/>
          <w:sz w:val="28"/>
          <w:szCs w:val="28"/>
          <w:rtl w:val="true"/>
          <w:lang w:bidi="ar-SA"/>
        </w:rPr>
        <w:t>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الانتفاع بها في غير الوجه المحرم، على تلك الحالة منفعة محللة مقصودة، فاشتراها لتلك المنفعة، لم يبعد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أطلقوا المنع عن بيعها</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وأنت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الجواز في قبال الحرمة لا الجواز بمعنى النفوذ ـ وهو الحكم الوضعي ـ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إجراء نفس المعاملة؛ فإنه عرفاً ودقة اكتساب، إذ به يطلب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الوالد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آلات القمار 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آلات اللهو وهو مجمع على حرمته</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وقال السيد الروحاني قدس سره 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حرمة بيعها ـ أي آلات القمار ـ مما لا خلاف فيه، وعن المستند دعوى الإجماع عليه</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وعلى أي تقدير لو شك في أن النهي مولوي أو إرشادي، وفي المولوي إنه مولوي تكليفي أو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المولوية ـ التشريعية التكليفية، كما فصلناه في موضع آخر</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3960167_1051229030"/>
      <w:bookmarkStart w:id="1418" w:name="_Toc515"/>
      <w:bookmarkEnd w:id="1417"/>
      <w:r>
        <w:rPr>
          <w:rtl w:val="true"/>
        </w:rPr>
        <w:t>هل الظهور الثانوي في نهي المعاملات الوضع لا التكليف؟</w:t>
      </w:r>
      <w:bookmarkEnd w:id="141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يحمل النهي في المعاملات، على المولوية ـ الوضعية دون المولوية التكليفية مطلقاً؛ نظراً لوجود ظهور ثانوي في باب المعاملات </w:t>
      </w:r>
      <w:bookmarkStart w:id="1419" w:name="pg7671_77177"/>
    </w:p>
    <w:p>
      <w:pPr>
        <w:pStyle w:val="BookText"/>
        <w:rPr/>
      </w:pPr>
      <w:bookmarkEnd w:id="1419"/>
      <w:r>
        <w:rPr>
          <w:rFonts w:ascii="Amiri" w:hAnsi="Amiri" w:eastAsia="Amiri" w:cs="Amiri"/>
          <w:color w:val="111111"/>
          <w:sz w:val="28"/>
          <w:sz w:val="28"/>
          <w:szCs w:val="28"/>
          <w:rtl w:val="true"/>
          <w:lang w:bidi="ar-SA"/>
        </w:rPr>
        <w:t>كما نقلناه عن الأصفهاني، أو لا، إلا إذا كانت هنالك قرينة خارجية على ذلك ـ ومنها فهم المشهور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هذا الذي يستفاد من الوالد قدس سره حيث قيد ـ بقرينة فهم المشهور ـ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الإشارة إلى نهيه صلى الله عليه وآله، عن بيع الغرر بل نهيه عن الغرر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والنهي ـ أي عن البيع الغرري ـ لا يراد به الإرشاد بأنه يقع النزاع؛ لأنه خلاف كون المولى في صدد بيان الأحكام، ولا التحريم فقط مثل البيع وقت النداء، بل الوضع؛ لأنه الأصل في الأوامر والنواهي المتعلقة بالمعاملات بالمعنى الأعم الشامل للإيقاعات، ولو بقرينة فهم المشهور منها ذلك، وإن كان ربما يفيد الوضع والتكليف معاً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فإن عقد الأم حرام تكليفاً ووضعاً كما لا يخفى</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وحينئذٍ ففي كل مورد فهم المشهور من الأمر والنهي الحكم الوضعي فقط، صرنا إليه، وإلا فلا</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3960169_1051229030"/>
      <w:bookmarkStart w:id="1421" w:name="_Toc516"/>
      <w:bookmarkEnd w:id="1420"/>
      <w:r>
        <w:rPr>
          <w:rtl w:val="true"/>
        </w:rPr>
        <w:t>هل المراد ب</w:t>
      </w:r>
      <w:r>
        <w:rPr>
          <w:rtl w:val="true"/>
        </w:rPr>
        <w:t>(</w:t>
      </w:r>
      <w:r>
        <w:rPr>
          <w:rtl w:val="true"/>
        </w:rPr>
        <w:t>الأصل</w:t>
      </w:r>
      <w:r>
        <w:rPr>
          <w:rtl w:val="true"/>
        </w:rPr>
        <w:t xml:space="preserve">) </w:t>
      </w:r>
      <w:r>
        <w:rPr>
          <w:rtl w:val="true"/>
        </w:rPr>
        <w:t>الغالب أم الراجح أم القاعدة؟</w:t>
      </w:r>
      <w:bookmarkEnd w:id="142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للغلبة،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المستفادة من العمومات التي يجب الرجوع إليها عند الشك في بعض الأفراد أو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في </w:t>
      </w:r>
      <w:bookmarkStart w:id="1422" w:name="pg7671_77178"/>
    </w:p>
    <w:p>
      <w:pPr>
        <w:pStyle w:val="BookText"/>
        <w:rPr/>
      </w:pPr>
      <w:bookmarkEnd w:id="1422"/>
      <w:r>
        <w:rPr>
          <w:rFonts w:ascii="Amiri" w:hAnsi="Amiri" w:eastAsia="Amiri" w:cs="Amiri"/>
          <w:color w:val="111111"/>
          <w:sz w:val="28"/>
          <w:sz w:val="28"/>
          <w:szCs w:val="28"/>
          <w:rtl w:val="true"/>
          <w:lang w:bidi="ar-SA"/>
        </w:rPr>
        <w:t>المكاسب</w:t>
      </w:r>
      <w:r>
        <w:rPr>
          <w:rStyle w:val="FootnoteAnchor"/>
          <w:rtl w:val="true"/>
        </w:rPr>
        <w:footnoteReference w:id="1458"/>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القاعدة والوضع اللغوي هو للتكليف لا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المراد الغالب فإنه لا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على القاعدة الأولية من الدلالة على الحرمة ـ أي الحكم التكليفي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 ونواهي المعاملات هو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أو جزء أو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لو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غالبية هنالك، بل لعل الغالب هو إفادتها الحكم التكليفي، وذلك كبيع المصحف للكافر والسلاح لأعداء الدين، وبيع الخمر والخنزير، والعقد على الأم والأخت وذات البعل، والبيع الربوي وبيع الصنم وبيع آلات اللهو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تعلق النهي بالخصوصيات فهل هو وضعي أم تكليفي؟ أي ما هو الأصل في ذلك؟ ثم يبحث عن الدليل الخارجي ـ ومنه فهم المشهور ـ في كل مورد مورد ولهذا المبحث ذيل طويل ونكتفي بالإشارة هنا فقط فنقول</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3960171_1051229030"/>
      <w:bookmarkStart w:id="1424" w:name="_Toc517"/>
      <w:bookmarkEnd w:id="1423"/>
      <w:r>
        <w:rPr>
          <w:rtl w:val="true"/>
        </w:rPr>
        <w:t>تحقيق الحال في عالم الإثبات</w:t>
      </w:r>
      <w:bookmarkEnd w:id="1424"/>
    </w:p>
    <w:p>
      <w:pPr>
        <w:pStyle w:val="BookText"/>
        <w:rPr/>
      </w:pPr>
      <w:r>
        <w:rPr>
          <w:rFonts w:ascii="IRNazanin" w:hAnsi="IRNazanin" w:eastAsia="IRNazanin"/>
          <w:color w:val="111111"/>
          <w:sz w:val="28"/>
          <w:sz w:val="28"/>
          <w:szCs w:val="28"/>
          <w:rtl w:val="true"/>
          <w:lang w:bidi="fa-IR"/>
        </w:rPr>
        <w:t>وأما الإثبات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 باختلاف الأمر بناء على الأغراض التي لأجلها جرى التقسيم، أو بلحاظ التعاريف التسعة</w:t>
      </w:r>
      <w:r>
        <w:rPr>
          <w:rFonts w:eastAsia="Amiri" w:cs="Amiri" w:ascii="Amiri" w:hAnsi="Amiri"/>
          <w:color w:val="111111"/>
          <w:sz w:val="28"/>
          <w:szCs w:val="28"/>
          <w:rtl w:val="true"/>
          <w:lang w:bidi="ar-SA"/>
        </w:rPr>
        <w:t xml:space="preserve">. </w:t>
      </w:r>
      <w:bookmarkStart w:id="1425" w:name="pg7671_77179"/>
    </w:p>
    <w:p>
      <w:pPr>
        <w:pStyle w:val="BookText"/>
        <w:rPr/>
      </w:pPr>
      <w:bookmarkEnd w:id="14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 على كون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يدعى أنه لا ريب في عدم استحقاقه على عدم توفير الشروط والأجزاء، بل المترتب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فليست الأوامر المتعلقة بأجزاء وشرائط المعاملات والنواهي عن بعض موانعها، مولوية بل هي إرشادية فقط ـ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 الغرض هو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بالمولوية بهذا المعنى والإلتزام بكون ترك الشرط أو الجزء أو ما أشبه، مكروهاً شرعاً، فلو طلق دون شاهدين أو باع دون تنجيز أو باع المجهول أو لم يذكر اسم الله على الذبيحة، فعل مكروهاً</w:t>
      </w:r>
      <w:r>
        <w:rPr>
          <w:rStyle w:val="FootnoteAnchor"/>
          <w:rtl w:val="true"/>
        </w:rPr>
        <w:footnoteReference w:id="1459"/>
      </w:r>
      <w:r>
        <w:rPr>
          <w:rFonts w:ascii="Amiri" w:hAnsi="Amiri" w:eastAsia="Amiri" w:cs="Amiri"/>
          <w:color w:val="111111"/>
          <w:sz w:val="28"/>
          <w:sz w:val="28"/>
          <w:szCs w:val="28"/>
          <w:rtl w:val="true"/>
          <w:lang w:bidi="ar-SA"/>
        </w:rPr>
        <w:t>، إضافة إلى حكمه الوضعي، من عدم وقوع الطلاق أو البيع ومن عدم حلية أكل الذبيحة ـ فتأمل وسيأتي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صرنا إلى أن الغرض هو الثالث أي</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3960173_1051229030"/>
      <w:bookmarkStart w:id="1427" w:name="_Toc518"/>
      <w:bookmarkEnd w:id="1426"/>
      <w:r>
        <w:rPr>
          <w:rtl w:val="true"/>
        </w:rPr>
        <w:t>دعوى الوجوب في أوامر المعاملات والإيقاعات</w:t>
      </w:r>
      <w:bookmarkEnd w:id="142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كون 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ـ بالمعنى الأعم ـ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 بكون أوامر ونواهي المعاملات، للوجوب والحرمة بالمعنى الأعم</w:t>
      </w:r>
      <w:r>
        <w:rPr>
          <w:rStyle w:val="FootnoteAnchor"/>
          <w:rtl w:val="true"/>
        </w:rPr>
        <w:footnoteReference w:id="1460"/>
      </w:r>
      <w:r>
        <w:rPr>
          <w:rFonts w:ascii="Amiri" w:hAnsi="Amiri" w:eastAsia="Amiri" w:cs="Amiri"/>
          <w:color w:val="111111"/>
          <w:sz w:val="28"/>
          <w:sz w:val="28"/>
          <w:szCs w:val="28"/>
          <w:rtl w:val="true"/>
          <w:lang w:bidi="ar-SA"/>
        </w:rPr>
        <w:t xml:space="preserve">ـ ولو في الجملة ـ، إذ إحضار العدلين إلزامي بنظر المولى لدى إرادة الطلاق، لكن لا لإعماله مقام المولوية ـ التشريعية، بل لإعماله </w:t>
      </w:r>
    </w:p>
    <w:p>
      <w:pPr>
        <w:pStyle w:val="BookText"/>
        <w:rPr/>
      </w:pPr>
      <w:r>
        <w:rPr>
          <w:rFonts w:ascii="Amiri" w:hAnsi="Amiri" w:eastAsia="Amiri" w:cs="Amiri"/>
          <w:color w:val="111111"/>
          <w:sz w:val="28"/>
          <w:sz w:val="28"/>
          <w:szCs w:val="28"/>
          <w:rtl w:val="true"/>
          <w:lang w:bidi="ar-SA"/>
        </w:rPr>
        <w:t>مقام المولوية في باب النصح، لذا لا يترتب عليه عقاب أخروي لو لم يفعل، بل صرف عدم تحقق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كونه ـ في ذلك ـ بانياً على إهمال حكم الشرع بالاشتراط، معتبراً الشارع وتشريعه كأن لم يكن، فالحرمة، وإلا ـ بأن فعل ذلك كسلاً وتساهلاً مثلاً ـ فلا، فتنصرف أوامر الاشتراط ـ من حيث مولويتها التكليفية، للأول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إشهاد شاهدين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إمهار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تنجيز أو بغير العربية أو بغير الماضوية ـ بناء على اشتراطها ـ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باشتراط الشارع، وقصده ـ رغم ذلك ـ على إيقاع مؤدياتها بدون شرطه أو مع مانعه،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وقصد إيقاع مؤدياتها بدون تحقيق تلك الشروط كان آثماً مستحقاً للعقاب، ويستند في حرمته إلى نفس الأدلة الدالة على الاشتراط ما دامت بصيغة الأمر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للاستناد إلى عناوين 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الاستخفاف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لواء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يقصد إيقاع مؤدياتها، بها، فلا حرمة، إذ لا جدية له، بل هو كالعابث، وفي خصوصه يحتاج إلى دليل خاص على الحرمة بل حتى نفس حرمة العقد على أمّه مثلاً، عابثاً وممازحاً يحتاج إلى دليل على حرمته؛ إذ لعل كلامهم خاص بما لو عقد عليها قاصداً تحقق المؤدى، فإنه حرام بنفسه وإن لم يستتبعه عمل</w:t>
      </w:r>
      <w:r>
        <w:rPr>
          <w:rFonts w:eastAsia="Amiri" w:cs="Amiri" w:ascii="Amiri" w:hAnsi="Amiri"/>
          <w:color w:val="111111"/>
          <w:sz w:val="28"/>
          <w:szCs w:val="28"/>
          <w:rtl w:val="true"/>
          <w:lang w:bidi="ar-SA"/>
        </w:rPr>
        <w:t xml:space="preserve">. </w:t>
      </w:r>
      <w:bookmarkStart w:id="1428" w:name="pg7671_77181"/>
    </w:p>
    <w:p>
      <w:pPr>
        <w:pStyle w:val="Heading3"/>
        <w:numPr>
          <w:ilvl w:val="2"/>
          <w:numId w:val="1"/>
        </w:numPr>
        <w:rPr/>
      </w:pPr>
      <w:bookmarkStart w:id="1429" w:name="__RefHeading___Toc3960175_1051229030"/>
      <w:bookmarkStart w:id="1430" w:name="_Toc519"/>
      <w:bookmarkEnd w:id="1428"/>
      <w:bookmarkEnd w:id="1429"/>
      <w:r>
        <w:rPr>
          <w:rtl w:val="true"/>
        </w:rPr>
        <w:t xml:space="preserve">دليل </w:t>
      </w:r>
      <w:r>
        <w:rPr>
          <w:rtl w:val="true"/>
        </w:rPr>
        <w:t>(</w:t>
      </w:r>
      <w:r>
        <w:rPr>
          <w:rtl w:val="true"/>
        </w:rPr>
        <w:t>الوجوب الإرشادي</w:t>
      </w:r>
      <w:r>
        <w:rPr>
          <w:rtl w:val="true"/>
        </w:rPr>
        <w:t xml:space="preserve">) </w:t>
      </w:r>
      <w:r>
        <w:rPr>
          <w:rtl w:val="true"/>
        </w:rPr>
        <w:t>لأوامر العقود والإيقاعات</w:t>
      </w:r>
      <w:bookmarkEnd w:id="1430"/>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يريد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يسيروا في ضمن حدود مملكته، وفي دائرة تقديره وهندسته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بعض أوامره ـ وهي المسماة بالمولوية ـ ولم يرتبه على بعضها الآخر ـ وهي الإرشادية، منّةً ـ لكن حيث توقفت مصالح العباد عليها أيضاً ـ كان مقتضى الحكمة إيجابها بنحوٍ من الأنحاء، فجعلها إرشادية، فأصدرها بما هو ناصح لكن بدرجة الإلزام أي نصحاً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لولاها لاختل النظام بدرجةٍ؛ فإنه لو لم يشترط العدلين في الطلاق ـ ولم يوجب إشهادهما لزم انفكاك وانحلال عرى العوائل والأسر بأدنى شيء، ولا يخفى ما فيه من الفساد العظيم، وكذا سائر الشروط التي يراد بها التصعيب، كأن تكون في غير طهر المواقعة مثلاً،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ما أوجب</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مقتضى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وعلى هذا فلو طلق دون أن يحضر الشاهدين، فإنه فعل محرماً إرشادياً، لمخالفته الأمر الإرشادي الإلزامي، وإن لم يستحق العقاب، لرفعه، من باب الامتنان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r>
        <w:rPr>
          <w:rStyle w:val="FootnoteAnchor"/>
          <w:rtl w:val="true"/>
        </w:rPr>
        <w:footnoteReference w:id="1461"/>
      </w:r>
      <w:bookmarkStart w:id="1431" w:name="pg7671_77182"/>
    </w:p>
    <w:p>
      <w:pPr>
        <w:pStyle w:val="Heading3"/>
        <w:numPr>
          <w:ilvl w:val="2"/>
          <w:numId w:val="1"/>
        </w:numPr>
        <w:rPr/>
      </w:pPr>
      <w:bookmarkStart w:id="1432" w:name="__RefHeading___Toc3960177_1051229030"/>
      <w:bookmarkStart w:id="1433" w:name="_Toc520"/>
      <w:bookmarkEnd w:id="1431"/>
      <w:bookmarkEnd w:id="1432"/>
      <w:r>
        <w:rPr>
          <w:rtl w:val="true"/>
        </w:rPr>
        <w:t>الرد</w:t>
      </w:r>
      <w:r>
        <w:rPr>
          <w:rtl w:val="true"/>
        </w:rPr>
        <w:t xml:space="preserve">: </w:t>
      </w:r>
      <w:r>
        <w:rPr>
          <w:rtl w:val="true"/>
        </w:rPr>
        <w:t>بأنه خلاف ضرورة الفقه، وجوابهلا يقال</w:t>
      </w:r>
      <w:r>
        <w:rPr>
          <w:rtl w:val="true"/>
        </w:rPr>
        <w:t xml:space="preserve">: </w:t>
      </w:r>
      <w:r>
        <w:rPr>
          <w:rtl w:val="true"/>
        </w:rPr>
        <w:t>إن ذلك خلاف المعلوم بالضرورة من الفقه</w:t>
      </w:r>
      <w:r>
        <w:rPr>
          <w:rtl w:val="true"/>
        </w:rPr>
        <w:t>.</w:t>
      </w:r>
      <w:bookmarkEnd w:id="1433"/>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أن المعلوم بالضرورة هو عدم الوجوب بالمعنى المعهود، وهو ما يستتبع مخالفته استحقاق العقاب، لا هذا المعنى الذي قد لا يخطر على البال عادة، أي الوجوب الإرشادي أو الوجوب غير المستتبع للعقاب</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3960179_1051229030"/>
      <w:bookmarkStart w:id="1435" w:name="_Toc521"/>
      <w:bookmarkEnd w:id="1434"/>
      <w:r>
        <w:rPr>
          <w:rtl w:val="true"/>
        </w:rPr>
        <w:t>الإشكال ب</w:t>
      </w:r>
      <w:r>
        <w:rPr>
          <w:rtl w:val="true"/>
        </w:rPr>
        <w:t>(</w:t>
      </w:r>
      <w:r>
        <w:rPr>
          <w:rtl w:val="true"/>
        </w:rPr>
        <w:t>لو كان لبان</w:t>
      </w:r>
      <w:r>
        <w:rPr>
          <w:rtl w:val="true"/>
        </w:rPr>
        <w:t xml:space="preserve">) </w:t>
      </w:r>
      <w:r>
        <w:rPr>
          <w:rtl w:val="true"/>
        </w:rPr>
        <w:t>وجوابه</w:t>
      </w:r>
      <w:bookmarkEnd w:id="1435"/>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النوع من الإيجاب مقصوداً للشارع ـ للحكمة فيه كما ذكر، لبيّنه، لكنه لم يبينه ـ إذ نرى خفائه على الجل لولا الكل من الأفاضل، فكيف بعامة الناس وهو مورد ابتلائهم كافة؟</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مراداً للشارع، لبان إذ هو مما لو كان لبان، لكن التالي باطل فالمقدم مثله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بيان أعظم من ذكر كل ذلك بصيغة الأمر والنهي؟ فقد يقال إنه بملاحظة اختلاف لحن الشارع في الشرائط والموانع وغيرها حيث ذكر بعضها بصيغة الأمر وبعضها بصيغة الإخبار عن الاشتراط مما قد يصل بنا إلى التفصيل في أدلة الأجزاء والشرائط والموانع وغيرها، فبعضها للوجوب وبعضها لغيره، وهذا مما يحتاج إلى تدبر وتأمل تام في الأدلة</w:t>
      </w:r>
      <w:r>
        <w:rPr>
          <w:rFonts w:eastAsia="Amiri" w:cs="Amiri" w:ascii="Amiri" w:hAnsi="Amiri"/>
          <w:color w:val="111111"/>
          <w:sz w:val="28"/>
          <w:szCs w:val="28"/>
          <w:rtl w:val="true"/>
          <w:lang w:bidi="ar-SA"/>
        </w:rPr>
        <w:t xml:space="preserve">. </w:t>
      </w:r>
      <w:bookmarkStart w:id="1436" w:name="pg7671_77183"/>
    </w:p>
    <w:p>
      <w:pPr>
        <w:pStyle w:val="Heading3"/>
        <w:numPr>
          <w:ilvl w:val="2"/>
          <w:numId w:val="1"/>
        </w:numPr>
        <w:rPr/>
      </w:pPr>
      <w:bookmarkStart w:id="1437" w:name="__RefHeading___Toc3960181_1051229030"/>
      <w:bookmarkStart w:id="1438" w:name="_Toc522"/>
      <w:bookmarkEnd w:id="1436"/>
      <w:bookmarkEnd w:id="1437"/>
      <w:r>
        <w:rPr>
          <w:rtl w:val="true"/>
        </w:rPr>
        <w:t xml:space="preserve">هل يكفي </w:t>
      </w:r>
      <w:r>
        <w:rPr>
          <w:rtl w:val="true"/>
        </w:rPr>
        <w:t>(</w:t>
      </w:r>
      <w:r>
        <w:rPr>
          <w:rtl w:val="true"/>
        </w:rPr>
        <w:t>الحكم الوضعي</w:t>
      </w:r>
      <w:r>
        <w:rPr>
          <w:rtl w:val="true"/>
        </w:rPr>
        <w:t xml:space="preserve">) </w:t>
      </w:r>
      <w:r>
        <w:rPr>
          <w:rtl w:val="true"/>
        </w:rPr>
        <w:t>لدفع اختلال النظام؟</w:t>
      </w:r>
      <w:bookmarkEnd w:id="1438"/>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دفع محذور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لدى فقد الشروط أو وجود الموانع من غير حاجة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أقوى في الداعوية للإلتزام، من الإكتفاء بالوضع، فلزم شفعه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المولى مخير بينهما، لوجود بديلين، فيمكن دفع الاختلال بهما ثبوتاً، وأما إثباتاً فظاهر الأمر يكفي في الصيرورة إلى الوجوب، بل هو أولى من تأويل كل هذه الظواهر الواردة في ما استنبط منه الشرطية أو الجزئية أو المانعية، بكونها صِرف نصح وإرشاد لهما، بدون إيجاب ووجوب ولا ندب واستحباب، بل صرف إرشاد للشرطية أو الجزئية مثلاً</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3960183_1051229030"/>
      <w:bookmarkStart w:id="1440" w:name="_Toc523"/>
      <w:bookmarkEnd w:id="1439"/>
      <w:r>
        <w:rPr>
          <w:rtl w:val="true"/>
        </w:rPr>
        <w:t>والمرجع</w:t>
      </w:r>
      <w:r>
        <w:rPr>
          <w:rtl w:val="true"/>
        </w:rPr>
        <w:t>: (</w:t>
      </w:r>
      <w:r>
        <w:rPr>
          <w:rtl w:val="true"/>
        </w:rPr>
        <w:t>الظواهر</w:t>
      </w:r>
      <w:r>
        <w:rPr>
          <w:rtl w:val="true"/>
        </w:rPr>
        <w:t xml:space="preserve">) </w:t>
      </w:r>
      <w:r>
        <w:rPr>
          <w:rtl w:val="true"/>
        </w:rPr>
        <w:t>في الموارد</w:t>
      </w:r>
      <w:bookmarkEnd w:id="1440"/>
    </w:p>
    <w:p>
      <w:pPr>
        <w:pStyle w:val="BookText"/>
        <w:rPr/>
      </w:pPr>
      <w:r>
        <w:rPr>
          <w:rFonts w:ascii="Amiri" w:hAnsi="Amiri" w:eastAsia="Amiri" w:cs="Amiri"/>
          <w:color w:val="111111"/>
          <w:sz w:val="28"/>
          <w:sz w:val="28"/>
          <w:szCs w:val="28"/>
          <w:rtl w:val="true"/>
          <w:lang w:bidi="ar-SA"/>
        </w:rPr>
        <w:t>فمقتضى القاعدة إتباع الظواهر في كل مورد مورد، إلا ما علم بالدليل عدم كونه للوجوب المولوي ولا الوجوب ـ النصحي الإرشادي، لا إطلاق القول بأن كل الأوامر والنواهي في العقود والإيقاعات هي إرشادية بالمعنى الأخص</w:t>
      </w:r>
      <w:r>
        <w:rPr>
          <w:rStyle w:val="FootnoteAnchor"/>
          <w:rtl w:val="true"/>
        </w:rPr>
        <w:footnoteReference w:id="1463"/>
      </w:r>
      <w:r>
        <w:rPr>
          <w:rFonts w:ascii="Amiri" w:hAnsi="Amiri" w:eastAsia="Amiri" w:cs="Amiri"/>
          <w:color w:val="111111"/>
          <w:sz w:val="28"/>
          <w:sz w:val="28"/>
          <w:szCs w:val="28"/>
          <w:rtl w:val="true"/>
          <w:lang w:bidi="ar-SA"/>
        </w:rPr>
        <w:t>كما ذكره المحقق الرشتي وغيره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يكون عدم إشهاد شاهدين في الطلاق، لو قام به </w:t>
      </w:r>
    </w:p>
    <w:p>
      <w:pPr>
        <w:pStyle w:val="BookText"/>
        <w:rPr/>
      </w:pPr>
      <w:r>
        <w:rPr>
          <w:rFonts w:ascii="Amiri" w:hAnsi="Amiri" w:eastAsia="Amiri" w:cs="Amiri"/>
          <w:color w:val="111111"/>
          <w:sz w:val="28"/>
          <w:sz w:val="28"/>
          <w:szCs w:val="28"/>
          <w:rtl w:val="true"/>
          <w:lang w:bidi="ar-SA"/>
        </w:rPr>
        <w:t>تشهياً</w:t>
      </w:r>
      <w:r>
        <w:rPr>
          <w:rStyle w:val="FootnoteAnchor"/>
          <w:rtl w:val="true"/>
        </w:rPr>
        <w:footnoteReference w:id="1464"/>
      </w:r>
      <w:r>
        <w:rPr>
          <w:rFonts w:ascii="Amiri" w:hAnsi="Amiri" w:eastAsia="Amiri" w:cs="Amiri"/>
          <w:color w:val="111111"/>
          <w:sz w:val="28"/>
          <w:sz w:val="28"/>
          <w:szCs w:val="28"/>
          <w:rtl w:val="true"/>
          <w:lang w:bidi="ar-SA"/>
        </w:rPr>
        <w:t xml:space="preserve">، حراماً شرعاً أي مخالفاً للوجوب الإرشادي، لكنه غير مستتبع للعقاب، والمثال الأوضح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أمّه فإنه حرام وليس باطلاً فقط ـ فتأمل</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ومطلق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تقتضي عدم الحكم التكليفي حتى بمعناه الأعم</w:t>
      </w:r>
      <w:r>
        <w:rPr>
          <w:rStyle w:val="FootnoteAnchor"/>
          <w:rtl w:val="true"/>
        </w:rPr>
        <w:footnoteReference w:id="1467"/>
      </w:r>
      <w:r>
        <w:rPr>
          <w:rFonts w:ascii="Amiri" w:hAnsi="Amiri" w:eastAsia="Amiri" w:cs="Amiri"/>
          <w:color w:val="111111"/>
          <w:sz w:val="28"/>
          <w:sz w:val="28"/>
          <w:szCs w:val="28"/>
          <w:rtl w:val="true"/>
          <w:lang w:bidi="ar-SA"/>
        </w:rPr>
        <w:t xml:space="preserve">، وإحراز المصالح ودفع المفاسد يكفي فيه الحكم الوضعي، فإنه وإن كان لا بدرجة الحكم التكليفي في الردع عن الموانع أو البعث لتوفير الشروط، إلا أن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التيسير أيضاً، وإن استلزم بعض الفساد بعدم الإيجاب والتحريم، نظراً لكونهما الأشد ردعاً والأقوى بعثاً ـ فتأمل</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وعلى أي فإن هذا في عالم الثبوت كقسيمه ممكن، والملاك الآن هو ظواهر الأدلة وعالم الإثبات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أستوعبنا البحث عن جانب من ذلك في فصل آخر من هذا الكتاب، كما أن تمام الكلام فيه سيكون بإذن الله تعالى في المجلد الثاني</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1" w:name="pg7671_77186"/>
      <w:bookmarkStart w:id="1442" w:name="pg7671_77186"/>
      <w:bookmarkEnd w:id="1442"/>
    </w:p>
    <w:p>
      <w:pPr>
        <w:pStyle w:val="Heading2"/>
        <w:numPr>
          <w:ilvl w:val="1"/>
          <w:numId w:val="1"/>
        </w:numPr>
        <w:rPr/>
      </w:pPr>
      <w:bookmarkStart w:id="1443" w:name="pg7671_77186"/>
      <w:bookmarkStart w:id="1444" w:name="__RefHeading___Toc3960185_1051229030"/>
      <w:bookmarkStart w:id="1445" w:name="_Toc524"/>
      <w:bookmarkEnd w:id="1443"/>
      <w:bookmarkEnd w:id="1444"/>
      <w:r>
        <w:rPr>
          <w:rtl w:val="true"/>
        </w:rPr>
        <w:t>المبحث الحادي عشر</w:t>
      </w:r>
      <w:r>
        <w:rPr>
          <w:rtl w:val="true"/>
        </w:rPr>
        <w:t xml:space="preserve">: </w:t>
      </w:r>
      <w:r>
        <w:rPr>
          <w:rtl w:val="true"/>
        </w:rPr>
        <w:t>الوجوب التخييري للاجتهاد في الأحكام الإرشادية وجريان التقليد فيها</w:t>
      </w:r>
      <w:bookmarkEnd w:id="144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6" w:name="__RefHeading___Toc3960187_1051229030"/>
      <w:bookmarkStart w:id="1447" w:name="_Toc525"/>
      <w:bookmarkEnd w:id="1446"/>
      <w:r>
        <w:rPr>
          <w:rtl w:val="true"/>
        </w:rPr>
        <w:t>اشارة</w:t>
      </w:r>
      <w:bookmarkEnd w:id="144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8" w:name="pg7671_77188"/>
      <w:bookmarkStart w:id="1449" w:name="pg7671_77188"/>
      <w:bookmarkEnd w:id="1449"/>
    </w:p>
    <w:p>
      <w:pPr>
        <w:pStyle w:val="Heading3"/>
        <w:numPr>
          <w:ilvl w:val="2"/>
          <w:numId w:val="1"/>
        </w:numPr>
        <w:rPr/>
      </w:pPr>
      <w:bookmarkStart w:id="1450" w:name="pg7671_77188"/>
      <w:bookmarkStart w:id="1451" w:name="__RefHeading___Toc3960189_1051229030"/>
      <w:bookmarkStart w:id="1452" w:name="_Toc526"/>
      <w:bookmarkEnd w:id="1450"/>
      <w:bookmarkEnd w:id="1451"/>
      <w:r>
        <w:rPr>
          <w:rtl w:val="true"/>
        </w:rPr>
        <w:t>مسألتان</w:t>
      </w:r>
      <w:bookmarkEnd w:id="1452"/>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الإرشادية ـ وجوبية كانت أو ندبية، تخييرياً، كوجوبه في الأحكام المولوية، كما قد يقال بجريان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كجريانه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ـ وضعاً ـ والجواز ـ حكماً ـ والوجوب التخييري</w:t>
      </w:r>
      <w:r>
        <w:rPr>
          <w:rFonts w:eastAsia="Amiri" w:cs="Amiri" w:ascii="Amiri" w:hAnsi="Amiri"/>
          <w:color w:val="111111"/>
          <w:sz w:val="28"/>
          <w:szCs w:val="28"/>
          <w:rtl w:val="true"/>
          <w:lang w:bidi="ar-SA"/>
        </w:rPr>
        <w:t>.</w:t>
      </w:r>
      <w:r>
        <w:rPr>
          <w:rStyle w:val="FootnoteAnchor"/>
          <w:rtl w:val="true"/>
        </w:rPr>
        <w:footnoteReference w:id="1469"/>
      </w:r>
    </w:p>
    <w:p>
      <w:pPr>
        <w:pStyle w:val="Heading3"/>
        <w:numPr>
          <w:ilvl w:val="2"/>
          <w:numId w:val="1"/>
        </w:numPr>
        <w:rPr/>
      </w:pPr>
      <w:bookmarkStart w:id="1453" w:name="__RefHeading___Toc3960191_1051229030"/>
      <w:bookmarkStart w:id="1454" w:name="_Toc527"/>
      <w:bookmarkEnd w:id="1453"/>
      <w:r>
        <w:rPr>
          <w:rtl w:val="true"/>
        </w:rPr>
        <w:t>النسبة بين الصحة والجواز</w:t>
      </w:r>
      <w:bookmarkEnd w:id="145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متغايران مفهوماً وذاتاً بالحمل الذاتي الأولي، وأما بالحمل الشائع فلعل النسبة هي العموم </w:t>
      </w:r>
      <w:bookmarkStart w:id="1455" w:name="pg7671_77189"/>
    </w:p>
    <w:p>
      <w:pPr>
        <w:pStyle w:val="BookText"/>
        <w:rPr/>
      </w:pPr>
      <w:bookmarkEnd w:id="1455"/>
      <w:r>
        <w:rPr>
          <w:rFonts w:ascii="IRNazanin" w:hAnsi="IRNazanin" w:eastAsia="IRNazanin"/>
          <w:color w:val="111111"/>
          <w:sz w:val="28"/>
          <w:sz w:val="28"/>
          <w:szCs w:val="28"/>
          <w:rtl w:val="true"/>
          <w:lang w:bidi="fa-IR"/>
        </w:rPr>
        <w:t>والخصوص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كصلاة الجاهل قصوراً، فاقدة للركن، أو كإيقاع الطلاق بلا تنجيز أو بغير العربية بناء على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كالعبادة المرجوحة في بحث الترتب فتأمل، وكالظهار بشرائطه، وكعقد البيع في يوم الجمعة بناءاً على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ابتناء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مطابقة المأتي به للمأمور به؟ أو هي منشأية الأثر؟ أو هي تمامية الشيء وحصوله على حسب مقتضى طبعه أو وضعه؟ وتحقيق ذلك يطلب من مظآنه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جاريان في الأحكام الإرشادية، كالمولوية وذلك لجريان الأدلة فيها على مساق واحد</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3960193_1051229030"/>
      <w:bookmarkStart w:id="1457" w:name="_Toc528"/>
      <w:bookmarkEnd w:id="1456"/>
      <w:r>
        <w:rPr>
          <w:rtl w:val="true"/>
        </w:rPr>
        <w:t>بيان ذلك</w:t>
      </w:r>
      <w:r>
        <w:rPr>
          <w:rtl w:val="true"/>
        </w:rPr>
        <w:t>:</w:t>
      </w:r>
      <w:bookmarkEnd w:id="145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استدل ـ أو قد يستدل ـ للوجوب التخييري</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المولوية بالمعنى الأعم</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و لجواز التقليد فيها، ووجوبه التخييري، ولحجية قول ورأي الفقيه، بالأدلة الأربعة</w:t>
      </w:r>
      <w:r>
        <w:rPr>
          <w:rFonts w:eastAsia="Amiri" w:cs="Amiri" w:ascii="Amiri" w:hAnsi="Amiri"/>
          <w:color w:val="111111"/>
          <w:sz w:val="28"/>
          <w:szCs w:val="28"/>
          <w:rtl w:val="true"/>
          <w:lang w:bidi="ar-SA"/>
        </w:rPr>
        <w:t xml:space="preserve">: </w:t>
      </w:r>
      <w:bookmarkStart w:id="1458" w:name="pg7671_77190"/>
    </w:p>
    <w:p>
      <w:pPr>
        <w:pStyle w:val="Heading3"/>
        <w:numPr>
          <w:ilvl w:val="2"/>
          <w:numId w:val="1"/>
        </w:numPr>
        <w:rPr/>
      </w:pPr>
      <w:bookmarkStart w:id="1459" w:name="__RefHeading___Toc3960195_1051229030"/>
      <w:bookmarkStart w:id="1460" w:name="_Toc529"/>
      <w:bookmarkEnd w:id="1458"/>
      <w:bookmarkEnd w:id="1459"/>
      <w:r>
        <w:rPr>
          <w:rtl w:val="true"/>
        </w:rPr>
        <w:t>الاستدلال بالكتاب</w:t>
      </w:r>
      <w:bookmarkEnd w:id="1460"/>
    </w:p>
    <w:p>
      <w:pPr>
        <w:pStyle w:val="Heading4"/>
        <w:numPr>
          <w:ilvl w:val="3"/>
          <w:numId w:val="1"/>
        </w:numPr>
        <w:rPr/>
      </w:pPr>
      <w:bookmarkStart w:id="1461" w:name="__RefHeading___Toc3960197_1051229030"/>
      <w:bookmarkStart w:id="1462" w:name="_Toc530"/>
      <w:bookmarkEnd w:id="1461"/>
      <w:r>
        <w:rPr>
          <w:rtl w:val="true"/>
        </w:rPr>
        <w:t>الاستدلال بآية النفر</w:t>
      </w:r>
      <w:bookmarkEnd w:id="1462"/>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بآية النفر،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472"/>
      </w:r>
    </w:p>
    <w:p>
      <w:pPr>
        <w:pStyle w:val="Heading4"/>
        <w:numPr>
          <w:ilvl w:val="3"/>
          <w:numId w:val="1"/>
        </w:numPr>
        <w:rPr/>
      </w:pPr>
      <w:bookmarkStart w:id="1463" w:name="__RefHeading___Toc3960199_1051229030"/>
      <w:bookmarkStart w:id="1464" w:name="_Toc531"/>
      <w:bookmarkEnd w:id="1463"/>
      <w:r>
        <w:rPr>
          <w:rtl w:val="true"/>
        </w:rPr>
        <w:t xml:space="preserve">معنى </w:t>
      </w:r>
      <w:r>
        <w:rPr>
          <w:rtl w:val="true"/>
        </w:rPr>
        <w:t>(</w:t>
      </w:r>
      <w:r>
        <w:rPr>
          <w:rtl w:val="true"/>
        </w:rPr>
        <w:t>الدين</w:t>
      </w:r>
      <w:r>
        <w:rPr>
          <w:rtl w:val="true"/>
        </w:rPr>
        <w:t xml:space="preserve">) </w:t>
      </w:r>
      <w:r>
        <w:rPr>
          <w:rtl w:val="true"/>
        </w:rPr>
        <w:t>في آية النفر</w:t>
      </w:r>
      <w:bookmarkEnd w:id="146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الأحكام المولوية والإرشادية</w:t>
      </w:r>
      <w:r>
        <w:rPr>
          <w:rStyle w:val="FootnoteAnchor"/>
          <w:rtl w:val="true"/>
        </w:rPr>
        <w:footnoteReference w:id="1473"/>
      </w:r>
      <w:r>
        <w:rPr>
          <w:rFonts w:ascii="Amiri" w:hAnsi="Amiri" w:eastAsia="Amiri" w:cs="Amiri"/>
          <w:color w:val="111111"/>
          <w:sz w:val="28"/>
          <w:sz w:val="28"/>
          <w:szCs w:val="28"/>
          <w:rtl w:val="true"/>
          <w:lang w:bidi="ar-SA"/>
        </w:rPr>
        <w:t xml:space="preserve">فإنها بأجمعها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يرشد إلى الحكم الوضعي كالشرطية والمانعية وغيرها في المعاملات، بل وكذا في العبادات ـ على رأي بعض الأعلام ـ، أم قصد بها ما هو قسيم الحكم المولوي مطلقاً أي الأعم من التكليفي والوضعي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الصادر نصيحة وإرشاداً، لكن ما كان منها للوجوب أو الندب</w:t>
      </w:r>
      <w:r>
        <w:rPr>
          <w:rStyle w:val="FootnoteAnchor"/>
          <w:rtl w:val="true"/>
        </w:rPr>
        <w:footnoteReference w:id="1474"/>
      </w:r>
      <w:r>
        <w:rPr>
          <w:rFonts w:ascii="Amiri" w:hAnsi="Amiri" w:eastAsia="Amiri" w:cs="Amiri"/>
          <w:color w:val="111111"/>
          <w:sz w:val="28"/>
          <w:sz w:val="28"/>
          <w:szCs w:val="28"/>
          <w:rtl w:val="true"/>
          <w:lang w:bidi="ar-SA"/>
        </w:rPr>
        <w:t>كمطلق الأوامر في مواطن المستقلات العقلية ـ على مبنى من ذهب للضابط الخامس ـ بل وبدون ذلك القيد</w:t>
      </w:r>
      <w:r>
        <w:rPr>
          <w:rStyle w:val="FootnoteAnchor"/>
          <w:rtl w:val="true"/>
        </w:rPr>
        <w:footnoteReference w:id="1475"/>
      </w:r>
      <w:r>
        <w:rPr>
          <w:rFonts w:ascii="Amiri" w:hAnsi="Amiri" w:eastAsia="Amiri" w:cs="Amiri"/>
          <w:color w:val="111111"/>
          <w:sz w:val="28"/>
          <w:sz w:val="28"/>
          <w:szCs w:val="28"/>
          <w:rtl w:val="true"/>
          <w:lang w:bidi="ar-SA"/>
        </w:rPr>
        <w:t xml:space="preserve">فيها بناء على استحالته لما ذكروه من محاذير التسلسل وغيره؛ فإن عدم </w:t>
      </w:r>
      <w:bookmarkStart w:id="1465" w:name="pg7671_77191"/>
    </w:p>
    <w:p>
      <w:pPr>
        <w:pStyle w:val="BookText"/>
        <w:rPr/>
      </w:pPr>
      <w:bookmarkEnd w:id="1465"/>
      <w:r>
        <w:rPr>
          <w:rFonts w:ascii="Amiri" w:hAnsi="Amiri" w:eastAsia="Amiri" w:cs="Amiri"/>
          <w:color w:val="111111"/>
          <w:sz w:val="28"/>
          <w:sz w:val="28"/>
          <w:szCs w:val="28"/>
          <w:rtl w:val="true"/>
          <w:lang w:bidi="ar-SA"/>
        </w:rPr>
        <w:t xml:space="preserve">وجوب المستقلات العقلية أو ندبها، لا يخرجها عن كونها من الدين مادام قد تعلق بها الأمر ولو نصحاً، ألا ترى أن التفقه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المستقلات، تفقه في الدين حقيقة على أي ضابط صرنا إليه في تمييز المولوي عن الإرشادي؟</w:t>
      </w:r>
    </w:p>
    <w:p>
      <w:pPr>
        <w:pStyle w:val="BookText"/>
        <w:rPr/>
      </w:pPr>
      <w:r>
        <w:rPr>
          <w:rFonts w:ascii="Amiri" w:hAnsi="Amiri" w:eastAsia="Amiri" w:cs="Amiri"/>
          <w:color w:val="111111"/>
          <w:sz w:val="28"/>
          <w:sz w:val="28"/>
          <w:szCs w:val="28"/>
          <w:rtl w:val="true"/>
          <w:lang w:bidi="ar-SA"/>
        </w:rPr>
        <w:t>أو يراد به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أي أمر صدر من المولى جل وعلا غيرَ معملٍ مقامه وكذا من رسوله وأوصيائه عليهم السلام</w:t>
      </w:r>
      <w:r>
        <w:rPr>
          <w:rStyle w:val="FootnoteAnchor"/>
          <w:rtl w:val="true"/>
        </w:rPr>
        <w:footnoteReference w:id="1477"/>
      </w:r>
      <w:r>
        <w:rPr>
          <w:rFonts w:ascii="Amiri" w:hAnsi="Amiri" w:eastAsia="Amiri" w:cs="Amiri"/>
          <w:color w:val="111111"/>
          <w:sz w:val="28"/>
          <w:sz w:val="28"/>
          <w:szCs w:val="28"/>
          <w:rtl w:val="true"/>
          <w:lang w:bidi="ar-SA"/>
        </w:rPr>
        <w:t>ـ على ما صرنا إليه من الضابط الأول ـ لكنه أصدره للإيجاب أو الندب فإن قسماً كبيراً منها ـ في غير العرفيات الصرفة</w:t>
      </w:r>
      <w:r>
        <w:rPr>
          <w:rStyle w:val="FootnoteAnchor"/>
          <w:rtl w:val="true"/>
        </w:rPr>
        <w:footnoteReference w:id="1478"/>
      </w:r>
      <w:r>
        <w:rPr>
          <w:rFonts w:ascii="Amiri" w:hAnsi="Amiri" w:eastAsia="Amiri" w:cs="Amiri"/>
          <w:color w:val="111111"/>
          <w:sz w:val="28"/>
          <w:sz w:val="28"/>
          <w:szCs w:val="28"/>
          <w:rtl w:val="true"/>
          <w:lang w:bidi="ar-SA"/>
        </w:rPr>
        <w:t>ـ من الدين ـ وقد ذكرنا أمثلة كثيرة لذلك في مطاوي الكتاب فلتراجع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كذلك، فإذا وجب هذا</w:t>
      </w:r>
      <w:r>
        <w:rPr>
          <w:rStyle w:val="FootnoteAnchor"/>
          <w:rtl w:val="true"/>
        </w:rPr>
        <w:footnoteReference w:id="1479"/>
      </w:r>
      <w:r>
        <w:rPr>
          <w:rFonts w:ascii="Amiri" w:hAnsi="Amiri" w:eastAsia="Amiri" w:cs="Amiri"/>
          <w:color w:val="111111"/>
          <w:sz w:val="28"/>
          <w:sz w:val="28"/>
          <w:szCs w:val="28"/>
          <w:rtl w:val="true"/>
          <w:lang w:bidi="ar-SA"/>
        </w:rPr>
        <w:t>، بهذه الآية الشريفة، وجب ذاك</w:t>
      </w:r>
      <w:r>
        <w:rPr>
          <w:rStyle w:val="FootnoteAnchor"/>
          <w:rtl w:val="true"/>
        </w:rPr>
        <w:footnoteReference w:id="1480"/>
      </w:r>
      <w:r>
        <w:rPr>
          <w:rFonts w:ascii="Amiri" w:hAnsi="Amiri" w:eastAsia="Amiri" w:cs="Amiri"/>
          <w:color w:val="111111"/>
          <w:sz w:val="28"/>
          <w:sz w:val="28"/>
          <w:szCs w:val="28"/>
          <w:rtl w:val="true"/>
          <w:lang w:bidi="ar-SA"/>
        </w:rPr>
        <w:t xml:space="preserve">، وإذا وجب قبول هذا، وجب ذاك بنفس الوزان،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3960201_1051229030"/>
      <w:bookmarkStart w:id="1467" w:name="_Toc532"/>
      <w:bookmarkEnd w:id="1466"/>
      <w:r>
        <w:rPr>
          <w:rtl w:val="true"/>
        </w:rPr>
        <w:t xml:space="preserve">هل </w:t>
      </w:r>
      <w:r>
        <w:rPr>
          <w:rtl w:val="true"/>
        </w:rPr>
        <w:t>(</w:t>
      </w:r>
      <w:r>
        <w:rPr>
          <w:rtl w:val="true"/>
        </w:rPr>
        <w:t>لينذروا</w:t>
      </w:r>
      <w:r>
        <w:rPr>
          <w:rtl w:val="true"/>
        </w:rPr>
        <w:t xml:space="preserve">) </w:t>
      </w:r>
      <w:r>
        <w:rPr>
          <w:rtl w:val="true"/>
        </w:rPr>
        <w:t xml:space="preserve">دليل إخراج </w:t>
      </w:r>
      <w:r>
        <w:rPr>
          <w:rtl w:val="true"/>
        </w:rPr>
        <w:t>(</w:t>
      </w:r>
      <w:r>
        <w:rPr>
          <w:rtl w:val="true"/>
        </w:rPr>
        <w:t>الإرشادي</w:t>
      </w:r>
      <w:r>
        <w:rPr>
          <w:rtl w:val="true"/>
        </w:rPr>
        <w:t>)</w:t>
      </w:r>
      <w:r>
        <w:rPr>
          <w:rtl w:val="true"/>
        </w:rPr>
        <w:t>؟</w:t>
      </w:r>
      <w:bookmarkEnd w:id="146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استحقاق </w:t>
      </w:r>
      <w:bookmarkStart w:id="1468" w:name="pg7671_77192"/>
    </w:p>
    <w:p>
      <w:pPr>
        <w:pStyle w:val="BookText"/>
        <w:rPr/>
      </w:pPr>
      <w:bookmarkEnd w:id="1468"/>
      <w:r>
        <w:rPr>
          <w:rFonts w:ascii="Amiri" w:hAnsi="Amiri" w:eastAsia="Amiri" w:cs="Amiri"/>
          <w:color w:val="111111"/>
          <w:sz w:val="28"/>
          <w:sz w:val="28"/>
          <w:szCs w:val="28"/>
          <w:rtl w:val="true"/>
          <w:lang w:bidi="ar-SA"/>
        </w:rPr>
        <w:t xml:space="preserve">للعقوبة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أو تعمم، ذاها</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3960203_1051229030"/>
      <w:bookmarkStart w:id="1470" w:name="_Toc533"/>
      <w:bookmarkEnd w:id="1469"/>
      <w:r>
        <w:rPr>
          <w:rtl w:val="true"/>
        </w:rPr>
        <w:t>إذ يقال</w:t>
      </w:r>
      <w:r>
        <w:rPr>
          <w:rtl w:val="true"/>
        </w:rPr>
        <w:t>:</w:t>
      </w:r>
      <w:bookmarkEnd w:id="147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مما يستوجب العقوبة بتركه، فإن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يستوجب العقوبة لكونه غير مولوي، بل كان إرشاداً ـ وجوبياً، مما يصح ويصدق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صدق وصحة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 وحذره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حذره من مخالفة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أمره ليس مولوياً بل هو إرشادي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الصادر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الإنذار بكلا اللحاظين،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المقام</w:t>
      </w:r>
      <w:r>
        <w:rPr>
          <w:rStyle w:val="FootnoteAnchor"/>
          <w:rtl w:val="true"/>
        </w:rPr>
        <w:footnoteReference w:id="1481"/>
      </w:r>
      <w:r>
        <w:rPr>
          <w:rFonts w:ascii="IRNazanin" w:hAnsi="IRNazanin" w:eastAsia="IRNazanin"/>
          <w:color w:val="111111"/>
          <w:sz w:val="28"/>
          <w:sz w:val="28"/>
          <w:szCs w:val="28"/>
          <w:rtl w:val="true"/>
          <w:lang w:bidi="fa-IR"/>
        </w:rPr>
        <w:t>مثله</w:t>
      </w:r>
      <w:r>
        <w:rPr>
          <w:rStyle w:val="FootnoteAnchor"/>
          <w:rtl w:val="true"/>
        </w:rPr>
        <w:footnoteReference w:id="1482"/>
      </w:r>
      <w:r>
        <w:rPr>
          <w:rFonts w:ascii="IRNazanin" w:hAnsi="IRNazanin" w:eastAsia="IRNazanin"/>
          <w:color w:val="111111"/>
          <w:sz w:val="28"/>
          <w:sz w:val="28"/>
          <w:szCs w:val="28"/>
          <w:rtl w:val="true"/>
          <w:lang w:bidi="fa-IR"/>
        </w:rPr>
        <w:t>فلا خروج</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الإنذار غاية للتفقه بل للنفر ـ فتأمل</w:t>
      </w:r>
      <w:r>
        <w:rPr>
          <w:rFonts w:eastAsia="Amiri" w:cs="Amiri" w:ascii="Amiri" w:hAnsi="Amiri"/>
          <w:color w:val="111111"/>
          <w:sz w:val="28"/>
          <w:szCs w:val="28"/>
          <w:rtl w:val="true"/>
          <w:lang w:bidi="ar-SA"/>
        </w:rPr>
        <w:t>.</w:t>
      </w:r>
      <w:r>
        <w:rPr>
          <w:rStyle w:val="FootnoteAnchor"/>
          <w:rtl w:val="true"/>
        </w:rPr>
        <w:footnoteReference w:id="1484"/>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بكونه حكمة لا علة، ويؤيده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وظيفة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 xml:space="preserve">» </w:t>
      </w:r>
      <w:bookmarkStart w:id="1471" w:name="pg7671_77193"/>
    </w:p>
    <w:p>
      <w:pPr>
        <w:pStyle w:val="BookText"/>
        <w:rPr/>
      </w:pPr>
      <w:bookmarkEnd w:id="1471"/>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مشير لا حاصر</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إحدى العلتين، وعدم تحققها غير ضار بوجوب النفر، لكفاية العلة الأخرى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الإنذار ـ إما لعدم إمكانه كالأوامر الإرشادية لكونها ـ على الفرض ـ بلا عقوبة فلا إنذار من باب السالبة بإنتفاء الموضوع، أو لعدم القدرة على الوصول للمنذرين مثلاً ـ فإنه لا يضر بوجوبه ـ فكيف يضر بكونه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472" w:name="__RefHeading___Toc3960205_1051229030"/>
      <w:bookmarkStart w:id="1473" w:name="_Toc534"/>
      <w:bookmarkEnd w:id="1472"/>
      <w:r>
        <w:rPr>
          <w:rtl w:val="true"/>
        </w:rPr>
        <w:t>النقض بالقضايا التاريخية وجوابه</w:t>
      </w:r>
      <w:bookmarkEnd w:id="147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والتفقه في القضايا التاريخية، فليس كل ما صدق عليه تفقه في الدين، من الفقه، وليس كل تفقه في الدين واجباً؟إذ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أطلق فهو مجاز توسعاً</w:t>
      </w:r>
      <w:r>
        <w:rPr>
          <w:rStyle w:val="FootnoteAnchor"/>
          <w:rtl w:val="true"/>
        </w:rPr>
        <w:footnoteReference w:id="1486"/>
      </w:r>
      <w:r>
        <w:rPr>
          <w:rFonts w:ascii="Amiri" w:hAnsi="Amiri" w:eastAsia="Amiri" w:cs="Amiri"/>
          <w:color w:val="111111"/>
          <w:sz w:val="28"/>
          <w:sz w:val="28"/>
          <w:szCs w:val="28"/>
          <w:rtl w:val="true"/>
          <w:lang w:bidi="ar-SA"/>
        </w:rPr>
        <w:t xml:space="preserve">ولعله بلحاظ ملزومه أو ما يلزمه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بذاته وأطلق عليه بما هو فرضاً، فإنه لا يصلح لإدراجه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ليس تفقهاً فرضاً، بل لعدم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والفقه يبحث عن أحكام المكلف، وأحكام ما يرتبط به، فلا قابلية للحمل،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الإرشادية</w:t>
      </w:r>
      <w:r>
        <w:rPr>
          <w:rFonts w:eastAsia="Amiri" w:cs="Amiri" w:ascii="Amiri" w:hAnsi="Amiri"/>
          <w:color w:val="111111"/>
          <w:sz w:val="28"/>
          <w:szCs w:val="28"/>
          <w:rtl w:val="true"/>
          <w:lang w:bidi="ar-SA"/>
        </w:rPr>
        <w:t xml:space="preserve">). </w:t>
      </w:r>
      <w:bookmarkStart w:id="1474" w:name="pg7671_77194"/>
    </w:p>
    <w:p>
      <w:pPr>
        <w:pStyle w:val="BookText"/>
        <w:rPr/>
      </w:pPr>
      <w:bookmarkEnd w:id="1474"/>
      <w:r>
        <w:rPr>
          <w:rFonts w:ascii="Amiri" w:hAnsi="Amiri" w:eastAsia="Amiri" w:cs="Amiri"/>
          <w:color w:val="111111"/>
          <w:sz w:val="28"/>
          <w:sz w:val="28"/>
          <w:szCs w:val="28"/>
          <w:rtl w:val="true"/>
          <w:lang w:bidi="ar-SA"/>
        </w:rPr>
        <w:t xml:space="preserve">ثم إن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Style w:val="FootnoteAnchor"/>
          <w:rtl w:val="true"/>
        </w:rPr>
        <w:footnoteReference w:id="1487"/>
      </w:r>
      <w:r>
        <w:rPr>
          <w:rFonts w:ascii="Amiri" w:hAnsi="Amiri" w:eastAsia="Amiri" w:cs="Amiri"/>
          <w:color w:val="111111"/>
          <w:sz w:val="28"/>
          <w:sz w:val="28"/>
          <w:szCs w:val="28"/>
          <w:rtl w:val="true"/>
          <w:lang w:bidi="ar-SA"/>
        </w:rPr>
        <w:t>، غير ضار بالالتزام بوجوب الاجتهاد في أمر أو التقليد فيه، إذ قد يقال بوجوب الاجتهاد في القضايا التاريخية المرتبطة بالأنبياء والرسل والأئمة عليهم السلام، وكشف الصحيح مما نسب إليهم عن السقيم، وما واجهوه من محن وإبتلاءات، وأحوال أعدائهم وشبه ذلك، في الجملة، وعلى أي فإن ذلك خارج عن محل البحث</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3960207_1051229030"/>
      <w:bookmarkStart w:id="1476" w:name="_Toc535"/>
      <w:bookmarkEnd w:id="1475"/>
      <w:r>
        <w:rPr>
          <w:rtl w:val="true"/>
        </w:rPr>
        <w:t>الاستدلال بآية السؤال</w:t>
      </w:r>
      <w:bookmarkEnd w:id="1476"/>
    </w:p>
    <w:p>
      <w:pPr>
        <w:pStyle w:val="BookText"/>
        <w:rPr/>
      </w:pPr>
      <w:r>
        <w:rPr>
          <w:rFonts w:ascii="Amiri" w:hAnsi="Amiri" w:eastAsia="Amiri" w:cs="Amiri"/>
          <w:color w:val="111111"/>
          <w:sz w:val="28"/>
          <w:sz w:val="28"/>
          <w:szCs w:val="28"/>
          <w:rtl w:val="true"/>
          <w:lang w:bidi="ar-SA"/>
        </w:rPr>
        <w:t>وآية السؤال،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فإن السؤال شامل لكلا القسمين</w:t>
      </w:r>
      <w:r>
        <w:rPr>
          <w:rStyle w:val="FootnoteAnchor"/>
          <w:rtl w:val="true"/>
        </w:rPr>
        <w:footnoteReference w:id="1489"/>
      </w:r>
      <w:r>
        <w:rPr>
          <w:rFonts w:ascii="Amiri" w:hAnsi="Amiri" w:eastAsia="Amiri" w:cs="Amiri"/>
          <w:color w:val="111111"/>
          <w:sz w:val="28"/>
          <w:sz w:val="28"/>
          <w:szCs w:val="28"/>
          <w:rtl w:val="true"/>
          <w:lang w:bidi="ar-SA"/>
        </w:rPr>
        <w:t>من الأوامر والنواهي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حقيقة على العالم بالأوامر والنواهي والأحكام الإرشادية، خاصة بناء على القول بكونها للوجوب والندب،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 منها للأحكام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فالشمول له مما لا ينبغي الترديد فيه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بل يدل عليه، إن شأن النزول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والأوامر فيها إرشادية على حسب عدد من المسالك في ضابط المولوي والإرشادي، ومنها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المسلك الخامس ـ، ومسلك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معلومية المصلحة للمأمور 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w:t>
      </w:r>
    </w:p>
    <w:p>
      <w:pPr>
        <w:pStyle w:val="BookText"/>
        <w:rPr/>
      </w:pPr>
      <w:r>
        <w:rPr>
          <w:rFonts w:ascii="Amiri" w:hAnsi="Amiri" w:eastAsia="Amiri" w:cs="Amiri"/>
          <w:color w:val="111111"/>
          <w:sz w:val="28"/>
          <w:sz w:val="28"/>
          <w:szCs w:val="28"/>
          <w:rtl w:val="true"/>
          <w:lang w:bidi="ar-SA"/>
        </w:rPr>
        <w:t xml:space="preserve">السادس ـ، ومسلك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المصلحة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الثامن ـ، بل ومسلك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لم تتوقف المصلحة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السابع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كنا نرى أن الأمر فيها مولوي، نظراً لترجيحنا الضابط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معملاً مقام مولويته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احتمال الالتزام بالإرشادية على هذا الضابط أيضاً، نظراً 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واستظهار أن الأوامر في شؤون العقيدة لم تكن دائماً لتشريع إيجاب الاعتقاد ليترتب على عدمه استحقاق العقاب بل هي في الجملة إيجاب مولوي نصحي</w:t>
      </w:r>
      <w:r>
        <w:rPr>
          <w:rStyle w:val="FootnoteAnchor"/>
          <w:rtl w:val="true"/>
        </w:rPr>
        <w:footnoteReference w:id="1490"/>
      </w:r>
      <w:r>
        <w:rPr>
          <w:rFonts w:ascii="Amiri" w:hAnsi="Amiri" w:eastAsia="Amiri" w:cs="Amiri"/>
          <w:color w:val="111111"/>
          <w:sz w:val="28"/>
          <w:sz w:val="28"/>
          <w:szCs w:val="28"/>
          <w:rtl w:val="true"/>
          <w:lang w:bidi="ar-SA"/>
        </w:rPr>
        <w:t>، أو إرشاد غير مولوي نصحي، كما فصلناه هناك ـ ولعل تمييز ذلك يعرف بالسياق واللحن وذكر الفوائد وغيرها ـ وفيه تأمل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يمكن عوده لأوائل البحث، وإن مورد الكلام هل هو مولوية أو إرشادية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مولوية أو إرشادية الأوامر الواردة في المسؤول عنه، من الشؤون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عوده لأواخر البحث؛ إذ شأن نزول الآية قد يكون الأعم من المستقلات العقلية وغيرها، لسبقها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كونهم رجالاً بشراً ليس من المستقلات وأما كونهم يوحي لهم الله، فلعله مستقل عقلي إن أريد به الأعم من الإلهام والنكت والنقر، وإلا ـ بأن أريد به خصوص الوحي ـ فلعله مما لا يستقل به العقل وعلى أي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ضارة بالبحث بل هي نافعة للمقصود كما لا يخفى بل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أعمية السؤال لكل ما </w:t>
      </w:r>
      <w:bookmarkStart w:id="1477" w:name="pg7671_77196"/>
    </w:p>
    <w:p>
      <w:pPr>
        <w:pStyle w:val="BookText"/>
        <w:rPr/>
      </w:pPr>
      <w:bookmarkEnd w:id="1477"/>
      <w:r>
        <w:rPr>
          <w:rFonts w:ascii="Amiri" w:hAnsi="Amiri" w:eastAsia="Amiri" w:cs="Amiri"/>
          <w:color w:val="111111"/>
          <w:sz w:val="28"/>
          <w:sz w:val="28"/>
          <w:szCs w:val="28"/>
          <w:rtl w:val="true"/>
          <w:lang w:bidi="ar-SA"/>
        </w:rPr>
        <w:t>أشكل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أدلة وجوب التقليد ـ مطابقة ـ  وصحة وحجية الاجتهاد والنظر ـ إلتزاماً ـ للمستقلات العقلية، بل كونها هو شأن النزول ـ مما لا ينبغي الريب فيه، فيثبت بذلك جواز الاجتهاد فيها وصحته</w:t>
      </w:r>
      <w:r>
        <w:rPr>
          <w:rStyle w:val="FootnoteAnchor"/>
          <w:rtl w:val="true"/>
        </w:rPr>
        <w:footnoteReference w:id="1491"/>
      </w:r>
      <w:r>
        <w:rPr>
          <w:rFonts w:ascii="Amiri" w:hAnsi="Amiri" w:eastAsia="Amiri" w:cs="Amiri"/>
          <w:color w:val="111111"/>
          <w:sz w:val="28"/>
          <w:sz w:val="28"/>
          <w:szCs w:val="28"/>
          <w:rtl w:val="true"/>
          <w:lang w:bidi="ar-SA"/>
        </w:rPr>
        <w:t xml:space="preserve">، كما يثبت جواز السؤال عنها بل ووجوبه كما يثبت جواز التقليد وصحته فيها ـ على قول ـ وإلا فالسؤال يعتبر طريقاً لتحصيل العلم خاصة لدلالة رأس الآية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التقليد في خصوص أصول الدين، من المستقلات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التسمك بالآية الشريفة للتقليد، في سائر المستقلات، كما تمسكوا به للتقليد في الفرعيات ـ فتأمل</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3960209_1051229030"/>
      <w:bookmarkStart w:id="1479" w:name="_Toc536"/>
      <w:bookmarkEnd w:id="1478"/>
      <w:r>
        <w:rPr>
          <w:rtl w:val="true"/>
        </w:rPr>
        <w:t>الاستدلال بآية النبأ</w:t>
      </w:r>
      <w:bookmarkEnd w:id="1479"/>
    </w:p>
    <w:p>
      <w:pPr>
        <w:pStyle w:val="BookText"/>
        <w:rPr/>
      </w:pPr>
      <w:r>
        <w:rPr>
          <w:rFonts w:ascii="Amiri" w:hAnsi="Amiri" w:eastAsia="Amiri" w:cs="Amiri"/>
          <w:color w:val="111111"/>
          <w:sz w:val="28"/>
          <w:sz w:val="28"/>
          <w:szCs w:val="28"/>
          <w:rtl w:val="true"/>
          <w:lang w:bidi="ar-SA"/>
        </w:rPr>
        <w:t>وآية النبأ،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492"/>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دلت هذه الآية الشريفة ـ بمفهوم الشرط أو الوصف، أو ببركة التعليل ـ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قبول قوله، في كل إخباراته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يترتب عليها الأثر، بلحاظه، دلت على حجية خبره ولزوم قبوله في كل إخباراته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الإرشادية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دلت على جواز أو وجوب التقليد في حد سِيّاته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آرائه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المولوية ـ لأنه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ولدعوى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له لأنه ينبأ باجتهاده عن المعصومين عليهم السلام بل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سأل مجتهداً عادلاً ـ، دلت على جواز أو وجوبه في حد سِيّاته في الأحكام الإرشادية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مصاديق كثيرة، من موارد الأحكام الإرشادية، بل هي كثيرة الإبتلاء، كما في موارد الإخبار عن حكم إرشادي</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أو يمثل لذلك بإخباره عن ـ أو اجتهاده ب ـ وجوب المساواة مطلقاً ـ والواجب العدل لا المساواة على إطلاقها ـ أو إخباره عن حرمتها مطلقاً ـ وهي واجبة في الجملة ـ فأصاب قوماً بجهالة بعد تطبيقه هذه الكبرى الخاطئة عليهم، وعلى أي فإن خبر المجتهد العادل بأن هذا الشيء واجب أو حرام مشرعاً ولو ارشاداً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التقليد وليس بعده إصابةً للقوم بجهالة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الشريعة بالألوف كما فصلناه في موطن آخر ـ أو موارد الإخبار عن تحقق موضوعه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استشهاده شهيدين في الطلاق، والشهادة في البيع بشروطه، من الوضعيات وكافة موارد الشؤون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الطبية والصحية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أدرجوه في عنوان الإرشاد والنصح، فتأمل</w:t>
      </w:r>
      <w:r>
        <w:rPr>
          <w:rFonts w:eastAsia="Amiri" w:cs="Amiri" w:ascii="Amiri" w:hAnsi="Amiri"/>
          <w:color w:val="111111"/>
          <w:sz w:val="28"/>
          <w:szCs w:val="28"/>
          <w:rtl w:val="true"/>
          <w:lang w:bidi="ar-SA"/>
        </w:rPr>
        <w:t>.</w:t>
      </w:r>
      <w:bookmarkStart w:id="1480" w:name="pg7671_77198"/>
    </w:p>
    <w:p>
      <w:pPr>
        <w:pStyle w:val="Heading3"/>
        <w:numPr>
          <w:ilvl w:val="2"/>
          <w:numId w:val="1"/>
        </w:numPr>
        <w:rPr/>
      </w:pPr>
      <w:bookmarkStart w:id="1481" w:name="__RefHeading___Toc3960211_1051229030"/>
      <w:bookmarkStart w:id="1482" w:name="_Toc537"/>
      <w:bookmarkEnd w:id="1480"/>
      <w:bookmarkEnd w:id="1481"/>
      <w:r>
        <w:rPr>
          <w:rtl w:val="true"/>
        </w:rPr>
        <w:t>آية النهي عن التحاكم إلى الطاغوت</w:t>
      </w:r>
      <w:bookmarkEnd w:id="1482"/>
    </w:p>
    <w:p>
      <w:pPr>
        <w:pStyle w:val="BookText"/>
        <w:rPr/>
      </w:pPr>
      <w:r>
        <w:rPr>
          <w:rFonts w:ascii="Amiri" w:hAnsi="Amiri" w:eastAsia="Amiri" w:cs="Amiri"/>
          <w:color w:val="111111"/>
          <w:sz w:val="28"/>
          <w:sz w:val="28"/>
          <w:szCs w:val="28"/>
          <w:rtl w:val="true"/>
          <w:lang w:bidi="ar-SA"/>
        </w:rPr>
        <w:t>وآية النهي عن التحاكم إلى الطاغوت،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التحاكم إليه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التحاكم إليه في الأحكام الإرشادية والمولوية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وشأن النزول، لا يخصص، إلا أن يستند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في باب القضاء، لكن قد يقال بكونه بدوياً وشمول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للتحاكم فيما كان من موارد العقل العملي أو كان من موارد العقل النظري، بل لو اختلف شخصان في معنى آية أو إطلاقها أو عمومها أو ناسخيتها أو غير ذلك، فتراجعا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بالمناط القطعي ومنه يعلم حال تقليده بدون وجود تنازع</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3960213_1051229030"/>
      <w:bookmarkStart w:id="1484" w:name="_Toc538"/>
      <w:bookmarkEnd w:id="1483"/>
      <w:r>
        <w:rPr>
          <w:rtl w:val="true"/>
        </w:rPr>
        <w:t xml:space="preserve">معنى </w:t>
      </w:r>
      <w:r>
        <w:rPr>
          <w:rtl w:val="true"/>
        </w:rPr>
        <w:t>(</w:t>
      </w:r>
      <w:r>
        <w:rPr>
          <w:rtl w:val="true"/>
        </w:rPr>
        <w:t>الطاغوت</w:t>
      </w:r>
      <w:r>
        <w:rPr>
          <w:rtl w:val="true"/>
        </w:rPr>
        <w:t>)</w:t>
      </w:r>
      <w:bookmarkEnd w:id="148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الطاغوت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طاغ تعدى الحدود</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ولا وجه لتخصيصه بعدها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حكام الجور</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xml:space="preserve">خاصة مع ملاحظة شأن النزول، وهو كما 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الزبير بن العوام، نازع رجلاً من اليهود في حديقة فقال الزبير، نرضى بابن شيبة اليهودي وقال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نرضى </w:t>
      </w:r>
    </w:p>
    <w:p>
      <w:pPr>
        <w:pStyle w:val="BookText"/>
        <w:rPr/>
      </w:pPr>
      <w:r>
        <w:rPr>
          <w:rFonts w:ascii="Amiri" w:hAnsi="Amiri" w:eastAsia="Amiri" w:cs="Amiri"/>
          <w:color w:val="111111"/>
          <w:sz w:val="28"/>
          <w:sz w:val="28"/>
          <w:szCs w:val="28"/>
          <w:rtl w:val="true"/>
          <w:lang w:bidi="ar-SA"/>
        </w:rPr>
        <w:t xml:space="preserve">بمحمد صلى الله عليه وآله فأنزل الله، وكذلك حيث سئل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أو إلى القضاة أيحل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كما نقل في مجمع البيان الأقوال في الطاغوت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إنه كاهن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أراد به ما كانوا يتحاكمون فيه إلى الأوثان، بضرب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أصحابنا عن السيدين الباقر والصادق عليهما السلام إن المعني به كل من يتحاكم إليه، ممن يحكم بغير الحق</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 xml:space="preserve">وعلى أي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ما رواه في المجمع عن الإمامين الهمامين، هو كل من يحكم بغير الحق،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أم لا؟</w:t>
      </w:r>
    </w:p>
    <w:p>
      <w:pPr>
        <w:pStyle w:val="BookText"/>
        <w:rPr/>
      </w:pPr>
      <w:r>
        <w:rPr>
          <w:rFonts w:ascii="Amiri" w:hAnsi="Amiri" w:eastAsia="Amiri" w:cs="Amiri"/>
          <w:color w:val="111111"/>
          <w:sz w:val="28"/>
          <w:sz w:val="28"/>
          <w:szCs w:val="28"/>
          <w:rtl w:val="true"/>
          <w:lang w:bidi="ar-SA"/>
        </w:rPr>
        <w:t>ولذا 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والطاغوت عبارة عن كل متعد، وكل معبود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كل متعدٍّ، ولما تقدم سمي الساحر والكاهن، والمارد من الجن، والصارف عن طريق الخير، طاغوتاً</w:t>
      </w:r>
      <w:r>
        <w:rPr>
          <w:rFonts w:eastAsia="Amiri" w:cs="Amiri" w:ascii="Amiri" w:hAnsi="Amiri"/>
          <w:color w:val="111111"/>
          <w:sz w:val="28"/>
          <w:szCs w:val="28"/>
          <w:rtl w:val="true"/>
          <w:lang w:bidi="ar-SA"/>
        </w:rPr>
        <w:t>).</w:t>
      </w:r>
      <w:r>
        <w:rPr>
          <w:rStyle w:val="FootnoteAnchor"/>
          <w:rtl w:val="true"/>
        </w:rPr>
        <w:footnoteReference w:id="1499"/>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من الطغيان وهو 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الكافر والشيطان والأصنام وعلى كل رئيس في الضلالة وعلى كل من عبد من دون الله</w:t>
      </w:r>
      <w:r>
        <w:rPr>
          <w:rFonts w:eastAsia="Amiri" w:cs="Amiri" w:ascii="Amiri" w:hAnsi="Amiri"/>
          <w:color w:val="111111"/>
          <w:sz w:val="28"/>
          <w:szCs w:val="28"/>
          <w:rtl w:val="true"/>
          <w:lang w:bidi="ar-SA"/>
        </w:rPr>
        <w:t>).</w:t>
      </w:r>
      <w:r>
        <w:rPr>
          <w:rStyle w:val="FootnoteAnchor"/>
          <w:rtl w:val="true"/>
        </w:rPr>
        <w:footnoteReference w:id="1500"/>
      </w:r>
      <w:bookmarkStart w:id="1485" w:name="pg7671_77200"/>
    </w:p>
    <w:p>
      <w:pPr>
        <w:pStyle w:val="BookText"/>
        <w:rPr/>
      </w:pPr>
      <w:bookmarkEnd w:id="1485"/>
      <w:r>
        <w:rPr>
          <w:rFonts w:ascii="Amiri" w:hAnsi="Amiri" w:eastAsia="Amiri" w:cs="Amiri"/>
          <w:color w:val="111111"/>
          <w:sz w:val="28"/>
          <w:sz w:val="28"/>
          <w:szCs w:val="28"/>
          <w:rtl w:val="true"/>
          <w:lang w:bidi="ar-SA"/>
        </w:rPr>
        <w:t xml:space="preserve">وقال السيد السبزواري في تفسير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ويطلق على كل من كان سبباً للطغيان والضلال، مثل الأصنام والشيطان ورؤساء الشرك والعناد، وتعرف المصاديق من القرائن الحافة بموارد الاستعمال، ففي المقام يراد به كل ضلال وما يكون سبباً للخروج عن الحق والصراط المستقيم، سواء كان صنماً أو إنساناً أو شيطاناً أو العصبية والأهواء الباطلة</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اللهم إلا أن يقصد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حكام الجور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ما فيه من شأن نزول الآية وتفسير الإمامين عليهما السلام وغيره،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3960215_1051229030"/>
      <w:bookmarkStart w:id="1487" w:name="_Toc539"/>
      <w:bookmarkEnd w:id="1486"/>
      <w:r>
        <w:rPr>
          <w:rtl w:val="true"/>
        </w:rPr>
        <w:t>أمثلة لما يحرم تقليد الطاغوت فيه</w:t>
      </w:r>
      <w:bookmarkEnd w:id="1487"/>
    </w:p>
    <w:p>
      <w:pPr>
        <w:pStyle w:val="BookText"/>
        <w:rPr/>
      </w:pPr>
      <w:r>
        <w:rPr>
          <w:rFonts w:ascii="Amiri" w:hAnsi="Amiri" w:eastAsia="Amiri" w:cs="Amiri"/>
          <w:color w:val="111111"/>
          <w:sz w:val="28"/>
          <w:sz w:val="28"/>
          <w:szCs w:val="28"/>
          <w:rtl w:val="true"/>
          <w:lang w:bidi="ar-SA"/>
        </w:rPr>
        <w:t>بل إن موارد الأحكام الإرشادية فيه كثيرة الإبتلاء وذلك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العدل واجب أو المساواة؟</w:t>
      </w:r>
    </w:p>
    <w:p>
      <w:pPr>
        <w:pStyle w:val="BookText"/>
        <w:rPr/>
      </w:pPr>
      <w:r>
        <w:rPr>
          <w:rFonts w:ascii="Amiri" w:hAnsi="Amiri" w:eastAsia="Amiri" w:cs="Amiri"/>
          <w:color w:val="111111"/>
          <w:sz w:val="28"/>
          <w:sz w:val="28"/>
          <w:szCs w:val="28"/>
          <w:rtl w:val="true"/>
          <w:lang w:bidi="ar-SA"/>
        </w:rPr>
        <w:t>وهل الشورى محرمة أو الاستبداد؟</w:t>
      </w:r>
    </w:p>
    <w:p>
      <w:pPr>
        <w:pStyle w:val="BookText"/>
        <w:rPr/>
      </w:pPr>
      <w:r>
        <w:rPr>
          <w:rFonts w:ascii="Amiri" w:hAnsi="Amiri" w:eastAsia="Amiri" w:cs="Amiri"/>
          <w:color w:val="111111"/>
          <w:sz w:val="28"/>
          <w:sz w:val="28"/>
          <w:szCs w:val="28"/>
          <w:rtl w:val="true"/>
          <w:lang w:bidi="ar-SA"/>
        </w:rPr>
        <w:t>وهل نقض بيعة الغاصب كالأول والثاني، واجبة أم محرمة؟</w:t>
      </w:r>
    </w:p>
    <w:p>
      <w:pPr>
        <w:pStyle w:val="BookText"/>
        <w:rPr/>
      </w:pPr>
      <w:r>
        <w:rPr>
          <w:rFonts w:ascii="Amiri" w:hAnsi="Amiri" w:eastAsia="Amiri" w:cs="Amiri"/>
          <w:color w:val="111111"/>
          <w:sz w:val="28"/>
          <w:sz w:val="28"/>
          <w:szCs w:val="28"/>
          <w:rtl w:val="true"/>
          <w:lang w:bidi="ar-SA"/>
        </w:rPr>
        <w:t>وهل لو استودعت الحاكم الجائر أمانة، فهي واجبة الرد أو يجب إيصالها لأصحابها؟</w:t>
      </w:r>
    </w:p>
    <w:p>
      <w:pPr>
        <w:pStyle w:val="BookText"/>
        <w:rPr/>
      </w:pPr>
      <w:r>
        <w:rPr>
          <w:rFonts w:ascii="Amiri" w:hAnsi="Amiri" w:eastAsia="Amiri" w:cs="Amiri"/>
          <w:color w:val="111111"/>
          <w:sz w:val="28"/>
          <w:sz w:val="28"/>
          <w:szCs w:val="28"/>
          <w:rtl w:val="true"/>
          <w:lang w:bidi="ar-SA"/>
        </w:rPr>
        <w:t>وغير ذلك مما يستقل به العقل ـ كما أوضحنا بعضها في بعض فصول هذا الكتاب ـ</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محرم، وتقليد غيره الجامع للشرائط </w:t>
      </w:r>
      <w:bookmarkStart w:id="1488" w:name="pg7671_77201"/>
    </w:p>
    <w:p>
      <w:pPr>
        <w:pStyle w:val="BookText"/>
        <w:rPr/>
      </w:pPr>
      <w:bookmarkEnd w:id="1488"/>
      <w:r>
        <w:rPr>
          <w:rFonts w:ascii="Amiri" w:hAnsi="Amiri" w:eastAsia="Amiri" w:cs="Amiri"/>
          <w:color w:val="111111"/>
          <w:sz w:val="28"/>
          <w:sz w:val="28"/>
          <w:szCs w:val="28"/>
          <w:rtl w:val="true"/>
          <w:lang w:bidi="ar-SA"/>
        </w:rPr>
        <w:t>جائز بل واجب، سواء تم الاستناد إلى خصوص هذه الآية الشريفة أم لا؟ وذلك لكفاية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بقوله، والاعتماد عليه، وتقليده، والرجوع إليه والتحاكم لديه، وإنفاذ حكمه</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3960217_1051229030"/>
      <w:bookmarkStart w:id="1490" w:name="_Toc540"/>
      <w:bookmarkEnd w:id="1489"/>
      <w:r>
        <w:rPr>
          <w:rtl w:val="true"/>
        </w:rPr>
        <w:t>آية الولاية والطاعة</w:t>
      </w:r>
      <w:bookmarkEnd w:id="1490"/>
    </w:p>
    <w:p>
      <w:pPr>
        <w:pStyle w:val="BookText"/>
        <w:rPr/>
      </w:pPr>
      <w:r>
        <w:rPr>
          <w:rFonts w:ascii="Amiri" w:hAnsi="Amiri" w:eastAsia="Amiri" w:cs="Amiri"/>
          <w:color w:val="111111"/>
          <w:sz w:val="28"/>
          <w:sz w:val="28"/>
          <w:szCs w:val="28"/>
          <w:rtl w:val="true"/>
          <w:lang w:bidi="ar-SA"/>
        </w:rPr>
        <w:t>وآية الولاية والطاعة،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وقد يدعى وضوح دلالة هذه الآية على المطلوب فإن إطاعة الله والرسول وأولى الأمر، لا تنحصر في أوامرهم المولوية بل الإرشادية كذلك، فإن كانت واجبة فوجوباً وإلا فندباً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تقليد المجتهد الجامع للشرائط فيها، هو إطاعة لله وللرسول ولأولي الأمر، لأنهم الآمرون بتقليده كما فصل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الإطاعة أو وجبت،كشف ذلك بدلالة التنبيه والإشارة على صحة الاجتهاد فيها وجوازه أو وجوبه التخييري أيضاً، لأن التلازم هو المتفاهم عرفاً من مثل هذا الكلام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يقرر ذلك بأنه بعد وضوح كون إطاعة الفقيه الجامع للشرائط، إطاعة للرسول وأولى الأمر، لأنهم الآمرون بإطاعته، فمخالفته مخالفتهم، فإنه لا يعقل حصر إطاعته بغير ما كان عن اجتهاد لندرته، </w:t>
      </w:r>
      <w:bookmarkStart w:id="1491" w:name="pg7671_77202"/>
    </w:p>
    <w:p>
      <w:pPr>
        <w:pStyle w:val="BookText"/>
        <w:rPr/>
      </w:pPr>
      <w:bookmarkEnd w:id="1491"/>
      <w:r>
        <w:rPr>
          <w:rFonts w:ascii="Amiri" w:hAnsi="Amiri" w:eastAsia="Amiri" w:cs="Amiri"/>
          <w:color w:val="111111"/>
          <w:sz w:val="28"/>
          <w:sz w:val="28"/>
          <w:szCs w:val="28"/>
          <w:rtl w:val="true"/>
          <w:lang w:bidi="ar-SA"/>
        </w:rPr>
        <w:t>ولزوم إطاعته فيه</w:t>
      </w:r>
      <w:r>
        <w:rPr>
          <w:rStyle w:val="FootnoteAnchor"/>
          <w:rtl w:val="true"/>
        </w:rPr>
        <w:footnoteReference w:id="1503"/>
      </w:r>
      <w:r>
        <w:rPr>
          <w:rFonts w:ascii="Amiri" w:hAnsi="Amiri" w:eastAsia="Amiri" w:cs="Amiri"/>
          <w:color w:val="111111"/>
          <w:sz w:val="28"/>
          <w:sz w:val="28"/>
          <w:szCs w:val="28"/>
          <w:rtl w:val="true"/>
          <w:lang w:bidi="ar-SA"/>
        </w:rPr>
        <w:t>الكاشف عن حجيته ولزومه لتوقفها</w:t>
      </w:r>
      <w:r>
        <w:rPr>
          <w:rStyle w:val="FootnoteAnchor"/>
          <w:rtl w:val="true"/>
        </w:rPr>
        <w:footnoteReference w:id="1504"/>
      </w:r>
      <w:r>
        <w:rPr>
          <w:rFonts w:ascii="Amiri" w:hAnsi="Amiri" w:eastAsia="Amiri" w:cs="Amiri"/>
          <w:color w:val="111111"/>
          <w:sz w:val="28"/>
          <w:sz w:val="28"/>
          <w:szCs w:val="28"/>
          <w:rtl w:val="true"/>
          <w:lang w:bidi="ar-SA"/>
        </w:rPr>
        <w:t>عليه ـ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لو لم يتم الاستدلال بهذه الآية الشريفة على صحة الاجتهاد وجوازه، لكفى في المقام التمسك بها للزوم الإطاعة، والتقليد مع تعميم التقليد لمطلق الأخذ بقوله، ولو كان عن حس، كنقله الرواية الدالة على حكم مولوي أو إرشادي، وهذا كاف كما فصلناه في مبحث آخر من وجوب إطاعة الأمر الإرشادي ـ الوجوبي كالأوامر المولوية الوجوبية من غير إخلال عدم استحقاق العقاب على الأول، بوجوبه</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3960219_1051229030"/>
      <w:bookmarkStart w:id="1493" w:name="_Toc541"/>
      <w:bookmarkEnd w:id="1492"/>
      <w:r>
        <w:rPr>
          <w:rtl w:val="true"/>
        </w:rPr>
        <w:t xml:space="preserve">أمثلة </w:t>
      </w:r>
      <w:r>
        <w:rPr>
          <w:rtl w:val="true"/>
        </w:rPr>
        <w:t>(</w:t>
      </w:r>
      <w:r>
        <w:rPr>
          <w:rtl w:val="true"/>
        </w:rPr>
        <w:t>إرشادية</w:t>
      </w:r>
      <w:r>
        <w:rPr>
          <w:rtl w:val="true"/>
        </w:rPr>
        <w:t xml:space="preserve">) </w:t>
      </w:r>
      <w:r>
        <w:rPr>
          <w:rtl w:val="true"/>
        </w:rPr>
        <w:t xml:space="preserve">يصدق عليها </w:t>
      </w:r>
      <w:r>
        <w:rPr>
          <w:rtl w:val="true"/>
        </w:rPr>
        <w:t>(</w:t>
      </w:r>
      <w:r>
        <w:rPr>
          <w:rtl w:val="true"/>
        </w:rPr>
        <w:t>الإطاعة</w:t>
      </w:r>
      <w:r>
        <w:rPr>
          <w:rtl w:val="true"/>
        </w:rPr>
        <w:t xml:space="preserve">) </w:t>
      </w:r>
      <w:r>
        <w:rPr>
          <w:rtl w:val="true"/>
        </w:rPr>
        <w:t>حقيقة</w:t>
      </w:r>
      <w:bookmarkEnd w:id="1493"/>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حقيقة على إطاعة الأمر 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كاشرب هذا الدواء، أو اتجر بهذه التجارة، أو أشهد إذا تبايعت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استحقاق العقاب، بدليل خارج، ولا تلازم</w:t>
      </w:r>
      <w:r>
        <w:rPr>
          <w:rStyle w:val="FootnoteAnchor"/>
          <w:rtl w:val="true"/>
        </w:rPr>
        <w:footnoteReference w:id="1505"/>
      </w:r>
      <w:r>
        <w:rPr>
          <w:rFonts w:ascii="Amiri" w:hAnsi="Amiri" w:eastAsia="Amiri" w:cs="Amiri"/>
          <w:color w:val="111111"/>
          <w:sz w:val="28"/>
          <w:sz w:val="28"/>
          <w:szCs w:val="28"/>
          <w:rtl w:val="true"/>
          <w:lang w:bidi="ar-SA"/>
        </w:rPr>
        <w:t>كما فصلناه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التزام مصادف بقول الإمام عليه السلام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ـ يعني السوق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 أنه أمر إرشادي ظاهراً؟ وأنه كان واجباً عليه ذلك ـ مع فرض كون الإرشاد إلزامياً ـ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باشر كبار أمورك بنفسك وكِل ما صغر منها إلى </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 فإنه إرشادي وامتثاله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ولا فرق بين 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وبين كونه بالحدس والاجتهاد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الإرشادي ـ الندبي، تستحب إطاعته،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صغر منها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ـ ندبي، فلا يحرم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بدلالته على الوجوب الإرشادي</w:t>
      </w:r>
      <w:r>
        <w:rPr>
          <w:rStyle w:val="FootnoteAnchor"/>
          <w:rtl w:val="true"/>
        </w:rPr>
        <w:footnoteReference w:id="1508"/>
      </w:r>
      <w:r>
        <w:rPr>
          <w:rFonts w:ascii="Amiri" w:hAnsi="Amiri" w:eastAsia="Amiri" w:cs="Amiri"/>
          <w:color w:val="111111"/>
          <w:sz w:val="28"/>
          <w:sz w:val="28"/>
          <w:szCs w:val="28"/>
          <w:rtl w:val="true"/>
          <w:lang w:bidi="ar-SA"/>
        </w:rPr>
        <w:t>ويكون الندب في ما ارتكز عدم كونه حراماً أو قامت الضرورة عليه، أو شبه ذلك من القرائن، للقرينة، لكنه مشكل، ولعل تحقيقه يأتي في الجزء الثاني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 إن استظهر كونها إرشادية،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تصحوا وتغنموا</w:t>
      </w:r>
      <w:r>
        <w:rPr>
          <w:rFonts w:eastAsia="Amiri" w:cs="Amiri" w:ascii="Amiri" w:hAnsi="Amiri"/>
          <w:color w:val="111111"/>
          <w:sz w:val="28"/>
          <w:szCs w:val="28"/>
          <w:rtl w:val="true"/>
          <w:lang w:bidi="ar-SA"/>
        </w:rPr>
        <w:t>).</w:t>
      </w:r>
      <w:r>
        <w:rPr>
          <w:rStyle w:val="FootnoteAnchor"/>
          <w:rtl w:val="true"/>
        </w:rPr>
        <w:footnoteReference w:id="1510"/>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وألا ترى أن محاولة معرفة هذه الأوامر ومصاديقها وإطلاقها وتقييدها وعامها وخاصها وتعارضاتها ومرجحاتها وإسنادها،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وأن مستفرغ الوسع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 لم يستطع، فسألها عن الفقيه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حقيقة؟وإن صرنا إلى كونها إرشادية، وجوبية كانت أو ندبية؟ </w:t>
      </w:r>
      <w:bookmarkStart w:id="1494" w:name="pg7671_77204"/>
    </w:p>
    <w:p>
      <w:pPr>
        <w:pStyle w:val="BookText"/>
        <w:rPr/>
      </w:pPr>
      <w:bookmarkEnd w:id="1494"/>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التسمك بهذه الآية الشريفة، في غنى عن إثبات دلالتها على صحة الإجتهاد وجوازه أو وجوبه، وعلى صحة التقليد وجوازه أو وجوبه، إذا أردنا مجرد إثبات ضرورة إدراج كل مسائل الأحكام الإرشادية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كونها متعلقه بأفعال المكلفين</w:t>
      </w:r>
      <w:r>
        <w:rPr>
          <w:rStyle w:val="FootnoteAnchor"/>
          <w:rtl w:val="true"/>
        </w:rPr>
        <w:footnoteReference w:id="1511"/>
      </w:r>
      <w:r>
        <w:rPr>
          <w:rFonts w:ascii="Amiri" w:hAnsi="Amiri" w:eastAsia="Amiri" w:cs="Amiri"/>
          <w:color w:val="111111"/>
          <w:sz w:val="28"/>
          <w:sz w:val="28"/>
          <w:szCs w:val="28"/>
          <w:rtl w:val="true"/>
          <w:lang w:bidi="ar-SA"/>
        </w:rPr>
        <w:t xml:space="preserve">وذلك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الله 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بالروايات ـ وهي بالألوف ـ الدالة على الحكم الإرشادي ـ وجوباً أو حرمة  بل حتى استحباباً وكراهة ـ فإن إطاعة كل شيء بحسبه، فإذا أمر به نادباً إليه مرخصاً في تركه كانت إطاعته بالعمل به، إن شاء، لاستحبابه، ألا ترى أن من صلى صلاة الليل فقد أطاع الرسول صلى الله عليه وآله؟</w:t>
      </w:r>
    </w:p>
    <w:p>
      <w:pPr>
        <w:pStyle w:val="Heading3"/>
        <w:numPr>
          <w:ilvl w:val="2"/>
          <w:numId w:val="1"/>
        </w:numPr>
        <w:rPr/>
      </w:pPr>
      <w:bookmarkStart w:id="1495" w:name="__RefHeading___Toc3960221_1051229030"/>
      <w:bookmarkStart w:id="1496" w:name="_Toc542"/>
      <w:bookmarkEnd w:id="1495"/>
      <w:r>
        <w:rPr>
          <w:rtl w:val="true"/>
        </w:rPr>
        <w:t>الاستدلال بالسنة</w:t>
      </w:r>
      <w:bookmarkEnd w:id="1496"/>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3960223_1051229030"/>
      <w:bookmarkStart w:id="1498" w:name="_Toc543"/>
      <w:bookmarkEnd w:id="1497"/>
      <w:r>
        <w:rPr>
          <w:rtl w:val="true"/>
        </w:rPr>
        <w:t xml:space="preserve">رواية </w:t>
      </w:r>
      <w:r>
        <w:rPr>
          <w:rtl w:val="true"/>
        </w:rPr>
        <w:t>(</w:t>
      </w:r>
      <w:r>
        <w:rPr>
          <w:rtl w:val="true"/>
        </w:rPr>
        <w:t>العمري ثقتي</w:t>
      </w:r>
      <w:r>
        <w:rPr>
          <w:rtl w:val="true"/>
        </w:rPr>
        <w:t>)</w:t>
      </w:r>
      <w:bookmarkEnd w:id="149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إسحاق عن الإمام أبي الحسن الهادي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1512"/>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العمري ـ وسائر الثقاة ـ لو أدّى إلينا عن الإمام عليه السلام </w:t>
      </w:r>
      <w:bookmarkStart w:id="1499" w:name="pg7671_77205"/>
    </w:p>
    <w:p>
      <w:pPr>
        <w:pStyle w:val="BookText"/>
        <w:rPr/>
      </w:pPr>
      <w:bookmarkEnd w:id="149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فليكتحل</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التجارة فتهونوا، اتجروا يبارك الله لكم</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أو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 xml:space="preserve">، إلى غير تلك الأوامر مما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مولوية، على عدد من الضوابط وكما قد يستظهر في بعضها، ألا ترى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أدى إليك عني فعني يؤدي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قال لك عني فعني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حقيقة؟ وإن مَن عرفها عن اجتهاد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أخذها من مجتهد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المنكِر والمكذب للمجتهد المستفرغ وسعه، العادل، معارض للإمام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عاصٍ حيث لم يطعه فيما كان الأمر الإرشادي وجوبياً وإن لم يستوجب العقاب، لكون الأمر إرشادياً في تلك الموارد، وقد فصلنا في موضع آخر إمكان ووقوع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3960225_1051229030"/>
      <w:bookmarkStart w:id="1501" w:name="_Toc544"/>
      <w:bookmarkEnd w:id="1500"/>
      <w:r>
        <w:rPr>
          <w:rtl w:val="true"/>
        </w:rPr>
        <w:t xml:space="preserve">أدلة </w:t>
      </w:r>
      <w:r>
        <w:rPr>
          <w:rtl w:val="true"/>
        </w:rPr>
        <w:t>(</w:t>
      </w:r>
      <w:r>
        <w:rPr>
          <w:rtl w:val="true"/>
        </w:rPr>
        <w:t>التقليد</w:t>
      </w:r>
      <w:r>
        <w:rPr>
          <w:rtl w:val="true"/>
        </w:rPr>
        <w:t xml:space="preserve">) </w:t>
      </w:r>
      <w:r>
        <w:rPr>
          <w:rtl w:val="true"/>
        </w:rPr>
        <w:t xml:space="preserve">شاملة </w:t>
      </w:r>
      <w:r>
        <w:rPr>
          <w:rtl w:val="true"/>
        </w:rPr>
        <w:t>(</w:t>
      </w:r>
      <w:r>
        <w:rPr>
          <w:rtl w:val="true"/>
        </w:rPr>
        <w:t>للإرشادي</w:t>
      </w:r>
      <w:r>
        <w:rPr>
          <w:rtl w:val="true"/>
        </w:rPr>
        <w:t xml:space="preserve">) </w:t>
      </w:r>
      <w:r>
        <w:rPr>
          <w:rtl w:val="true"/>
        </w:rPr>
        <w:t>بكل تعريفاته</w:t>
      </w:r>
      <w:bookmarkEnd w:id="150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الاجتهاد وجواز التقليد ـ </w:t>
      </w:r>
      <w:bookmarkStart w:id="1502" w:name="pg7671_77206"/>
    </w:p>
    <w:p>
      <w:pPr>
        <w:pStyle w:val="BookText"/>
        <w:rPr/>
      </w:pPr>
      <w:bookmarkEnd w:id="1502"/>
      <w:r>
        <w:rPr>
          <w:rFonts w:ascii="Amiri" w:hAnsi="Amiri" w:eastAsia="Amiri" w:cs="Amiri"/>
          <w:color w:val="111111"/>
          <w:sz w:val="28"/>
          <w:sz w:val="28"/>
          <w:szCs w:val="28"/>
          <w:rtl w:val="true"/>
          <w:lang w:bidi="ar-SA"/>
        </w:rPr>
        <w:t xml:space="preserve">بالمعنى الأعم من وجوبهما التخييري، وعلى صحتهما،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الإرشادية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بأجمعها مما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اجتهد فيها وتفقه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سواء عرفناه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عن استناد أو العمل استناداً إلى رأي الغير، كما هو المشهور بين المعاصرين ومن قاربنا عصورهم</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إلى فتوى الغير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التنقيح،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بالعمل بقول مجتهد معين وإن لم يعمل بعد، بل ولو لم يأخذ 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العروة،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العمل ولا مدخلية للالتزام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السيد البروجردي أو غير ذلك من الأقوال</w:t>
      </w:r>
      <w:r>
        <w:rPr>
          <w:rFonts w:eastAsia="Amiri" w:cs="Amiri" w:ascii="Amiri" w:hAnsi="Amiri"/>
          <w:color w:val="111111"/>
          <w:sz w:val="28"/>
          <w:szCs w:val="28"/>
          <w:rtl w:val="true"/>
          <w:lang w:bidi="ar-SA"/>
        </w:rPr>
        <w:t>.</w:t>
      </w:r>
      <w:r>
        <w:rPr>
          <w:rStyle w:val="FootnoteAnchor"/>
          <w:rtl w:val="true"/>
        </w:rPr>
        <w:footnoteReference w:id="1518"/>
      </w:r>
    </w:p>
    <w:p>
      <w:pPr>
        <w:pStyle w:val="Heading3"/>
        <w:numPr>
          <w:ilvl w:val="2"/>
          <w:numId w:val="1"/>
        </w:numPr>
        <w:rPr/>
      </w:pPr>
      <w:bookmarkStart w:id="1503" w:name="__RefHeading___Toc3960227_1051229030"/>
      <w:bookmarkStart w:id="1504" w:name="_Toc545"/>
      <w:bookmarkEnd w:id="1503"/>
      <w:r>
        <w:rPr>
          <w:rtl w:val="true"/>
        </w:rPr>
        <w:t xml:space="preserve">حسنة بن المهتدي و </w:t>
      </w:r>
      <w:r>
        <w:rPr>
          <w:rtl w:val="true"/>
        </w:rPr>
        <w:t>(</w:t>
      </w:r>
      <w:r>
        <w:rPr>
          <w:rtl w:val="true"/>
        </w:rPr>
        <w:t>معالم الدين</w:t>
      </w:r>
      <w:r>
        <w:rPr>
          <w:rtl w:val="true"/>
        </w:rPr>
        <w:t>)</w:t>
      </w:r>
      <w:bookmarkEnd w:id="150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عبد العزيز بن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 فلست أصل إليك في كل وقت، فآخذ معالم ديني عن يونس مولى آل يقطين؟ قال نعم</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تقرير الإمام ـ دليل الصحة والجواز بل والوجوب ـ فيما من شأنه ذلك ـ بتناسب الحكم والموضوع كما هو دليل على جواز وصحة بل وجوب طرفه المقابل له</w:t>
      </w:r>
      <w:r>
        <w:rPr>
          <w:rFonts w:eastAsia="Amiri" w:cs="Amiri" w:ascii="Amiri" w:hAnsi="Amiri"/>
          <w:color w:val="111111"/>
          <w:sz w:val="28"/>
          <w:szCs w:val="28"/>
          <w:rtl w:val="true"/>
          <w:lang w:bidi="ar-SA"/>
        </w:rPr>
        <w:t>.</w:t>
      </w:r>
      <w:r>
        <w:rPr>
          <w:rStyle w:val="FootnoteAnchor"/>
          <w:rtl w:val="true"/>
        </w:rPr>
        <w:footnoteReference w:id="1520"/>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ونظيرها من حيث 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ابن يقطين</w:t>
      </w:r>
      <w:r>
        <w:rPr>
          <w:rStyle w:val="FootnoteAnchor"/>
          <w:rtl w:val="true"/>
        </w:rPr>
        <w:footnoteReference w:id="1521"/>
      </w:r>
      <w:r>
        <w:rPr>
          <w:rFonts w:ascii="Amiri" w:hAnsi="Amiri" w:eastAsia="Amiri" w:cs="Amiri"/>
          <w:color w:val="111111"/>
          <w:sz w:val="28"/>
          <w:sz w:val="28"/>
          <w:szCs w:val="28"/>
          <w:rtl w:val="true"/>
          <w:lang w:bidi="ar-SA"/>
        </w:rPr>
        <w:t>والهمداني</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وكما يصدق على من عرف والتزم وعمل عن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الماء طاهر مطلقاً أم لا؟ وهل الكافر يرث أم لا؟ ومن له حق الحضانة؟ وأسباب الخيار؟ ومانعية الحدث عن انعقاد الصلاة، وتروك الصوم، وشبه ذلك، من الأحكام الوضعية، ومن وجودية وعدمية،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معالم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فلان، كذلك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استند أو التزم أو عرف عن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أو استحباب أو إباحة، وكذا حدود أحكامٍ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دفعتم إليهم أموالهم فأشهدوا عليهم</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بل وهل أنها تكليفية أم وضعية</w:t>
      </w:r>
      <w:r>
        <w:rPr>
          <w:rStyle w:val="FootnoteAnchor"/>
          <w:rtl w:val="true"/>
        </w:rPr>
        <w:footnoteReference w:id="1526"/>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العهد كان مسؤولاً</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مما هو أمر إرشادي، أو مما ذهب عدد من الأعاظم لكونه إرشادياً، نظراً لكونه من المستقلات العقلية، أو لغير ذلك</w:t>
      </w:r>
      <w:r>
        <w:rPr>
          <w:rStyle w:val="FootnoteAnchor"/>
          <w:rtl w:val="true"/>
        </w:rPr>
        <w:footnoteReference w:id="1529"/>
      </w:r>
      <w:r>
        <w:rPr>
          <w:rFonts w:ascii="Amiri" w:hAnsi="Amiri" w:eastAsia="Amiri" w:cs="Amiri"/>
          <w:color w:val="111111"/>
          <w:sz w:val="28"/>
          <w:sz w:val="28"/>
          <w:szCs w:val="28"/>
          <w:rtl w:val="true"/>
          <w:lang w:bidi="ar-SA"/>
        </w:rPr>
        <w:t xml:space="preserve">، فكيف يعزل هذا الصنف من المباحث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إدراج الصنف السابق فيه؟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جزماً، بل ومع شمول </w:t>
      </w:r>
      <w:bookmarkStart w:id="1505" w:name="pg7671_77208"/>
    </w:p>
    <w:p>
      <w:pPr>
        <w:pStyle w:val="BookText"/>
        <w:rPr/>
      </w:pPr>
      <w:bookmarkEnd w:id="1505"/>
      <w:r>
        <w:rPr>
          <w:rFonts w:ascii="Amiri" w:hAnsi="Amiri" w:eastAsia="Amiri" w:cs="Amiri"/>
          <w:color w:val="111111"/>
          <w:sz w:val="28"/>
          <w:sz w:val="28"/>
          <w:szCs w:val="28"/>
          <w:rtl w:val="true"/>
          <w:lang w:bidi="ar-SA"/>
        </w:rPr>
        <w:t>مختلف أدلة التقليد للصنفين، وكونها من أشد ما يبتلى به المكلف، وكونها أحكاماً له أو لما يتعلق به أو لمن يتعلق به؟</w:t>
      </w:r>
    </w:p>
    <w:p>
      <w:pPr>
        <w:pStyle w:val="Heading3"/>
        <w:numPr>
          <w:ilvl w:val="2"/>
          <w:numId w:val="1"/>
        </w:numPr>
        <w:rPr/>
      </w:pPr>
      <w:bookmarkStart w:id="1506" w:name="__RefHeading___Toc3960229_1051229030"/>
      <w:bookmarkStart w:id="1507" w:name="_Toc546"/>
      <w:bookmarkEnd w:id="1506"/>
      <w:r>
        <w:rPr>
          <w:rtl w:val="true"/>
        </w:rPr>
        <w:t>الاستدلال ب</w:t>
      </w:r>
      <w:r>
        <w:rPr>
          <w:rtl w:val="true"/>
        </w:rPr>
        <w:t>(</w:t>
      </w:r>
      <w:r>
        <w:rPr>
          <w:rtl w:val="true"/>
        </w:rPr>
        <w:t>أما الحوادث الواقعة</w:t>
      </w:r>
      <w:r>
        <w:rPr>
          <w:rtl w:val="true"/>
        </w:rPr>
        <w:t>)</w:t>
      </w:r>
      <w:bookmarkEnd w:id="1507"/>
    </w:p>
    <w:p>
      <w:pPr>
        <w:pStyle w:val="BookText"/>
        <w:rPr/>
      </w:pPr>
      <w:r>
        <w:rPr>
          <w:rFonts w:ascii="Amiri" w:hAnsi="Amiri" w:eastAsia="Amiri" w:cs="Amiri"/>
          <w:color w:val="111111"/>
          <w:sz w:val="28"/>
          <w:sz w:val="28"/>
          <w:szCs w:val="28"/>
          <w:rtl w:val="true"/>
          <w:lang w:bidi="ar-SA"/>
        </w:rPr>
        <w:t>ومنها التوقيع المبارك لإمام العصر والزمان عجل الله تعالى فرجه الشريف إلى 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فأرجعوا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 فإنه عام شامل لموارد أوامرهم ونواهيهم الإرشادية كالمولوية تماماً</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3960231_1051229030"/>
      <w:bookmarkStart w:id="1509" w:name="_Toc547"/>
      <w:bookmarkEnd w:id="1508"/>
      <w:r>
        <w:rPr>
          <w:rtl w:val="true"/>
        </w:rPr>
        <w:t xml:space="preserve">أمثلة </w:t>
      </w:r>
      <w:r>
        <w:rPr>
          <w:rtl w:val="true"/>
        </w:rPr>
        <w:t>(</w:t>
      </w:r>
      <w:r>
        <w:rPr>
          <w:rtl w:val="true"/>
        </w:rPr>
        <w:t>للإرشادي</w:t>
      </w:r>
      <w:r>
        <w:rPr>
          <w:rtl w:val="true"/>
        </w:rPr>
        <w:t xml:space="preserve">) </w:t>
      </w:r>
      <w:r>
        <w:rPr>
          <w:rtl w:val="true"/>
        </w:rPr>
        <w:t>من الحوادث الواقعة</w:t>
      </w:r>
      <w:bookmarkEnd w:id="1509"/>
    </w:p>
    <w:p>
      <w:pPr>
        <w:pStyle w:val="BookText"/>
        <w:rPr/>
      </w:pPr>
      <w:r>
        <w:rPr>
          <w:rFonts w:ascii="Amiri" w:hAnsi="Amiri" w:eastAsia="Amiri" w:cs="Amiri"/>
          <w:color w:val="111111"/>
          <w:sz w:val="28"/>
          <w:sz w:val="28"/>
          <w:szCs w:val="28"/>
          <w:rtl w:val="true"/>
          <w:lang w:bidi="ar-SA"/>
        </w:rPr>
        <w:t xml:space="preserve">وكما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موضوعات الأحكام المولوية</w:t>
      </w:r>
      <w:r>
        <w:rPr>
          <w:rStyle w:val="FootnoteAnchor"/>
          <w:rtl w:val="true"/>
        </w:rPr>
        <w:footnoteReference w:id="1531"/>
      </w:r>
      <w:r>
        <w:rPr>
          <w:rFonts w:ascii="Amiri" w:hAnsi="Amiri" w:eastAsia="Amiri" w:cs="Amiri"/>
          <w:color w:val="111111"/>
          <w:sz w:val="28"/>
          <w:sz w:val="28"/>
          <w:szCs w:val="28"/>
          <w:rtl w:val="true"/>
          <w:lang w:bidi="ar-SA"/>
        </w:rPr>
        <w:t>ـ مطلقاً أو في الجملة</w:t>
      </w:r>
      <w:r>
        <w:rPr>
          <w:rStyle w:val="FootnoteAnchor"/>
          <w:rtl w:val="true"/>
        </w:rPr>
        <w:footnoteReference w:id="1532"/>
      </w:r>
      <w:r>
        <w:rPr>
          <w:rFonts w:ascii="Amiri" w:hAnsi="Amiri" w:eastAsia="Amiri" w:cs="Amiri"/>
          <w:color w:val="111111"/>
          <w:sz w:val="28"/>
          <w:sz w:val="28"/>
          <w:szCs w:val="28"/>
          <w:rtl w:val="true"/>
          <w:lang w:bidi="ar-SA"/>
        </w:rPr>
        <w:t xml:space="preserve">ـ فيلزمهم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رواة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تصدق على موضوعاتالأحكام الإرشادية ـ بأجمعها أو في الجملة ـ وذلك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يشملها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والمعاملات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يشمله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واشهدوا إذا تبايعتم</w:t>
      </w:r>
      <w:r>
        <w:rPr>
          <w:rFonts w:eastAsia="Amiri" w:cs="Amiri" w:ascii="Amiri" w:hAnsi="Amiri"/>
          <w:color w:val="111111"/>
          <w:sz w:val="28"/>
          <w:szCs w:val="28"/>
          <w:rtl w:val="true"/>
          <w:lang w:bidi="ar-SA"/>
        </w:rPr>
        <w:t>»</w:t>
      </w:r>
      <w:r>
        <w:rPr>
          <w:rStyle w:val="FootnoteAnchor"/>
          <w:rtl w:val="true"/>
        </w:rPr>
        <w:footnoteReference w:id="1533"/>
      </w:r>
      <w:r>
        <w:rPr>
          <w:rFonts w:ascii="IRNazanin" w:hAnsi="IRNazanin" w:eastAsia="IRNazanin"/>
          <w:color w:val="111111"/>
          <w:sz w:val="28"/>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للشركة المحجور عليها بعد رفع الحجر عنها، فهل يشمله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دفعتم إليهم أموالهم فأشهدوا </w:t>
      </w:r>
      <w:bookmarkStart w:id="1510" w:name="pg7671_77209"/>
    </w:p>
    <w:p>
      <w:pPr>
        <w:pStyle w:val="BookText"/>
        <w:rPr/>
      </w:pPr>
      <w:bookmarkEnd w:id="1510"/>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أو ملاكاً؟</w:t>
      </w:r>
    </w:p>
    <w:p>
      <w:pPr>
        <w:pStyle w:val="BookText"/>
        <w:rPr/>
      </w:pPr>
      <w:r>
        <w:rPr>
          <w:rFonts w:ascii="Amiri" w:hAnsi="Amiri" w:eastAsia="Amiri" w:cs="Amiri"/>
          <w:color w:val="111111"/>
          <w:sz w:val="28"/>
          <w:sz w:val="28"/>
          <w:szCs w:val="28"/>
          <w:rtl w:val="true"/>
          <w:lang w:bidi="ar-SA"/>
        </w:rPr>
        <w:t>وكذا لو حدثت واقعة ـ شك في حكمها الإرشادي ـ كتعامل مع جماعة أو جهة أو شركةٍ لا يدرى هل نشأت في الخير أم لا؟ لتشملها ـ بالإطلاق أو الملاك ـ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وكتردد أمر توجيه الحوزات العلمية في هذا الزمن إلى الإكتفاء الذاتي والاستثمار مثلاً، بين  أنه عزٌّ لها، كما أمر الإمام عليه السلام، مصادف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إنه مزاحم لأدوارها الطبيعية؟</w:t>
      </w:r>
    </w:p>
    <w:p>
      <w:pPr>
        <w:pStyle w:val="BookText"/>
        <w:rPr/>
      </w:pPr>
      <w:r>
        <w:rPr>
          <w:rFonts w:ascii="Amiri" w:hAnsi="Amiri" w:eastAsia="Amiri" w:cs="Amiri"/>
          <w:color w:val="111111"/>
          <w:sz w:val="28"/>
          <w:sz w:val="28"/>
          <w:szCs w:val="28"/>
          <w:rtl w:val="true"/>
          <w:lang w:bidi="ar-SA"/>
        </w:rPr>
        <w:t xml:space="preserve">وكذا دوران الأمر الكذائي بين كونه من كبار الأمور ليباشرها مرجع التقليد أو رئيس الدولة أو الوزير، أو صغارها، ليشملها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كبار أمورك بنفسك وكِل ما صغر منها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يدعى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المستجدة بنفسها، مولوية كانت أو إرشادية، لكن فيه ما لا يخفى فتأمل</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3960233_1051229030"/>
      <w:bookmarkStart w:id="1512" w:name="_Toc548"/>
      <w:bookmarkEnd w:id="1511"/>
      <w:r>
        <w:rPr>
          <w:rtl w:val="true"/>
        </w:rPr>
        <w:t>الاستدلال برواية الاحتجاج</w:t>
      </w:r>
      <w:bookmarkEnd w:id="151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الاحتجاج عن تفسير الإمام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عوام أمتنا إذا عرفوا من فقهائهم الفسق الظاهر والعصبية الشديدة والتكالب على حطام الدنيا وحرامها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قلد من عوامنا مثل هؤلاء الفقهاء، فهم مثل اليهود الذين ذمهم الله بالتقليد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لدينه، مخالفاً </w:t>
      </w:r>
      <w:bookmarkStart w:id="1513" w:name="pg7671_77210"/>
    </w:p>
    <w:p>
      <w:pPr>
        <w:pStyle w:val="BookText"/>
        <w:rPr/>
      </w:pPr>
      <w:bookmarkEnd w:id="1513"/>
      <w:r>
        <w:rPr>
          <w:rFonts w:ascii="Amiri" w:hAnsi="Amiri" w:eastAsia="Amiri" w:cs="Amiri"/>
          <w:color w:val="111111"/>
          <w:sz w:val="28"/>
          <w:sz w:val="28"/>
          <w:szCs w:val="28"/>
          <w:rtl w:val="true"/>
          <w:lang w:bidi="ar-SA"/>
        </w:rPr>
        <w:t>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534"/>
      </w:r>
    </w:p>
    <w:p>
      <w:pPr>
        <w:pStyle w:val="Heading3"/>
        <w:numPr>
          <w:ilvl w:val="2"/>
          <w:numId w:val="1"/>
        </w:numPr>
        <w:rPr/>
      </w:pPr>
      <w:bookmarkStart w:id="1514" w:name="__RefHeading___Toc3960235_1051229030"/>
      <w:bookmarkStart w:id="1515" w:name="_Toc549"/>
      <w:bookmarkEnd w:id="1514"/>
      <w:r>
        <w:rPr>
          <w:rtl w:val="true"/>
        </w:rPr>
        <w:t>إشارة لسند الرواية</w:t>
      </w:r>
      <w:bookmarkEnd w:id="1515"/>
    </w:p>
    <w:p>
      <w:pPr>
        <w:pStyle w:val="BookText"/>
        <w:rPr/>
      </w:pPr>
      <w:r>
        <w:rPr>
          <w:rFonts w:ascii="Amiri" w:hAnsi="Amiri" w:eastAsia="Amiri" w:cs="Amiri"/>
          <w:color w:val="111111"/>
          <w:sz w:val="28"/>
          <w:sz w:val="28"/>
          <w:szCs w:val="28"/>
          <w:rtl w:val="true"/>
          <w:lang w:bidi="ar-SA"/>
        </w:rPr>
        <w:t>ولا حاجة للبحث السندي عن هذه الرواية، بعد مطابقة مضمونها لسائر الروايات وللأصول والقواعد ولصريح العقل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 عدداً من الأعلام اعتبروها بخصوصها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في من لا يحضره الفقيه الذي ضمن ما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وعليها المعول وإليها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الشهيدين إذ قال السيد العم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يستظهر من الشهيدين والمحقق النائيني كون التفسير وراويه في غاية الاعتبار</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الوالد رحمه الله في الفقه</w:t>
      </w:r>
      <w:r>
        <w:rPr>
          <w:rFonts w:eastAsia="Amiri" w:cs="Amiri" w:ascii="Amiri" w:hAnsi="Amiri"/>
          <w:color w:val="111111"/>
          <w:sz w:val="28"/>
          <w:szCs w:val="28"/>
          <w:rtl w:val="true"/>
          <w:lang w:bidi="ar-SA"/>
        </w:rPr>
        <w:t>.</w:t>
      </w:r>
      <w:r>
        <w:rPr>
          <w:rStyle w:val="FootnoteAnchor"/>
          <w:rtl w:val="true"/>
        </w:rPr>
        <w:footnoteReference w:id="1536"/>
      </w:r>
    </w:p>
    <w:p>
      <w:pPr>
        <w:pStyle w:val="Heading3"/>
        <w:numPr>
          <w:ilvl w:val="2"/>
          <w:numId w:val="1"/>
        </w:numPr>
        <w:rPr/>
      </w:pPr>
      <w:bookmarkStart w:id="1516" w:name="__RefHeading___Toc3960237_1051229030"/>
      <w:bookmarkStart w:id="1517" w:name="_Toc550"/>
      <w:bookmarkEnd w:id="1516"/>
      <w:r>
        <w:rPr>
          <w:rtl w:val="true"/>
        </w:rPr>
        <w:t xml:space="preserve">أمثلة لتقليد العوام في </w:t>
      </w:r>
      <w:r>
        <w:rPr>
          <w:rtl w:val="true"/>
        </w:rPr>
        <w:t>(</w:t>
      </w:r>
      <w:r>
        <w:rPr>
          <w:rtl w:val="true"/>
        </w:rPr>
        <w:t>الإرشادي</w:t>
      </w:r>
      <w:r>
        <w:rPr>
          <w:rtl w:val="true"/>
        </w:rPr>
        <w:t>)</w:t>
      </w:r>
      <w:bookmarkEnd w:id="151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عوامهم وعوامنا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فقهائهم أو فقهائنا في موارد الأحكام الإرشادية كالمولوية تماماً، كما فيما سبق من الأمثلة</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قبح وحرمة قتل النفس والغير  من المستقلات العقلية، والأمر فيها إرشادي حسب مبنى الكثيرين، أو لانطباق الضابط السادس للأمر الإرشادي، وكذا السابع والثامن وكذا الرابع بل وحتى الثاني، عليه، فإنهم يقلدون فقهائهم ـ وكذلك عوامنا ـ في أصل وموارد جواز قتل النفس والغير وحرمته، كعوامنا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قبح الضرر ومنعه مما يستقل به العقل، وإن لم يستقل ببعض حدوده أو لم يشخص 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تجد عوامهم وعوامنا يقلدون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وفي التفريعات، مما استقل به العقل وغيره ـ كقطع العضو وذهاب القوة</w:t>
      </w:r>
      <w:r>
        <w:rPr>
          <w:rStyle w:val="FootnoteAnchor"/>
          <w:rtl w:val="true"/>
        </w:rPr>
        <w:footnoteReference w:id="1540"/>
      </w:r>
      <w:r>
        <w:rPr>
          <w:rFonts w:ascii="Amiri" w:hAnsi="Amiri" w:eastAsia="Amiri" w:cs="Amiri"/>
          <w:color w:val="111111"/>
          <w:sz w:val="28"/>
          <w:sz w:val="28"/>
          <w:szCs w:val="28"/>
          <w:rtl w:val="true"/>
          <w:lang w:bidi="ar-SA"/>
        </w:rPr>
        <w:t xml:space="preserve">والصوم الضرري وغير ذلك ـ، وكتقليدهم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xml:space="preserve">، فإنه من المستقلات العقلية، وقد أشرنا لبعض التفصيل عن ذلك وإنه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فليلاحظ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وقد فصلناه ولواحقه في مواضع أخرى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إذا هاج بكم الدم فإن الدم ربما تبيغ بصاحبه فيقتله</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فإنه إرشادي حسب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 بلحاظ مصلحة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المصلحة معلومة للمأمور قبل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عادت المصلحة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فإنه إرشادي حسب عدد من المباني، ومنها المباني الثلاثة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تتوقف المصلحة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على الضابط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رأيٍ، بلحاظ القرينة، إلى غير ذلك من الأمثلة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عوامهم وعوامنا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ذلك أو استحبابه أو كراهته وحرمته، وفي معرفة الضابط العام لتحديد موضوعه، وهي كلها، أو في أغلب حالاتها، إرشادية، ويصدق حقيقة عليها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قلد من عوامنا مثل هؤلاء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يقلدون فيها، لما يرون من مولويتها؟</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في حالهم فرقاً من حيث التقليد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رؤيتهم ذلك </w:t>
      </w:r>
      <w:bookmarkStart w:id="1518" w:name="pg7671_77213"/>
    </w:p>
    <w:p>
      <w:pPr>
        <w:pStyle w:val="BookText"/>
        <w:rPr/>
      </w:pPr>
      <w:bookmarkEnd w:id="1518"/>
      <w:r>
        <w:rPr>
          <w:rFonts w:ascii="Amiri" w:hAnsi="Amiri" w:eastAsia="Amiri" w:cs="Amiri"/>
          <w:color w:val="111111"/>
          <w:sz w:val="28"/>
          <w:sz w:val="28"/>
          <w:szCs w:val="28"/>
          <w:rtl w:val="true"/>
          <w:lang w:bidi="ar-SA"/>
        </w:rPr>
        <w:t>أو إرشاديتها</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3960239_1051229030"/>
      <w:bookmarkStart w:id="1520" w:name="_Toc551"/>
      <w:bookmarkEnd w:id="1519"/>
      <w:r>
        <w:rPr>
          <w:rtl w:val="true"/>
        </w:rPr>
        <w:t>وأما بناء العقلاء</w:t>
      </w:r>
      <w:bookmarkEnd w:id="1520"/>
    </w:p>
    <w:p>
      <w:pPr>
        <w:pStyle w:val="BookText"/>
        <w:rPr/>
      </w:pPr>
      <w:r>
        <w:rPr>
          <w:rFonts w:ascii="Amiri" w:hAnsi="Amiri" w:eastAsia="Amiri" w:cs="Amiri"/>
          <w:color w:val="111111"/>
          <w:sz w:val="28"/>
          <w:sz w:val="28"/>
          <w:szCs w:val="28"/>
          <w:rtl w:val="true"/>
          <w:lang w:bidi="ar-SA"/>
        </w:rPr>
        <w:t>فإننا نجد أن العقلاء من كل ملة ونحلة يرجع جاهلهم إلى عالمهم، ـ وهذا يعد من أهم أدلة التقليد بل نجد رجوع جاهلهم إلى عالم الدين فيهم</w:t>
      </w:r>
      <w:r>
        <w:rPr>
          <w:rStyle w:val="FootnoteAnchor"/>
          <w:rtl w:val="true"/>
        </w:rPr>
        <w:footnoteReference w:id="1545"/>
      </w:r>
      <w:r>
        <w:rPr>
          <w:rFonts w:ascii="Amiri" w:hAnsi="Amiri" w:eastAsia="Amiri" w:cs="Amiri"/>
          <w:color w:val="111111"/>
          <w:sz w:val="28"/>
          <w:sz w:val="28"/>
          <w:szCs w:val="28"/>
          <w:rtl w:val="true"/>
          <w:lang w:bidi="ar-SA"/>
        </w:rPr>
        <w:t>، فيها، لا مطلق العالم ـ لا في موارد الأحكام المولوية فحسب، بل في موارد الأحكام الإرشادية أيضاً، وأمثلته في الأوامر والنواهي الطبية والتجارية والاقتصادية ومطلق المعاشية والاجتماعية والحقوقية والسياسية، أكثر من أن تحصى، وقد أشرنا لبعضها في ضمن الآيات والروايات السابقة وأشرنا إلى الكثير منها في مطاوي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العم دام ظله، في مدرك نظير هذا البناء الذي ادعيناه ـ أي بناء العقلاء على التقليد بالمعنى المصطلح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ومدرك حجية هذا البناء العقلائي لنا، أمران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من طرق الإطاعة والمعصية، ولا شك كما لا خلاف على الظاهر في أن المرجع في طرق الإطاعة والمعصية هو بناء العقلاء ما لم يردع عنه الشارع ردعاً خاصاً، لعدم وجود ردع عام كما حقق في الأصول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اتصال هذا البناء بعصر المعصومين عليهم السلام، وعدم ردعهم عنه دليل حجيته، فيدخل في السنة الشريفة من جهة </w:t>
      </w:r>
      <w:bookmarkStart w:id="1521" w:name="pg7671_77214"/>
    </w:p>
    <w:p>
      <w:pPr>
        <w:pStyle w:val="BookText"/>
        <w:rPr/>
      </w:pPr>
      <w:bookmarkEnd w:id="1521"/>
      <w:r>
        <w:rPr>
          <w:rFonts w:ascii="Amiri" w:hAnsi="Amiri" w:eastAsia="Amiri" w:cs="Amiri"/>
          <w:color w:val="111111"/>
          <w:sz w:val="28"/>
          <w:sz w:val="28"/>
          <w:szCs w:val="28"/>
          <w:rtl w:val="true"/>
          <w:lang w:bidi="ar-SA"/>
        </w:rPr>
        <w:t>تقرير المعصوم</w:t>
      </w:r>
      <w:r>
        <w:rPr>
          <w:rFonts w:eastAsia="Amiri" w:cs="Amiri" w:ascii="Amiri" w:hAnsi="Amiri"/>
          <w:color w:val="111111"/>
          <w:sz w:val="28"/>
          <w:szCs w:val="28"/>
          <w:rtl w:val="true"/>
          <w:lang w:bidi="ar-SA"/>
        </w:rPr>
        <w:t>).</w:t>
      </w:r>
      <w:r>
        <w:rPr>
          <w:rStyle w:val="FootnoteAnchor"/>
          <w:rtl w:val="true"/>
        </w:rPr>
        <w:footnoteReference w:id="1546"/>
      </w:r>
    </w:p>
    <w:p>
      <w:pPr>
        <w:pStyle w:val="Heading3"/>
        <w:numPr>
          <w:ilvl w:val="2"/>
          <w:numId w:val="1"/>
        </w:numPr>
        <w:rPr/>
      </w:pPr>
      <w:bookmarkStart w:id="1522" w:name="__RefHeading___Toc3960241_1051229030"/>
      <w:bookmarkStart w:id="1523" w:name="_Toc552"/>
      <w:bookmarkEnd w:id="1522"/>
      <w:r>
        <w:rPr>
          <w:rtl w:val="true"/>
        </w:rPr>
        <w:t xml:space="preserve">البناء والسيرة على التفقه والتقليد في </w:t>
      </w:r>
      <w:r>
        <w:rPr>
          <w:rtl w:val="true"/>
        </w:rPr>
        <w:t>(</w:t>
      </w:r>
      <w:r>
        <w:rPr>
          <w:rtl w:val="true"/>
        </w:rPr>
        <w:t>الإرشادي</w:t>
      </w:r>
      <w:r>
        <w:rPr>
          <w:rtl w:val="true"/>
        </w:rPr>
        <w:t>)</w:t>
      </w:r>
      <w:bookmarkEnd w:id="1523"/>
    </w:p>
    <w:p>
      <w:pPr>
        <w:pStyle w:val="BookText"/>
        <w:rPr/>
      </w:pPr>
      <w:r>
        <w:rPr>
          <w:rFonts w:ascii="Amiri" w:hAnsi="Amiri" w:eastAsia="Amiri" w:cs="Amiri"/>
          <w:color w:val="111111"/>
          <w:sz w:val="28"/>
          <w:sz w:val="28"/>
          <w:szCs w:val="28"/>
          <w:rtl w:val="true"/>
          <w:lang w:bidi="ar-SA"/>
        </w:rPr>
        <w:t>والدليلان كلاهما جار في التقليد في الأحكام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فلما أسلفنا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إطاعة الأوامر والنواهي الإرشادية، سواء قلنا بإنقسامها للواجب والمندوب كما ذهب إليه الشيخ الأنصاري والميرزا الشيرازي قدس سرهما، أم لا ـ حسب ما فصلناه في الأقوال الستة الآنفة ـ والعقلاء ديدنهم رجوع الجاهل للعالم في مثل ذلك، وبناؤهم على حسنه مطلقاً، ووجوبه في الجملة بل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فلأنه قد يدعى جريان سيرة المتشرعة منذ زمن المعصومين عليهم السلام وحتى الآن،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الإرشادية كالمولوية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المعصومين عليهم السلام، ثم العلماء، على مر التاريخ، عن نظره صلوات الله عليه وعن نظر الشارع في مختلف موارد الأوامر والنواهي والأحكام الإرشادية، لا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ومستشار، بل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 عليه، وناقل لنظر الشارع</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تعقلاً أحياناً وتعبداً أحياناً أخرى، سواء في 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الطبية والصحية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الصنائع </w:t>
      </w:r>
    </w:p>
    <w:p>
      <w:pPr>
        <w:pStyle w:val="BookText"/>
        <w:rPr/>
      </w:pPr>
      <w:r>
        <w:rPr>
          <w:rFonts w:ascii="Amiri" w:hAnsi="Amiri" w:eastAsia="Amiri" w:cs="Amiri"/>
          <w:color w:val="111111"/>
          <w:sz w:val="28"/>
          <w:sz w:val="28"/>
          <w:szCs w:val="28"/>
          <w:rtl w:val="true"/>
          <w:lang w:bidi="ar-SA"/>
        </w:rPr>
        <w:t>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أو الفقيه الجامع للشرائط، بذلك، إذا كان أمراً وجوبياً، سواء كان مولوياً أم إرشادياً، وبذلك يخرج ما أحرز بالقرينة أن أمره للندب ـ من غير فرق بين مولويِّهِ وإرشاديِّه ـ أو لصرف الإرشاد للمصلحة في المتعلق دون إيجاب، فإن الإسلام دين ودنيا وقد جاء لسعادة الدارين،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فكلاهما غرض للشارع، وإحراز أغراض المولى الملزمة، لازم، وإن لم يتعلق بها أمر</w:t>
      </w:r>
      <w:r>
        <w:rPr>
          <w:rStyle w:val="FootnoteAnchor"/>
          <w:rtl w:val="true"/>
        </w:rPr>
        <w:footnoteReference w:id="1549"/>
      </w:r>
      <w:r>
        <w:rPr>
          <w:rFonts w:ascii="Amiri" w:hAnsi="Amiri" w:eastAsia="Amiri" w:cs="Amiri"/>
          <w:color w:val="111111"/>
          <w:sz w:val="28"/>
          <w:sz w:val="28"/>
          <w:szCs w:val="28"/>
          <w:rtl w:val="true"/>
          <w:lang w:bidi="ar-SA"/>
        </w:rPr>
        <w:t>فكيف به لو تعلق؟</w:t>
      </w:r>
    </w:p>
    <w:p>
      <w:pPr>
        <w:pStyle w:val="BookText"/>
        <w:rPr/>
      </w:pPr>
      <w:r>
        <w:rPr>
          <w:rFonts w:ascii="Amiri" w:hAnsi="Amiri" w:eastAsia="Amiri" w:cs="Amiri"/>
          <w:color w:val="111111"/>
          <w:sz w:val="28"/>
          <w:sz w:val="28"/>
          <w:szCs w:val="28"/>
          <w:rtl w:val="true"/>
          <w:lang w:bidi="ar-SA"/>
        </w:rPr>
        <w:t>بل لعله يدعى أن الناظر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ثم الفقيه،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مقام علمه الديني، حين استشارته، قليل، وإلا لكان يرجح أن يرجع لغير الفقيه من المتخصصين في ذلك الشأن ـ فتأمل</w:t>
      </w:r>
      <w:r>
        <w:rPr>
          <w:rFonts w:eastAsia="Amiri" w:cs="Amiri" w:ascii="Amiri" w:hAnsi="Amiri"/>
          <w:color w:val="111111"/>
          <w:sz w:val="28"/>
          <w:szCs w:val="28"/>
          <w:rtl w:val="true"/>
          <w:lang w:bidi="ar-SA"/>
        </w:rPr>
        <w:t>.</w:t>
      </w:r>
      <w:r>
        <w:rPr>
          <w:rStyle w:val="FootnoteAnchor"/>
          <w:rtl w:val="true"/>
        </w:rPr>
        <w:footnoteReference w:id="1550"/>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مباحث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الأحكام الإرشادية، كما تجري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ولعلنا نفصل الحديث عن ذلك في الجزء الثاني إذا شاء الله تعالى</w:t>
      </w:r>
      <w:r>
        <w:rPr>
          <w:rFonts w:eastAsia="Amiri" w:cs="Amiri" w:ascii="Amiri" w:hAnsi="Amiri"/>
          <w:color w:val="111111"/>
          <w:sz w:val="28"/>
          <w:szCs w:val="28"/>
          <w:rtl w:val="true"/>
          <w:lang w:bidi="ar-SA"/>
        </w:rPr>
        <w:t xml:space="preserve">. </w:t>
      </w:r>
      <w:bookmarkStart w:id="1524" w:name="pg7671_77216"/>
    </w:p>
    <w:p>
      <w:pPr>
        <w:pStyle w:val="Heading2"/>
        <w:numPr>
          <w:ilvl w:val="1"/>
          <w:numId w:val="1"/>
        </w:numPr>
        <w:rPr/>
      </w:pPr>
      <w:bookmarkStart w:id="1525" w:name="__RefHeading___Toc3960243_1051229030"/>
      <w:bookmarkStart w:id="1526" w:name="_Toc553"/>
      <w:bookmarkEnd w:id="1524"/>
      <w:bookmarkEnd w:id="1525"/>
      <w:r>
        <w:rPr>
          <w:rtl w:val="true"/>
        </w:rPr>
        <w:t>المبحث الثاني عشر</w:t>
      </w:r>
      <w:r>
        <w:rPr>
          <w:rtl w:val="true"/>
        </w:rPr>
        <w:t xml:space="preserve">: </w:t>
      </w:r>
      <w:r>
        <w:rPr>
          <w:rtl w:val="true"/>
        </w:rPr>
        <w:t>إمكان اجتماع جهتي المولوية والإرشادية، والنسبة بينهما، وغير ذلك</w:t>
      </w:r>
      <w:bookmarkEnd w:id="152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7" w:name="__RefHeading___Toc3960245_1051229030"/>
      <w:bookmarkStart w:id="1528" w:name="_Toc554"/>
      <w:bookmarkEnd w:id="1527"/>
      <w:r>
        <w:rPr>
          <w:rtl w:val="true"/>
        </w:rPr>
        <w:t>اشارة</w:t>
      </w:r>
      <w:bookmarkEnd w:id="152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9" w:name="pg7671_77218"/>
      <w:bookmarkStart w:id="1530" w:name="pg7671_77218"/>
      <w:bookmarkEnd w:id="1530"/>
    </w:p>
    <w:p>
      <w:pPr>
        <w:pStyle w:val="Heading3"/>
        <w:numPr>
          <w:ilvl w:val="2"/>
          <w:numId w:val="1"/>
        </w:numPr>
        <w:rPr/>
      </w:pPr>
      <w:bookmarkStart w:id="1531" w:name="pg7671_77218"/>
      <w:bookmarkStart w:id="1532" w:name="__RefHeading___Toc3960247_1051229030"/>
      <w:bookmarkStart w:id="1533" w:name="_Toc555"/>
      <w:bookmarkEnd w:id="1531"/>
      <w:bookmarkEnd w:id="1532"/>
      <w:r>
        <w:rPr>
          <w:rtl w:val="true"/>
        </w:rPr>
        <w:t>إمكان اجتماع جهتي المولوية والإرشادية في أمر واحد</w:t>
      </w:r>
      <w:bookmarkEnd w:id="1533"/>
    </w:p>
    <w:p>
      <w:pPr>
        <w:pStyle w:val="Heading4"/>
        <w:numPr>
          <w:ilvl w:val="3"/>
          <w:numId w:val="1"/>
        </w:numPr>
        <w:rPr/>
      </w:pPr>
      <w:bookmarkStart w:id="1534" w:name="__RefHeading___Toc3960249_1051229030"/>
      <w:bookmarkStart w:id="1535" w:name="_Toc556"/>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ثم إنه هل يمكن اجتماع جهتي المولوية والإرشادية في أمر واحد، أو نهي واحد، أو في جعل حكم شرعي واحد؟</w:t>
      </w:r>
    </w:p>
    <w:p>
      <w:pPr>
        <w:pStyle w:val="BookText"/>
        <w:rPr/>
      </w:pPr>
      <w:r>
        <w:rPr>
          <w:rFonts w:ascii="Amiri" w:hAnsi="Amiri" w:eastAsia="Amiri" w:cs="Amiri"/>
          <w:color w:val="111111"/>
          <w:sz w:val="28"/>
          <w:sz w:val="28"/>
          <w:szCs w:val="28"/>
          <w:rtl w:val="true"/>
          <w:lang w:bidi="ar-SA"/>
        </w:rPr>
        <w:t>الظاهر اختلاف ذلك باختلاف المسالك</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3960251_1051229030"/>
      <w:bookmarkStart w:id="1537" w:name="_Toc557"/>
      <w:bookmarkEnd w:id="1536"/>
      <w:r>
        <w:rPr/>
        <w:t>1</w:t>
      </w:r>
      <w:r>
        <w:rPr>
          <w:rtl w:val="true"/>
        </w:rPr>
        <w:t xml:space="preserve">- </w:t>
      </w:r>
      <w:r>
        <w:rPr>
          <w:rtl w:val="true"/>
        </w:rPr>
        <w:t>بناء على كون المولوي</w:t>
      </w:r>
      <w:r>
        <w:rPr>
          <w:rtl w:val="true"/>
        </w:rPr>
        <w:t xml:space="preserve">: </w:t>
      </w:r>
      <w:r>
        <w:rPr>
          <w:rtl w:val="true"/>
        </w:rPr>
        <w:t>ما أعمل فيه مقام المولوية</w:t>
      </w:r>
      <w:bookmarkEnd w:id="1537"/>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كون أمر واحد مولوياً وإرشادياً، وإن كان فيه ملاك الآخر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أعمل فيه مقام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صدر من المولى لا بما هو مولى وكذا ما لم يصدر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للسالبة بانتفاء الموضوع</w:t>
      </w:r>
      <w:r>
        <w:rPr>
          <w:rStyle w:val="FootnoteAnchor"/>
          <w:rtl w:val="true"/>
        </w:rPr>
        <w:footnoteReference w:id="1551"/>
      </w:r>
      <w:r>
        <w:rPr>
          <w:rFonts w:ascii="Amiri" w:hAnsi="Amiri" w:eastAsia="Amiri" w:cs="Amiri"/>
          <w:color w:val="111111"/>
          <w:sz w:val="28"/>
          <w:sz w:val="28"/>
          <w:szCs w:val="28"/>
          <w:rtl w:val="true"/>
          <w:lang w:bidi="ar-SA"/>
        </w:rPr>
        <w:t>أم المحمول، وإن كان فيه ملاكه، فلا يجتمع النقيضان</w:t>
      </w:r>
      <w:r>
        <w:rPr>
          <w:rFonts w:eastAsia="Amiri" w:cs="Amiri" w:ascii="Amiri" w:hAnsi="Amiri"/>
          <w:color w:val="111111"/>
          <w:sz w:val="28"/>
          <w:szCs w:val="28"/>
          <w:rtl w:val="true"/>
          <w:lang w:bidi="ar-SA"/>
        </w:rPr>
        <w:t xml:space="preserve">. </w:t>
      </w:r>
      <w:bookmarkStart w:id="1538" w:name="pg7671_77219"/>
    </w:p>
    <w:p>
      <w:pPr>
        <w:pStyle w:val="BookText"/>
        <w:rPr/>
      </w:pPr>
      <w:bookmarkEnd w:id="153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المولى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تقييدية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يجتمع مع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الأمر المولوي والإرشادي ـ على هذا الضابط ـ هي التباين،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من وجه في غير الشارع، والتساوي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عن المحقق الرشتي رحمه الله، فإنه غير تام حتى على ضابطه</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الميرزا الشيرازي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حيثية الإرشاد كما عرفت إنما هي أن لا يدخل الآمر نفسه في ذلك الطلب، ولا يكون باقتضائه وميله، وحيثية التكليف إنما هي أن يدخل نفسه فيه ويطلب من اقتضاء نفسه، فلا يعقل أن يكون طالباً لشيء واحد من هاتين الجهتين المتناقضتين</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أي من إقتضاء نفسه ولا من إقتضائها</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3960253_1051229030"/>
      <w:bookmarkStart w:id="1540" w:name="_Toc558"/>
      <w:bookmarkEnd w:id="1539"/>
      <w:r>
        <w:rPr/>
        <w:t>2</w:t>
      </w:r>
      <w:r>
        <w:rPr>
          <w:rtl w:val="true"/>
        </w:rPr>
        <w:t xml:space="preserve">- </w:t>
      </w:r>
      <w:r>
        <w:rPr>
          <w:rtl w:val="true"/>
        </w:rPr>
        <w:t xml:space="preserve">بناء على </w:t>
      </w:r>
      <w:r>
        <w:rPr>
          <w:rtl w:val="true"/>
        </w:rPr>
        <w:t>(</w:t>
      </w:r>
      <w:r>
        <w:rPr>
          <w:rtl w:val="true"/>
        </w:rPr>
        <w:t>ما كان لمصلحة الآخرة</w:t>
      </w:r>
      <w:r>
        <w:rPr>
          <w:rtl w:val="true"/>
        </w:rPr>
        <w:t>)</w:t>
      </w:r>
      <w:bookmarkEnd w:id="1540"/>
    </w:p>
    <w:p>
      <w:pPr>
        <w:pStyle w:val="BookText"/>
        <w:rPr/>
      </w:pPr>
      <w:r>
        <w:rPr>
          <w:rFonts w:ascii="Amiri" w:hAnsi="Amiri" w:eastAsia="Amiri" w:cs="Amiri"/>
          <w:color w:val="111111"/>
          <w:sz w:val="28"/>
          <w:sz w:val="28"/>
          <w:szCs w:val="28"/>
          <w:rtl w:val="true"/>
          <w:lang w:bidi="ar-SA"/>
        </w:rPr>
        <w:t>وأما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بمصلحة الآخرة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 والمقصود أولاً وبالذات، فلا يجتمعان، وإلا أمكن اجتماعهما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اجتماعهما لو أريد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كلاهما مصباً ومقصوداً لذاته في عرض الآخر بحيث يكون كل منهما علة تامة للطلب لو إنفرد، دون ما لو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جهته الراجحة في الطلب إذ لا يعقل كون </w:t>
      </w:r>
      <w:bookmarkStart w:id="1541" w:name="pg7671_77220"/>
    </w:p>
    <w:p>
      <w:pPr>
        <w:pStyle w:val="BookText"/>
        <w:rPr/>
      </w:pPr>
      <w:bookmarkEnd w:id="1541"/>
      <w:r>
        <w:rPr>
          <w:rFonts w:ascii="Amiri" w:hAnsi="Amiri" w:eastAsia="Amiri" w:cs="Amiri"/>
          <w:color w:val="111111"/>
          <w:sz w:val="28"/>
          <w:sz w:val="28"/>
          <w:szCs w:val="28"/>
          <w:rtl w:val="true"/>
          <w:lang w:bidi="ar-SA"/>
        </w:rPr>
        <w:t>الجهتين المتضادتين راجحتين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وتحقيق ما قاله في 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بالإرشاد معناه الأعم أي الهداية إلى ما فيه المصلحة فهو غير منافٍ للتحريم، ضرورة كون الأحكام الشرعية جميعها إرشادية بهذا المعنى، وإن أريد معناه المصطلح أي الدالة على ما هو الأليق والأصلح بحال العبد في الأمور الدنيوية خاصة كما يستفاد من كلامهم في الأمر الإرشادي وغيره</w:t>
      </w:r>
      <w:r>
        <w:rPr>
          <w:rFonts w:eastAsia="Amiri" w:cs="Amiri" w:ascii="Amiri" w:hAnsi="Amiri"/>
          <w:color w:val="111111"/>
          <w:sz w:val="28"/>
          <w:szCs w:val="28"/>
          <w:rtl w:val="true"/>
          <w:lang w:bidi="ar-SA"/>
        </w:rPr>
        <w:t>...).</w:t>
      </w:r>
      <w:r>
        <w:rPr>
          <w:rStyle w:val="FootnoteAnchor"/>
          <w:rtl w:val="true"/>
        </w:rPr>
        <w:footnoteReference w:id="1554"/>
      </w:r>
    </w:p>
    <w:p>
      <w:pPr>
        <w:pStyle w:val="Heading4"/>
        <w:numPr>
          <w:ilvl w:val="3"/>
          <w:numId w:val="1"/>
        </w:numPr>
        <w:rPr/>
      </w:pPr>
      <w:bookmarkStart w:id="1542" w:name="__RefHeading___Toc3960255_1051229030"/>
      <w:bookmarkStart w:id="1543" w:name="_Toc559"/>
      <w:bookmarkEnd w:id="1542"/>
      <w:r>
        <w:rPr/>
        <w:t>3</w:t>
      </w:r>
      <w:r>
        <w:rPr>
          <w:rtl w:val="true"/>
        </w:rPr>
        <w:t xml:space="preserve">- </w:t>
      </w:r>
      <w:r>
        <w:rPr>
          <w:rtl w:val="true"/>
        </w:rPr>
        <w:t xml:space="preserve">بناء على </w:t>
      </w:r>
      <w:r>
        <w:rPr>
          <w:rtl w:val="true"/>
        </w:rPr>
        <w:t>(</w:t>
      </w:r>
      <w:r>
        <w:rPr>
          <w:rtl w:val="true"/>
        </w:rPr>
        <w:t>ما صدر لأجل محبوبيته</w:t>
      </w:r>
      <w:r>
        <w:rPr>
          <w:rtl w:val="true"/>
        </w:rPr>
        <w:t>)</w:t>
      </w:r>
      <w:bookmarkEnd w:id="1543"/>
    </w:p>
    <w:p>
      <w:pPr>
        <w:pStyle w:val="BookText"/>
        <w:rPr/>
      </w:pPr>
      <w:r>
        <w:rPr>
          <w:rFonts w:ascii="Amiri" w:hAnsi="Amiri" w:eastAsia="Amiri" w:cs="Amiri"/>
          <w:color w:val="111111"/>
          <w:sz w:val="28"/>
          <w:sz w:val="28"/>
          <w:szCs w:val="28"/>
          <w:rtl w:val="true"/>
          <w:lang w:bidi="ar-SA"/>
        </w:rPr>
        <w:t>وأما 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قيد فيه صدوره لأجل محبوبيته أو عدمه، كان كالأول</w:t>
      </w:r>
      <w:r>
        <w:rPr>
          <w:rStyle w:val="FootnoteAnchor"/>
          <w:rtl w:val="true"/>
        </w:rPr>
        <w:footnoteReference w:id="1555"/>
      </w:r>
      <w:r>
        <w:rPr>
          <w:rFonts w:ascii="Amiri" w:hAnsi="Amiri" w:eastAsia="Amiri" w:cs="Amiri"/>
          <w:color w:val="111111"/>
          <w:sz w:val="28"/>
          <w:sz w:val="28"/>
          <w:szCs w:val="28"/>
          <w:rtl w:val="true"/>
          <w:lang w:bidi="ar-SA"/>
        </w:rPr>
        <w:t>بل وكذلك لو لم يقيد بأن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المولوي ما كان محبوباً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يجتمعان بالبداهة، إلا على التوجيه الذي ذكرناه قبل قليل على المسلك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سبق يظهر الحال على بقية الضوابط، نعم يجري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الضابط السابع والثامن ـ فليتدبر</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3960257_1051229030"/>
      <w:bookmarkStart w:id="1545" w:name="_Toc560"/>
      <w:bookmarkEnd w:id="1544"/>
      <w:r>
        <w:rPr>
          <w:rtl w:val="true"/>
        </w:rPr>
        <w:t>كلام المحقق الرشتي عن النسبة بين الإرشادي والمولوي</w:t>
      </w:r>
      <w:bookmarkEnd w:id="154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الرشتي رحمه الله ذهب إلى أن النسبة بين الإرشادي والمولوي مطلقاً ـ أي لو لوحظ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الصادر من الشارع الأقدس أم من غيره ـ هي العموم والخصوص من وجه، وفي أوامره هي </w:t>
      </w:r>
      <w:bookmarkStart w:id="1546" w:name="pg7671_77221"/>
    </w:p>
    <w:p>
      <w:pPr>
        <w:pStyle w:val="BookText"/>
        <w:rPr/>
      </w:pPr>
      <w:bookmarkEnd w:id="1546"/>
      <w:r>
        <w:rPr>
          <w:rFonts w:ascii="Amiri" w:hAnsi="Amiri" w:eastAsia="Amiri" w:cs="Amiri"/>
          <w:color w:val="111111"/>
          <w:sz w:val="28"/>
          <w:sz w:val="28"/>
          <w:szCs w:val="28"/>
          <w:rtl w:val="true"/>
          <w:lang w:bidi="ar-SA"/>
        </w:rPr>
        <w:t>التساوي على مسلك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أقسام الأوامر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ما علم فيه عدم محبوبية الفعل للآمر، وهذا ليس فيه إلا جهة النصح والإرشاد، ومنه أوامر الطبيب،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وأوامر الإطاعة، إذ ليس للإطاعة المأمور بها محبوبية ومطلوبية للشارع غير محبوبية الواجبات الشرعية وإلا لتسلسل، ولذا لا يثاب ولا يعاقب زائداً على ما يترتب على العناوين الأولية كالصلاة ونحوها، فلو كانت الإطاعة أيضاً محبوبة بمحبوبية مغايرة لزم ترتب المدح والثواب والذم والعقاب عليها، إضافة إلى ما في العناوين الأولية،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 ما علم أنه ليس للنصح والإرشاد، بل لمحبوبية الفعل للآمر كأوامر الموالي إلى العبيد فيما يتعلق به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اجتمع فيه الأمران وسيق لهما معاً وذلك كالأوامر الشرعية على طريقة العدلية</w:t>
      </w:r>
      <w:r>
        <w:rPr>
          <w:rFonts w:eastAsia="Amiri" w:cs="Amiri" w:ascii="Amiri" w:hAnsi="Amiri"/>
          <w:color w:val="111111"/>
          <w:sz w:val="28"/>
          <w:szCs w:val="28"/>
          <w:rtl w:val="true"/>
          <w:lang w:bidi="ar-SA"/>
        </w:rPr>
        <w:t>).</w:t>
      </w:r>
      <w:r>
        <w:rPr>
          <w:rStyle w:val="FootnoteAnchor"/>
          <w:rtl w:val="true"/>
        </w:rPr>
        <w:footnoteReference w:id="1557"/>
      </w:r>
    </w:p>
    <w:p>
      <w:pPr>
        <w:pStyle w:val="Heading3"/>
        <w:numPr>
          <w:ilvl w:val="2"/>
          <w:numId w:val="1"/>
        </w:numPr>
        <w:rPr/>
      </w:pPr>
      <w:bookmarkStart w:id="1547" w:name="__RefHeading___Toc3960259_1051229030"/>
      <w:bookmarkStart w:id="1548" w:name="_Toc561"/>
      <w:bookmarkEnd w:id="1547"/>
      <w:r>
        <w:rPr>
          <w:rtl w:val="true"/>
        </w:rPr>
        <w:t>وجه عدم تمامية كلامه</w:t>
      </w:r>
      <w:bookmarkEnd w:id="1548"/>
    </w:p>
    <w:p>
      <w:pPr>
        <w:pStyle w:val="BookText"/>
        <w:rPr/>
      </w:pPr>
      <w:r>
        <w:rPr>
          <w:rFonts w:ascii="Amiri" w:hAnsi="Amiri" w:eastAsia="Amiri" w:cs="Amiri"/>
          <w:color w:val="111111"/>
          <w:sz w:val="28"/>
          <w:sz w:val="28"/>
          <w:szCs w:val="28"/>
          <w:rtl w:val="true"/>
          <w:lang w:bidi="ar-SA"/>
        </w:rPr>
        <w:t>لكن قد يورد عليه ـ صغرى وكبرى</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تناقضه مع ما سبق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مانع من جعل أوامر الإطاعة أوامر شرعية، وتسميتها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يساعده إصطلاح ولا اعتبار، وهل هو إلا تخرص بلا مدرك</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دعوى </w:t>
      </w:r>
      <w:bookmarkStart w:id="1549" w:name="pg7671_77222"/>
    </w:p>
    <w:p>
      <w:pPr>
        <w:pStyle w:val="BookText"/>
        <w:rPr/>
      </w:pPr>
      <w:bookmarkEnd w:id="1549"/>
      <w:r>
        <w:rPr>
          <w:rFonts w:ascii="Amiri" w:hAnsi="Amiri" w:eastAsia="Amiri" w:cs="Amiri"/>
          <w:color w:val="111111"/>
          <w:sz w:val="28"/>
          <w:sz w:val="28"/>
          <w:szCs w:val="28"/>
          <w:rtl w:val="true"/>
          <w:lang w:bidi="ar-SA"/>
        </w:rPr>
        <w:t xml:space="preserve">بطلان اللازم ـ أي خروج أطيعوا الله وأطيعوا الرسول ونحوهما من أوامر الإطاعة، عن كونها إرشادية ودخولها في 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كونها أوامر إرشادية مما لا ستر عليه ولا ينبغي الإشكال فيه ـ مصادرة إذ 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3960261_1051229030"/>
      <w:bookmarkStart w:id="1551" w:name="_Toc562"/>
      <w:bookmarkEnd w:id="1550"/>
      <w:r>
        <w:rPr>
          <w:rtl w:val="true"/>
        </w:rPr>
        <w:t>(</w:t>
      </w:r>
      <w:r>
        <w:rPr>
          <w:rtl w:val="true"/>
        </w:rPr>
        <w:t>الناصح</w:t>
      </w:r>
      <w:r>
        <w:rPr>
          <w:rtl w:val="true"/>
        </w:rPr>
        <w:t xml:space="preserve">) </w:t>
      </w:r>
      <w:r>
        <w:rPr>
          <w:rtl w:val="true"/>
        </w:rPr>
        <w:t>محب للفعل</w:t>
      </w:r>
      <w:bookmarkEnd w:id="1551"/>
    </w:p>
    <w:p>
      <w:pPr>
        <w:pStyle w:val="BookText"/>
        <w:rPr/>
      </w:pPr>
      <w:r>
        <w:rPr>
          <w:rFonts w:ascii="Amiri" w:hAnsi="Amiri" w:eastAsia="Amiri" w:cs="Amiri"/>
          <w:color w:val="111111"/>
          <w:sz w:val="28"/>
          <w:sz w:val="28"/>
          <w:szCs w:val="28"/>
          <w:rtl w:val="true"/>
          <w:lang w:bidi="ar-SA"/>
        </w:rPr>
        <w:t xml:space="preserve">أنه لا شك أن الناصح والواعظ والمرشد والطبيب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حبه أعم من كونه لمصلحة عائدة له، وكونه لمصلحة عائدة لمن أحبه أو لمن وجب حقه عليه ـ ولو بأجرة أخذها منه كالطبيب ـ كما لا شك في محبوبية الاستشهاد بشهيدين من رجالكم، لله تعالى، وقد بحثنا ذلك في موضع آخر فليلاحظ</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أقل من عدم دليل 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عدم محبوبية الفعل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الآية كذلك، اللهم إلا أن يقيد الضابط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عهدة الدليل تقع عندئذ على مدعي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حبه له</w:t>
      </w:r>
      <w:r>
        <w:rPr>
          <w:rStyle w:val="FootnoteAnchor"/>
          <w:rtl w:val="true"/>
        </w:rPr>
        <w:footnoteReference w:id="1559"/>
      </w:r>
      <w:r>
        <w:rPr>
          <w:rFonts w:ascii="Amiri" w:hAnsi="Amiri" w:eastAsia="Amiri" w:cs="Amiri"/>
          <w:color w:val="111111"/>
          <w:sz w:val="28"/>
          <w:sz w:val="28"/>
          <w:szCs w:val="28"/>
          <w:rtl w:val="true"/>
          <w:lang w:bidi="ar-SA"/>
        </w:rPr>
        <w:t>في الجملة</w:t>
      </w:r>
      <w:r>
        <w:rPr>
          <w:rStyle w:val="FootnoteAnchor"/>
          <w:rtl w:val="true"/>
        </w:rPr>
        <w:footnoteReference w:id="1560"/>
      </w:r>
      <w:r>
        <w:rPr>
          <w:rFonts w:ascii="Amiri" w:hAnsi="Amiri" w:eastAsia="Amiri" w:cs="Amiri"/>
          <w:color w:val="111111"/>
          <w:sz w:val="28"/>
          <w:sz w:val="28"/>
          <w:szCs w:val="28"/>
          <w:rtl w:val="true"/>
          <w:lang w:bidi="ar-SA"/>
        </w:rPr>
        <w:t>في نقض الضابط</w:t>
      </w:r>
      <w:r>
        <w:rPr>
          <w:rStyle w:val="FootnoteAnchor"/>
          <w:rtl w:val="true"/>
        </w:rPr>
        <w:footnoteReference w:id="1561"/>
      </w:r>
      <w:r>
        <w:rPr>
          <w:rFonts w:ascii="Amiri" w:hAnsi="Amiri" w:eastAsia="Amiri" w:cs="Amiri"/>
          <w:color w:val="111111"/>
          <w:sz w:val="28"/>
          <w:sz w:val="28"/>
          <w:szCs w:val="28"/>
          <w:rtl w:val="true"/>
          <w:lang w:bidi="ar-SA"/>
        </w:rPr>
        <w:t>وفي عدم كلية جعل أوامر الطبيب والواعظ من الإرشادي مطلقاً كما في عكسه</w:t>
      </w:r>
      <w:r>
        <w:rPr>
          <w:rStyle w:val="FootnoteAnchor"/>
          <w:rtl w:val="true"/>
        </w:rPr>
        <w:footnoteReference w:id="1562"/>
      </w:r>
      <w:r>
        <w:rPr>
          <w:rFonts w:ascii="Amiri" w:hAnsi="Amiri" w:eastAsia="Amiri" w:cs="Amiri"/>
          <w:color w:val="111111"/>
          <w:sz w:val="28"/>
          <w:sz w:val="28"/>
          <w:szCs w:val="28"/>
          <w:rtl w:val="true"/>
          <w:lang w:bidi="ar-SA"/>
        </w:rPr>
        <w:t xml:space="preserve">فإن بعض الأوامر المولوية قد تكون بلا محبوبية الفعل، للآمر، كما في كل فعل يبغضه لكنه يأمر به إضطراراً أو إكراهاً أو ما أشبه مما لو لم يطعه </w:t>
      </w:r>
      <w:bookmarkStart w:id="1552" w:name="pg7671_77223"/>
    </w:p>
    <w:p>
      <w:pPr>
        <w:pStyle w:val="BookText"/>
        <w:rPr/>
      </w:pPr>
      <w:bookmarkEnd w:id="1552"/>
      <w:r>
        <w:rPr>
          <w:rFonts w:ascii="Amiri" w:hAnsi="Amiri" w:eastAsia="Amiri" w:cs="Amiri"/>
          <w:color w:val="111111"/>
          <w:sz w:val="28"/>
          <w:sz w:val="28"/>
          <w:szCs w:val="28"/>
          <w:rtl w:val="true"/>
          <w:lang w:bidi="ar-SA"/>
        </w:rPr>
        <w:t>عبده، عاقبه ـ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وجهه في موضع آخر، وكما في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الإمتحان</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3960263_1051229030"/>
      <w:bookmarkStart w:id="1554" w:name="_Toc563"/>
      <w:bookmarkEnd w:id="1553"/>
      <w:r>
        <w:rPr>
          <w:rtl w:val="true"/>
        </w:rPr>
        <w:t>(</w:t>
      </w:r>
      <w:r>
        <w:rPr>
          <w:rtl w:val="true"/>
        </w:rPr>
        <w:t>أمر الإطاعة</w:t>
      </w:r>
      <w:r>
        <w:rPr>
          <w:rtl w:val="true"/>
        </w:rPr>
        <w:t xml:space="preserve">) </w:t>
      </w:r>
      <w:r>
        <w:rPr>
          <w:rtl w:val="true"/>
        </w:rPr>
        <w:t>إمتثاله محبوب</w:t>
      </w:r>
      <w:bookmarkEnd w:id="1554"/>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أجبنا عنها بالتفصيل وبوجوه عديدة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التعاون على 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الإطاعة لا يصح القول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فيه عدم محبوبية الفعل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تعليله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للإطاعة المأمور بها، محبوبية ومطلوبية للشارع غير محبوبية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نفي الأخص لا يستلزم نفس الأعم بل دليله ـ وهو التسلسل ـ يشهد بنفي الأخص ولذا قيد بعد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الإطاعة أيضاً محبوبة بمحبوبية 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المتعلق بالعناوين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إتحاد الكلي الطبيعي مع مصاديقه، وإن فصلنا في موضع آخر إنه لا إتحاد بل هي متعلق له</w:t>
      </w:r>
      <w:r>
        <w:rPr>
          <w:rFonts w:eastAsia="Amiri" w:cs="Amiri" w:ascii="Amiri" w:hAnsi="Amiri"/>
          <w:color w:val="111111"/>
          <w:sz w:val="28"/>
          <w:szCs w:val="28"/>
          <w:rtl w:val="true"/>
          <w:lang w:bidi="ar-SA"/>
        </w:rPr>
        <w:t>.</w:t>
      </w:r>
      <w:r>
        <w:rPr>
          <w:rStyle w:val="FootnoteAnchor"/>
          <w:rtl w:val="true"/>
        </w:rPr>
        <w:footnoteReference w:id="156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فإنه لا ريب في أن منشأ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منشؤه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المصلحة الموجودة في إقامة الصلاة، ولا ريب أن 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للآمر قطعاً، منتهى الأمر أنه محبوب لنفس المصلحة الكامنة في متعلقه لا لمصلحة أخرى مغايرة، وهذا لا يضر </w:t>
      </w:r>
      <w:bookmarkStart w:id="1555" w:name="pg7671_77224"/>
    </w:p>
    <w:p>
      <w:pPr>
        <w:pStyle w:val="BookText"/>
        <w:rPr/>
      </w:pPr>
      <w:bookmarkEnd w:id="1555"/>
      <w:r>
        <w:rPr>
          <w:rFonts w:ascii="Amiri" w:hAnsi="Amiri" w:eastAsia="Amiri" w:cs="Amiri"/>
          <w:color w:val="111111"/>
          <w:sz w:val="28"/>
          <w:sz w:val="28"/>
          <w:szCs w:val="28"/>
          <w:rtl w:val="true"/>
          <w:lang w:bidi="ar-SA"/>
        </w:rPr>
        <w:t>بإنطباق تعريفه للمولوي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لجهة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يقيد المحبوبية في الضابط وفي المقام ـ 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محبوبية الفعل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تحديد القسم الأول ـ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محبوبية 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له إخراج أوامر الإطاعة لاحقاً، لأنه لا ينفي محبوبية الإطاعة بل ينفي محبوبيتها بمحبوبية مغايرة لمحبوبية العناوين الأولية كالصلاة أي ما اتحدت الإطاعة معها اتحاد الكلي الطبيعي مع أفراده ـ فتأمل</w:t>
      </w:r>
      <w:r>
        <w:rPr>
          <w:rFonts w:eastAsia="Amiri" w:cs="Amiri" w:ascii="Amiri" w:hAnsi="Amiri"/>
          <w:color w:val="111111"/>
          <w:sz w:val="28"/>
          <w:szCs w:val="28"/>
          <w:rtl w:val="true"/>
          <w:lang w:bidi="ar-SA"/>
        </w:rPr>
        <w:t>.</w:t>
      </w:r>
      <w:r>
        <w:rPr>
          <w:rStyle w:val="FootnoteAnchor"/>
          <w:rtl w:val="true"/>
        </w:rPr>
        <w:footnoteReference w:id="1564"/>
      </w:r>
    </w:p>
    <w:p>
      <w:pPr>
        <w:pStyle w:val="Heading3"/>
        <w:numPr>
          <w:ilvl w:val="2"/>
          <w:numId w:val="1"/>
        </w:numPr>
        <w:rPr/>
      </w:pPr>
      <w:bookmarkStart w:id="1556" w:name="__RefHeading___Toc3960265_1051229030"/>
      <w:bookmarkStart w:id="1557" w:name="_Toc564"/>
      <w:bookmarkEnd w:id="1556"/>
      <w:r>
        <w:rPr>
          <w:rtl w:val="true"/>
        </w:rPr>
        <w:t>ولا فرق بين المحبوب بالذات أو بالعرض</w:t>
      </w:r>
      <w:bookmarkEnd w:id="1557"/>
    </w:p>
    <w:p>
      <w:pPr>
        <w:pStyle w:val="BookText"/>
        <w:rPr/>
      </w:pPr>
      <w:r>
        <w:rPr>
          <w:rFonts w:ascii="Amiri" w:hAnsi="Amiri" w:eastAsia="Amiri" w:cs="Amiri"/>
          <w:color w:val="111111"/>
          <w:sz w:val="28"/>
          <w:sz w:val="28"/>
          <w:szCs w:val="28"/>
          <w:rtl w:val="true"/>
          <w:lang w:bidi="ar-SA"/>
        </w:rPr>
        <w:t xml:space="preserve">ثم إن تقييده بهذا القيد مما لا وجه له ثبوتاً ولبّاً في التفريق بين المولوي والإرشادي إذ لا فرق لدى العقل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 وقد صدر لمحبوبيته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مولوياً، بين كونه محبوباً للموى لذاته أو لمحبوبية ما اتحد معه أو انطبق عليه من العناوين الأولية ـ فإنه فيكليهما أعمل المولى ذاته ونفسه في مقام الطلب ولم يكن محط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وعلى أي فإن الأمر واضح بملاحظة الضابط الأول الذي صرنا إليه</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3960267_1051229030"/>
      <w:bookmarkStart w:id="1559" w:name="_Toc565"/>
      <w:bookmarkEnd w:id="1558"/>
      <w:r>
        <w:rPr>
          <w:rtl w:val="true"/>
        </w:rPr>
        <w:t>أوامر الموالي العرفية منها النصحي</w:t>
      </w:r>
      <w:bookmarkEnd w:id="155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منها علم إنه ليس للنصح والإرشاد بل لمحبوبية الفعل للآمر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تماميته لو أراد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اوامر الموالي إلى </w:t>
      </w:r>
      <w:bookmarkStart w:id="1560" w:name="pg7671_77225"/>
    </w:p>
    <w:p>
      <w:pPr>
        <w:pStyle w:val="BookText"/>
        <w:rPr/>
      </w:pPr>
      <w:bookmarkEnd w:id="1560"/>
      <w:r>
        <w:rPr>
          <w:rFonts w:ascii="Amiri" w:hAnsi="Amiri" w:eastAsia="Amiri" w:cs="Amiri"/>
          <w:color w:val="111111"/>
          <w:sz w:val="28"/>
          <w:sz w:val="28"/>
          <w:szCs w:val="28"/>
          <w:rtl w:val="true"/>
          <w:lang w:bidi="ar-SA"/>
        </w:rPr>
        <w:t>العبيد فيما يتعلق بأغراضهم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كما هو ظاهره؛ إذ لا ريب في أن أوامر الموالي للعبيد قد يلاحظ فيها النصح والإرشاد أيضاً فإن النصح داع ولا شك في إمكان إجتماعه مع المولوية حتى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طلبه لأجل محبوبيته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مسلكه، وقد فصلنا في موضع آخر أن المولوية والإرشادية ليسا جزء الموضوع له ولا المستعمل فيه بل هما من دواعي الاستعمال فلا مانع من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كذلك فيعود الفرق إصطلاحياً صِرفاً</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3960269_1051229030"/>
      <w:bookmarkStart w:id="1562" w:name="_Toc566"/>
      <w:bookmarkEnd w:id="1561"/>
      <w:r>
        <w:rPr>
          <w:rtl w:val="true"/>
        </w:rPr>
        <w:t>هل كل الأوامر الشرعية اجتمع فيها الأمران؟</w:t>
      </w:r>
      <w:bookmarkEnd w:id="1562"/>
    </w:p>
    <w:p>
      <w:pPr>
        <w:pStyle w:val="BookText"/>
        <w:rPr/>
      </w:pPr>
      <w:r>
        <w:rPr>
          <w:rFonts w:ascii="Amiri" w:hAnsi="Amiri" w:eastAsia="Amiri" w:cs="Amiri"/>
          <w:color w:val="111111"/>
          <w:sz w:val="28"/>
          <w:sz w:val="28"/>
          <w:szCs w:val="28"/>
          <w:rtl w:val="true"/>
          <w:lang w:bidi="ar-SA"/>
        </w:rPr>
        <w:t xml:space="preserve">ثم إنه لا صحة لدعوى كون الأوامر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فيها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 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إطلاقه ـ مع قطع النظر عن استلزامه التناقض بحسب تعبيره</w:t>
      </w:r>
      <w:r>
        <w:rPr>
          <w:rStyle w:val="FootnoteAnchor"/>
          <w:rtl w:val="true"/>
        </w:rPr>
        <w:footnoteReference w:id="1565"/>
      </w:r>
      <w:r>
        <w:rPr>
          <w:rFonts w:ascii="Amiri" w:hAnsi="Amiri" w:eastAsia="Amiri" w:cs="Amiri"/>
          <w:color w:val="111111"/>
          <w:sz w:val="28"/>
          <w:sz w:val="28"/>
          <w:szCs w:val="28"/>
          <w:rtl w:val="true"/>
          <w:lang w:bidi="ar-SA"/>
        </w:rPr>
        <w:t>ـ  إذ ينقض بالأوامر الامتحانية وأوامر البداء وأوامر التقية، إذ لا محبوبية للفعل فيها، للآمر، وإن توهم المأمور ذلك، إلا الأخير بناء على الكسر والإنكسار كما فصلناه في موضع آخر</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جهة نصح فيها</w:t>
      </w:r>
      <w:r>
        <w:rPr>
          <w:rFonts w:eastAsia="Amiri" w:cs="Amiri" w:ascii="Amiri" w:hAnsi="Amiri"/>
          <w:color w:val="111111"/>
          <w:sz w:val="28"/>
          <w:szCs w:val="28"/>
          <w:rtl w:val="true"/>
          <w:lang w:bidi="ar-SA"/>
        </w:rPr>
        <w:t>.</w:t>
      </w:r>
      <w:r>
        <w:rPr>
          <w:rStyle w:val="FootnoteAnchor"/>
          <w:rtl w:val="true"/>
        </w:rPr>
        <w:footnoteReference w:id="1566"/>
      </w:r>
      <w:bookmarkStart w:id="1563" w:name="pg7671_77226"/>
    </w:p>
    <w:p>
      <w:pPr>
        <w:pStyle w:val="BookText"/>
        <w:rPr/>
      </w:pPr>
      <w:bookmarkEnd w:id="1563"/>
      <w:r>
        <w:rPr>
          <w:rFonts w:ascii="Amiri" w:hAnsi="Amiri" w:eastAsia="Amiri" w:cs="Amiri"/>
          <w:color w:val="111111"/>
          <w:sz w:val="28"/>
          <w:sz w:val="28"/>
          <w:szCs w:val="28"/>
          <w:rtl w:val="true"/>
          <w:lang w:bidi="ar-SA"/>
        </w:rPr>
        <w:t>بل حتى لو 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الشرعية مما كانت المصلحة فيه، في المتعلق لا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يعلم أنها سيقت كلها للجهتين إذ كونها محبوبة له لا يستلزم كون دليلها للنصح، ودلالة دليلها عليه وإن كان ثبوتاً ممكناً إلا أن دعوى سوقها كلها للجهتين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المحقق الرشتي لو قيد المولوي الذي جعل ضابطه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محبوباً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صدر لجهة محبوبيته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عدم إمكان اجتماعه مع الإرشادي، حينئذ؛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يصدر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يجتمع النقيضان وقد سبق، لكن قد يقال بأن ظاهره صِرف اللحاظ وعدمه، لا بشرط الوحدة والتفرد،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عبارته وتأمل</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3960271_1051229030"/>
      <w:bookmarkStart w:id="1565" w:name="_Toc567"/>
      <w:bookmarkEnd w:id="1564"/>
      <w:r>
        <w:rPr>
          <w:rtl w:val="true"/>
        </w:rPr>
        <w:t>عناوين ثلاثة</w:t>
      </w:r>
      <w:r>
        <w:rPr>
          <w:rtl w:val="true"/>
        </w:rPr>
        <w:t>: (</w:t>
      </w:r>
      <w:r>
        <w:rPr>
          <w:rtl w:val="true"/>
        </w:rPr>
        <w:t>المولوي والإرشادي</w:t>
      </w:r>
      <w:r>
        <w:rPr>
          <w:rtl w:val="true"/>
        </w:rPr>
        <w:t>) (</w:t>
      </w:r>
      <w:r>
        <w:rPr>
          <w:rtl w:val="true"/>
        </w:rPr>
        <w:t>الإمضائي والتأسيسي</w:t>
      </w:r>
      <w:r>
        <w:rPr>
          <w:rtl w:val="true"/>
        </w:rPr>
        <w:t>) (</w:t>
      </w:r>
      <w:r>
        <w:rPr>
          <w:rtl w:val="true"/>
        </w:rPr>
        <w:t>الحقيقة الشرعية</w:t>
      </w:r>
      <w:r>
        <w:rPr>
          <w:rtl w:val="true"/>
        </w:rPr>
        <w:t>)</w:t>
      </w:r>
      <w:bookmarkEnd w:id="1565"/>
    </w:p>
    <w:p>
      <w:pPr>
        <w:pStyle w:val="BookText"/>
        <w:rPr/>
      </w:pPr>
      <w:r>
        <w:rPr>
          <w:rFonts w:ascii="Amiri" w:hAnsi="Amiri" w:eastAsia="Amiri" w:cs="Amiri"/>
          <w:color w:val="111111"/>
          <w:sz w:val="28"/>
          <w:sz w:val="28"/>
          <w:szCs w:val="28"/>
          <w:rtl w:val="true"/>
          <w:lang w:bidi="ar-SA"/>
        </w:rPr>
        <w:t>نعم هنالك عناوين ثلاثة طرحت في الأصول والفقه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الأوامر والنواهي، وهل هي مولوية أو إرشادية؟</w:t>
      </w:r>
    </w:p>
    <w:p>
      <w:pPr>
        <w:pStyle w:val="BookText"/>
        <w:rPr/>
      </w:pPr>
      <w:r>
        <w:rPr>
          <w:rFonts w:ascii="Amiri" w:hAnsi="Amiri" w:eastAsia="Amiri" w:cs="Amiri"/>
          <w:color w:val="111111"/>
          <w:sz w:val="28"/>
          <w:sz w:val="28"/>
          <w:szCs w:val="28"/>
          <w:rtl w:val="true"/>
          <w:lang w:bidi="ar-SA"/>
        </w:rPr>
        <w:t>وعنوان الإمضائية أو التأسيسية في العقود والإيقاعات والحجج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البين اختلاف ماهية هذه العناوين الثلاثة ومفهومها، إلا أنه قد يجري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بينها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فترتبط بمطلق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التكليفية </w:t>
      </w:r>
    </w:p>
    <w:p>
      <w:pPr>
        <w:pStyle w:val="BookText"/>
        <w:rPr/>
      </w:pPr>
      <w:r>
        <w:rPr>
          <w:rFonts w:ascii="Amiri" w:hAnsi="Amiri" w:eastAsia="Amiri" w:cs="Amiri"/>
          <w:color w:val="111111"/>
          <w:sz w:val="28"/>
          <w:sz w:val="28"/>
          <w:szCs w:val="28"/>
          <w:rtl w:val="true"/>
          <w:lang w:bidi="ar-SA"/>
        </w:rPr>
        <w:t>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وضعه ورفعه بيد الشارع، وهذا هو محور البحث في هذا الكتاب، وقد تكلمنا حوله من جهات عديدة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التأسيسية والإمضائية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أو شرائط وموانع، بل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حسب تقسيم الشرائع، في الجملة ـ فتأمل، كما ترتبط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من أدلة وأمارات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هي عقود أمضاها الشارع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القول به ـ وكل العقود المستحدثة أمضاها الشارع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أسسه الشارع ـ على احتمال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تأسيسياً وقد يكون إمضائياً، فكذلك شروطه وموانعه</w:t>
      </w:r>
      <w:r>
        <w:rPr>
          <w:rFonts w:eastAsia="Amiri" w:cs="Amiri" w:ascii="Amiri" w:hAnsi="Amiri"/>
          <w:color w:val="111111"/>
          <w:sz w:val="28"/>
          <w:szCs w:val="28"/>
          <w:rtl w:val="true"/>
          <w:lang w:bidi="ar-SA"/>
        </w:rPr>
        <w:t>.</w:t>
      </w:r>
      <w:r>
        <w:rPr>
          <w:rStyle w:val="FootnoteAnchor"/>
          <w:rtl w:val="true"/>
        </w:rPr>
        <w:footnoteReference w:id="156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والإبراء، وكحكم الحاكم بما يراه حقاً من الملكية والزوجية والنسب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وموانع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أصيلاً لا فضولياً ـ إذ ذهبوا إلى عدم جريان الفضولية في الإيقاعات رغم إمكان القول بعرفيتها في الجملة ـ وكالبلوغ والعقل والإختيار والقصد، إذ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بعضها وأسس بعضها إثباتاً أو نفياً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أو شرائط ـ سواء كانت على الأحكام مما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الموضوعات مما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فإنها كذلك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ـ وهو الأكثر ـ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قد جعل له الحجية أو نفاه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 من غير بناء للعقلاء أو سيرة لهم عليه، أو مع بناءهم على العكس، وذلك كالقياس والاستحسان مما نفاه، ولعل مما أثبته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ـ وتفصيل ذلك يطلب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جانباً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عنوان ثالث هو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يرتبط بتنقيح النسبة بين العناوين ومعنوناتها، وتغيير المراد منها وعدمه وذلك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والغناء والآنية والصلاة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غير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والموضوع الخارجي، سوى في وضوح نفيها في بعضها</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ولعلنا نفصل الحديث عن العنوانين الأخيرين، وعن النسبة بينهما وبين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المولوية والارشادية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إذا شاء الله تعالى</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الختام لابد أن أشير إلى أنني قد أعدت تبويب وترتيب مباحث الكتاب المختلفة، لدى الإنتهاء منه، لذا قد يلاحظ بعض الاختلاف في الإرجاعات وربما بعض التقدم والتأخر الطبعي والرتبي لبعض التفاصيل، </w:t>
      </w:r>
    </w:p>
    <w:p>
      <w:pPr>
        <w:pStyle w:val="BookText"/>
        <w:rPr/>
      </w:pPr>
      <w:r>
        <w:rPr>
          <w:rFonts w:ascii="Amiri" w:hAnsi="Amiri" w:eastAsia="Amiri" w:cs="Amiri"/>
          <w:color w:val="111111"/>
          <w:sz w:val="28"/>
          <w:sz w:val="28"/>
          <w:szCs w:val="28"/>
          <w:rtl w:val="true"/>
          <w:lang w:bidi="ar-SA"/>
        </w:rPr>
        <w:t>فليؤخذ بعين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 والصلاة والسلام على محمد وإله الطيبين الطاهرين واللعنة على أعدائهم إلى يوم الدين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الحسيني الشيرازي</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bookmarkStart w:id="1566" w:name="pg7671_77230"/>
    </w:p>
    <w:p>
      <w:pPr>
        <w:pStyle w:val="Heading2"/>
        <w:numPr>
          <w:ilvl w:val="1"/>
          <w:numId w:val="1"/>
        </w:numPr>
        <w:rPr/>
      </w:pPr>
      <w:bookmarkStart w:id="1567" w:name="__RefHeading___Toc3960273_1051229030"/>
      <w:bookmarkStart w:id="1568" w:name="_Toc568"/>
      <w:bookmarkEnd w:id="1566"/>
      <w:bookmarkEnd w:id="1567"/>
      <w:r>
        <w:rPr>
          <w:rtl w:val="true"/>
        </w:rPr>
        <w:t>مصادر الكتاب</w:t>
      </w:r>
      <w:bookmarkEnd w:id="1568"/>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الشريف للشيخ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 التقريرات، تقرير بحث الميرزا النائيني للسيد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للشيخ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للعلامة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الأفكار للشيخ حبيب الرشتي</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الفقه للسيد صادق الحسيني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الصافي للشيخ محمد محسن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للشيخ علي بن ابراهيم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تبيين القران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 للشيخ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مواهب الرحمن للسيد عبد الأعلى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 للسيد هاشم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المجدد الشيرازي للمولى علي الروزدري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التنقيح، تقريرات بحث السيد الخوئي للشيخ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أحاديث الشيعة للسيد محمد حسين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الكلام للشيخ محمد حسن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كتاب المكاسب للشيخ محمد حسين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دروس تمهيدية في تفسير آيات الأحكام للشيخ محمد باقر الإيرواني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لقطب الدين الراوندي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شورى الفقهاء، دراسة فقهية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الشورى في الإسلام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للسيد محمد طاظم الطباطبائي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 لابن أبي جمهور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 للآمدي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 للسيد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للسيد محمد الحسيني الشيرازي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والأشربة للسيد محمد الحسيني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 للسيد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الصادق للسيد صادق الروحاني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التعاون على البر والنقوى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الأصول تقريرات بحث الميرزا النائيني للمحثث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الأصول للآخوند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العرفان في فقه القران للفاضل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للعلامة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محاضرات في أصول الفقه، تقريرات بحث السيد الخوئي للشيخ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 للعلامو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للميرزا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سفينة البحار للنمازي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مستمسك العروة الوثقى للسيد محسن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الأصول تقرير بحث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الفقيه لآقا رضا الهمداني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للشيخ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مفردات غريب القرآن للراغب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المكاسب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أحاديث أهل البيت للشيخ هادي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الدراية للشيخ محمد حسين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للشيخ الحر العاملي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كفاية الأصول للسيد محمد الحسيني الشيرازي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تضمنه هذا المجلد أو ما سيأتي في المجلد اللاحق إن شاء الله تعالى، علماً بأن مبحث وجوب النظر والمعرفة قد فصلنا الحديث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 –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 صفحات من القطع الكبير ، وهو حقا حافل بالدقائق فراجع بدائع الأفكار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 ، للمولى علي الردزدري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كعلم الأخلاق والتفسير بل وعدد من العلوم الاجتماعية المختلفة، وذلك ما تطرقنا له في مواضع متعددة من الكتاب ولله الحمد وله الفضل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في الكتاب التفكيك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 العقاب بالمخالفة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يترتب على الوجوب المولوي دون الوجوب الإرشادي، بعد إقامة البرهان على أن مؤدى الأوامر الإرشادية ينقسم إلى الوجوب والندب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كذا أمان من كذا، ومثاله من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السواك يرضي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ويضاعف الحسنات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مجلاة البصر، يزيد في الحفظ، يشهي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 الحديث عن ذلك وكذلك قول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الجمعة طهور وكفارة لما بينهما من الذنوب من الجمعة إلى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تعليله في الرواية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إزالة الرائحة الكريهة للآباط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تفصيله أيضاً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نصح وعظة، وليس الإرشاد، إخباراً كما سنوضحه بإذن الله تعالى سواء على مسلك أن الإنشاء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المبرَز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مسلك أن الإنشاء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الموجِد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إيجاد المعنى في عالم الاعتبار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النسبة بين المولوي والإرشادي من جهة وبين التأسيسي والإمضائي من جهة أخرى، هل هي العموم من وجه أم غير ذلك؟</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الجزء الثاني بإذن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الحق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كتاب الدين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الوالد في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يستحب الإشهاد على الدَّين ويكره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الدين، كما سبقت عبارة الفاضل المقداد رحمه الله، وقال بعض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الإشهاد على الدين هل هو واجب أم لا؟ ظاهر الأمر الوجوب، إلا أن نرفع اليد عن ذلك ونحكم بالاستحباب للإجماع المنعقد على الاستحباب ونفي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تفسير آيات الأحكام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لعله لا يتم الاستناد بهذه الرواية، لذلك، بل لابد من دليل آخر ولو ما كان من قبيل الإرتكاز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قبوله شهادتهم، بما هو مولى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جنح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مادة جنح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تفسير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أنه لعله يناقض ما ذكره في نظيره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الإشهاد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الوجوب كما قال هناك والإجماع على نفيه يصرفه للاستحباب لا الإرشاد ـ فتأمل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وهو أيضاً في غاية الكثرة في الكتاب والسنة والعرف واللغة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تعلق بأبواب المعاملات من أجزائها وشرائطها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مقام المولوية كما يقتضي إصدار الأحكام التكليفية، يقتضي إصدار الأحكام الوضعية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أي بقصد القربة، وهي مما يترتب عليها الثواب عندئذ فهي مستحبة، فطلبها كذلك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الإشهاد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النصح من مقولة الإنشاء أيضاً في مثل أوامر الطبيب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في 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هذا التوهم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 بأن الحب والاستحباب ـ على فرضه ـ يعود للصفة أي الاقتصاد، لا الموصوف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جهة حب المولى أكل عبيده من رزقه، ومحبوبيته له سواء استندنا إلى العقل ومقتضى الاعتبار ـ وهو كرم المولى ـ أم الآية السابقة أم غيرها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كالضابط الرابع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على القول بأن مقتضى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واشربوا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الإباحة، فإنها لا تنفي المولوية كما سبق، بناء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تصدر من المولى بما هو مولى معملاً مقام المولوية، كما هو كذلك</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التلذذ صفة زائدة على الشرب ولا تلازم بين مولوية الشيء بقيد صفة، ومولويته بدونها ولا يرد هذا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الأكل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الأمر تعلق به بقيد الحلية ورتب الثواب على المجموع من المقيد والقيد فأفاد مولوية ذلك الأمر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نفس ما ورد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التلذذ</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أكل،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محبوباً للمولى وقد صدر لجهة محبوبيته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صدر من المولى بما هو مولى بقيد إذا كان في مقام التشريع أو لا ـ كما سيأتي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جعل كل منهما بالاستقلال أو انتزاع أحدهما من الآخر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فأكتبوه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استشهدوا شهيدين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ذوي عدل منكم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المراد في الموردين إذا كان مصبه الإيجاب ـ للوضع أو للأصل العقلي أو لمقدمات الحكمة بعد فرض وضعه لمطلق الطلب على رأيي الأصفهاني والعراقي، أو للقرينة ـ لا الندب، وإلا كان له، مولوياً أيضاً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ـ مادة ولي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الولاية أعم من الولاية على الذات والولاية على الأمر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الإخبار طالباً بذلك كمالهم، فإن كان ذلك هو المصب كان إنشاءاً بقالب الإخبار وإن كان ذلك مآلاً كان إخباراً وإن كان بداعي الطلب ـ</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ينصرهم لأنه مولى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يبيع لأنه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يتحدد المالك بالبيع ويستدل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المالك ليس له أن يهب أو يصالح أو يؤجر؟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المقابلة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الكافرين لا مولى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إذ لا شك إن الله مولى لهم بمعنى المالك والأولى وشبههما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إرشادهم، وحيث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الأولى بهم الاسترشاد به وإطاعته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الشريفة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مصداقاً والمورد لا يخصص الوارد فتأمل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صِرنا إلى أن النصح قسم أيضاً، وإن كان منه ما هو قسيم، وأوضحنا أن مقام المولوية يقتضي التشريع ويقتضي النصح أيضاً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بالقياس لغير النصح ـ لفرض عدم هذا المقام بخصوصه له على هذا الرأي ـ أي بالقياس لشؤونه الشخصية مثلاً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المولوية ـ التشريعي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المولوية ـ النصحي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وللتقريب للذهن نمثل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بشخص له منصبان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والتعليم، فهو قاض ومعلم، لكن هل هما بعرض الآخر؟ أم الأصل أنه معلم ثم هو قاضِ؟ أو العكس؟، أم أحدهما متفرع على الآخر فلأنه قاضي جعل معلماً أو العكس، والأوضح في مثال الأصل والفرع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والمربي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بحاجة إلى تتبع وتأمل أكثر والله الهادي العاصم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النصح متفرع على مقام المولوية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أريد بالتفرع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مقام النصح في غير من له المولوية فكيف وجد المعلول بلا علته؟ مما يكشف عن عدم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إلا أن يجاب بتعدد الأسباب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 مقام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 أوامره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 الدليل يسوق إلى عدم الأول وثبوت الثاني بأن يقال بأن له مقامين لكن الأصل في أوامره، المولوية بالمعنى الأخص، أو العكس بأن يقال الأصل في مقامه المولوية لكن يلتزم بأن أوامره ليس الأصل فيها لكثرة أوامره ناصحاً مثلاً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الموجبة لاستحقاق العقاب، أي المولوية التشريعية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صح البحث بهذا المعنى أيضاً فتدبر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الإلزامي كما فيما كان للندب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يعلم كون الأوامر المولوية ـ التشريعية، أكثر من المولوية النصحية  أو كونها أكثر من الإرشادية، في جملة ما صدر من الشارع المقدس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الصادر منه بلحاظ مقامه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أشرنا لكلا جانبي الثبوت والإثبات فتدبر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 الفعل المرتبط 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شأنه ومسؤوليته وحاله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الأمر الإنشائي أي الطلب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المولوي التشريعي، والمولوي النصحي، والإرشادي، والإخبار إذا أخبر بما هو مولى وأولى ومسؤول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كالستر والقبلة والطهارة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كحضور القلب، ولعل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قال الكثير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شرطة الصحة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كبيع الفضولي، أو المعيب أو الغبن أو ما أشبه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مصداق ذلك الكلي، وأما الإنشاء فلازمه ذلك الكلي ـ أي الهداية لسبيل الرشاد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الإباحة بالمعنى الأخص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في موضع آخر الفرق بين النصح إنشاءً والإخبار ناصحاً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بأنفسها هداية إلى سبيل الرشاد ـ وهو الصلاة والوفاء بالعقد في الآيتين ـ وأما الإرشاد إلى 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القرآن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فإنه إرشاد وهداية إلى الهادي إلى سبيل الرشاد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هل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أهدكم سبيل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أهدكم إلى الصلاة والوفاء بالعقد مثلاً؟ أو أهدكم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يهديكم إلى سبيل الرشاد؟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الأعم؛ لأنهما بأنفسهما سبيل الرشاد أيضاً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بخصوصه هو المولوي باصطلاحهم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نقلها السيد الوالد في الوصول إلى كفاية الأصول عن حاشية المعالم للمولى صالح رحمهما الله، بأمثلتها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صيغة الأمر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المعاني الخمسة عشرة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إرشادهم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الآية، أي إرشادهم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الشأن والفعل فإن الأمر بمعنى الطلب شأن من الشؤون وفعل من الأفعال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اجتماع اللحاظين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ناقشنا في بعضها في هذا المجلد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الضابط والملاك في الأوامر المولوية والإرشادية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الضوابط التسعة المحتملة فيها أو التي قيل بها فيها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دائرة الأوامر الإرشادية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ينبغي أن تعد منه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إنها معدودة من الفقه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حكمه الوضعي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الثاني الذي ذهب إليه البعض في التفريق بين الأمر المولوي والإرشادي وسيأتي بإذن الله تعالى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بدون الالتزام بالاستحقاق للعقاب، لا يكون وجه لإدراجها في الفقه ـ حسب المستشكل ـ إذ لو إرتأى إدراجهما في الفقه لِصِرف الوجوب غير المستلزم لاستحقاق العقاب، لزمه قبول ما صرنا إليه من أن الوجوب في الأمر الإرشادي غير المستلزم للاستحقاق، هو المسوّغ لاعتباره من مسائل الفقه، فثبت المطلوب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الإطلاق والتقييد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فيه ما ذكرناه في موضع آخر من أن المولوية والإرشادية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الآخوند وليست موضوعاً له ولا مستعملاً فيه ليلزم المحذور ـ فتأمل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فرض الإرشاد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أو مطلقاً، وسيأتي بيانه بإذن الله تعالى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دل على وجوب التفقه تخييراً وما دل على حجية رأي الفقيه لغيره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وجوب التفقه وجريان التقليد في الأحكام الإرشادية والوجوب التخييري للاجتهاد فيها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وحسب الضابط الأول بدعوى أن المولى لا يمكنه إعمال مقام مولويته في مثله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الحكيم رحمه الله في المستمسك، كما فصلنا استدلاله وما يمكن أن يجاب به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 أو عقلاً وشرعاً كما نراه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إنه إنشاء بصيغة إخبار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من يذهب للضابط الخامس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من يذهب للضابط الثاني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الضابط السادس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الضابط الثامن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هي الكراهة والندب والإباحة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الواجب هو ما لزم فعله مع المنع عن الترك وهو مؤدى الأمر بالفعل مع المنع من تركه، وهذا كما ترى شامل للأمر المولوي والأمر الإرشادي الإلزامي كما أن اقتضاء الندب موجود فيهما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فيه من المصلحة الدنيوية أو الأخروية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صرنا إليه من أن الأمر الإرشادي قد يكون مولوياً ـ إرشادياً للإيجاب تارة وللندب أخرى، وأوضحنا عدم التضاد بين العنوانين ـ أي المولوية والإرشادية ـ</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لذاته وبلحاظ عقابه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الإرشادي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لصدوره من الشارع، ولذا ينسب إليه، كالأمر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واجب مولوياً، لكن بدون استحقاق العقاب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مطلوب للشارع طلباً غير إلزامي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واجب إرشادياً، أي واجب بالوجوب الشرعي الإرشادي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مطلوب للشارع، لكن دون أن يوجبه ولا أن يندب إليه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مرشَد إليه شرعاً، فكما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واجب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المحمولات الشرعية،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 إليه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مرشد إليه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المحمولات الشرعية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مطلق الإلزام بمعناه العرفي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الثالث الذي ذهب إليه الشيخ، والقول الخامس الذي ذهبنا إليه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ذلك بوضوح في بعض أوامر الطبيب ـ كأوامره المشددة في علاج بعض الأمراض الخطيرة التي يؤدي تركه إلى الضرر الفادح ـ حيث يراه العرف أمراً إلزامياً ـ وفي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العرف ـ والعقل أيضاً كما فصلناه في محله ـ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إلزامي،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كان إرشادياً إلا أنه إرشاد إلزامي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انطباق 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موارد الأمر الإرشادي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أخص من الفقه إذ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الوضعية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الفقه كما لا يخفى</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علم الفقه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تضمنهما أو استلزمهما،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الفقهي يستلزم التصديق ويتضمن النسبة الحكمية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كليهما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حكمية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الكلام في المأمور به بالأمر الإرشادي بما هو كذلك حتى لو لم يكن من المستقلات العقلية، لا بما هو مما قد حكم به العقل فإنه أخص، إضافة إلى أجنبيته عن جهة البحث فتأمل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موضوعه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المحقق القزويني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 كلمتهم على التصريح بأن موضوع الفقه هو فعل المكلف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على هذا أوضح إذ كل الأوامر والنواهي الإرشادية موضوعها ـ كالمولوية ـ فعل المكلف ـ إلا أن التعريف غير تام بنظرنا لذا أعرضنا عنه صفحاً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بهذه الحيثية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 من حيث الجبر والاختيار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مبحث كلامي،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 ـ كالمعصوم مثلاً ـ من حيث الحجية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مبحث أصولي،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 من حيث تأثره و انفعاله عن أفعال من سبقه أو تأثيره فيما يلحق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مبحث تاريخي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في التعليقة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التكليفية الخمسة بإخراج الوضعية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الدراية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الدقة فإن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عرف الفقه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بالأحكام الشرعية الفرعية عن أدلتها التفصيلية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وغرض هذا العلم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الدقة فإن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عرف الفقه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بالأحكام الشرعية الفرعية عن أدلتها التفصيلية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وغرض هذا العلم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الامتثال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المكلف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ترث الثمن أو الربع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 كذا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يرث</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فكونه محدثاً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حكمها الشرعي الوضعي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وكونها في غير طهر المواقعة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طلاقها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طاهراً مستوراً العورة، وإلا كان من القسم اللاحق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يعد المانع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كونها حائضاً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 الحيض ـ الذي هو مما يرتبط بها وليس صفة لها بناء على أنه نفس خروج الدم لا الحالة الحاصلة ـ</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أشرنا إليه في القسمين الأول والأخير ـ في بعض الأمثلة ـ</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الإشكال وسابقه، مبنائي، لكنه لا يرتبط بجهة البحث في المقام وإنما ذكر إضافة لفائدته المبنائية، لإفادة أن هذا التعريف للموضوع لا يصلح ملاكاً وضابطاً، فلا يضر عدم انطباقه على المقام ـ وهو الأوامر والأحكام الإرشادية ـ</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الحيثية في موضوع علم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 من حيث الحكم الشرعي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شمول التعريف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 ـ كالصلاة مثلاً ـ من حيث الموضوع أي من حيث تحقيق ماهيته وأجزائه وشرائطه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في مباحث الأصول كتاب قاعدة الملازمة وكتاب القطع، ذلك فليراجع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يجري هذا الجواب في تحديد أمثال ما هو الركوع وحدّه ـ فتأمل ولا في التعاريف، ولا في تحديد ماء الكر والأخت الرضاعية والكافر والعادل والفاسق وغير ذلك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المكلف فتارة يبحث عنها من حيث الوجوب والندب فهو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يبحث عنها من حيث معناها وتعريفها وأجزائها وشرائطها وموانعها وقواطعها فهو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نفسه أي من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ماهيته وقد سبق الكلام حوله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الدقة الغرض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الحكم الشرعي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أسطر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الثلاثة أيضاً قد تكون مولوية وقد تكون إرشادية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بحثناه بعض الشيء في مباحث الأصول قاعدة الملازمة فليلاحظ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مرادهم من العلم، الأعم من الظن المعتبر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ونعني بذلك مصاديقها، لا أصل حكمه بالاستصحاب مثلاً فإنه مسألة أصولية، وذلك كاستصحاب حياة زوجها الغائب واستصحاب نجاسة الماء المغلي واستصحاب حكم الحاضر لمن شك إنه تجاوز الحد وحكم المسافر لمن شك إنه وصل البلد وهكذا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ونعني بذلك مصاديقها، لا أصل حكمه بالاستصحاب مثلاً فإنه مسألة أصولية، وذلك كاستصحاب حياة زوجها الغائب واستصحاب نجاسة الماء المغلي واستصحاب حكم الحاضر لمن شك إنه تجاوز الحد وحكم المسافر لمن شك إنه وصل البلد وهكذا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العقل حاكم وليس مدركاً فقط، ومن أنها جعل مماثل، وكونها تأسيساً أو إمضاءً أو غير ذلك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كدائرة الأطباء أو المحامين أو المسؤولين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إن المولوي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تشريعي ومولوي نصحي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طلبه بما هو صديق مثلاً لا مستعلياً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لبعضها قبل قليل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ريب في الحاجة إليه، لدى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نعم ضوابطه ليست بتلك الشدة، كما أشرنا إليه في موضع آخر، وفصلنا كلّيّه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التفسير والتدبر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لكون الإرشاد قسيم الطلب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الإرشاد قسيماً للوجوب والندب دون الطلب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المولوي بالمعنى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يتوهم التناقض، نظراً لأن الحديث عن الإرشادية التي هي قسيم المولوية، لأنها قسيم المولوي بالمعنى الأخص، وقسم من المولوي بالمعنى الأعم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الاستحقاق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بنحو الأصل فيه ومبدئياً ـ كما رفع في الإرشادي ـ وإن أمكن رفعه بالشفاعة والتوبة ونحوها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التقسيم للمولوي والإرشادي، وما يترتب على كل منهما من الآثار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الضابط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وظهور الأمر في أيهما؟ ثم ظهور الإرشادي في الإلزام وعدمه، وليس مصاديقها، فإنها من الفقه كما هو بيّن وسيأتي أيضاً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في مواضع أخرى من هذا الكتاب إلى الأقوال في المسألة وأن الإرشادية والمولوية هل هي صرف دواعي الاستعمال كما هو الحق، أم إنها مما استعمل فيه اللفظ بنحو الاشتراك اللفظي أو غيره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سيأتي بعد قليل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مجعولاً بالاستقلال أو مجعولاً إنتزاعياً، وإرتأى السيد البروجردي أن منه بحث الملازمات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أجبنا عن 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مباحث الأصول ـ فراجع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إنطباق ما سيأتي عليه، وعلى ظهور الأمر الإرشادي في الإلزام وعدمه ـ 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إن مراجعة كتب قدامى الأصوليين تتكفل بإثبات الانطباق؛ فإنها عادة تبحث هذين الموضوعين مما يصدق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 المنطبق على موضوعات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أهملها بعض متأخري الأصوليين أو أشاروا إليها إشارة عابرة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مع المتقدمين كما أوضحناه في مواضع عديدة من هذا الكتاب فليتدبر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المشتق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المنقضي عنه المبدأ أيضاً وهل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كتاب قاعدة الملازمة بين حكمي العقل والشرع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نظراً لالتزامنا مسلك أن المولوية والإرشادية من الدواعي، فلا ظهور للأمر في أي منهما، بل لو كان فللأصل أو القرينة الخاصة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يدفع الإشكال عن صاحب القوانين بأن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الدليلية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مخرج للأغيار إذ يراد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الدليلية على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أن بيان المراد لا يدفع الإيراد، إلا أن يجاب بأن الألف واللام للعهد الذهني؛ إذ يقطع عدم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الدليلية على القضايا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لكن اللازم مع ذلك أن يكون التعريف جامعاً مانعاً، واندفاع الإيراد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لتصريحه بالحكم الشرعي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يستنبط منه الحكم الشرعي من حيث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استنباط الحكم الشرعي فإن الألف واللام للعهد الذكري أو فقل عوض عن المضاف إليه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الأولين ليسا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والأخيرين ليسا حول الحكم من حيث تعلقه بفعل المكلف لتعلقهما بالاعتقاد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كالضحك العارض للإنسان بواسطة التعجب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القطع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ذكرناه تحت عنوان الثاني والثالث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فصلناه في مباحث الأصول كتاب قاعدة ا لملازمة بين حكم العقل وحكم الشرع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كما نقله السيد الوالد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المحقق النائيني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الظهور في الوجوب يعرض أوامر الكتاب والسنة بواسطة أمر أعم؛ إذ لا يعرض أوامر الكتاب والسنة مباشرة، بل يعرضها بواسطة أمر أعم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داخلاً، وهذا على 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غريب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أوضحنا في مباحث الأصول إن الصحيح هو 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الواسطة في العروض مطلقاً، لكن مع إخراج مثل العارض بواسطة أعم خارج كما هو واضح، ليعم العرض الذاتي والغريب باصطلاح الكفاية،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تعميم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يعرض للداخل وإن كان أعم ـ كما هو الحق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ومآلهما واحد، وعلى هذا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في الوجوب عارض لذات أوامر الكتاب والسنة، لا لأمر آخر، وإن كان بواسطة أمر أعم 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 كتاب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مبحث ظهور الأمر في المولوية ثم ظهور الإرشادي منه في الإلزام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مبحث الألفاظ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الأوامر والنواهي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الكتاب والسنة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تقديم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لما صرنا إليه من أن تحديد موضوع كل علم إنما هو بغايته،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 وفي مرحلة الإثبات دالاً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قاعدة الملازمة بين حكم العقل وحكم الشرع، وعلى أي فإن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 الأصول، غير ضار بالمقام، بل يتم الاستدلال به أيضاً، وإن لزم إضافة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يدخل علم الرجال ونظائره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فيحتج المكلف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المولى مثلاً، لرفع الأحكام التكليفية فقط أو والوضعية أيضاً، بالنسبة للمضطر والمكره والجاهل بعد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التسعة، كما يحتج المولى على العبيد مثلاً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 دينك فاحتط لدينك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وبالعلم الإجمالي على الاحتياط في أطراف العلم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بلغت في هذا الكتاب الخمسين أو تجاوزته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أيضاً 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 إذا تبايعتم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استشهدوا شهيدين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أشهدوا ذوي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تداينتم بدين إلى أجل مسمى فاكتبوه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مما عدوا أوامرها إرشادية، فراجع كل تلك العناوين وغيرها في مطاوي الكتاب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كتاب مباحث الأصول كتاب القطع الجزء الأول عند الحديث عن موضوع علم الأصول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 الأربعة بذواتها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 الدليلية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ـ كما ارتضيناه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كتاب الملازمة،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في مكان آخر أن المولوي بالمعنى الأخص قسيم للإرشادي، وأن المولوي بالمعنى الأعم مقسم لهما ـ أي للمولوي بالمعنى الأخص ولأحد قسمي الإرشادي ـ وهو المولوي النصحي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وتعاريفه على المباني المختلفة في موضع آخر فليلاحظ، فإنه على أكثرها 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الله المتعلق بأفعال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المحمولات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بل إن عدم شموله غير ضار؛ لأن ملاك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هو نفسه ملاك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ظهور أن الملاك ليس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الملاك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فعل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مولوياً كان أو إرشادياً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بالمعنى الأخص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المدار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مسؤوليته أمام الشارع، أو من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للشارع قد تعلق به، أو من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العكس ـ أي من حيث الترقي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مباحث الحجج العقلية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الشبهات البدوية فإن الاحتياط عندئذ على فرضه أصل عملي ووظيفة وليس طريقاً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أطراف العلم الإجمالي فإنه طريق لإحراز الواقع ـ فتأمل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فرض 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الأمر الإرشادي، ببركة القرينة، فيبحث عن ظهوره في الوجوب مثلاً، وعن التلازم بينه وبين وجوب 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ذكرنا أن الإرشادي ينقسم إلى الوجوبي والندبي وذكرنا أيضاً فرق الوجوب الإرشادي عن الوجوب المولوي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إما لأنه أحد أصناف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الآخوند فيجري عليه ما جرى علي كلِّيه، أو لأنه أحد المعنيين أو المعاني الحقيقية المستعمل فيها فجرى ذلك كله فيها، أو لأن البحث ـ على القول الثالث ـ في ظهوره المجازي ـ أي بعد القرينة ـ في ماذا؟ بل قد يقال بشمول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اعتبار الفعل في ذمة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الإرشادي، فهو حقيقة فيه لا مجاز؛ إذ لا فرق بين المولوي والإرشادي على مسلك الشيخ من كون الإرشادي للوجوب والندب أيضاً، من حيث كونه اعتباراً للفعل في ذمة المكلف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كالمشترك بلحاظ القول الثالث إذ لا وضع بل هو مجاز لكنه كالمشترك مآلاً ـ فتأمل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أعم من المشتق اللغوي والنحوي كما لا يخفى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دون تجرده عن المصلحة والمفسدة والنفع والضرر ـ وحتى الملزمين منهما ـ كما لا يخفى، بل وكذا من دون التجرد عن إعمال مقام المولوية لما فصلناه في موضع آخر من أن في الإرشادي في الجملة أيضاً نحو إعمالٍ للمقام، وقسمنا الأمر إلى المولوي ـ التشريعي والمولوي ـ النصحي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الواقع وأحكام الشارع، أو عن مراد المتكلم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تقريرات المحقق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كاستحقاق العتاب والملامة فإنه متحقق في مخالفة الإرشادي ـ الوجوبي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ومعانيها العشرة والرأي المنصور في مباحث الأصول ـ كتاب القطع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فبما هو مولى يحكم بالاستلزام، أو إنه مرشد له فقط وكاشف عن الترابط تكويناً؟ راجع للتفصيل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الملازمة بين حكم العقل وحكم الشرع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كان ذو المقدمة مأموراً به بالأمر الإرشادي، بل مطلقاً، فلو أوجب ذو المقدمة فهل تجب المقدمة ـ لو تعلق بها أمر ـ مولوياً أم إرشادياً؟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لمقدمات الحكمة، 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تداينتم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الظاهر أوامر الطبيب، فلو شك في بقاء المرض، فهل يستمر بالعلاج؟ وهو شك في المقتضي، فلو لم يجر الأصل في الموضوع ـ وهو المرض ـ لسبب من الأسباب كتعارض الحالين ومجهوليتهما، فهل يجري في الحكم الإرشادي وهو وجوب العلاج مثلاً، وكذلك لو شك في بقاء الضياء للشك في مقدار الدهن أو للشك في إطفاء الريح ـ كما مثل بنظيره الشيخ قدس سره، فلو شك في بقاء الإضاءة المأمور بها أمراً إرشادياً للشك في المقتضي أو المانع فهل يستصحب موضوع الحكم الإرشادي؟ وهل له استصحاب الحكم الإرشادي؟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شك في أن ما استجد عليه من الحالات رافع لتأثير الدواء السابق ـ مثلاً ومانع عنه أم لا؟ أو شك في وجود المانع من رأس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مجعولاً للمولى لما سبق تفصيله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وموجَد أو مبرَز ـ على الرأيين ـ</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كاستصحاب الشرائع السابقة في أوامرها ونواهيها الإرشادية ـ الوجوبية أو الندبية أو التحريمية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المأمور به بالأمر الإرشادي أو المنهي عنه كذلك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الإرشادية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فصلنا الحديث عن هذين النوعين، في موضع آخر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أعمَلَ إلزامه دون أي لحاظٍ لمقام مولويته بل لاعتبار آخر ـ كأعلميته مثلاً أو رئاسته ـ على خلاف القاعدة فلا وجه لإخراجه بهذا القيد،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 في الإضافة أدنى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يرجع إلى ما ذكرناه من الأدلة في بحث الاجتهاد والتقليد والتفقه، فليراجع وليتأمل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كالأخلاق، وغيره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لا تختص بالضابط بين صنف داخل وآخر داخل، بل تشمل الضابط بين داخل وخارج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أقرب لكونه مسألة أصولية وأوضح وهو المنصور، بأن يبحث بعد القول بأن الحكم الإرشادي خارج عن الفقه، وظهور الأمر فيه في الإلزام وعدمه، خارج عن الأصول ـ عن إن مطلق الأمر هل هو ظاهر في المولوية أم لا؟</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عندئذٍ، فيه مسامحة كما لا يخفى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رفع الحكم الظاهري ملزوم 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العقاب لازم وأثر ومعلول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في مرحلة الظاهر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كونه بياناً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يستلزمه لو قيل برفعه مرتبة الاقتضاء أو الإنشاء، دون ما لو قيل برفعه مرتبة الفعلية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المرفوع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الأصح نقلاً عنه إذ لا يكفي رفع وجوب الاحتياط، دون رفع المؤاخذة وهي مرتبة التنجز ـ وهي الرابعة من مراتب الحكم حسب الآخوند ـ اللهم إلا أن يجمع بين كلاميه بإرادته كليهما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إذا أريد بالموصول الأعم من الحكم والموضوع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الإفطار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يوجب القضاء والكفارة، ووافقه السيد الوالد قدس سره والسيد العم دام ظله في حاشيتهما على العروة، والسادة القمي والكلبايكاني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قد يقال بأن هذا هو المشهور من القاعدة، وإلا فإن أختها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الذم أو العتاب بلا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وترك المستحب كذلك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الإلزامية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المولى بما هو 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لا، بل بما هو صديق؟ أو بما هو ناصح؟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ـ والحال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بالعكس، أي هل يصدر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ناصح بعد الفراغ عن صدوره من المولى بما هو مولى؟ فتأمل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رؤوس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تَظلمون ولا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أشبه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الثاني بترتيبنا ههنا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 بترتيبنا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الأحكام الوضعية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الخامس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ورد في موطن المستقلات العقلية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الأول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من المولى بما هو مولى، معملاً مقام مولويته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بقصد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بحث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فتخير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هو مولوي طريقي أو مولوي نفسي؟ فله مجال آخر، ولعلنا نبحثه وأمثاله في الجزء الثاني، وقد بحثنا بعض نظائره ـ كالتعلم ـ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لمصلحة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للحاظ مصلحة الآخرة في التخيير بين الطرق الموصلة إليها ـ فتأمل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محبوباً للمولى وصدر جهة محبوبيته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محبوبية المؤديات تسري للطرق إليها ـ فتأمل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التعبديات والتوصليات مع تعدد الواقعة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على الحرمة البدوية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عليها، فهو مولوي، وعلى التخيير شرعاً، فإنه مولوي على بعض الضوابط، ولعله يعرف مما سبق ـ فليتدبر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ذكرناه في موضع آخر فليلاحظ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كالموارد التي كان التكليف فيها مظنوناً، لا موهوماً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الثاني للاحتياط بصورتيه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البالغة حد الحرمة أو مجرد الكراهة، وعلى القول ببلوغه حد الحرمة لزم تقييد كلام الآخوند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الراجح إلزاماً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رجحاناً مع المنع من الترك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جرى فيه الاحتمالان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يقال إن حكم العقل ـ على فرضه ـ بمرجوحيته، قرينة على عدم الإطلاق وعدم شموله 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لوضوح أن من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الأهم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 تفويته قبيحاً عقلاً، وممنوعاً عقلاً وشرعاً إلزاماً، بل لعل أكثرها كذلك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المخالفة القطعية ووجوب الموافقة القطعية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الاستدلال عليه في مباحث الأصول بإذن الله تعالى، وأشرنا فيما أشرنا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اجتناب أطراف الشبهة المحصورة، لا يختص بما لو كان كلها مورد الابتلاء أو غير مضطر إليه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الحُسْنُ عقلاً في الجملة لكن ندباً، وكذا يمكن دعوى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واستحبابه، على القول بأن الأمر لمطلق الطلب، أو على الاشتراك اللفظي، أو على القول بكونه للوجوب، والقول بتركبه بل حتى القول ببساطته ودلالته على الوجوب في بعض المراتب بالذات، في بعضها على الاستحباب بالقرينة وفيه ما لا يخفى مبنى وبناءً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ولوجه آخر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بناء على عدم بناء للعقلاء، وحكم للعقل بالاستصحاب في الشك في المقتضي، مع الذهاب إلى شمول أدلة الاستصحاب النقلية له، بأن حكم الشارع بالاستصحاب في الشك في المقتضي ، مولوي، وفي الشك في الرافع، إرشادي، مع قطع النظر عن ورود إشكال استعمال اللفظ في أكثر من معنى وعدمه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قيل بشمول التقلي لها كلها وعدم شمول العقلي لبعضها ، كان الأمر فيها كالسابق عليها في الهامش السابق ـ و قد فصلنا بحث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 ـ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بالمناسبة وتمام الكلام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قيل بشمول النقلي لها كلها وعدم شمول العقلي لبعضها ، كان الأمر فيها كالسابق عليها في الهامش السابق ـ و قد فصلنا بحث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 ـ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بالمناسبة وتمام الكلام 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بصحة إجراء المقلد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الموضوع دون الحكم الكلي، ودون الموضوع الحدسي الذي هو من شأن أهل الخبرة ـ فليلاحظ</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كظهور التعليل في الرواية في كونه تعليلاً بأمر ارتكازي، والاستظهار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للأرشاد ، أو ظهور كون التعليل لحكم مولوي سابق، في كون الحكم بالإبقاء، مولوياً، وغير ذلك من وجوه الطرفين ووجوه النقض والإبرام فيها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الغيرية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الغيرية المحضة، كوضع السلم للصعود، إلقاء الحبل لإنقاذ الغريق، وكقوله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النفسية ـ الغيرية كأوامر الوضوء للصلاة، بل وأوامر الأمر بالمعروف على تفصيل يذكر في محله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على التوسعة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الأولى التمثيل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واستشهدوا شهيدين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الدين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أشهدوا إذا تبايعتم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البيع، نعم بناء على إرادة الأعم من العقود والإيقاعات،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بأس به، والأمر سهل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ناقشنا فيه، في الجملة، في موضع آخر فليلاحظ</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يقيد بما إذا كانت مقدمة موصلة وإلا كان تجرياً فقط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المفسدة في ذيها لا فيها، في استقلاله بالحرمة والمنع كما نشاهد ذلك من أنفسنا بالوجدان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لظهور إعمال المولى مولويته في المنع عن مقدمة الحرام؛ إذ لو كان صرف إرشاد لما كان حراماً نفسياً بل ولا غيرياً فتأمل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إلى جانب من التفصيل في القسم الثاني أيضاً، لكن في الهامش</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إرشادية ومولية النهي عن الضد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المولوية والإرشادية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الوجه دليل مستقل، قسيم لدليل الانسداد ، وما سيأتي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استناداً إلى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المعدود من مقدمات دليل الانسداد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بعض الروايات 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أجنبية عن المقام، اللهم إلا أن يقال بأنه تفسير بالأجلى والأخص، إذ مطلق الظن ـ بل الاحتمال بأنهم يبعثون ـ يكفي في منعهم من التطفيف ، فكأن الله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 لا يوقنون بذلك فرضاً لكن ألا يظنون؟ ـ والله العالم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تفصيل ؛ حيث أشكل الآخوند في إمكان قيام قاعدة الملازمة في المقام على ذلك ، وقد تطرقنا لكلامه والجواب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 ـ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بحثنا الكلي الذي استند إليه وجوابه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الملازمة بين حكم الشرع و حكم العقل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والفرض أن دليل الشارع على حجية هذا الظن لم يُفِد علماً ، ولم يكن علمياً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كمبنى أن كل ما استقل العقل به ، فإن ما يرد من الشرع حوله فهو إرشادي، وتفصيل ذلك وغيره يلاحظ في مبحث الضوابط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لما أجملناه قبل قليل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دل عليه بخصوصه، وإن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الانسدادي، ولا نقصد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الانفتاح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والأولان دليلان لدفع الضرر والأخير دليل دفع الضرر المظنون، فإن التصريح مبني على ضرورة حكم العقل بلزوم دفعه بناء على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بمعنى الراجح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 ومن العلم، وبناء على انسداد باب العلم بالمعاد، وإلا لما تم الاستدلال بالآية على حجية الظن في صورة الانسداد، لكنه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سيكون أولى عندئذٍ</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ما لا يترتب على مخالفته شيء، زائداً على ما في متعلقه ـ فعلاً أو تركاً ـ من الضرر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في كتاب الإيضاح باب الرهن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وجهه بعد قليل بإذن الله تعالى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إمكان القول بإرشاديته من جهة أخرى أو كونه إخباراً، نظراً لتعدد الرواية، فإن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مراراً عديدة من رسول الله صلى الله عليه وآله، بعضها بدون قيد وبعضها بقيد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كلي ذلك ضمن بيان قاعدة اللطف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وقوع المنهي عنه، فلو أخبر المولى بعدم وقوعه جزماً ـ رغم علمنا بوقوعه وعلمه ـ كشف أنه يريد عدم وقوعه ورؤية الكون خالياً منه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 فيه ثوم مثلاً في داره مما يضر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يصح القول أنه مما يستقل العقل بحرمته لأنه اضرار بالغير؟ فتأمل إذ لعله من تزاحم الحقين لا من باب عدم استقلال العقل بحرمة هذا الإيذاء، وتفصيله يطلب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على الضابط الأول وهو المنصور، هو مولوي في الأصل والحدود، لصدروه من المولى بما هو مولى، ولا يضر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استقل به العقل في كونه مولوياً، كما فصلناه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المعنى من حيث المورد أخص مطلقاً من المعنى الذي ذهب إليه الشيخ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بجعله حكماً وهو مفاد كلام الشيخ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مفاد كلام الشيخ الشريعة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كونه بما هو مولى ، قد أجاز و أمضى، بل لعل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المولوية واستخدامها في الإرشاد مجاز، ولو بلحاظ استلزامه للإمضاء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الرأي المنصور من كون ااإنشاء هو إيجاد الاعتبار والمنشأ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الموجَد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 المبرَز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كأخ ابن العم، من أمه أو ابن خال ابن العم مثلاً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الولاية على البكر في الزواج على القول بها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للدنيوية والأخروية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ظاهره المولوي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المولوي النصحي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وإنه ما أمر به المولى معملاً مقام مولويته، وليس الضابط كونه من غير المستقلات العقلية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فرض اتحاده مع مصاديقه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إتيان الخير ـ كالصلاة وإطعام اليتيم ـ واجباً، وتكون المسارعة إليه، مستحبة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الإسراء،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أخذاً وعطاءً وصرفاً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تبذيراً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لشموله لما لو جهر بالسوء بحضرته، وكذا شموله للسباب وسيأتي تفصيله في المتن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تكون تلك الأمور ولا يصدق الإفساد في الأرض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جرح وسرقة وتخريب وقتل وما أشبه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يحمل حمل غيره، بل يحمل حمل نفسه، وغيره حامل أوزاره فتدبر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لمصلحة حقيقية، أو متوهمة، أو حتى بلا مصلحة؛ لأنه حقه فله اسقاطه إلا في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العرض وماء الوجه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إذلال النفس في الجملة ـ مثلاً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 شورى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احتمال فصلناه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إليه في هذا الكتاب عند البحث عن هذه الآية الشريفة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يستشكل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وصفهم الإمام بالكفر والشرك في وقت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تحدثنا عن دليل الأسوة بعض الشيء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نظيره أو ما يقرب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بيان الفقه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الاستغناء عن الناس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فضل التجارة والمواظبة عليها،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كراهة التعرض لما لا يطيق،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باستحباب أن يقوم بالحرث بيده أحياناً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واجبات كفائية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المراتب والخصوصيات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كونها معللة في الروايات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التطرق لكلام السيد الحكيم حول إرشادية أمر التوبة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 فضل التجارة والمواظبة عليها،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 مصداقاً للالتماس من فضل الله تعالى، كالتجارة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محبوباً للمولى وقد صدر لجهة محبوبيته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المكاسب المحرمة،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كانت المصلحة معلومة للمأمور قبل الأمر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عادت المصلحة للمأمور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أنشأ بلحاظ مصلحة الدنيا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كالتاسع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كتاب المعيشة، باب ما يجب من الإقتداء بالأئمة عليهم السلام في التعرض للزرق،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المطلوبية، لازم لكونه خيراً أي لازم لما تضمنه هذا الأخبار، فهنا نوع استخدام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القسم أعم مما سبقه إلا أنه أفرد بالذكر لأهميته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المخالطة بالزواج، أو بالمباحثة للدروس، أو الشراكة التجارية، وغيرها أو غير ذلك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أخذاً وعطاءً وصرفاً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 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 أبو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والجنة في الآخرة والمعاش وحسن الخلق في الدنيا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أخذاً وعطاءً وصرفاً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 قدس سره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موضوعياً ونفسياً بلحاظه هو، غيرياً وطريقياً، بلحاظ أن عزة كل مؤمن تسهم في عزة سائر المؤمنين فهي طريق ومقدمة أيضاً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بهذا السند في 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المعيشة، باب فضل التجارة والمواظبة عليها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كبذل مال لحماية نسائه من الاختطاف، أو من الانجراف للفساد والإنحراف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تحصين العرض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انصراف أدلة لزوم حفظ العرض عن القليل من ماء الوجه وشبهه، لا 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حاجة له بعد كونه مقدمة المستحب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حصنوا الأعراض بالأموال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 الأعراض وتحصينها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مرتّب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السعادة والتقدم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بين كل من الأولين وهذا الأخير وهو الإزدهار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اختلاف النسبة باختلاف الجهات أو المضاف إليه، ومع الاتحاد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الأول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وبين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ـ فتأمل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مما يسبب السعادة الدنيوية والأخروية ويربي على النظم، ويسبب التقدم والإزدهار ـ بنحو المقتضي ـ</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أهم أسباب التقدم والسعادة، كما أن الالتزام بالأدعية في أوقاتها من عوامل تنظيم حياة الإنسان وتعويده على النظام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موضع آخر الخلاف في استحقاق العقاب على  المقدمة المفوِّتة أو الثواب على الموصلة، أو عدمه كما  هو رأي الآخوند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وصيته للحسن والحسين عليهم السلام لما ضرب ابن ملجم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الكلمة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اتحاد الوصية مع تلك المداليل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أطلقت الوصية على نفس تلك المدلولات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أوْله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بتقوى الله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على إرادة نظير عطف البيان يكون المراد كقولك ولقد وصينا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وصيتنا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اتقوا الله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نفردات غريب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كالنظم في أمر يسير كتنظيم سطح المكتب الشخصي مثلاً، أو تنظيم غرفة الجلوس فرضاً، فإنه مندوب وليس بواجب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دبر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كمعيشة الغاصب أو الحاكم الجائر أو معيشة من يتكسب بالحرام كبيع الأصنام أو الغناء أو بيع السلاح لأعداء الدين، فإن التدبير لها محرم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أي فرض وأوجب عليكم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نقلاً عن علل الشرائع وعيون الأخبار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الفقه الدولة الإسلامية والفقه الحقوق والفقه القانون وغيرها للسيد الوالد قدس سره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مادة هجران الناشزة، ولا يخفى أنه قدس سره استخدم الإرشاد بالمعنى الأعم من المولوي، بقرينة مقابلته للواجب، فيصلح لإرادة المستحب ـ فتأمل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ترك المستحب، مكروه، أو لقرينة تناسب الحكم والموضوع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والمبرِّح ما يوجب المشقة والشدة، 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البيان في تفسير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كان ـ أي النشوز ـ من المرأة فهو أن لا تطيعه في فراشه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ضربها ظلماً، فامتنعت من الاستفراش أو خرجت من منزله ـ فتأمل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للمالك تصرفات لا تحق لمن له صِرف الاختصاص، كالبيع وشبهه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جعل الملكية لهم، ابتداءً أو إمضاءً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المعاملات من أهم ما يتوخى ويراد من الأموال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الناهية فيقال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تَظلِموا ولا تُظلَموا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الطلب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وجهه في موضع آخر من الكتاب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تقتلوا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المسلك والضابط الثاني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الخامس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السادس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السابع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الثامن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الردع عن أكل أموال الناس بالباطل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المولوية والإرشادية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كل مأمور يعلم بوجه المصلحة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يلزم كونها كلها إرشادية لكونها بأجمعها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معلومة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والتالي بين البطلان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بحث ذلك السيد الوالد في موسوعة الفقه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كما أشرنا له في بعض مباحث هذا الكتاب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إرشادياً، بل ليس حتى مولوياً نصحياً ولذا يستحق على خلافه العقاب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يدعى أنه ظاهر الخطاب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يدعى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قيام شؤون دنياهم وآخرتهم، وإيتاء المال لشارب الخمر وسائر العصاة،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شؤون الآخرة بل الدنيا أيضاً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هذا الضابط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عقاب عليه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يجاب عن الأول باستقلال العقل بالحرمة أيضاً، وبأن الاستقلال بالقبح ملازم للحكم بالحرمة كما ذكروه، وبأن استقلاله بالقبح كاف في لزوم محاذير اللغوية وشبهها التي ذكروها ـ فتأمل، وعن الثاني بأن ظاهر الآية استحقاق العقاب على مخالفة أمره ونهيه ـ فتأمل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يستقل العقل بقبح الكنز ذاتاً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دراسة فقهية أصولية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فصل بيان ذلك السيد الوالد قدس سره في العديد من كتبه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الشخصية كحفظ مؤمن من الهلاك، والنوعية كما سبق من مثال اختلال اقتصاد البلد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معناه أيضا عنه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مال يؤدي زكاته فليس بكنز، وإن كان تحت سبع أرضين، وكل مال لا تؤدي زكاته فهو كنز وإن كان فوق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حصة من أمر الإطاعة أو نوع منه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ويجري في الضابط الثاني والثالث ما ذكرناه عند الحديث عن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 عنهم إصرهم والأغلال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يحتج بعدم لزوم الفسق على عدم الحرمة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كتاب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المكاسب المحرمة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أحكام الحائض،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الطبعة المحشاة بحواشي خمسة من المراجع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 بتعليقات خمسة عشر علماً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 بتعليقات خمسةٍ من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الإخبار، وإن استلزم الإرشاد فإنه ليس إنشاءً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بأنهم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الإنشاء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البيع وحرم الربا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المعاطاة، لدى الاستدلال بآية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التاسعة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ما يجب من الاقتداء بالأئمة في التعرض للرزق،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الطلب والتعرض للرزق،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إصلاح المال،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مثلاً إغلاق صنبور الماء عند الوضوء في الفواصل، أي عند كل غسل لعضو، فإنه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للمال، ومنه عدم رمي الفاكهة وعلى النوى بقايا، كما ورد في روايات أخرى أيضاً، ومنه عدم إسراف الشركات أو الدولة في الضيافات وفي تكاليف الاستقبال الرسمي وغيره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من كد على عياله،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كالإشارة فإنها قد تكون إرشادية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مولوية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افعل كذا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إصر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الأعراف، 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كجرح الرجل نفسه إذا أذنب، وتحريم الشحوم وشبههما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رفع مولوي تشريعي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جعل تكويني، صادر من المولى بما هو مكون لا بما هو مشرع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كلاحقه، كسابقهما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يتكون من تكوين وتشريع، فالأول شِقُّه الأول، والثاني شِقُّه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إنه يتضمن التكوين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التحريم والحرمان، توبة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صدر من المولى معملاً مقام مولويته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في مقام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محبوباً للمولى وقد صدر لمحبوبيته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أنشأ بلحاظ مصلحة الآخرة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أول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يشجعه بنفس القدر ويعطيه ثقة بنفسه، ويزيد مكانته واحترامه لدى الناس أو حتى لدى جماعته هو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تركنوا إلى الذين ظلموا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على التقارير الصادرة من مراكزهم حول أوضاع البلاد، ودعاواهم بالاستقلال وخدمة الناس وغير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وإطلاقه شامل ـ وملاكه ـ حتى لأفعالهم الصحيحة، فإن الرضا بالفعل من الفاعل الغاصب الظالم لا يخلو من تأييده أو الرضا بذاته ولو بدرجة ما ـ أي الرضا بالفاعل من حيث صدور هذا الفعل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التزاور معهم والمشاركة معهم في ندواتهم ومؤتمراتهم وغيرها، مجمع البحرين مادة ركن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عدا المستقلات العقلية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القرآن ـ سورة الشورى ـ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الكلمات القصار،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بيان الطلب في قالب المدح والثناء أو في قالب الإخبار، قد يكون أوقع في النفوس وأشد تأثيراً كما أنه أشد بلاغة، فلعل الآية الشريفة كذلك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دفع الإشكال الذي قد يورد على كون بعض ما في السياق مستحباً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رجحت الشورى في الشؤون الخطيرة، وجبت، لا مطلقاً، وكذا مناسبة الحكم والموضوع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 الفقهاء دراسة فقهية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عند الله خير وأبقى للذين آمنوا وعلى ربهم يتوكلون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تتوقف صحة أو صدق الكلام عليه، وفي المقام فإن صحة مدح المؤمنين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 شورى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متوقفة على مطلوبية الشورى للشارع، في رتبة سابقة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محبوباً للمولى وقد صدر لجهة محبوبيته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 الأمر المولوي هو ما كان في غير موطن المستقلات العقلية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 أو مفعال أو 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كثرةٍ عن فاعل، بديلُ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علي بن إبراهيم القمي عن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للمؤمن على المؤمن سبع حقوق، فأوجبها أن يقول الرجل حقاً وإن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توجد في الإنسان أربع حقائق وجواهر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الجسم والنفس والروح والعقل كما فصلنا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 الكلية لضمان الإصابة في الأحكام العقلية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كالضابط الثاني والرابع والسادس، على مناقشة صغروية في انطباق بعضها على كل روايات المقام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تأديب 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الطب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سافروا تصحوا، وجاهدوا تغنموا، وحجوا تستغنوا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الصحة والمنافع الاقتصادية والاجتماعية وغيرها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الصحة معلول للصوم وللسفر وللحج ثبوتاً، وهي علة أو حكمة لتشريع وجوب بعضها، إثباتاً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شطن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الحلم،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والأصول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المولوي ما يترتب عليه الثواب والعقاب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الحلم،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الفقه كتاب 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النقي من حسن باطنه، والتقي من حسن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انتهى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يراد به كونه مختاراً أي مصطفى إذ من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التداوي بتربة مولانا وسيدنا أبي عبد الله الحسين عليه السلام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التداوي بالأسباب الطبيعية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التداوي بالأسباب الغيبية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التداوي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نفسياً، تعبدياً، مقصوداً لذاته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مكارم الأخلاق في معالجة المريض</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معراج رسول الله صلى الله عليه وآله سورة الإسراء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ناقلاً عن الفروع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ككيفية الأكل والشرب ـ عملاً أو نية ـ ووقتهما وغير ذلك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يستفاد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المولوي للنوع أو ذي الخصوصية،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 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مولوياً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أيضاً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يهدئ من الغريزة الجنسية، وذلك مسلّم في بعض أنواعه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خصوصيات المفسِّر للمفسَّر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ناقلاً عن الفروع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ناقلاً عن المحاسن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بتصرف وإضافة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أكل الرمان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الزجر المقترن بالتخويف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سلب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زجر فيها ولا تخويف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قيدي الزجر والتخويف، وإن كان موردها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عن رسول الله صلى الله عليه وآله في خطبته بمسجد الخيف برواية صحيحة السند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مما فيه صلاح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إن المولوي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ـ تشريعي ومولوي ـ نصحي، والفارق ليس في الوجوب إذ كلاهما واجب، بل في استحقاق العقاب وعدمه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المعاني الأربعة في فقه التعاون على البر والتقوى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ونضيف قيداً آخر لضابط الأمر المولوي المعهود عندهم أي ما سميناه بالأمر المولوي بالمعنى الأخص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في مقام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في مقام الإلزام بما يعتبره مستحقاً للعقاب بالمخالفة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ملاحظاَ أن خلافه هتك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أننا نرى أن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صدر من مقام المولى بما هو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آخر وهو كونه بما هو مولى في مقام النصح، إذ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ينصح ملزماً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مولى لكن لا يلاحظ كون الخلاف هتكاً له ولا يعتبر استحقاق العقاب على المخالفة، بل يلاحظ صرف مصلحة الواقع الإلزامية وأن مقامه يقتضي إلزامه ناصحاً وسيأتي مزيد إيضاح له بإذن الله تعالى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الغير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تشهياً أو عبثاً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الاستحقاق بحكم العقل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إيساغوجي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ينتزع من حاق ذات الشيء، وليس مما يستحيل انفكاكه عنه، ومما وضعه بوضعه ورفعه برفعه ـ 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فتأمل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قيد توضيحي لا احترازي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غلبت المصلحة الدنيوية، الأخروية، أم العكس، في لحاظ الآمر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راجع للمتعلق لا للآمر، أي في حد ذاته وبعنوانه الأولي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محبوباً له بعنوان ثانوي عارض</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يتصور ذلك مع تعدد الجهة بأن كان مبغوضاً له من جهة، وقد نصح به، لجهة أخرى لاحظها ولعل من مصاديقه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الميرزا الشيرازي، وبذلك يظهر اجتماع المولوي مع المبغوضية أيضاً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أوامر الناصح والواعظ، كالطبيب إذا أمر بدواء، أو الخطيب إذا أمر ـ ناصحاً ـ بعمل أو نهى ـ بما هو ناصح ـ عن معصية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عنوان مشير للفائدة والمصلحة في متن الواقع أو للضرر والمفسدة فيما نهى عنه، في حاق الواقع، بلا بعث ولا زجر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 بلحاظ أنه بعد الالتزام بأن الإرشاد والنصح يتضمن بعثاً حقيقياً، يلتزم بأن منه ما هو للإيجاب، إذ البعث قد يكون له أو للندب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القسم الأول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الأقسام الثلاثة الآنفة التي ندعي أن النصح فيها قد يكون إلزامياً وقد يكون ندبياً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كليهما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المولى يقول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بما أنا مولى آمرك بأن تفعل ما هو لمصلحتك الشخصية وأوجب ذلك عليك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الأدق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العقل يرى للمولى سلطة النصح كما يراها لبعض آخر غيره، ولا يراها لكل أحد، إذ لا يراها للجاهل العالم بجهله بل للجاهل المركب وإن تصور أنها 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أكثر بتفريعات بعضها، كانقسام الثاني والرابع إلى الإيجاب والندب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بذلك مع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مشرع، أي بما هو ذا سلطة للتشريع، أي بلحاظ أن خلافه هتك له، أي بلحاظ أنه يريد ترتيب استحقاق العقاب على الخلاف وبعبارة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بمعناه الأخص، لأن القسم الآتي حسب ما أوضحناه مولوي أيضاً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أيضاً يصح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مولى مولوياً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ويراد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 أي لا بلحاظ الهتك والمشرَعية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أنشأ لمصلحة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الداعي، إلا لو أراد القائل التعميم للسبب والداعي ـ فتأمل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مخالفته للفهم العرفي، وللسياق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عدم جواز ترك الدنيا التي لابد منها للآخرة،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المصلحة القريبة لسقيها، دنيوية، وهي الملاك، وإن كانت المصلحة البعيدة أخروية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التمامية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الملاك، فلو كان محط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الدنيوية مندكة فيها وإن كانت قريبة، وبالعكس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لكون المصلحة فيه أخروية، مع أن المفروض أو المسلم به ـ عند بعضهم ـ أنه أمر إرشادي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 طبيعي وهو متحد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مولوياً لكون مصلحته أخروية،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لإتحاده معه، فكيف يفرق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مولياً، دونه؟</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باب إتحاد الكلي الطبيعي مع مصاديقه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مصداقه، بل مصداق متعلَّقه، أي مفعوله فقولك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وهو متعلَّق ومفعول أطع ـ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نقول بالكلي الطبيعي أصلاً نظراً لكونه من فروع القول بأصالة الماهية، كما فصلناه في فقه التعاون على البر والتقوى فليلاحظ</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المصلحة لذاته أو بالعرض</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يتحقق به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بعينها، يتحقق به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هذا الجواب إلى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الإطاعة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 متعلقه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كأقم الصلاة، كان إرشادياً وما كان متعلقه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كاشرب الدواء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مورده أي لو قال لاحقاً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أمري باشرب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يمكن كونه مولوياً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المعلوم أن الإرشاد قد يقع بطريق الحتم، وقد يقع على غير وجه 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حاجة للتقييد بصورة الالتزام بكون الإرشاد للوجوب، إذ يتم حتى على القول بأن لا إلزام فيه، بل صرف ندب، نعم أمر الإطاعة المتوجه إليه على هذا لا يكون إلا ندبياً نظراً لعدم زيادة الفرع على الأصل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خصوص الأوامر المولوية مما كان متعلقاً 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أوامر الإطاعة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إرشادية إذن على هذا الضابط، ولا يلزم النقض</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يسقط من أعين الناس مثلاً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حاجة للاستدلال على مولوية أمر غسل الجمعة ـ سواء قبلنا بكونه للندب كما هو المشهور أم للوجوب كما وردت به رواية صحيحة وإن كان معرضاً عنها ـ لأن مبنى المشهور على مولويته، كما هو مبنى كلا طرفي النقاش</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أوامرها بلحاظ مصالحها وحِكمها الدنيوية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السفر والنظافة والملابس، أبواب السواك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السفر والنظافة والملابس، أبواب السواك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الأخروية،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الدنيوية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العمل بما سنّوه وإن كان أمراً دنيوياً إلا أن الالتزام به نظراً لأنهم سنوه وبلحاظ انتسابه لهم، يعد مما يثاب عليه الشخص، ومن المصالح الأخروية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السفر والنظافة والملابس، أبواب السواك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اجتماع المولوية والإرشادية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صدوره من المولى بما هو مولى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كانت مصلحته أخروية ـ دنيوية في عرض الآخر، وما كانت المصلحتان في طول الآخر والأخروية هي القريبة والدنيوية البعيدة، أو العكس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تمحض في الدنيوية، فإنه على هذا الضابط لابد من القول بإرشاديته، دون ما لو قيل بما ذهبنا إليه من الضابط، فإنه عليه يمكن مولويته أيضاً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كان المراد به المعنوي دون شك، وإن كان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اللابشرط</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ويوضحه قولك فلان طوع أمر فلان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المولوية ومصلحة الآخرة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رائحة الآباط</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الأشعري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الأمر لمصلحة أجنبية عن المكلف تماماً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فما بين القوسين هو مختاره قدس سره، وما أضفناه إن وافق رأيه فبها، وإلا كان تفصيلاً جديداً فليلاحظ</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المحقق الرشتي لا يقصد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النصح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لناقض التزامه بإمكان اجتماع الجهتين ـ فتأمل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يدعي التلازم، لكنه لا ينفعه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الترجح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أيضاً إن قصد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مما كان من جهة المريد والإرادة فتدبر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المحبوبية الأعم من كونها ذاتاً أو لطارئ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فإن النسبة مع المحبوبية الذاتية، هي العموم من وجه كما لا يخفى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محبوباً بعنوانه الأولى أم بعنوانه الثانوي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أرجع المبغوض في نفسه إلى المحبوب بالمآل فينقسم إلى المحبوب في نفسه والمحبوب لطارئ</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صدر من المولى لمحبوبيته وبلحاظها لكنه لم يعمل مقام المولوية لم يستحق العقاب على المخالفة، وإن استحق العتاب إذ العتاب يترتب على مخالفة النصح مطلقاً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كأوامر الامتحان، فإنها لا محبوبية لمتعلقها، للمولى، كما لم تسق لأجل النصح، وكأوامر التهديد وغيرها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إعمال مقام المولوي أحد تلك المحاذير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 هو ما صدر عن المولى معملاً مقام مولويته شرط أن لا يلزم منه أحد المحاذير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بان لك أنه ليس ضابطاً بل تتمة لأحد الضوابط وقيد له لا غير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تعدد استحقاق العقاب، أو تعدده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لزم، إلا أنه لا بأس به، ولنا أن نلتزم به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هناك وجهاً لعدم لزوم هذا المحذور أيضاً، فالنقاش في هذا المحذور صغروي وكبروي، أي إنه ليس بمحذور، وإذا كان محذوراً فليس بلازم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يستبعد الالتزام بالإطلاق إذ لا ريب في وجود إرشاديات في ما عدا المستقلات العقلية، كموارد النصح، فالظاهر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المتحتم من هذا القول ويراد به بالقياس للمستقلات ومن هذه الجهة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أواخرها ـ بتصرف بسيط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الصفحة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فضل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المصلحة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المأمور موجود قبل الأمر نظراً لعلمه بالمصلحة، فإيجاد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 بالأمر، تحصيل للحاصل، وإن لم يوجده الأمر، كان لغواً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المصلحة، أو حاملها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المصلحة للمأمور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المحقق الرشتي في بدائع الأفكار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الاحتمال الأول في تفسيره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المأمور بالمصلحة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والمعرفة،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إلى الشيء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ظاهر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تعبدي فهو مولوي،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الإشكال على الحصر وعلى عقد السلب،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النواهي المولوية لا يشترط فيها قصد القربة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ظاهره الالتزام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توصلي فهو إرشادي، لا غير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أعم مما نقضنا عليه، أو مباين لو قصد خصوص أوامر الشارع التوصلية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كأمره مثلاً بتقسيم الإرث، وبالدفاع عن المظلوم، وبتسليم الثمن أو المثمن للبائع أو المشتري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المولوي، للنهي المولوي مع أنه ليس تعبدياً كما سبق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تعبدي وليس مولوياً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يوجد إرشادي وليس توصلياً كما لو أمره ناصحاً بالعبادات فتأمل؛ إذ يصح القول أنه توصلي إذ لا يشترط فيه قصد القربة وإن اشترط في الأمر الأول وسيأتي وجهه، كما يوجد توصلي وليس إرشادياً كما لو أمره مولوياً بنزح البئر أو أداء الدين أو ما أشبه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المقابلة هنا هي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مندكة في مصلحة المأمور، وطولية، ومقصوده بالعرض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مصلحة نفسية له مثلاً والعياذ بالله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ببيان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من هذا التعديل والتعميم، عدم وجود أمر إرشادي أبداً؛ لانطباق ضابط المولوي على أمر الصديق وعلى أمر المولى ناصحاً، لأنه مما أمر به محبه 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تلازم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مخالفته أو موافقته بما هو، أي في حد ذاته، مع قطع النظر عن الرافع</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المترتب على الموافقة والمخالفة بما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استحقاقهما،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يرشدكم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في هذين الهامشين نص الكلمة كما وردت في القرآن الكريم أو السنة المطهرة ـ فراجع ذلك البحث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الإرشادي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عن المبدأ والمعاد وأحوالهما ومنها استحقاق العقاب بمخالفته تعالى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أو المعرفة أو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غرض العلوم، وإلا كان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ومآله لتحصيلها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الحكم الشرعي أو على المكلف وعلى مولاه، كما أوضحناه في فصل آخر، وعلى أي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طولي؛ ولذا صح أن يقال الهدف من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 اللسان عن الخطأ في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غرض الغرض، وأن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كيفية صون اللسان من الخطأ في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الغرض القريب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يدرجا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يستحق عليه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أيضاً فيدخل، إلا أن يقيد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كان من شأنه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القبول بما صرنا إليه من أعمية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المولوي والإرشادي فتأمل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بالإجمال والتفصيل لا غير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مبنانا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مبناه إذا كان ما لاحظه الشارع في ذلك هو مصلحة الآخرة لعبيده، وهذا لا شك فيه في بعض الأحكام الوضعية على الأقل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لخروجه عن المبنى وللخلط في بعض الصور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مبنائي كما لا يخفى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كل ما ليس محبوباً للمولى، فإن مخالفة أمره لا توجب استحقاق العقاب إلا أن يعمم كما سبق للمحبوب حتى بعد الكسر والانكسار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الإيجاب نصحاً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الإيجاب مولوياً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شرعي بالمعنى الأخص،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للفعل أو الترك، كما أن مفاد الأمر الإرشادي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مفاد الأمر المولوي وقد فصلناه في مكان آخر فليلاحظ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كان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 العقاب وعدمه،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نستثنِ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هناك، بالقول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مسلك الشيخ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بالاستحباب والكراهة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أنشأ بلحاظ مصلحة الآخرة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الضابط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الغرض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خصوص التكليفية الخمسة أو الإلزام ـ مع الالتزام بعدم وجوده في الإرشاد ـ</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الشامل للحكم الوضعي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لإنطباق الغرض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الله المتعلق بأفعال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الإرشادي أيضاً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في بعضها، الضابط أعم، فلاحظ</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تقسيم الأوامر والنواهي إلى المولوية والإرشادية، ومعرفة أي نوع هي؟</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يستحق عليه الثواب 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الحكم الشرعي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كعلم الأصول وعلم الكلام وعلم الدراية وعلم الرجال وعلم التاريخ والسيرة والتفسير وغير ذلك</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بالغرض</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لو كان الغرض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قطع النظر عن كونها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الأوامر المولوية والإرشادية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ومثلها النواهي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كغسل اليد من النجاسة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للكثير منها في مطاوي هذا الكتاب، وربما بلغت الخمسين حكماً من الأحكام التي استقل بها العقل أو أكثر، وهي بأجمعها من أهم الأحكام على الإطلاق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جميعاً مما حسّنه العقل أو قبّحه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جامع محمولي اعتباري او انتزاعي وليس موضوعياً فهو كالقول بأن كل الأحكام الشرعية يجمعها جامع واحد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 أو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يقتضي إندراج موضوعاتها تحت جامع جنسي واحد إلا على القول الباطل من تعميم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لا يصدر منه إلا الواحد ولا يؤثر إلا في الواحد، وإن وحدة المحمول تكشف عن وحدة الموضوع الذاتية ـ فتأمل، نعم قد يقال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ثبوتاً ذاتياً لكل ما حسنه أو قبحه العقل، بذاتي باب البرهان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ككثير من الأوامر والنواهي والأحكام، الواردة في الشؤون الاقتصادية والمالية والتجارية، وككثير من الأوامر والنواهي والأحكام الواردة في الشؤون الطبية والصحية، وككثير من الأوامر والنواهي والأحكام، الواردة في الشؤون الشخصية والمعاشية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الحديث عن هذه الاحتمالات الأربعة في موضع آخر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خصوص ما كان في أطراف العلم الإجمالي، أو كان من قبيل العنوان والمحصل، أما غيرهما فهو مندوب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أواخر الجزء السادس في الطبعة  الأولى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الأغلب في تشريعات الشارع لحاظ مصلحة الآخرة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شأن الشارع بما هو شارع شؤون الآخرة ـ وقد ناقشنا ذلك في موضع آخر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إنما هو في حسنه الذاتي أو تبعاً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والنهي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الاحتياط</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متعلقات الأحكام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الاحتياط ذا مصلحة أو مفسدة، وذلك بناء على المصلحة السلوكية فيه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محذور تعدد العقاب، فإنه لو كان أمر الاحتياط مولوياً، لزم عقابان على مخالفة الواقع بعدم الاحتياط في الوصول إليه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لزوم ترتب عقابين حتى لو كان الأمر مولوياً،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بالالتزام بترتب عقابين، ولا محذور فيه، إلا توهم الإجماع أو الضرورة وقد أجبنا عنها هنالك</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تعبدي مولوي، وكل توصلي إرشادي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لنفس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أحتط لدينك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 المولى العرفي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بالاحتياط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الأحكام الوضعية إضافة للتكليفية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يكون بإخباره منشِأ وقد يكون مرشداً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للأخيرين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على القول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نفياً أريد به النهي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رفث ولا فسوق ولا جدال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شيخ الشريعة الأصفهاني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للمطلِقين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قتل الغير، في الحكم الفطري بوجوب دفع الضرر البالغ، إما لكون حكم الفطرة أعم من دفع الضرر البالغ عن النفس أو الغير، وإما لعودة ضرر قتل الغير إلى النفس، دنيا أو أخرى أو دنيا وأخرى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صرنا إلى إمكان إجتماع الأحكام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عقلي وعقلائي وشرعي وفطري، لوجود ملاكها بأجمعها فيه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المضرة وجلب المنفعة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الحديث عن ذلك السيد الوالد قدس سره في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التخلي في الطريق النافذ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الجلوس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فراجع الجواهر وفقه الصادق والفقه، وقد أفرز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خاصاً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لإختلاف المبنى؛ إذ إننا نرى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حكم به العقلاء بما هم 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واقع وراء حكمهم ويشهد له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هم 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العقل نور كاشف، ويرى البعض كالشيخ المظفر قدس سره إن المشهورات بالمعنى الأخص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حكم به العقلاء بما هم 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واقع وراءه إلا تطابقهم، وعدّ منه العدل، فراجع أصول الفقه والمنطق، وقد ناقشنا رأيه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ارتأوا 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بطلانه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ـ مباحث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كدعوى أن حسن العدل وقبح الظلم، من هذا الباب أي من المشهورات بالمعنى الأخص من قسم التأديبات الصلاحية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كدعوى أن حسن الشجاعة والكرم وقبح ضدهما، من هذا الباب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كدعوى أن الرحمة والشفقة من هذا الباب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الحديث عن ذلك كله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ـ مباحث القطع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مرتبة واجب، وفي أخرى، مستحب، وفي مرتبة أصل وفي مرتبة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كالمعرفة والإيمان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تعاريف العلوم وتعاريف الموضوع نفسه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عبادة الله، والإخلاص له في العبادة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المستقل العقلي هو أصل العبادة لا خصوصياتها وكيفياتها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يحكم بحسنهما وكذلك بوجوبهما، وكذلك الفطرة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كالضابط الرابع والخامس</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كالضابط السادس في الجملة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الأخروية والدنيوية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الرابعة، من دار الكتب الإسلامية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الأولان بلحاظ عمل الفقيه، والأخيران بلحاظ ما يلحظه من عمل سائر الفقهاء وربما أعيد الثاني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إلغاء الخصوصية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كحفظ حرمة المؤمن من أن تهتك وماء وجهه وكرامته من أن تراق، كما لو أشاع الفاسق إشاعة سيئة عن مؤمن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أن النصح والإرشاد، يناسب أيضاً كون الخطاب للمؤمنين لكن المولوية 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أن الخطاب إذا كان للمؤمنين كان المناسب كونه مولوياً فإنه مقتضى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مناسبة لكونه إرشادياً ـ فتأمل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الحجية واللاحجية هما ملزوم وجوب التبين وعدمه، فلأن خبر العادل حجة لا يجب التبين، ولأن خبر الفاسق ليس بحجة وجب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دروس تمهيدية في تفسير آيات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وجوب التبين المذكور في المنطوق إرشاد إلى نفي الحجية، وعدمه المستفاد من المفهوم إرشاد إلى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الكاشفية التامة أو الناقصة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الجعل للحجية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كالمعنى الثالث والسادس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التوهم على عكس القول الذي نقلناه قبل قليل من كون ظاهر الآية إنشاء الحكم التكليفي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إنشاء الوضعي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هي ترشد إليه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التكليفي والوضعي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بناؤهم على أن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له كشف ناقص وقد يسلبها عنه وليس مرشداً فقط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بالقياس إلى غير الذنوب الصغيرة، فإنها محرمة أيضاً وليست بفاحشة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وعلة تحريم الذنوب الصغيرة مفاسدها أيضاً، وإن لم تكن بتلك المثابة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تعريفه بما تزايد قبحه أو أقبح القبائح</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أشرنا لجانب من الحديث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الضوابط الكلية لضمان الإصابة في الأحكام العقلية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مفسدة الفواحش معلومة غالباً للمأمور قبل الأمر، فلزم كونها إرشاداً حسب هذا الضابط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مفاسدها عائدة غالباً للشؤون الدنيوية فيلزمهم القول بمولوية خصوص ما كانت مفسدته أخروية، أو كان مصب النهي ذلك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بلغت تسعة وجوه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حرمة الاعتراف بهم والرضى بفعلهم والعمل لهم والإطاعة وما أشبه، إذ لدى تعذر الحقيقة يصار لأقرب المجازات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كالضابط الثاني والثالث وغيرهما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تقتلوا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مجموع المجتمع</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في شرح الآية الشريفة، وكذا مواهب الرحمن، بإضافة وتوضيح منّا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صار إلى ذلك السيد السبزواري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والمضارة الضرار من الجانبين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أولاً العقل يستقل بقبح مطلق الإضرار لا خصوص البالغ منه، نعم قد يفصل في الحرمة، فتكون الآية إرشادية فقط على مبناهم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مراراً إمكان استعمال اللفظ في أكثر من معنى بل هو في المقام في معنى واحد والمولوية والإرشادية ليست موضوعاً له ولا مستعملاً فيه، إلا أن يستند إلى أنه خلاف الظاهر فتأمل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الآية الشريفة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الزائد والفائض، وهو الأول مما ذكرناه، وثاني التبيين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الإغماض عن السيئة وترك المؤاخذة عليها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الأوامر الإرشادية في القرآن الكريم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قدس سره في الفقه الواجبات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والإجماع القطعي قائم من عامة طوائف المسلمين على وجوب التقية عند تحقق موضوعها، والعقل يدل على تقديم الفاسد درءً للأفسد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كصحة الصلاة تقية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تتقوا منهم 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أكره وقلبه مطمئن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إما للخلاف في 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إلى أن قبح الزنى قد يعد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الفطريات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وحرمته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والشمول إما عقلاً، أو بدعوى أن المتفاهم عرفاً من الدليل اللفظي الدال على حرمة ذي المقدمة، هو ذلك</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لتمامية ذلك على مسلك الوالد قدس سره لا غيره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الشيخ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إلا أنه قيد بكون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ينطبق على المقام فتأمل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الضرر المحتمل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هذا هو ملاك الفطري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دفعاً للضرر المحتمل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أدنى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تحطيم الصحة والأعصاب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أضراره الوقوع في النزاع والغيبة وغير ذلك</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الإرشاد قد يكون للوجوب، إلا أنه لا عقاب عليه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الأعم هو الشامل لللابدية العقلية، والتي لعل إطلاق الوجوب عليه، يعد مجازاً في العرف الخاص والعام ـ فتأمل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تطييب القلوب، وتفعيل المشاركة، فتأمل إذ الغرض كشف الصائب أو الأصوب وفيه أن الظاهر تعدد الأغراض فيراعى الأهم فتأمل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يقل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 شورى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متممية الكاشفية، عن نحو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خذ منه ما تحتاج إليه من معالم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الكاشفية الذاتية للشورى كالكاشفية الذاتية لخبر الواحد، ناقصة تتمم بالتعبد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دروس تمهيدية في تفسير الآيات الأحكام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القول حول هذه الملاكات الأربعة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ليأكل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ما وجب من الإيمان، حرم ما يزيله، دون مارجح منه واستحب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خفض الجناح لمطلق المؤمن حسن، ولمن اتبعه من المؤمنين أحسن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الإرشادي والمولوي النصحي والمولوي التشريعي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مؤداه ومفاده من المصلحة أو الاعتقاد بها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 إنطباق الكلي الطبيعي لوضع ـ المادة والصيغة ـ عليه، إذ لا وضع خاص له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قسيم للأمر الدال على الوجوب وللأمر الدال على الندب ـ فدقق، ولك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مؤدى الأمر الإرشادي هل هو قسيم للوجوب والندب؟</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الصارفة، فإنها في خصوص المجاز، أما المعينة فإنها لتعيين المراد من أحد فردي المشترك اللفظي أو المعنوي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 من الأمر الوجوبي والندبي ـ كما سبق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أن كلاً من الدال والمدلول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الأمر والوجوب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لأن يوصف بالمولوية والإرشادية، كما أن كلاً من هذين الداعيين يمكن وصفه بالإلزامي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كلاً من الإرشادي والمولوي والوجوب والندب يمكن تقسيمه إلى الآخَرين؛ بلحاظ أن الأربعة كلها بين مدلولةٍ للأمر وبين دواعي 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 للمولى علي الروزدري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لعلها لا معنى لها في المقام ـ فتدبر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الإيجاب النصحي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الإيجاب المولوي التشريعي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تعريفنا للمولوي والإرشادي بالمعنى الأخص في موضع آخر من الكتاب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الأول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الثاني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تضمن إلزاماً أم لا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الثالث</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الخامس</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المولى، والمولى غير معمل مقامه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الترقي بلحاظ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 على المساوي، وإلا كان ذكراً لأحد مصاديقه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وجهه مما سيأتي والجواب عنه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بعدم إمكان هذا الأخير موضوعاً إذ لا يعقل إيجابه مع عدم كونه مولى ولا عالياً ولا مستعلياً، ولو فعل كان صورياً، نظير الاستهزاء، لكن سيظهر إمكانه ووجهه من 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 وأدلة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في موضع آخر تعريفهما والوجه فيهما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كل ما صدر عن العالي، لازم الإطاعة بحكم العقل بل مع قيود ستتضح مما سيأتي،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الملاك للإطاعة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يلومه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تسمع كلامه أو كلامها؟ ولا يقتصر في العتاب على عدم الفعل نفسه وإهماله المصلحة البالغة، بل يسند أيضاً إلى تركه نصح الناصح الملزِم وإن كان أدنى، وصرفه للأول خلاف الظاهر، ولذا يرمى بالتكبر مثلاً لو خالف فإن هذا الوصف ظاهر في أن نسبة الأمر إلى الآمر قد لوحظت، لا مصلحة الواقع ومفسدته فقط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سبق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عقاب عليه فكيف بما كان من غير المولى ومن غير العالي؟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يراد بالعتاب غير العقاب فلا تناقض</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يراد به المعروف، شرعاً أم عرفاً أم عقلاً أم غير ذلك عند التطرق للآية الشريفة، في هذا الكتاب فراجع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العرفي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لك من الناصحين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 الوجه قسيم للوجهين السابقين لو قيل بأن سلطة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مع قطع النظر عن حكم العقل أو الشرع بها، وإلا كان وجهاً لهما لا قسيماً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حول منشأ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الفقه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الموالي والرسول والأوصياء عليهم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حاكماً أو مدركاً على القولين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مطبقاً لكلي ما شرّعه على المقام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 لا بما هو مالك</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مرتب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الإرشادي والمولوي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الرغبة، مرجع الاقتضاء، وأما الإرادة فمتأخرة عنه ـ فتأمل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الأمر المولوي والإرشادي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استحقاق العقاب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الوجوب، لكونها داعياً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الطلب غير الإلزامي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مرشد نادباً أو غير نادب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 التشريعي والمولوي النصحي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مصاديق ومراتب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وأفردت بالذكر لأهميتها وخواصها،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من مراتب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التكوينية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النحو الاختياري عبر النصيحة والتشريع، واللاختياري عبر التصرف التكويني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الإلزامي وغير الإلزامي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الخيارات،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أصالة اللزوم في البيع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كيفية الوضوء</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ما استدل به على لزوم البيع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آية العقود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المولوي شامل للمولوي التكليفي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كالوجوب، والمولوي الوضعي كالصحة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المولوية ـ الوضعية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المشهور إلى حرمته مطلقاً، وذهب الوالد إلى استثناء ما لو كان للهداية بقدر الضرورة كما يظهر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قوله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النهي بالمسبب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مصب النهي إرتكازاً ـ أو بأية قرينة أخرى ـ هو المسبّب وهو انتقال المبيع للغير كالمصحف للكافر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مصب النهي هو الناقل أي البيع نفسه، ولا محذور من حيث المسبب كالبيع وقت النداء لأي شيء محلّل؛ فإن النهي في المثالين وإن تعلق ظاهراً بالسبب، أي بالبيع نفسه إلا أن الجهة والمصب الحقيقي مختلف</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عنوان النهي عن المعاملة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 فهم المشهور منها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اقتصاره على الأمر والنهي المتعلق بالأجزاء والشرائط لا أصل المعاملة، كما سيتضح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وجوه للتأمل في ما ذكره حول العبادات، تذكر في مجال آخر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تحريم أخذ الربا ح</w:t>
      </w:r>
      <w:r>
        <w:rPr>
          <w:rFonts w:eastAsia="IRNazanin" w:cs="IRNazanin"/>
          <w:b w:val="false"/>
          <w:bCs w:val="false"/>
          <w:i w:val="false"/>
          <w:iCs w:val="false"/>
          <w:color w:val="333333"/>
          <w:sz w:val="20"/>
          <w:szCs w:val="20"/>
        </w:rPr>
        <w:t>33366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كالأقراض الربوي أو الربا المعاملي، لا نقل البضاعة بعدها من أحدهما للآخر أو تسديد القرض زائداً فإنه لا ظهور لكونه ربوياً، أو ذاك أظهر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الجهاد،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بيع الخمر، ح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المكاسب المحرمة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حتى دون أن يتصرف بالمال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الحديث عن ذلك في موضع آخر من الكتاب فليلاحظ</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لعلّه يظهر من تفسير مواهب الرحمن حيث فسر الآية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يأكل بعضكم أموال بعض بغير حق</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تحرم اللعب الشطرنج، ح </w:t>
      </w:r>
      <w:r>
        <w:rPr>
          <w:rFonts w:eastAsia="IRNazanin" w:cs="IRNazanin"/>
          <w:b w:val="false"/>
          <w:bCs w:val="false"/>
          <w:i w:val="false"/>
          <w:iCs w:val="false"/>
          <w:color w:val="333333"/>
          <w:sz w:val="20"/>
          <w:szCs w:val="20"/>
        </w:rPr>
        <w:t>32051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32021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وبمضمونها روايات أخرى أيضاً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المكاسب المحرمة، الطبعة الرابعة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العناوين الثانوية الأخرى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الذبيحة،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الناجمة عن ترك الطلاق أو البيع، فرضاً، والعناوين اللاحقة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الوجوب بالمعنى الأعم من الوجوب المولوي والوجوب الإرشادي كما نقلنا عن الشيخ الأنصاري قدس سره انقسام الوجوب إلى القسمين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بينا رداً آخر لهذه الدعوى في أمر الوفاء بالعقد فراجعه عند البحث عن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نقلنا رأي السيد الخوئي وأجبنا عنه بإجابات عديدة تضمنت كلام الميرزا محمد تقي الشيرازي فليراجع هناك وليضم إلى ما ههنا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إرشادية بدون إيجاب أو ندب، أي إرشادية لصرف الاشتراط والسببية مثلاً، وأما الإرشادية بالمعنى الأعم فهي الشاملة لذلك، ولما دل على الوجوب غير المستتبع للعقاب أي الوجوب الإرشادي</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للدليل الخاص على الحرمة بل على كونها مولوية توجب استحقاق العقاب، ولو لإرتكاز المتشرعة، ولذا لا دليل على حرمة العقد على أخت الزوجة بل هو باطل فقط ـ فتأمل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الإيجاب والتحريم المستحق على مخالفته العقاب، والمعنى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الإيجاب والتحريم استحق عليه العقاب ـ كما في الأوامر المولوية ـ أم لم يستحق كما في الأوامر الإرشادية الإيجابية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سبق إن ذلك وإن كان مقتضى الرحمة إلا أن مقتضى الجمع بينها وبين الحكمة، غير ذلك كما أوضحناه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بالمعنى الأعم كان ما بعده عطفاً تفسيرياً وإلا كان مبايناً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ولجوازه أيضاً في قبال من ادعى حرمة الاجتهاد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الشاملة للتكليفية والوضعية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ذكرنا في مباحث الأصول ـ كتاب القطع ـ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 المستنبطة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وأموراً أخرى</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بسطناه في موضع آخر من انقسام الحكم الإرشادي إلى الوجوب والندب تبعاً للشيخ الأنصاري والميرزا الشيرازي قدس سرهما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منها للوجوب أو الندب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أعم من سابقه بلحاظ الإضافة المذكورة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المولوي النصحي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وبلحاظ شموله ما كان للوجوب وإن لم يكن نصحاً بل لأي غرض آخر بل حتى تشهياً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أصدره معملاً مقامه المولوي لكن لا المولوي ـ التشريعي، بل المولوي ـ النصحي، كما بسطناه في موضع آخر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فيها مادام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 أو نادباً ـ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الموضوعي عندئذ ـ فتأمل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التفقه في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التفقه في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الإنذار في الآية الشريفة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مخالفة الأمر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 المتعلق، والأول هو مفاد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فليحذر الذين يخالفون عن أمره والثاني مفاد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كانوا أنفسهم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فأصابهم سيئات ما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 أعم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استدلاله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الإرشادي خارج</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ذلك على فرضه غير مجدٍ، لعود المحذور في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لينذورا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تفقهوا فيه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الفرد الأبرز من الهدف والغاية وليس الوحيد، فهو مشير للغرض والغاية وليس حاصراً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توسعاً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مثل القضايا التاريخية، وإلا فإن عدم صدق التفقه في الدين على الأوامر الإرشادية يخرج الآية عن صحة الاستدلال بها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المولوي منها والإرشادي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هو مولى ناصح، يوجب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عرفاً وبعبارة أخرى العالم بالشيء عن إجتهاد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يستتبع عدم التبين فيه وقبوله إذا كان من الفاسق أو غير المجتهد في الحدس، إصابة قوم بجهالة، نظراً لتوهم صحة ذلك الحكم وانطباقه عليه وذلك كإخباره بوجوب دفع الزكاة للحاكم أو إنهم لم يدفعوا أو إخباره بارتدادهم بذلك أو ذهابه اجتهاداً إلى ذلك ـ بناء على كون وجوبها أو الارتداد بعدمها أو اللا ارتداد مستقلاً عقلياً ـ مع قطع النظر أن هذا الحاكم الذي جيء به بالمؤامرة ليس هو الحاكم الذي ينبغي تسليم الزكاة له ـ وعلى أي فإن قبول خبر الفاسق بارتداد مالك بن نويرة مثلاً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إصابة قوم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الأعم من الجهل والعمد لأن العامد للحرام، فاعل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فتأمل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في تفسير الآية الشريفة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طغى،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طغى،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كان عن اجتهاد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الإطاعة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مطلق الوجوب واستحقاق العقاب كما لا تلازم بينه وبين العقاب وهذا أظهر من أن يخفى</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كون كلام الإمام عليه السلام مصداقاً لتزاحم الأهم والمهم وباب الترتب؛ فإن كل إنشغال بصغائر الأمور يفوّت كبائرها، خاصة في مَن هم مصادر الأمور وفيما يرتبط بشؤون الدين والهداية والأمر بالمعروف والنهي عن المنكر ـ فتأمل، إذ مفاد ذلك موجبة جزئية لا غير فتأمل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تأديب 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 إطاعتهم فيما يتعلق بأمور العقيدة، فإنها ليست من الفقه كما لا يخفى لذا لا تدرج فيه عادة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لها في مباحث الأصول ـ كتاب القطع، وقد فصلّها السيد العم حفظه الله تعالى في بيان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إيصال معالم الدين للطالب وإعطائه، بل ولغيره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وضعية على المشهور،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وضعية قطعاً، بل هي إما إرشادية على رأي لعله المشهور أو مولوية للندب كما نراه وفصلناه في موضع آخر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المبنى في الضوابط أو حسب القرائن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كشؤون السلم والحرب والمعاهدات الدولية وغيرها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إذ ليس كل موضوع لحكم مولوي يصدق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الحادثة الواقعة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في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التحاكم إلى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يقلدون فقهاءهم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نقض بيعة الغاصب واجبة أم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 الأمثلة، ومثل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المعاملة والمخالطة 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أشير لها ذيل صحيحة أحمد بن إسحاق، ومثل عبادة مَن؟ وكيفية العبادة التي أشير لها ذيل حسنة عبد العزيز بن المهتدي وكذا الاستشهاد في الطلاق وغيره وعدمه، وغيرها ومثل الأمثلة العديدة التي ذكرناها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الاشهاد على الديون الدولية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ـ فراجع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يدعى أن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العضو وذهاب القوة بالكامل، من المستقلات العقلية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فهل يستحب الصفح أو يجب أو يحرم أحياناً وأين موضع كل ذلك؟</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بحاجة لإثبات الرجوع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عالم  الدين العادل، ببناء العقلاء إذ إنه يثبت أصل الرجوع للعالم، وسائر الشروط ـ كالعدالة ـ تثبت بالأدلة الأخرى</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جانباً من الحديث عن ذلك في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التأمل في الصغرى، وعدم القلة أولاً، وإشارة إلى عدم الحاجة لها أيضاً لتمامية الاستدلال بدونها كما سبق في هامش سابق ثانياً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لعدم كونه مولى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الضابط الثالث</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يمتنع اجتماعهما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الآمر الناصح أو الواعظ المرشد أو الطبيب، للفعل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بعض الأوامر الإرشادية إذ لا شك أن الخطيب والواعظ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يصلي ويصوم الناس الذين يعظهم بذلك</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الضابط الثالث الذي ذهب إليه المحقق الرشتي قدس سره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إرشادي فليس محبوباً للآمر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مولوي فهو محبوب 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العناوين الأولية، متعلقات لأمر الإطاعة، والأدق أن الأمر المتعلق بالعناوين الأولية متعلَّق لأمر الإطاعة، إذ تعلق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إتحاد فإنه كقولك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كلام مولاك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يستلزم هذا التقييد خروج كل الأوامر الغيرية عن كونه مولوية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في 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 فيه عدم محبوبية الفعل للآمر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لمحبوبية الفعل للآمر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يجتمع ما علم فيه عدم المحبوبية مع ما كان للمحبوبية؟ لكن الأمر سهل إذ الظاهر أن الإشكال على تعبيره فنيّاً بذلك، وليس مراداً له، بل مراده ما اجتمع فيه جهة المحبوبية والنصح ـ ولذا أعرضنا في المتن عن عدّه إشكالاً برأسه واكتفينا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قطع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تعبيره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للخلل في التعبير لا المضمون المقصود له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ـ على كلامه ـ لا مولوية ولا إرشادية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كالعربية والماضوية وتقديم الإيجاب على القبول والمولاة بينهما والتنجيز وغيرها ـ على القول بكل منها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الملكية أو الزوجية مثلاً، ولا في مفهوم وماهية البيع والرهن والقرض ولا في معنى الوجوب والحرمة، كما لا حقيقة شرعية في بعض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لله ولمن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28623</Words>
  <Characters>132692</Characters>
  <CharactersWithSpaces>160366</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2026-08-27T11:09:33Z</dcterms:created>
  <dc:creator>ghaemiyeh.com</dc:creator>
  <dc:description/>
  <dc:language>en-US</dc:language>
  <cp:lastModifiedBy/>
  <dcterms:modified xsi:type="dcterms:W3CDTF">2026-08-27T14:39:54Z</dcterms:modified>
  <cp:revision>1</cp:revision>
  <dc:subject/>
  <dc:title>الاوامر المولویة والارشادیة</dc:title>
</cp:coreProperties>
</file>

<file path=docProps/custom.xml><?xml version="1.0" encoding="utf-8"?>
<Properties xmlns="http://schemas.openxmlformats.org/officeDocument/2006/custom-properties" xmlns:vt="http://schemas.openxmlformats.org/officeDocument/2006/docPropsVTypes"/>
</file>